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Ex2.xml" ContentType="application/vnd.ms-office.chartex+xml"/>
  <Override PartName="/word/charts/style4.xml" ContentType="application/vnd.ms-office.chartstyle+xml"/>
  <Override PartName="/word/charts/colors4.xml" ContentType="application/vnd.ms-office.chartcolorstyle+xml"/>
  <Override PartName="/word/header8.xml" ContentType="application/vnd.openxmlformats-officedocument.wordprocessingml.header+xml"/>
  <Override PartName="/word/charts/chart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Ex3.xml" ContentType="application/vnd.ms-office.chartex+xml"/>
  <Override PartName="/word/charts/style7.xml" ContentType="application/vnd.ms-office.chartstyle+xml"/>
  <Override PartName="/word/charts/colors7.xml" ContentType="application/vnd.ms-office.chartcolorstyle+xml"/>
  <Override PartName="/word/charts/chartEx4.xml" ContentType="application/vnd.ms-office.chartex+xml"/>
  <Override PartName="/word/charts/style8.xml" ContentType="application/vnd.ms-office.chartstyle+xml"/>
  <Override PartName="/word/charts/colors8.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charts/chart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6.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Ex5.xml" ContentType="application/vnd.ms-office.chartex+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Ex6.xml" ContentType="application/vnd.ms-office.chartex+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charts/chart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8.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Ex7.xml" ContentType="application/vnd.ms-office.chartex+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header15.xml" ContentType="application/vnd.openxmlformats-officedocument.wordprocessingml.header+xml"/>
  <Override PartName="/word/charts/chart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Ex8.xml" ContentType="application/vnd.ms-office.chartex+xml"/>
  <Override PartName="/word/charts/style17.xml" ContentType="application/vnd.ms-office.chartstyle+xml"/>
  <Override PartName="/word/charts/colors17.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0F11D" w14:textId="4C55123C" w:rsidR="00AF7B50" w:rsidRDefault="00484E03" w:rsidP="00AF7B50">
      <w:bookmarkStart w:id="0" w:name="_Toc184825609"/>
      <w:bookmarkStart w:id="1" w:name="_Toc184825645"/>
      <w:bookmarkStart w:id="2" w:name="_Toc184825669"/>
      <w:r>
        <w:rPr>
          <w:noProof/>
        </w:rPr>
        <w:drawing>
          <wp:anchor distT="0" distB="0" distL="114300" distR="114300" simplePos="0" relativeHeight="251658279" behindDoc="0" locked="0" layoutInCell="1" allowOverlap="1" wp14:anchorId="7C930120" wp14:editId="17C8D231">
            <wp:simplePos x="0" y="0"/>
            <wp:positionH relativeFrom="margin">
              <wp:posOffset>4698233</wp:posOffset>
            </wp:positionH>
            <wp:positionV relativeFrom="paragraph">
              <wp:posOffset>-441435</wp:posOffset>
            </wp:positionV>
            <wp:extent cx="1450428" cy="508112"/>
            <wp:effectExtent l="0" t="0" r="0" b="6350"/>
            <wp:wrapNone/>
            <wp:docPr id="2094775755" name="Picture 9" descr="P1#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75755" name="Picture 9" descr="P1#y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450428" cy="508112"/>
                    </a:xfrm>
                    <a:prstGeom prst="rect">
                      <a:avLst/>
                    </a:prstGeom>
                  </pic:spPr>
                </pic:pic>
              </a:graphicData>
            </a:graphic>
            <wp14:sizeRelH relativeFrom="margin">
              <wp14:pctWidth>0</wp14:pctWidth>
            </wp14:sizeRelH>
            <wp14:sizeRelV relativeFrom="margin">
              <wp14:pctHeight>0</wp14:pctHeight>
            </wp14:sizeRelV>
          </wp:anchor>
        </w:drawing>
      </w:r>
      <w:bookmarkStart w:id="3" w:name="_Ref208834512"/>
      <w:bookmarkEnd w:id="3"/>
      <w:r>
        <w:rPr>
          <w:noProof/>
        </w:rPr>
        <mc:AlternateContent>
          <mc:Choice Requires="wps">
            <w:drawing>
              <wp:anchor distT="0" distB="0" distL="114300" distR="114300" simplePos="0" relativeHeight="251658256" behindDoc="0" locked="0" layoutInCell="1" allowOverlap="1" wp14:anchorId="32AAED05" wp14:editId="05B0BCA3">
                <wp:simplePos x="0" y="0"/>
                <wp:positionH relativeFrom="margin">
                  <wp:posOffset>-34115</wp:posOffset>
                </wp:positionH>
                <wp:positionV relativeFrom="margin">
                  <wp:posOffset>2016125</wp:posOffset>
                </wp:positionV>
                <wp:extent cx="4337685" cy="2362835"/>
                <wp:effectExtent l="0" t="0" r="0" b="0"/>
                <wp:wrapSquare wrapText="bothSides"/>
                <wp:docPr id="101458700" name="Text Box 163" descr="P1TB30bA#y1"/>
                <wp:cNvGraphicFramePr/>
                <a:graphic xmlns:a="http://schemas.openxmlformats.org/drawingml/2006/main">
                  <a:graphicData uri="http://schemas.microsoft.com/office/word/2010/wordprocessingShape">
                    <wps:wsp>
                      <wps:cNvSpPr txBox="1"/>
                      <wps:spPr>
                        <a:xfrm>
                          <a:off x="0" y="0"/>
                          <a:ext cx="4337685" cy="2362835"/>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color w:val="F7BE85" w:themeColor="accent5"/>
                                <w:sz w:val="36"/>
                                <w:szCs w:val="36"/>
                              </w:rPr>
                              <w:alias w:val="Subtitle"/>
                              <w:tag w:val=""/>
                              <w:id w:val="2065747912"/>
                              <w:dataBinding w:prefixMappings="xmlns:ns0='http://purl.org/dc/elements/1.1/' xmlns:ns1='http://schemas.openxmlformats.org/package/2006/metadata/core-properties' " w:xpath="/ns1:coreProperties[1]/ns0:subject[1]" w:storeItemID="{6C3C8BC8-F283-45AE-878A-BAB7291924A1}"/>
                              <w:text/>
                            </w:sdtPr>
                            <w:sdtEndPr>
                              <w:rPr>
                                <w:color w:val="220054" w:themeColor="accent1"/>
                                <w:sz w:val="52"/>
                                <w:szCs w:val="52"/>
                              </w:rPr>
                            </w:sdtEndPr>
                            <w:sdtContent>
                              <w:p w14:paraId="453F24EF" w14:textId="3F4955B0" w:rsidR="0061125F" w:rsidRPr="001729F2" w:rsidRDefault="00320B4A" w:rsidP="0061125F">
                                <w:pPr>
                                  <w:rPr>
                                    <w:rFonts w:asciiTheme="majorHAnsi" w:hAnsiTheme="majorHAnsi"/>
                                    <w:color w:val="220054" w:themeColor="accent1"/>
                                    <w:sz w:val="52"/>
                                    <w:szCs w:val="52"/>
                                  </w:rPr>
                                </w:pPr>
                                <w:r>
                                  <w:rPr>
                                    <w:rFonts w:asciiTheme="majorHAnsi" w:hAnsiTheme="majorHAnsi"/>
                                    <w:color w:val="F7BE85" w:themeColor="accent5"/>
                                    <w:sz w:val="36"/>
                                    <w:szCs w:val="36"/>
                                  </w:rPr>
                                  <w:t>2023-24</w:t>
                                </w:r>
                              </w:p>
                            </w:sdtContent>
                          </w:sdt>
                          <w:p w14:paraId="2278B5AD" w14:textId="7C6B651A" w:rsidR="0061125F" w:rsidRPr="001729F2" w:rsidRDefault="00000000" w:rsidP="0061125F">
                            <w:pPr>
                              <w:rPr>
                                <w:rFonts w:asciiTheme="majorHAnsi" w:hAnsiTheme="majorHAnsi"/>
                                <w:color w:val="F7BE85" w:themeColor="accent5"/>
                                <w:sz w:val="72"/>
                                <w:szCs w:val="72"/>
                              </w:rPr>
                            </w:pPr>
                            <w:sdt>
                              <w:sdtPr>
                                <w:rPr>
                                  <w:rFonts w:asciiTheme="majorHAnsi" w:hAnsiTheme="majorHAnsi"/>
                                  <w:color w:val="F7BE85" w:themeColor="accent5"/>
                                  <w:sz w:val="52"/>
                                  <w:szCs w:val="52"/>
                                </w:rPr>
                                <w:alias w:val="Title"/>
                                <w:tag w:val=""/>
                                <w:id w:val="-1969430997"/>
                                <w:dataBinding w:prefixMappings="xmlns:ns0='http://purl.org/dc/elements/1.1/' xmlns:ns1='http://schemas.openxmlformats.org/package/2006/metadata/core-properties' " w:xpath="/ns1:coreProperties[1]/ns0:title[1]" w:storeItemID="{6C3C8BC8-F283-45AE-878A-BAB7291924A1}"/>
                                <w:text w:multiLine="1"/>
                              </w:sdtPr>
                              <w:sdtContent>
                                <w:r w:rsidR="00EC2E8F">
                                  <w:rPr>
                                    <w:rFonts w:asciiTheme="majorHAnsi" w:hAnsiTheme="majorHAnsi"/>
                                    <w:color w:val="F7BE85" w:themeColor="accent5"/>
                                    <w:sz w:val="52"/>
                                    <w:szCs w:val="52"/>
                                  </w:rPr>
                                  <w:t xml:space="preserve">Independent Financial </w:t>
                                </w:r>
                                <w:r w:rsidR="005F52A8">
                                  <w:rPr>
                                    <w:rFonts w:asciiTheme="majorHAnsi" w:hAnsiTheme="majorHAnsi"/>
                                    <w:color w:val="F7BE85" w:themeColor="accent5"/>
                                    <w:sz w:val="52"/>
                                    <w:szCs w:val="52"/>
                                  </w:rPr>
                                  <w:t>Review of the National Hospital Cost Data Collection</w:t>
                                </w:r>
                              </w:sdtContent>
                            </w:sdt>
                          </w:p>
                          <w:sdt>
                            <w:sdtPr>
                              <w:rPr>
                                <w:color w:val="220054" w:themeColor="accent1"/>
                                <w:sz w:val="64"/>
                                <w:szCs w:val="64"/>
                              </w:rPr>
                              <w:id w:val="-440525511"/>
                              <w:showingPlcHdr/>
                            </w:sdtPr>
                            <w:sdtContent>
                              <w:p w14:paraId="3F89F015" w14:textId="77777777" w:rsidR="007A6509" w:rsidRPr="001729F2" w:rsidRDefault="007A6509" w:rsidP="0061125F">
                                <w:pPr>
                                  <w:rPr>
                                    <w:color w:val="220054" w:themeColor="accent1"/>
                                    <w:sz w:val="64"/>
                                    <w:szCs w:val="64"/>
                                  </w:rPr>
                                </w:pPr>
                                <w:r w:rsidRPr="001729F2">
                                  <w:rPr>
                                    <w:rStyle w:val="PlaceholderText"/>
                                    <w:color w:val="FFFFFF" w:themeColor="background1"/>
                                  </w:rPr>
                                  <w:t>Subtext</w:t>
                                </w:r>
                              </w:p>
                            </w:sdtContent>
                          </w:sdt>
                          <w:p w14:paraId="29CC36E3" w14:textId="77777777" w:rsidR="007A6509" w:rsidRPr="001729F2" w:rsidRDefault="007A6509" w:rsidP="0061125F"/>
                        </w:txbxContent>
                      </wps:txbx>
                      <wps:bodyPr rot="0" spcFirstLastPara="0" vertOverflow="overflow" horzOverflow="overflow" vert="horz" wrap="square" lIns="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AAED05" id="_x0000_t202" coordsize="21600,21600" o:spt="202" path="m,l,21600r21600,l21600,xe">
                <v:stroke joinstyle="miter"/>
                <v:path gradientshapeok="t" o:connecttype="rect"/>
              </v:shapetype>
              <v:shape id="Text Box 163" o:spid="_x0000_s1026" type="#_x0000_t202" alt="P1TB30bA#y1" style="position:absolute;margin-left:-2.7pt;margin-top:158.75pt;width:341.55pt;height:186.0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" filled="f" strokeweight=".5pt">
                <v:stroke opacity="0" joinstyle="round"/>
                <v:textbox inset="0,0,54pt,0">
                  <w:txbxContent>
                    <w:sdt>
                      <w:sdtPr>
                        <w:rPr>
                          <w:rFonts w:asciiTheme="majorHAnsi" w:hAnsiTheme="majorHAnsi"/>
                          <w:color w:val="F7BE85" w:themeColor="accent5"/>
                          <w:sz w:val="36"/>
                          <w:szCs w:val="36"/>
                        </w:rPr>
                        <w:alias w:val="Subtitle"/>
                        <w:tag w:val=""/>
                        <w:id w:val="2065747912"/>
                        <w:dataBinding w:prefixMappings="xmlns:ns0='http://purl.org/dc/elements/1.1/' xmlns:ns1='http://schemas.openxmlformats.org/package/2006/metadata/core-properties' " w:xpath="/ns1:coreProperties[1]/ns0:subject[1]" w:storeItemID="{6C3C8BC8-F283-45AE-878A-BAB7291924A1}"/>
                        <w:text/>
                      </w:sdtPr>
                      <w:sdtEndPr>
                        <w:rPr>
                          <w:color w:val="220054" w:themeColor="accent1"/>
                          <w:sz w:val="52"/>
                          <w:szCs w:val="52"/>
                        </w:rPr>
                      </w:sdtEndPr>
                      <w:sdtContent>
                        <w:p w14:paraId="453F24EF" w14:textId="3F4955B0" w:rsidR="0061125F" w:rsidRPr="001729F2" w:rsidRDefault="00320B4A" w:rsidP="0061125F">
                          <w:pPr>
                            <w:rPr>
                              <w:rFonts w:asciiTheme="majorHAnsi" w:hAnsiTheme="majorHAnsi"/>
                              <w:color w:val="220054" w:themeColor="accent1"/>
                              <w:sz w:val="52"/>
                              <w:szCs w:val="52"/>
                            </w:rPr>
                          </w:pPr>
                          <w:r>
                            <w:rPr>
                              <w:rFonts w:asciiTheme="majorHAnsi" w:hAnsiTheme="majorHAnsi"/>
                              <w:color w:val="F7BE85" w:themeColor="accent5"/>
                              <w:sz w:val="36"/>
                              <w:szCs w:val="36"/>
                            </w:rPr>
                            <w:t>2023-24</w:t>
                          </w:r>
                        </w:p>
                      </w:sdtContent>
                    </w:sdt>
                    <w:p w14:paraId="2278B5AD" w14:textId="7C6B651A" w:rsidR="0061125F" w:rsidRPr="001729F2" w:rsidRDefault="00CE6F96" w:rsidP="0061125F">
                      <w:pPr>
                        <w:rPr>
                          <w:rFonts w:asciiTheme="majorHAnsi" w:hAnsiTheme="majorHAnsi"/>
                          <w:color w:val="F7BE85" w:themeColor="accent5"/>
                          <w:sz w:val="72"/>
                          <w:szCs w:val="72"/>
                        </w:rPr>
                      </w:pPr>
                      <w:sdt>
                        <w:sdtPr>
                          <w:rPr>
                            <w:rFonts w:asciiTheme="majorHAnsi" w:hAnsiTheme="majorHAnsi"/>
                            <w:color w:val="F7BE85" w:themeColor="accent5"/>
                            <w:sz w:val="52"/>
                            <w:szCs w:val="52"/>
                          </w:rPr>
                          <w:alias w:val="Title"/>
                          <w:tag w:val=""/>
                          <w:id w:val="-1969430997"/>
                          <w:dataBinding w:prefixMappings="xmlns:ns0='http://purl.org/dc/elements/1.1/' xmlns:ns1='http://schemas.openxmlformats.org/package/2006/metadata/core-properties' " w:xpath="/ns1:coreProperties[1]/ns0:title[1]" w:storeItemID="{6C3C8BC8-F283-45AE-878A-BAB7291924A1}"/>
                          <w:text w:multiLine="1"/>
                        </w:sdtPr>
                        <w:sdtEndPr/>
                        <w:sdtContent>
                          <w:r w:rsidR="00EC2E8F">
                            <w:rPr>
                              <w:rFonts w:asciiTheme="majorHAnsi" w:hAnsiTheme="majorHAnsi"/>
                              <w:color w:val="F7BE85" w:themeColor="accent5"/>
                              <w:sz w:val="52"/>
                              <w:szCs w:val="52"/>
                            </w:rPr>
                            <w:t xml:space="preserve">Independent Financial </w:t>
                          </w:r>
                          <w:r w:rsidR="005F52A8">
                            <w:rPr>
                              <w:rFonts w:asciiTheme="majorHAnsi" w:hAnsiTheme="majorHAnsi"/>
                              <w:color w:val="F7BE85" w:themeColor="accent5"/>
                              <w:sz w:val="52"/>
                              <w:szCs w:val="52"/>
                            </w:rPr>
                            <w:t>Review of the National Hospital Cost Data Collection</w:t>
                          </w:r>
                        </w:sdtContent>
                      </w:sdt>
                    </w:p>
                    <w:sdt>
                      <w:sdtPr>
                        <w:rPr>
                          <w:color w:val="220054" w:themeColor="accent1"/>
                          <w:sz w:val="64"/>
                          <w:szCs w:val="64"/>
                        </w:rPr>
                        <w:id w:val="-440525511"/>
                        <w:showingPlcHdr/>
                      </w:sdtPr>
                      <w:sdtEndPr/>
                      <w:sdtContent>
                        <w:p w14:paraId="3F89F015" w14:textId="77777777" w:rsidR="007A6509" w:rsidRPr="001729F2" w:rsidRDefault="007A6509" w:rsidP="0061125F">
                          <w:pPr>
                            <w:rPr>
                              <w:color w:val="220054" w:themeColor="accent1"/>
                              <w:sz w:val="64"/>
                              <w:szCs w:val="64"/>
                            </w:rPr>
                          </w:pPr>
                          <w:r w:rsidRPr="001729F2">
                            <w:rPr>
                              <w:rStyle w:val="PlaceholderText"/>
                              <w:color w:val="FFFFFF" w:themeColor="background1"/>
                            </w:rPr>
                            <w:t>Subtext</w:t>
                          </w:r>
                        </w:p>
                      </w:sdtContent>
                    </w:sdt>
                    <w:p w14:paraId="29CC36E3" w14:textId="77777777" w:rsidR="007A6509" w:rsidRPr="001729F2" w:rsidRDefault="007A6509" w:rsidP="0061125F"/>
                  </w:txbxContent>
                </v:textbox>
                <w10:wrap type="square" anchorx="margin" anchory="margin"/>
              </v:shape>
            </w:pict>
          </mc:Fallback>
        </mc:AlternateContent>
      </w:r>
      <w:r>
        <w:rPr>
          <w:noProof/>
        </w:rPr>
        <mc:AlternateContent>
          <mc:Choice Requires="wps">
            <w:drawing>
              <wp:anchor distT="0" distB="0" distL="114300" distR="114300" simplePos="0" relativeHeight="251658255" behindDoc="0" locked="0" layoutInCell="1" allowOverlap="1" wp14:anchorId="117A5AC8" wp14:editId="282CC043">
                <wp:simplePos x="0" y="0"/>
                <wp:positionH relativeFrom="column">
                  <wp:posOffset>-895350</wp:posOffset>
                </wp:positionH>
                <wp:positionV relativeFrom="paragraph">
                  <wp:posOffset>-914400</wp:posOffset>
                </wp:positionV>
                <wp:extent cx="7736840" cy="7886700"/>
                <wp:effectExtent l="0" t="0" r="0" b="0"/>
                <wp:wrapNone/>
                <wp:docPr id="1128471291" name="Rectangle 14" descr="P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6840" cy="788670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DBFA6" id="Rectangle 14" o:spid="_x0000_s1026" alt="&quot;&quot;" style="position:absolute;margin-left:-70.5pt;margin-top:-1in;width:609.2pt;height:62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" fillcolor="#464e7e [3205]" stroked="f" strokeweight="1pt"/>
            </w:pict>
          </mc:Fallback>
        </mc:AlternateContent>
      </w:r>
      <w:r w:rsidR="00BB6707">
        <w:rPr>
          <w:noProof/>
        </w:rPr>
        <w:drawing>
          <wp:anchor distT="0" distB="0" distL="114300" distR="114300" simplePos="0" relativeHeight="251658282" behindDoc="0" locked="0" layoutInCell="1" allowOverlap="1" wp14:anchorId="0FB3E0E9" wp14:editId="3DB16FE4">
            <wp:simplePos x="0" y="0"/>
            <wp:positionH relativeFrom="column">
              <wp:posOffset>599189</wp:posOffset>
            </wp:positionH>
            <wp:positionV relativeFrom="paragraph">
              <wp:posOffset>9082380</wp:posOffset>
            </wp:positionV>
            <wp:extent cx="6017284" cy="697282"/>
            <wp:effectExtent l="0" t="0" r="0" b="7620"/>
            <wp:wrapNone/>
            <wp:docPr id="957933408" name="Graphic 13" descr="P1#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33408" name="Graphic 13" descr="P1#y3">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6017284" cy="697282"/>
                    </a:xfrm>
                    <a:prstGeom prst="rect">
                      <a:avLst/>
                    </a:prstGeom>
                  </pic:spPr>
                </pic:pic>
              </a:graphicData>
            </a:graphic>
            <wp14:sizeRelH relativeFrom="page">
              <wp14:pctWidth>0</wp14:pctWidth>
            </wp14:sizeRelH>
            <wp14:sizeRelV relativeFrom="page">
              <wp14:pctHeight>0</wp14:pctHeight>
            </wp14:sizeRelV>
          </wp:anchor>
        </w:drawing>
      </w:r>
      <w:r w:rsidR="006828BC">
        <w:rPr>
          <w:noProof/>
        </w:rPr>
        <w:drawing>
          <wp:anchor distT="0" distB="0" distL="114300" distR="114300" simplePos="0" relativeHeight="251658283" behindDoc="0" locked="0" layoutInCell="1" allowOverlap="1" wp14:anchorId="61D30390" wp14:editId="06EB728D">
            <wp:simplePos x="0" y="0"/>
            <wp:positionH relativeFrom="column">
              <wp:posOffset>-520262</wp:posOffset>
            </wp:positionH>
            <wp:positionV relativeFrom="paragraph">
              <wp:posOffset>902773</wp:posOffset>
            </wp:positionV>
            <wp:extent cx="153035" cy="8863330"/>
            <wp:effectExtent l="0" t="0" r="0" b="0"/>
            <wp:wrapNone/>
            <wp:docPr id="542902368" name="Picture 10" descr="P1#y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02368" name="Picture 10" descr="P1#y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53035" cy="8863330"/>
                    </a:xfrm>
                    <a:prstGeom prst="rect">
                      <a:avLst/>
                    </a:prstGeom>
                  </pic:spPr>
                </pic:pic>
              </a:graphicData>
            </a:graphic>
          </wp:anchor>
        </w:drawing>
      </w:r>
      <w:bookmarkEnd w:id="0"/>
      <w:bookmarkEnd w:id="1"/>
      <w:bookmarkEnd w:id="2"/>
      <w:r w:rsidR="00C14B40">
        <w:t>c</w:t>
      </w:r>
    </w:p>
    <w:p w14:paraId="7D2FE5A5" w14:textId="78A8D77A" w:rsidR="00AF7B50" w:rsidRDefault="005E0A14">
      <w:pPr>
        <w:tabs>
          <w:tab w:val="clear" w:pos="5309"/>
        </w:tabs>
      </w:pPr>
      <w:r>
        <w:rPr>
          <w:rFonts w:eastAsia="Times New Roman"/>
          <w:noProof/>
        </w:rPr>
        <w:drawing>
          <wp:anchor distT="0" distB="0" distL="114300" distR="114300" simplePos="0" relativeHeight="251658280" behindDoc="0" locked="0" layoutInCell="1" allowOverlap="1" wp14:anchorId="26CE0DB7" wp14:editId="3795838F">
            <wp:simplePos x="0" y="0"/>
            <wp:positionH relativeFrom="page">
              <wp:align>right</wp:align>
            </wp:positionH>
            <wp:positionV relativeFrom="paragraph">
              <wp:posOffset>4482399</wp:posOffset>
            </wp:positionV>
            <wp:extent cx="7539127" cy="5007610"/>
            <wp:effectExtent l="0" t="0" r="5080" b="2540"/>
            <wp:wrapNone/>
            <wp:docPr id="1991744299" name="Picture 8" descr="P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44299" name="Picture 8" descr="P2#y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l="5536" r="5536"/>
                    <a:stretch>
                      <a:fillRect/>
                    </a:stretch>
                  </pic:blipFill>
                  <pic:spPr>
                    <a:xfrm>
                      <a:off x="0" y="0"/>
                      <a:ext cx="7539127" cy="5007610"/>
                    </a:xfrm>
                    <a:prstGeom prst="round1Rect">
                      <a:avLst/>
                    </a:prstGeom>
                  </pic:spPr>
                </pic:pic>
              </a:graphicData>
            </a:graphic>
            <wp14:sizeRelH relativeFrom="page">
              <wp14:pctWidth>0</wp14:pctWidth>
            </wp14:sizeRelH>
            <wp14:sizeRelV relativeFrom="page">
              <wp14:pctHeight>0</wp14:pctHeight>
            </wp14:sizeRelV>
          </wp:anchor>
        </w:drawing>
      </w:r>
      <w:r w:rsidR="00AF7B50">
        <w:br w:type="page"/>
      </w:r>
    </w:p>
    <w:p w14:paraId="00BC1930" w14:textId="723D3BEC" w:rsidR="005E717F" w:rsidRPr="005E717F" w:rsidRDefault="00AF7B50" w:rsidP="00EC0C63">
      <w:pPr>
        <w:pStyle w:val="Heading1"/>
        <w:numPr>
          <w:ilvl w:val="0"/>
          <w:numId w:val="0"/>
        </w:numPr>
        <w:ind w:left="432"/>
      </w:pPr>
      <w:bookmarkStart w:id="4" w:name="_Toc184825939"/>
      <w:bookmarkStart w:id="5" w:name="_Toc184827466"/>
      <w:bookmarkStart w:id="6" w:name="_Toc184897622"/>
      <w:bookmarkStart w:id="7" w:name="_Toc209517816"/>
      <w:r>
        <w:lastRenderedPageBreak/>
        <w:t>Disclaimer</w:t>
      </w:r>
      <w:bookmarkEnd w:id="4"/>
      <w:bookmarkEnd w:id="5"/>
      <w:bookmarkEnd w:id="6"/>
      <w:bookmarkEnd w:id="7"/>
    </w:p>
    <w:p w14:paraId="2D7EE046" w14:textId="4859E131" w:rsidR="005E717F" w:rsidRPr="005E717F" w:rsidRDefault="00AF7B50" w:rsidP="0061125F">
      <w:r>
        <w:rPr>
          <w:noProof/>
        </w:rPr>
        <mc:AlternateContent>
          <mc:Choice Requires="wpg">
            <w:drawing>
              <wp:anchor distT="0" distB="0" distL="114300" distR="114300" simplePos="0" relativeHeight="251658284" behindDoc="0" locked="0" layoutInCell="1" allowOverlap="1" wp14:anchorId="747B1429" wp14:editId="404E6773">
                <wp:simplePos x="0" y="0"/>
                <wp:positionH relativeFrom="column">
                  <wp:posOffset>-40943</wp:posOffset>
                </wp:positionH>
                <wp:positionV relativeFrom="paragraph">
                  <wp:posOffset>89052</wp:posOffset>
                </wp:positionV>
                <wp:extent cx="5809615" cy="4558352"/>
                <wp:effectExtent l="0" t="0" r="635" b="0"/>
                <wp:wrapNone/>
                <wp:docPr id="29533804" name="Group 6" descr="P4#y1"/>
                <wp:cNvGraphicFramePr/>
                <a:graphic xmlns:a="http://schemas.openxmlformats.org/drawingml/2006/main">
                  <a:graphicData uri="http://schemas.microsoft.com/office/word/2010/wordprocessingGroup">
                    <wpg:wgp>
                      <wpg:cNvGrpSpPr/>
                      <wpg:grpSpPr>
                        <a:xfrm>
                          <a:off x="0" y="0"/>
                          <a:ext cx="5809615" cy="4558352"/>
                          <a:chOff x="0" y="0"/>
                          <a:chExt cx="5809698" cy="4558352"/>
                        </a:xfrm>
                        <a:solidFill>
                          <a:srgbClr val="F2EFED"/>
                        </a:solidFill>
                      </wpg:grpSpPr>
                      <wps:wsp>
                        <wps:cNvPr id="1311825583" name="Rectangle: Single Corner Rounded 5"/>
                        <wps:cNvSpPr/>
                        <wps:spPr>
                          <a:xfrm flipV="1">
                            <a:off x="0" y="0"/>
                            <a:ext cx="5809698" cy="4558352"/>
                          </a:xfrm>
                          <a:prstGeom prst="round1Rect">
                            <a:avLst>
                              <a:gd name="adj" fmla="val 23292"/>
                            </a:avLst>
                          </a:prstGeom>
                          <a:gr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AE83E6" w14:textId="1CAA2956" w:rsidR="007E4AD6" w:rsidRPr="001729F2" w:rsidRDefault="007E4AD6" w:rsidP="00611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106310"/>
                            <a:ext cx="5592524" cy="3957954"/>
                          </a:xfrm>
                          <a:prstGeom prst="rect">
                            <a:avLst/>
                          </a:prstGeom>
                          <a:grpFill/>
                          <a:ln w="9525">
                            <a:noFill/>
                            <a:miter lim="800000"/>
                            <a:headEnd/>
                            <a:tailEnd/>
                          </a:ln>
                        </wps:spPr>
                        <wps:txbx>
                          <w:txbxContent>
                            <w:p w14:paraId="15409451" w14:textId="3C563665" w:rsidR="007E4AD6" w:rsidRPr="001729F2" w:rsidRDefault="007E4AD6" w:rsidP="0061125F">
                              <w:r w:rsidRPr="001729F2">
                                <w:t xml:space="preserve">This report is not intended to be read or used by anyone other than </w:t>
                              </w:r>
                              <w:r w:rsidR="00EC2E8F">
                                <w:t>The Independent Health and Aged Care Pricing Authority (IHACPA).</w:t>
                              </w:r>
                            </w:p>
                            <w:p w14:paraId="6986A58A" w14:textId="6C77E2D8" w:rsidR="007E4AD6" w:rsidRPr="001729F2" w:rsidRDefault="007E4AD6" w:rsidP="0061125F">
                              <w:r w:rsidRPr="001729F2">
                                <w:t xml:space="preserve">We prepared this report solely for </w:t>
                              </w:r>
                              <w:r w:rsidR="00EC2E8F">
                                <w:t>IHACPA</w:t>
                              </w:r>
                              <w:r w:rsidRPr="001729F2">
                                <w:t xml:space="preserve">’s use and benefit in accordance with and for the purpose set out in </w:t>
                              </w:r>
                              <w:r>
                                <w:t xml:space="preserve">our </w:t>
                              </w:r>
                              <w:r w:rsidR="00B05815">
                                <w:t xml:space="preserve">order for services </w:t>
                              </w:r>
                              <w:r w:rsidRPr="00D429B5">
                                <w:t xml:space="preserve">with </w:t>
                              </w:r>
                              <w:r w:rsidR="00EC2E8F" w:rsidRPr="00D429B5">
                                <w:t>IHACPA</w:t>
                              </w:r>
                              <w:r w:rsidRPr="00D429B5">
                                <w:t xml:space="preserve"> dated </w:t>
                              </w:r>
                              <w:r w:rsidR="00D429B5" w:rsidRPr="00D429B5">
                                <w:t>May 2025</w:t>
                              </w:r>
                              <w:r w:rsidRPr="00D429B5">
                                <w:t>.</w:t>
                              </w:r>
                              <w:r w:rsidRPr="001729F2">
                                <w:t xml:space="preserve"> In doing so, we acted exclusively for </w:t>
                              </w:r>
                              <w:r w:rsidR="00EC2E8F">
                                <w:t>IHACPA</w:t>
                              </w:r>
                              <w:r w:rsidRPr="001729F2">
                                <w:t xml:space="preserve"> and considered no-one else’s interests.</w:t>
                              </w:r>
                            </w:p>
                            <w:p w14:paraId="6D898F39" w14:textId="77777777" w:rsidR="007E4AD6" w:rsidRPr="001729F2" w:rsidRDefault="007E4AD6" w:rsidP="0061125F">
                              <w:r w:rsidRPr="001729F2">
                                <w:t>We accept no responsibility, duty or liability:</w:t>
                              </w:r>
                            </w:p>
                            <w:p w14:paraId="514873B8" w14:textId="660E2442" w:rsidR="007E4AD6" w:rsidRPr="001729F2" w:rsidRDefault="007E4AD6" w:rsidP="006044E0">
                              <w:pPr>
                                <w:pStyle w:val="ListParagraph"/>
                                <w:numPr>
                                  <w:ilvl w:val="0"/>
                                  <w:numId w:val="1"/>
                                </w:numPr>
                              </w:pPr>
                              <w:r w:rsidRPr="001729F2">
                                <w:t xml:space="preserve">to anyone other than </w:t>
                              </w:r>
                              <w:r w:rsidR="00EC2E8F">
                                <w:t>IHACPA</w:t>
                              </w:r>
                              <w:r w:rsidRPr="001729F2">
                                <w:t xml:space="preserve"> in connection with this report</w:t>
                              </w:r>
                            </w:p>
                            <w:p w14:paraId="638C36FA" w14:textId="766AE38E" w:rsidR="007E4AD6" w:rsidRPr="001729F2" w:rsidRDefault="007E4AD6" w:rsidP="006044E0">
                              <w:pPr>
                                <w:pStyle w:val="ListParagraph"/>
                                <w:numPr>
                                  <w:ilvl w:val="0"/>
                                  <w:numId w:val="1"/>
                                </w:numPr>
                              </w:pPr>
                              <w:r w:rsidRPr="001729F2">
                                <w:t xml:space="preserve">to </w:t>
                              </w:r>
                              <w:r w:rsidR="00EC2E8F">
                                <w:t>IHACPA</w:t>
                              </w:r>
                              <w:r w:rsidRPr="001729F2">
                                <w:t xml:space="preserve"> for the consequences of using or relying on it for a purpose other than that referred to above.</w:t>
                              </w:r>
                            </w:p>
                            <w:p w14:paraId="15260C8F" w14:textId="4E2A3060" w:rsidR="007E4AD6" w:rsidRPr="001729F2" w:rsidRDefault="007E4AD6" w:rsidP="0061125F">
                              <w:r w:rsidRPr="001729F2">
                                <w:t xml:space="preserve">We make no representation concerning the appropriateness of this report for anyone other than </w:t>
                              </w:r>
                              <w:r w:rsidR="00EC2E8F">
                                <w:t>IHACPA</w:t>
                              </w:r>
                              <w:r w:rsidRPr="001729F2">
                                <w:t xml:space="preserve">. If anyone other than </w:t>
                              </w:r>
                              <w:r w:rsidR="00EC2E8F">
                                <w:t xml:space="preserve">IHACPA </w:t>
                              </w:r>
                              <w:r w:rsidRPr="001729F2">
                                <w:t xml:space="preserve">chooses to use or rely on </w:t>
                              </w:r>
                              <w:r w:rsidR="00EC2E8F" w:rsidRPr="001729F2">
                                <w:t>it,</w:t>
                              </w:r>
                              <w:r w:rsidRPr="001729F2">
                                <w:t xml:space="preserve"> they do so at their own risk.</w:t>
                              </w:r>
                            </w:p>
                            <w:p w14:paraId="6FBC8776" w14:textId="77777777" w:rsidR="007E4AD6" w:rsidRPr="001729F2" w:rsidRDefault="007E4AD6" w:rsidP="0061125F">
                              <w:r w:rsidRPr="001729F2">
                                <w:t>This disclaimer applies:</w:t>
                              </w:r>
                            </w:p>
                            <w:p w14:paraId="1DEC9EF7" w14:textId="77777777" w:rsidR="005E0A14" w:rsidRPr="001729F2" w:rsidRDefault="007E4AD6" w:rsidP="006044E0">
                              <w:pPr>
                                <w:pStyle w:val="ListParagraph"/>
                                <w:numPr>
                                  <w:ilvl w:val="0"/>
                                  <w:numId w:val="3"/>
                                </w:numPr>
                              </w:pPr>
                              <w:r w:rsidRPr="001729F2">
                                <w:t>to the maximum extent permitted by law and, without limitation, to liability arising in negligence or under statute; and</w:t>
                              </w:r>
                            </w:p>
                            <w:p w14:paraId="279AEDCE" w14:textId="029475B7" w:rsidR="007E4AD6" w:rsidRPr="001729F2" w:rsidRDefault="007E4AD6" w:rsidP="006044E0">
                              <w:pPr>
                                <w:pStyle w:val="ListParagraph"/>
                                <w:numPr>
                                  <w:ilvl w:val="0"/>
                                  <w:numId w:val="3"/>
                                </w:numPr>
                              </w:pPr>
                              <w:r w:rsidRPr="001729F2">
                                <w:t xml:space="preserve">even if we consent to anyone other than </w:t>
                              </w:r>
                              <w:r w:rsidR="00EC2E8F">
                                <w:t xml:space="preserve">IHACPA </w:t>
                              </w:r>
                              <w:r w:rsidRPr="001729F2">
                                <w:t>receiving or using this report.</w:t>
                              </w:r>
                            </w:p>
                            <w:p w14:paraId="270145B7" w14:textId="11CECCAA" w:rsidR="007E4AD6" w:rsidRPr="001729F2" w:rsidRDefault="007E4AD6" w:rsidP="0061125F">
                              <w:r w:rsidRPr="001729F2">
                                <w:t>Liability limited by a scheme approved under Professional Standards legislation</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47B1429" id="Group 6" o:spid="_x0000_s1027" alt="P4#y1" style="position:absolute;margin-left:-3.2pt;margin-top:7pt;width:457.45pt;height:358.95pt;z-index:251658284;mso-height-relative:margin" coordsize="58096,45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">
                <v:shape id="Rectangle: Single Corner Rounded 5" o:spid="_x0000_s1028" style="position:absolute;width:58096;height:45583;flip:y;visibility:visible;mso-wrap-style:square;v-text-anchor:middle" coordsize="5809698,4558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" adj="-11796480,,5400" path="m,l4747967,v586378,,1061731,475353,1061731,1061731l5809698,4558352,,4558352,,xe" filled="f" stroked="f" strokeweight="1pt">
                  <v:stroke joinstyle="miter"/>
                  <v:formulas/>
                  <v:path arrowok="t" o:connecttype="custom" o:connectlocs="0,0;4747967,0;5809698,1061731;5809698,4558352;0,4558352;0,0" o:connectangles="0,0,0,0,0,0" textboxrect="0,0,5809698,4558352"/>
                  <v:textbox>
                    <w:txbxContent>
                      <w:p w14:paraId="48AE83E6" w14:textId="1CAA2956" w:rsidR="007E4AD6" w:rsidRPr="001729F2" w:rsidRDefault="007E4AD6" w:rsidP="0061125F"/>
                    </w:txbxContent>
                  </v:textbox>
                </v:shape>
                <v:shape id="_x0000_s1029" type="#_x0000_t202" style="position:absolute;top:1063;width:55925;height:39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5409451" w14:textId="3C563665" w:rsidR="007E4AD6" w:rsidRPr="001729F2" w:rsidRDefault="007E4AD6" w:rsidP="0061125F">
                        <w:r w:rsidRPr="001729F2">
                          <w:t xml:space="preserve">This report is not intended to be read or used by anyone other than </w:t>
                        </w:r>
                        <w:r w:rsidR="00EC2E8F">
                          <w:t>The Independent Health and Aged Care Pricing Authority (IHACPA).</w:t>
                        </w:r>
                      </w:p>
                      <w:p w14:paraId="6986A58A" w14:textId="6C77E2D8" w:rsidR="007E4AD6" w:rsidRPr="001729F2" w:rsidRDefault="007E4AD6" w:rsidP="0061125F">
                        <w:r w:rsidRPr="001729F2">
                          <w:t xml:space="preserve">We prepared this report solely for </w:t>
                        </w:r>
                        <w:r w:rsidR="00EC2E8F">
                          <w:t>IHACPA</w:t>
                        </w:r>
                        <w:r w:rsidRPr="001729F2">
                          <w:t xml:space="preserve">’s use and benefit in accordance with and for the purpose set out in </w:t>
                        </w:r>
                        <w:r>
                          <w:t xml:space="preserve">our </w:t>
                        </w:r>
                        <w:r w:rsidR="00B05815">
                          <w:t xml:space="preserve">order for services </w:t>
                        </w:r>
                        <w:r w:rsidRPr="00D429B5">
                          <w:t xml:space="preserve">with </w:t>
                        </w:r>
                        <w:r w:rsidR="00EC2E8F" w:rsidRPr="00D429B5">
                          <w:t>IHACPA</w:t>
                        </w:r>
                        <w:r w:rsidRPr="00D429B5">
                          <w:t xml:space="preserve"> dated </w:t>
                        </w:r>
                        <w:r w:rsidR="00D429B5" w:rsidRPr="00D429B5">
                          <w:t>May 2025</w:t>
                        </w:r>
                        <w:r w:rsidRPr="00D429B5">
                          <w:t>.</w:t>
                        </w:r>
                        <w:r w:rsidRPr="001729F2">
                          <w:t xml:space="preserve"> In doing so, we acted exclusively for </w:t>
                        </w:r>
                        <w:r w:rsidR="00EC2E8F">
                          <w:t>IHACPA</w:t>
                        </w:r>
                        <w:r w:rsidRPr="001729F2">
                          <w:t xml:space="preserve"> and considered no-one else’s interests.</w:t>
                        </w:r>
                      </w:p>
                      <w:p w14:paraId="6D898F39" w14:textId="77777777" w:rsidR="007E4AD6" w:rsidRPr="001729F2" w:rsidRDefault="007E4AD6" w:rsidP="0061125F">
                        <w:r w:rsidRPr="001729F2">
                          <w:t>We accept no responsibility, duty or liability:</w:t>
                        </w:r>
                      </w:p>
                      <w:p w14:paraId="514873B8" w14:textId="660E2442" w:rsidR="007E4AD6" w:rsidRPr="001729F2" w:rsidRDefault="007E4AD6" w:rsidP="006044E0">
                        <w:pPr>
                          <w:pStyle w:val="ListParagraph"/>
                          <w:numPr>
                            <w:ilvl w:val="0"/>
                            <w:numId w:val="1"/>
                          </w:numPr>
                        </w:pPr>
                        <w:r w:rsidRPr="001729F2">
                          <w:t xml:space="preserve">to anyone other than </w:t>
                        </w:r>
                        <w:r w:rsidR="00EC2E8F">
                          <w:t>IHACPA</w:t>
                        </w:r>
                        <w:r w:rsidRPr="001729F2">
                          <w:t xml:space="preserve"> in connection with this report</w:t>
                        </w:r>
                      </w:p>
                      <w:p w14:paraId="638C36FA" w14:textId="766AE38E" w:rsidR="007E4AD6" w:rsidRPr="001729F2" w:rsidRDefault="007E4AD6" w:rsidP="006044E0">
                        <w:pPr>
                          <w:pStyle w:val="ListParagraph"/>
                          <w:numPr>
                            <w:ilvl w:val="0"/>
                            <w:numId w:val="1"/>
                          </w:numPr>
                        </w:pPr>
                        <w:r w:rsidRPr="001729F2">
                          <w:t xml:space="preserve">to </w:t>
                        </w:r>
                        <w:r w:rsidR="00EC2E8F">
                          <w:t>IHACPA</w:t>
                        </w:r>
                        <w:r w:rsidRPr="001729F2">
                          <w:t xml:space="preserve"> for the consequences of using or relying on it for a purpose other than that referred to above.</w:t>
                        </w:r>
                      </w:p>
                      <w:p w14:paraId="15260C8F" w14:textId="4E2A3060" w:rsidR="007E4AD6" w:rsidRPr="001729F2" w:rsidRDefault="007E4AD6" w:rsidP="0061125F">
                        <w:r w:rsidRPr="001729F2">
                          <w:t xml:space="preserve">We make no representation concerning the appropriateness of this report for anyone other than </w:t>
                        </w:r>
                        <w:r w:rsidR="00EC2E8F">
                          <w:t>IHACPA</w:t>
                        </w:r>
                        <w:r w:rsidRPr="001729F2">
                          <w:t xml:space="preserve">. If anyone other than </w:t>
                        </w:r>
                        <w:r w:rsidR="00EC2E8F">
                          <w:t xml:space="preserve">IHACPA </w:t>
                        </w:r>
                        <w:r w:rsidRPr="001729F2">
                          <w:t xml:space="preserve">chooses to use or rely on </w:t>
                        </w:r>
                        <w:r w:rsidR="00EC2E8F" w:rsidRPr="001729F2">
                          <w:t>it,</w:t>
                        </w:r>
                        <w:r w:rsidRPr="001729F2">
                          <w:t xml:space="preserve"> they do so at their own risk.</w:t>
                        </w:r>
                      </w:p>
                      <w:p w14:paraId="6FBC8776" w14:textId="77777777" w:rsidR="007E4AD6" w:rsidRPr="001729F2" w:rsidRDefault="007E4AD6" w:rsidP="0061125F">
                        <w:r w:rsidRPr="001729F2">
                          <w:t>This disclaimer applies:</w:t>
                        </w:r>
                      </w:p>
                      <w:p w14:paraId="1DEC9EF7" w14:textId="77777777" w:rsidR="005E0A14" w:rsidRPr="001729F2" w:rsidRDefault="007E4AD6" w:rsidP="006044E0">
                        <w:pPr>
                          <w:pStyle w:val="ListParagraph"/>
                          <w:numPr>
                            <w:ilvl w:val="0"/>
                            <w:numId w:val="3"/>
                          </w:numPr>
                        </w:pPr>
                        <w:r w:rsidRPr="001729F2">
                          <w:t>to the maximum extent permitted by law and, without limitation, to liability arising in negligence or under statute; and</w:t>
                        </w:r>
                      </w:p>
                      <w:p w14:paraId="279AEDCE" w14:textId="029475B7" w:rsidR="007E4AD6" w:rsidRPr="001729F2" w:rsidRDefault="007E4AD6" w:rsidP="006044E0">
                        <w:pPr>
                          <w:pStyle w:val="ListParagraph"/>
                          <w:numPr>
                            <w:ilvl w:val="0"/>
                            <w:numId w:val="3"/>
                          </w:numPr>
                        </w:pPr>
                        <w:r w:rsidRPr="001729F2">
                          <w:t xml:space="preserve">even if we consent to anyone other than </w:t>
                        </w:r>
                        <w:r w:rsidR="00EC2E8F">
                          <w:t xml:space="preserve">IHACPA </w:t>
                        </w:r>
                        <w:r w:rsidRPr="001729F2">
                          <w:t>receiving or using this report.</w:t>
                        </w:r>
                      </w:p>
                      <w:p w14:paraId="270145B7" w14:textId="11CECCAA" w:rsidR="007E4AD6" w:rsidRPr="001729F2" w:rsidRDefault="007E4AD6" w:rsidP="0061125F">
                        <w:r w:rsidRPr="001729F2">
                          <w:t>Liability limited by a scheme approved under Professional Standards legislation</w:t>
                        </w:r>
                      </w:p>
                    </w:txbxContent>
                  </v:textbox>
                </v:shape>
              </v:group>
            </w:pict>
          </mc:Fallback>
        </mc:AlternateContent>
      </w:r>
    </w:p>
    <w:p w14:paraId="68D95905" w14:textId="28341812" w:rsidR="005E717F" w:rsidRPr="005E717F" w:rsidRDefault="005E717F" w:rsidP="0061125F"/>
    <w:p w14:paraId="25986427" w14:textId="65389FDD" w:rsidR="005E717F" w:rsidRPr="005E717F" w:rsidRDefault="005E717F" w:rsidP="0061125F"/>
    <w:p w14:paraId="5562FE93" w14:textId="77777777" w:rsidR="005E717F" w:rsidRPr="005E717F" w:rsidRDefault="005E717F" w:rsidP="0061125F"/>
    <w:p w14:paraId="4A3E5AF7" w14:textId="77777777" w:rsidR="005E717F" w:rsidRPr="005E717F" w:rsidRDefault="005E717F" w:rsidP="0061125F"/>
    <w:p w14:paraId="5DE49528" w14:textId="77777777" w:rsidR="005E717F" w:rsidRPr="005E717F" w:rsidRDefault="005E717F" w:rsidP="0061125F"/>
    <w:p w14:paraId="63DC3367" w14:textId="77777777" w:rsidR="005E717F" w:rsidRPr="005E717F" w:rsidRDefault="005E717F" w:rsidP="0061125F"/>
    <w:p w14:paraId="32D18B32" w14:textId="77777777" w:rsidR="005E717F" w:rsidRPr="005E717F" w:rsidRDefault="005E717F" w:rsidP="0061125F"/>
    <w:p w14:paraId="4264788A" w14:textId="77777777" w:rsidR="005E717F" w:rsidRPr="005E717F" w:rsidRDefault="005E717F" w:rsidP="0061125F"/>
    <w:p w14:paraId="46B35BD1" w14:textId="77777777" w:rsidR="005E717F" w:rsidRPr="005E717F" w:rsidRDefault="005E717F" w:rsidP="0061125F"/>
    <w:p w14:paraId="5C0EF210" w14:textId="77777777" w:rsidR="005E717F" w:rsidRDefault="005E717F" w:rsidP="0061125F"/>
    <w:p w14:paraId="11923BCB" w14:textId="77777777" w:rsidR="005E717F" w:rsidRDefault="005E717F" w:rsidP="0061125F"/>
    <w:p w14:paraId="24FE464C" w14:textId="01A73C30" w:rsidR="005E717F" w:rsidRDefault="005E717F" w:rsidP="0061125F">
      <w:r>
        <w:tab/>
      </w:r>
    </w:p>
    <w:p w14:paraId="07BCA408" w14:textId="77777777" w:rsidR="005E717F" w:rsidRDefault="005E717F" w:rsidP="0061125F">
      <w:r>
        <w:br w:type="page"/>
      </w:r>
    </w:p>
    <w:bookmarkStart w:id="8" w:name="_Toc209517817" w:displacedByCustomXml="next"/>
    <w:sdt>
      <w:sdtPr>
        <w:rPr>
          <w:rFonts w:ascii="Avenir Next LT Pro" w:eastAsiaTheme="minorEastAsia" w:hAnsi="Avenir Next LT Pro" w:cstheme="minorBidi"/>
          <w:color w:val="484B5D" w:themeColor="accent3"/>
          <w:spacing w:val="0"/>
          <w:kern w:val="0"/>
          <w:sz w:val="20"/>
          <w:szCs w:val="20"/>
          <w:lang w:val="en-US" w:eastAsia="ja-JP"/>
          <w14:ligatures w14:val="none"/>
        </w:rPr>
        <w:id w:val="1538158857"/>
        <w:docPartObj>
          <w:docPartGallery w:val="Table of Contents"/>
          <w:docPartUnique/>
        </w:docPartObj>
      </w:sdtPr>
      <w:sdtEndPr>
        <w:rPr>
          <w:b/>
          <w:bCs/>
          <w:noProof/>
          <w:color w:val="220054" w:themeColor="accent1"/>
          <w:lang w:val="en-AU"/>
        </w:rPr>
      </w:sdtEndPr>
      <w:sdtContent>
        <w:p w14:paraId="02EEBE74" w14:textId="5588DD60" w:rsidR="00623F06" w:rsidRDefault="007129A4" w:rsidP="00EC0C63">
          <w:pPr>
            <w:pStyle w:val="Heading1"/>
            <w:numPr>
              <w:ilvl w:val="0"/>
              <w:numId w:val="0"/>
            </w:numPr>
            <w:ind w:left="432"/>
          </w:pPr>
          <w:r>
            <w:t>T</w:t>
          </w:r>
          <w:r w:rsidR="00623F06">
            <w:t>able of Contents</w:t>
          </w:r>
          <w:bookmarkEnd w:id="8"/>
        </w:p>
        <w:p w14:paraId="6176B9B2" w14:textId="0A8D0390" w:rsidR="003E043B" w:rsidRDefault="00623F06">
          <w:pPr>
            <w:pStyle w:val="TOC1"/>
            <w:rPr>
              <w:rFonts w:asciiTheme="minorHAnsi" w:hAnsiTheme="minorHAnsi"/>
              <w:b w:val="0"/>
              <w:bCs w:val="0"/>
              <w:caps w:val="0"/>
              <w:noProof/>
              <w:color w:val="auto"/>
              <w:kern w:val="2"/>
              <w:lang w:eastAsia="en-AU"/>
              <w14:ligatures w14:val="standardContextual"/>
            </w:rPr>
          </w:pPr>
          <w:r w:rsidRPr="00F362B7">
            <w:rPr>
              <w:color w:val="220054" w:themeColor="accent1"/>
            </w:rPr>
            <w:fldChar w:fldCharType="begin"/>
          </w:r>
          <w:r w:rsidRPr="00F362B7">
            <w:rPr>
              <w:color w:val="220054" w:themeColor="accent1"/>
            </w:rPr>
            <w:instrText xml:space="preserve"> TOC \o "1-1" \h \z \u </w:instrText>
          </w:r>
          <w:r w:rsidRPr="00F362B7">
            <w:rPr>
              <w:color w:val="220054" w:themeColor="accent1"/>
            </w:rPr>
            <w:fldChar w:fldCharType="separate"/>
          </w:r>
          <w:hyperlink w:anchor="_Toc209517816" w:history="1">
            <w:r w:rsidR="003E043B" w:rsidRPr="00094621">
              <w:rPr>
                <w:rStyle w:val="Hyperlink"/>
                <w:noProof/>
              </w:rPr>
              <w:t>Disclaimer</w:t>
            </w:r>
            <w:r w:rsidR="003E043B">
              <w:rPr>
                <w:noProof/>
                <w:webHidden/>
              </w:rPr>
              <w:tab/>
            </w:r>
            <w:r w:rsidR="003E043B">
              <w:rPr>
                <w:noProof/>
                <w:webHidden/>
              </w:rPr>
              <w:fldChar w:fldCharType="begin"/>
            </w:r>
            <w:r w:rsidR="003E043B">
              <w:rPr>
                <w:noProof/>
                <w:webHidden/>
              </w:rPr>
              <w:instrText xml:space="preserve"> PAGEREF _Toc209517816 \h </w:instrText>
            </w:r>
            <w:r w:rsidR="003E043B">
              <w:rPr>
                <w:noProof/>
                <w:webHidden/>
              </w:rPr>
            </w:r>
            <w:r w:rsidR="003E043B">
              <w:rPr>
                <w:noProof/>
                <w:webHidden/>
              </w:rPr>
              <w:fldChar w:fldCharType="separate"/>
            </w:r>
            <w:r w:rsidR="00CE6F96">
              <w:rPr>
                <w:noProof/>
                <w:webHidden/>
              </w:rPr>
              <w:t>2</w:t>
            </w:r>
            <w:r w:rsidR="003E043B">
              <w:rPr>
                <w:noProof/>
                <w:webHidden/>
              </w:rPr>
              <w:fldChar w:fldCharType="end"/>
            </w:r>
          </w:hyperlink>
        </w:p>
        <w:p w14:paraId="22BEC133" w14:textId="630E10D4" w:rsidR="003E043B" w:rsidRDefault="003E043B">
          <w:pPr>
            <w:pStyle w:val="TOC1"/>
            <w:rPr>
              <w:rFonts w:asciiTheme="minorHAnsi" w:hAnsiTheme="minorHAnsi"/>
              <w:b w:val="0"/>
              <w:bCs w:val="0"/>
              <w:caps w:val="0"/>
              <w:noProof/>
              <w:color w:val="auto"/>
              <w:kern w:val="2"/>
              <w:lang w:eastAsia="en-AU"/>
              <w14:ligatures w14:val="standardContextual"/>
            </w:rPr>
          </w:pPr>
          <w:hyperlink w:anchor="_Toc209517817" w:history="1">
            <w:r w:rsidRPr="00094621">
              <w:rPr>
                <w:rStyle w:val="Hyperlink"/>
                <w:noProof/>
              </w:rPr>
              <w:t>Table of Contents</w:t>
            </w:r>
            <w:r>
              <w:rPr>
                <w:noProof/>
                <w:webHidden/>
              </w:rPr>
              <w:tab/>
            </w:r>
            <w:r>
              <w:rPr>
                <w:noProof/>
                <w:webHidden/>
              </w:rPr>
              <w:fldChar w:fldCharType="begin"/>
            </w:r>
            <w:r>
              <w:rPr>
                <w:noProof/>
                <w:webHidden/>
              </w:rPr>
              <w:instrText xml:space="preserve"> PAGEREF _Toc209517817 \h </w:instrText>
            </w:r>
            <w:r>
              <w:rPr>
                <w:noProof/>
                <w:webHidden/>
              </w:rPr>
            </w:r>
            <w:r>
              <w:rPr>
                <w:noProof/>
                <w:webHidden/>
              </w:rPr>
              <w:fldChar w:fldCharType="separate"/>
            </w:r>
            <w:r w:rsidR="00CE6F96">
              <w:rPr>
                <w:noProof/>
                <w:webHidden/>
              </w:rPr>
              <w:t>3</w:t>
            </w:r>
            <w:r>
              <w:rPr>
                <w:noProof/>
                <w:webHidden/>
              </w:rPr>
              <w:fldChar w:fldCharType="end"/>
            </w:r>
          </w:hyperlink>
        </w:p>
        <w:p w14:paraId="0B068BB6" w14:textId="3685A19F" w:rsidR="003E043B" w:rsidRDefault="003E043B">
          <w:pPr>
            <w:pStyle w:val="TOC1"/>
            <w:rPr>
              <w:rFonts w:asciiTheme="minorHAnsi" w:hAnsiTheme="minorHAnsi"/>
              <w:b w:val="0"/>
              <w:bCs w:val="0"/>
              <w:caps w:val="0"/>
              <w:noProof/>
              <w:color w:val="auto"/>
              <w:kern w:val="2"/>
              <w:lang w:eastAsia="en-AU"/>
              <w14:ligatures w14:val="standardContextual"/>
            </w:rPr>
          </w:pPr>
          <w:hyperlink w:anchor="_Toc209517818" w:history="1">
            <w:r w:rsidRPr="00094621">
              <w:rPr>
                <w:rStyle w:val="Hyperlink"/>
                <w:noProof/>
              </w:rPr>
              <w:t>Glossary</w:t>
            </w:r>
            <w:r>
              <w:rPr>
                <w:noProof/>
                <w:webHidden/>
              </w:rPr>
              <w:tab/>
            </w:r>
            <w:r>
              <w:rPr>
                <w:noProof/>
                <w:webHidden/>
              </w:rPr>
              <w:fldChar w:fldCharType="begin"/>
            </w:r>
            <w:r>
              <w:rPr>
                <w:noProof/>
                <w:webHidden/>
              </w:rPr>
              <w:instrText xml:space="preserve"> PAGEREF _Toc209517818 \h </w:instrText>
            </w:r>
            <w:r>
              <w:rPr>
                <w:noProof/>
                <w:webHidden/>
              </w:rPr>
            </w:r>
            <w:r>
              <w:rPr>
                <w:noProof/>
                <w:webHidden/>
              </w:rPr>
              <w:fldChar w:fldCharType="separate"/>
            </w:r>
            <w:r w:rsidR="00CE6F96">
              <w:rPr>
                <w:noProof/>
                <w:webHidden/>
              </w:rPr>
              <w:t>5</w:t>
            </w:r>
            <w:r>
              <w:rPr>
                <w:noProof/>
                <w:webHidden/>
              </w:rPr>
              <w:fldChar w:fldCharType="end"/>
            </w:r>
          </w:hyperlink>
        </w:p>
        <w:p w14:paraId="152A71DA" w14:textId="7DC23510" w:rsidR="003E043B" w:rsidRDefault="003E043B">
          <w:pPr>
            <w:pStyle w:val="TOC1"/>
            <w:tabs>
              <w:tab w:val="left" w:pos="400"/>
            </w:tabs>
            <w:rPr>
              <w:rFonts w:asciiTheme="minorHAnsi" w:hAnsiTheme="minorHAnsi"/>
              <w:b w:val="0"/>
              <w:bCs w:val="0"/>
              <w:caps w:val="0"/>
              <w:noProof/>
              <w:color w:val="auto"/>
              <w:kern w:val="2"/>
              <w:lang w:eastAsia="en-AU"/>
              <w14:ligatures w14:val="standardContextual"/>
            </w:rPr>
          </w:pPr>
          <w:hyperlink w:anchor="_Toc209517819" w:history="1">
            <w:r w:rsidRPr="00094621">
              <w:rPr>
                <w:rStyle w:val="Hyperlink"/>
                <w:noProof/>
              </w:rPr>
              <w:t>1</w:t>
            </w:r>
            <w:r>
              <w:rPr>
                <w:rFonts w:asciiTheme="minorHAnsi" w:hAnsiTheme="minorHAnsi"/>
                <w:b w:val="0"/>
                <w:bCs w:val="0"/>
                <w:caps w:val="0"/>
                <w:noProof/>
                <w:color w:val="auto"/>
                <w:kern w:val="2"/>
                <w:lang w:eastAsia="en-AU"/>
                <w14:ligatures w14:val="standardContextual"/>
              </w:rPr>
              <w:tab/>
            </w:r>
            <w:r w:rsidRPr="00094621">
              <w:rPr>
                <w:rStyle w:val="Hyperlink"/>
                <w:noProof/>
              </w:rPr>
              <w:t>Executive Summary</w:t>
            </w:r>
            <w:r>
              <w:rPr>
                <w:noProof/>
                <w:webHidden/>
              </w:rPr>
              <w:tab/>
            </w:r>
            <w:r>
              <w:rPr>
                <w:noProof/>
                <w:webHidden/>
              </w:rPr>
              <w:fldChar w:fldCharType="begin"/>
            </w:r>
            <w:r>
              <w:rPr>
                <w:noProof/>
                <w:webHidden/>
              </w:rPr>
              <w:instrText xml:space="preserve"> PAGEREF _Toc209517819 \h </w:instrText>
            </w:r>
            <w:r>
              <w:rPr>
                <w:noProof/>
                <w:webHidden/>
              </w:rPr>
            </w:r>
            <w:r>
              <w:rPr>
                <w:noProof/>
                <w:webHidden/>
              </w:rPr>
              <w:fldChar w:fldCharType="separate"/>
            </w:r>
            <w:r w:rsidR="00CE6F96">
              <w:rPr>
                <w:noProof/>
                <w:webHidden/>
              </w:rPr>
              <w:t>8</w:t>
            </w:r>
            <w:r>
              <w:rPr>
                <w:noProof/>
                <w:webHidden/>
              </w:rPr>
              <w:fldChar w:fldCharType="end"/>
            </w:r>
          </w:hyperlink>
        </w:p>
        <w:p w14:paraId="185E7C88" w14:textId="6351CB98" w:rsidR="003E043B" w:rsidRDefault="003E043B">
          <w:pPr>
            <w:pStyle w:val="TOC1"/>
            <w:tabs>
              <w:tab w:val="left" w:pos="400"/>
            </w:tabs>
            <w:rPr>
              <w:rFonts w:asciiTheme="minorHAnsi" w:hAnsiTheme="minorHAnsi"/>
              <w:b w:val="0"/>
              <w:bCs w:val="0"/>
              <w:caps w:val="0"/>
              <w:noProof/>
              <w:color w:val="auto"/>
              <w:kern w:val="2"/>
              <w:lang w:eastAsia="en-AU"/>
              <w14:ligatures w14:val="standardContextual"/>
            </w:rPr>
          </w:pPr>
          <w:hyperlink w:anchor="_Toc209517820" w:history="1">
            <w:r w:rsidRPr="00094621">
              <w:rPr>
                <w:rStyle w:val="Hyperlink"/>
                <w:noProof/>
              </w:rPr>
              <w:t>2</w:t>
            </w:r>
            <w:r>
              <w:rPr>
                <w:rFonts w:asciiTheme="minorHAnsi" w:hAnsiTheme="minorHAnsi"/>
                <w:b w:val="0"/>
                <w:bCs w:val="0"/>
                <w:caps w:val="0"/>
                <w:noProof/>
                <w:color w:val="auto"/>
                <w:kern w:val="2"/>
                <w:lang w:eastAsia="en-AU"/>
                <w14:ligatures w14:val="standardContextual"/>
              </w:rPr>
              <w:tab/>
            </w:r>
            <w:r w:rsidRPr="00094621">
              <w:rPr>
                <w:rStyle w:val="Hyperlink"/>
                <w:noProof/>
              </w:rPr>
              <w:t>Introduction</w:t>
            </w:r>
            <w:r>
              <w:rPr>
                <w:noProof/>
                <w:webHidden/>
              </w:rPr>
              <w:tab/>
            </w:r>
            <w:r>
              <w:rPr>
                <w:noProof/>
                <w:webHidden/>
              </w:rPr>
              <w:fldChar w:fldCharType="begin"/>
            </w:r>
            <w:r>
              <w:rPr>
                <w:noProof/>
                <w:webHidden/>
              </w:rPr>
              <w:instrText xml:space="preserve"> PAGEREF _Toc209517820 \h </w:instrText>
            </w:r>
            <w:r>
              <w:rPr>
                <w:noProof/>
                <w:webHidden/>
              </w:rPr>
            </w:r>
            <w:r>
              <w:rPr>
                <w:noProof/>
                <w:webHidden/>
              </w:rPr>
              <w:fldChar w:fldCharType="separate"/>
            </w:r>
            <w:r w:rsidR="00CE6F96">
              <w:rPr>
                <w:noProof/>
                <w:webHidden/>
              </w:rPr>
              <w:t>14</w:t>
            </w:r>
            <w:r>
              <w:rPr>
                <w:noProof/>
                <w:webHidden/>
              </w:rPr>
              <w:fldChar w:fldCharType="end"/>
            </w:r>
          </w:hyperlink>
        </w:p>
        <w:p w14:paraId="7BDC3A0E" w14:textId="1611B933" w:rsidR="003E043B" w:rsidRDefault="003E043B">
          <w:pPr>
            <w:pStyle w:val="TOC1"/>
            <w:tabs>
              <w:tab w:val="left" w:pos="400"/>
            </w:tabs>
            <w:rPr>
              <w:rFonts w:asciiTheme="minorHAnsi" w:hAnsiTheme="minorHAnsi"/>
              <w:b w:val="0"/>
              <w:bCs w:val="0"/>
              <w:caps w:val="0"/>
              <w:noProof/>
              <w:color w:val="auto"/>
              <w:kern w:val="2"/>
              <w:lang w:eastAsia="en-AU"/>
              <w14:ligatures w14:val="standardContextual"/>
            </w:rPr>
          </w:pPr>
          <w:hyperlink w:anchor="_Toc209517821" w:history="1">
            <w:r w:rsidRPr="00094621">
              <w:rPr>
                <w:rStyle w:val="Hyperlink"/>
                <w:noProof/>
              </w:rPr>
              <w:t>3</w:t>
            </w:r>
            <w:r>
              <w:rPr>
                <w:rFonts w:asciiTheme="minorHAnsi" w:hAnsiTheme="minorHAnsi"/>
                <w:b w:val="0"/>
                <w:bCs w:val="0"/>
                <w:caps w:val="0"/>
                <w:noProof/>
                <w:color w:val="auto"/>
                <w:kern w:val="2"/>
                <w:lang w:eastAsia="en-AU"/>
                <w14:ligatures w14:val="standardContextual"/>
              </w:rPr>
              <w:tab/>
            </w:r>
            <w:r w:rsidRPr="00094621">
              <w:rPr>
                <w:rStyle w:val="Hyperlink"/>
                <w:noProof/>
              </w:rPr>
              <w:t>Cost Driver analysis of the National Hospital Cost Data Collection (NHCDC) 2023-24</w:t>
            </w:r>
            <w:r>
              <w:rPr>
                <w:noProof/>
                <w:webHidden/>
              </w:rPr>
              <w:tab/>
            </w:r>
            <w:r>
              <w:rPr>
                <w:noProof/>
                <w:webHidden/>
              </w:rPr>
              <w:fldChar w:fldCharType="begin"/>
            </w:r>
            <w:r>
              <w:rPr>
                <w:noProof/>
                <w:webHidden/>
              </w:rPr>
              <w:instrText xml:space="preserve"> PAGEREF _Toc209517821 \h </w:instrText>
            </w:r>
            <w:r>
              <w:rPr>
                <w:noProof/>
                <w:webHidden/>
              </w:rPr>
            </w:r>
            <w:r>
              <w:rPr>
                <w:noProof/>
                <w:webHidden/>
              </w:rPr>
              <w:fldChar w:fldCharType="separate"/>
            </w:r>
            <w:r w:rsidR="00CE6F96">
              <w:rPr>
                <w:noProof/>
                <w:webHidden/>
              </w:rPr>
              <w:t>18</w:t>
            </w:r>
            <w:r>
              <w:rPr>
                <w:noProof/>
                <w:webHidden/>
              </w:rPr>
              <w:fldChar w:fldCharType="end"/>
            </w:r>
          </w:hyperlink>
        </w:p>
        <w:p w14:paraId="4AAC2452" w14:textId="67A9C967" w:rsidR="003E043B" w:rsidRDefault="003E043B">
          <w:pPr>
            <w:pStyle w:val="TOC1"/>
            <w:tabs>
              <w:tab w:val="left" w:pos="400"/>
            </w:tabs>
            <w:rPr>
              <w:rFonts w:asciiTheme="minorHAnsi" w:hAnsiTheme="minorHAnsi"/>
              <w:b w:val="0"/>
              <w:bCs w:val="0"/>
              <w:caps w:val="0"/>
              <w:noProof/>
              <w:color w:val="auto"/>
              <w:kern w:val="2"/>
              <w:lang w:eastAsia="en-AU"/>
              <w14:ligatures w14:val="standardContextual"/>
            </w:rPr>
          </w:pPr>
          <w:hyperlink w:anchor="_Toc209517822" w:history="1">
            <w:r w:rsidRPr="00094621">
              <w:rPr>
                <w:rStyle w:val="Hyperlink"/>
                <w:noProof/>
              </w:rPr>
              <w:t>4</w:t>
            </w:r>
            <w:r>
              <w:rPr>
                <w:rFonts w:asciiTheme="minorHAnsi" w:hAnsiTheme="minorHAnsi"/>
                <w:b w:val="0"/>
                <w:bCs w:val="0"/>
                <w:caps w:val="0"/>
                <w:noProof/>
                <w:color w:val="auto"/>
                <w:kern w:val="2"/>
                <w:lang w:eastAsia="en-AU"/>
                <w14:ligatures w14:val="standardContextual"/>
              </w:rPr>
              <w:tab/>
            </w:r>
            <w:r w:rsidRPr="00094621">
              <w:rPr>
                <w:rStyle w:val="Hyperlink"/>
                <w:noProof/>
              </w:rPr>
              <w:t>Key findings &amp; recommendations</w:t>
            </w:r>
            <w:r>
              <w:rPr>
                <w:noProof/>
                <w:webHidden/>
              </w:rPr>
              <w:tab/>
            </w:r>
            <w:r>
              <w:rPr>
                <w:noProof/>
                <w:webHidden/>
              </w:rPr>
              <w:fldChar w:fldCharType="begin"/>
            </w:r>
            <w:r>
              <w:rPr>
                <w:noProof/>
                <w:webHidden/>
              </w:rPr>
              <w:instrText xml:space="preserve"> PAGEREF _Toc209517822 \h </w:instrText>
            </w:r>
            <w:r>
              <w:rPr>
                <w:noProof/>
                <w:webHidden/>
              </w:rPr>
            </w:r>
            <w:r>
              <w:rPr>
                <w:noProof/>
                <w:webHidden/>
              </w:rPr>
              <w:fldChar w:fldCharType="separate"/>
            </w:r>
            <w:r w:rsidR="00CE6F96">
              <w:rPr>
                <w:noProof/>
                <w:webHidden/>
              </w:rPr>
              <w:t>25</w:t>
            </w:r>
            <w:r>
              <w:rPr>
                <w:noProof/>
                <w:webHidden/>
              </w:rPr>
              <w:fldChar w:fldCharType="end"/>
            </w:r>
          </w:hyperlink>
        </w:p>
        <w:p w14:paraId="48FA33BB" w14:textId="5FA44095" w:rsidR="003E043B" w:rsidRDefault="003E043B">
          <w:pPr>
            <w:pStyle w:val="TOC1"/>
            <w:tabs>
              <w:tab w:val="left" w:pos="400"/>
            </w:tabs>
            <w:rPr>
              <w:rFonts w:asciiTheme="minorHAnsi" w:hAnsiTheme="minorHAnsi"/>
              <w:b w:val="0"/>
              <w:bCs w:val="0"/>
              <w:caps w:val="0"/>
              <w:noProof/>
              <w:color w:val="auto"/>
              <w:kern w:val="2"/>
              <w:lang w:eastAsia="en-AU"/>
              <w14:ligatures w14:val="standardContextual"/>
            </w:rPr>
          </w:pPr>
          <w:hyperlink w:anchor="_Toc209517823" w:history="1">
            <w:r w:rsidRPr="00094621">
              <w:rPr>
                <w:rStyle w:val="Hyperlink"/>
                <w:noProof/>
              </w:rPr>
              <w:t>5</w:t>
            </w:r>
            <w:r>
              <w:rPr>
                <w:rFonts w:asciiTheme="minorHAnsi" w:hAnsiTheme="minorHAnsi"/>
                <w:b w:val="0"/>
                <w:bCs w:val="0"/>
                <w:caps w:val="0"/>
                <w:noProof/>
                <w:color w:val="auto"/>
                <w:kern w:val="2"/>
                <w:lang w:eastAsia="en-AU"/>
                <w14:ligatures w14:val="standardContextual"/>
              </w:rPr>
              <w:tab/>
            </w:r>
            <w:r w:rsidRPr="00094621">
              <w:rPr>
                <w:rStyle w:val="Hyperlink"/>
                <w:noProof/>
              </w:rPr>
              <w:t>Jurisdiction chapters</w:t>
            </w:r>
            <w:r>
              <w:rPr>
                <w:noProof/>
                <w:webHidden/>
              </w:rPr>
              <w:tab/>
            </w:r>
            <w:r>
              <w:rPr>
                <w:noProof/>
                <w:webHidden/>
              </w:rPr>
              <w:fldChar w:fldCharType="begin"/>
            </w:r>
            <w:r>
              <w:rPr>
                <w:noProof/>
                <w:webHidden/>
              </w:rPr>
              <w:instrText xml:space="preserve"> PAGEREF _Toc209517823 \h </w:instrText>
            </w:r>
            <w:r>
              <w:rPr>
                <w:noProof/>
                <w:webHidden/>
              </w:rPr>
            </w:r>
            <w:r>
              <w:rPr>
                <w:noProof/>
                <w:webHidden/>
              </w:rPr>
              <w:fldChar w:fldCharType="separate"/>
            </w:r>
            <w:r w:rsidR="00CE6F96">
              <w:rPr>
                <w:noProof/>
                <w:webHidden/>
              </w:rPr>
              <w:t>41</w:t>
            </w:r>
            <w:r>
              <w:rPr>
                <w:noProof/>
                <w:webHidden/>
              </w:rPr>
              <w:fldChar w:fldCharType="end"/>
            </w:r>
          </w:hyperlink>
        </w:p>
        <w:p w14:paraId="419F73E3" w14:textId="4C1F8648" w:rsidR="003E043B" w:rsidRDefault="003E043B">
          <w:pPr>
            <w:pStyle w:val="TOC1"/>
            <w:tabs>
              <w:tab w:val="left" w:pos="400"/>
            </w:tabs>
            <w:rPr>
              <w:rFonts w:asciiTheme="minorHAnsi" w:hAnsiTheme="minorHAnsi"/>
              <w:b w:val="0"/>
              <w:bCs w:val="0"/>
              <w:caps w:val="0"/>
              <w:noProof/>
              <w:color w:val="auto"/>
              <w:kern w:val="2"/>
              <w:lang w:eastAsia="en-AU"/>
              <w14:ligatures w14:val="standardContextual"/>
            </w:rPr>
          </w:pPr>
          <w:hyperlink w:anchor="_Toc209517824" w:history="1">
            <w:r w:rsidRPr="00094621">
              <w:rPr>
                <w:rStyle w:val="Hyperlink"/>
                <w:noProof/>
              </w:rPr>
              <w:t>6</w:t>
            </w:r>
            <w:r>
              <w:rPr>
                <w:rFonts w:asciiTheme="minorHAnsi" w:hAnsiTheme="minorHAnsi"/>
                <w:b w:val="0"/>
                <w:bCs w:val="0"/>
                <w:caps w:val="0"/>
                <w:noProof/>
                <w:color w:val="auto"/>
                <w:kern w:val="2"/>
                <w:lang w:eastAsia="en-AU"/>
                <w14:ligatures w14:val="standardContextual"/>
              </w:rPr>
              <w:tab/>
            </w:r>
            <w:r w:rsidRPr="00094621">
              <w:rPr>
                <w:rStyle w:val="Hyperlink"/>
                <w:noProof/>
              </w:rPr>
              <w:t>Independent Health and Aged Care Pricing Authority (IHACPA) Review</w:t>
            </w:r>
            <w:r>
              <w:rPr>
                <w:noProof/>
                <w:webHidden/>
              </w:rPr>
              <w:tab/>
            </w:r>
            <w:r>
              <w:rPr>
                <w:noProof/>
                <w:webHidden/>
              </w:rPr>
              <w:fldChar w:fldCharType="begin"/>
            </w:r>
            <w:r>
              <w:rPr>
                <w:noProof/>
                <w:webHidden/>
              </w:rPr>
              <w:instrText xml:space="preserve"> PAGEREF _Toc209517824 \h </w:instrText>
            </w:r>
            <w:r>
              <w:rPr>
                <w:noProof/>
                <w:webHidden/>
              </w:rPr>
            </w:r>
            <w:r>
              <w:rPr>
                <w:noProof/>
                <w:webHidden/>
              </w:rPr>
              <w:fldChar w:fldCharType="separate"/>
            </w:r>
            <w:r w:rsidR="00CE6F96">
              <w:rPr>
                <w:noProof/>
                <w:webHidden/>
              </w:rPr>
              <w:t>153</w:t>
            </w:r>
            <w:r>
              <w:rPr>
                <w:noProof/>
                <w:webHidden/>
              </w:rPr>
              <w:fldChar w:fldCharType="end"/>
            </w:r>
          </w:hyperlink>
        </w:p>
        <w:p w14:paraId="1C0D2AC1" w14:textId="1D2D94F9" w:rsidR="00623F06" w:rsidRPr="00F362B7" w:rsidRDefault="00623F06">
          <w:pPr>
            <w:rPr>
              <w:color w:val="220054" w:themeColor="accent1"/>
            </w:rPr>
          </w:pPr>
          <w:r w:rsidRPr="00F362B7">
            <w:rPr>
              <w:rFonts w:asciiTheme="majorHAnsi" w:hAnsiTheme="majorHAnsi"/>
              <w:color w:val="220054" w:themeColor="accent1"/>
              <w:sz w:val="24"/>
              <w:szCs w:val="24"/>
            </w:rPr>
            <w:fldChar w:fldCharType="end"/>
          </w:r>
        </w:p>
      </w:sdtContent>
    </w:sdt>
    <w:p w14:paraId="1A99B365" w14:textId="2969BAA0" w:rsidR="00AF7B50" w:rsidRPr="00F362B7" w:rsidRDefault="00AF7B50" w:rsidP="00AF7B50">
      <w:pPr>
        <w:rPr>
          <w:color w:val="220054" w:themeColor="accent1"/>
          <w:lang w:eastAsia="en-US"/>
        </w:rPr>
      </w:pPr>
    </w:p>
    <w:p w14:paraId="761E1CB3" w14:textId="13C9CB5B" w:rsidR="004715B4" w:rsidRDefault="004715B4" w:rsidP="0061125F">
      <w:r>
        <w:br w:type="page"/>
      </w:r>
    </w:p>
    <w:p w14:paraId="6E01CFCE" w14:textId="6EE8E89E" w:rsidR="004715B4" w:rsidRDefault="006B5097" w:rsidP="0061125F">
      <w:r>
        <w:rPr>
          <w:noProof/>
        </w:rPr>
        <w:lastRenderedPageBreak/>
        <mc:AlternateContent>
          <mc:Choice Requires="wps">
            <w:drawing>
              <wp:anchor distT="0" distB="0" distL="114300" distR="114300" simplePos="0" relativeHeight="251658240" behindDoc="0" locked="0" layoutInCell="1" allowOverlap="1" wp14:anchorId="29514340" wp14:editId="25033342">
                <wp:simplePos x="0" y="0"/>
                <wp:positionH relativeFrom="margin">
                  <wp:posOffset>114300</wp:posOffset>
                </wp:positionH>
                <wp:positionV relativeFrom="margin">
                  <wp:posOffset>2643970</wp:posOffset>
                </wp:positionV>
                <wp:extent cx="4337685" cy="922655"/>
                <wp:effectExtent l="0" t="0" r="0" b="0"/>
                <wp:wrapSquare wrapText="bothSides"/>
                <wp:docPr id="310014656" name="Text Box 163" descr="P31TB15bA#y1"/>
                <wp:cNvGraphicFramePr/>
                <a:graphic xmlns:a="http://schemas.openxmlformats.org/drawingml/2006/main">
                  <a:graphicData uri="http://schemas.microsoft.com/office/word/2010/wordprocessingShape">
                    <wps:wsp>
                      <wps:cNvSpPr txBox="1"/>
                      <wps:spPr>
                        <a:xfrm>
                          <a:off x="0" y="0"/>
                          <a:ext cx="4337685" cy="922655"/>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color w:val="220054" w:themeColor="accent1"/>
                                <w:sz w:val="52"/>
                                <w:szCs w:val="52"/>
                              </w:rPr>
                              <w:alias w:val="Subtitle"/>
                              <w:tag w:val=""/>
                              <w:id w:val="421844912"/>
                              <w:dataBinding w:prefixMappings="xmlns:ns0='http://purl.org/dc/elements/1.1/' xmlns:ns1='http://schemas.openxmlformats.org/package/2006/metadata/core-properties' " w:xpath="/ns1:coreProperties[1]/ns0:subject[1]" w:storeItemID="{6C3C8BC8-F283-45AE-878A-BAB7291924A1}"/>
                              <w:text/>
                            </w:sdtPr>
                            <w:sdtContent>
                              <w:p w14:paraId="2718C4C2" w14:textId="23324D97" w:rsidR="002313D3" w:rsidRPr="001729F2" w:rsidRDefault="00320B4A" w:rsidP="0061125F">
                                <w:pPr>
                                  <w:rPr>
                                    <w:rFonts w:asciiTheme="majorHAnsi" w:hAnsiTheme="majorHAnsi"/>
                                    <w:color w:val="220054" w:themeColor="accent1"/>
                                    <w:sz w:val="52"/>
                                    <w:szCs w:val="52"/>
                                  </w:rPr>
                                </w:pPr>
                                <w:r>
                                  <w:rPr>
                                    <w:rFonts w:asciiTheme="majorHAnsi" w:hAnsiTheme="majorHAnsi"/>
                                    <w:color w:val="220054" w:themeColor="accent1"/>
                                    <w:sz w:val="52"/>
                                    <w:szCs w:val="52"/>
                                  </w:rPr>
                                  <w:t>2023-24</w:t>
                                </w:r>
                              </w:p>
                            </w:sdtContent>
                          </w:sdt>
                          <w:p w14:paraId="7C411393" w14:textId="47133116" w:rsidR="002313D3" w:rsidRPr="001729F2" w:rsidRDefault="00000000" w:rsidP="0061125F">
                            <w:sdt>
                              <w:sdtPr>
                                <w:rPr>
                                  <w:caps/>
                                </w:rPr>
                                <w:alias w:val="Title"/>
                                <w:tag w:val=""/>
                                <w:id w:val="-6821290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32D88">
                                  <w:rPr>
                                    <w:caps/>
                                  </w:rPr>
                                  <w:t>Independent Financial Review of the National Hospital Cost Data Collection</w:t>
                                </w:r>
                              </w:sdtContent>
                            </w:sdt>
                          </w:p>
                          <w:p w14:paraId="6798EB15" w14:textId="77777777" w:rsidR="002313D3" w:rsidRPr="001729F2" w:rsidRDefault="002313D3" w:rsidP="0061125F"/>
                        </w:txbxContent>
                      </wps:txbx>
                      <wps:bodyPr rot="0" spcFirstLastPara="0" vertOverflow="overflow" horzOverflow="overflow" vert="horz" wrap="square" lIns="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514340" id="_x0000_s1030" type="#_x0000_t202" alt="P31TB15bA#y1" style="position:absolute;margin-left:9pt;margin-top:208.2pt;width:341.55pt;height:72.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" filled="f" strokeweight=".5pt">
                <v:stroke opacity="0" joinstyle="round"/>
                <v:textbox inset="0,0,54pt,0">
                  <w:txbxContent>
                    <w:sdt>
                      <w:sdtPr>
                        <w:rPr>
                          <w:rFonts w:asciiTheme="majorHAnsi" w:hAnsiTheme="majorHAnsi"/>
                          <w:color w:val="220054" w:themeColor="accent1"/>
                          <w:sz w:val="52"/>
                          <w:szCs w:val="52"/>
                        </w:rPr>
                        <w:alias w:val="Subtitle"/>
                        <w:tag w:val=""/>
                        <w:id w:val="421844912"/>
                        <w:dataBinding w:prefixMappings="xmlns:ns0='http://purl.org/dc/elements/1.1/' xmlns:ns1='http://schemas.openxmlformats.org/package/2006/metadata/core-properties' " w:xpath="/ns1:coreProperties[1]/ns0:subject[1]" w:storeItemID="{6C3C8BC8-F283-45AE-878A-BAB7291924A1}"/>
                        <w:text/>
                      </w:sdtPr>
                      <w:sdtEndPr/>
                      <w:sdtContent>
                        <w:p w14:paraId="2718C4C2" w14:textId="23324D97" w:rsidR="002313D3" w:rsidRPr="001729F2" w:rsidRDefault="00320B4A" w:rsidP="0061125F">
                          <w:pPr>
                            <w:rPr>
                              <w:rFonts w:asciiTheme="majorHAnsi" w:hAnsiTheme="majorHAnsi"/>
                              <w:color w:val="220054" w:themeColor="accent1"/>
                              <w:sz w:val="52"/>
                              <w:szCs w:val="52"/>
                            </w:rPr>
                          </w:pPr>
                          <w:r>
                            <w:rPr>
                              <w:rFonts w:asciiTheme="majorHAnsi" w:hAnsiTheme="majorHAnsi"/>
                              <w:color w:val="220054" w:themeColor="accent1"/>
                              <w:sz w:val="52"/>
                              <w:szCs w:val="52"/>
                            </w:rPr>
                            <w:t>2023-24</w:t>
                          </w:r>
                        </w:p>
                      </w:sdtContent>
                    </w:sdt>
                    <w:p w14:paraId="7C411393" w14:textId="47133116" w:rsidR="002313D3" w:rsidRPr="001729F2" w:rsidRDefault="00CE6F96" w:rsidP="0061125F">
                      <w:sdt>
                        <w:sdtPr>
                          <w:rPr>
                            <w:caps/>
                          </w:rPr>
                          <w:alias w:val="Title"/>
                          <w:tag w:val=""/>
                          <w:id w:val="-6821290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32D88">
                            <w:rPr>
                              <w:caps/>
                            </w:rPr>
                            <w:t>Independent Financial Review of the National Hospital Cost Data Collection</w:t>
                          </w:r>
                        </w:sdtContent>
                      </w:sdt>
                    </w:p>
                    <w:p w14:paraId="6798EB15" w14:textId="77777777" w:rsidR="002313D3" w:rsidRPr="001729F2" w:rsidRDefault="002313D3" w:rsidP="0061125F"/>
                  </w:txbxContent>
                </v:textbox>
                <w10:wrap type="square" anchorx="margin" anchory="margin"/>
              </v:shape>
            </w:pict>
          </mc:Fallback>
        </mc:AlternateContent>
      </w:r>
      <w:r w:rsidR="00167A08">
        <w:rPr>
          <w:noProof/>
        </w:rPr>
        <w:drawing>
          <wp:anchor distT="0" distB="0" distL="114300" distR="114300" simplePos="0" relativeHeight="251658285" behindDoc="1" locked="0" layoutInCell="1" allowOverlap="1" wp14:anchorId="6C99036F" wp14:editId="2A3FA797">
            <wp:simplePos x="0" y="0"/>
            <wp:positionH relativeFrom="column">
              <wp:posOffset>-933450</wp:posOffset>
            </wp:positionH>
            <wp:positionV relativeFrom="paragraph">
              <wp:posOffset>-931857</wp:posOffset>
            </wp:positionV>
            <wp:extent cx="7564983" cy="10705465"/>
            <wp:effectExtent l="0" t="0" r="0" b="635"/>
            <wp:wrapNone/>
            <wp:docPr id="2041060914" name="Picture 7" descr="P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0914" name="Picture 7" descr="P31#y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4983" cy="10705465"/>
                    </a:xfrm>
                    <a:prstGeom prst="rect">
                      <a:avLst/>
                    </a:prstGeom>
                  </pic:spPr>
                </pic:pic>
              </a:graphicData>
            </a:graphic>
            <wp14:sizeRelH relativeFrom="margin">
              <wp14:pctWidth>0</wp14:pctWidth>
            </wp14:sizeRelH>
            <wp14:sizeRelV relativeFrom="margin">
              <wp14:pctHeight>0</wp14:pctHeight>
            </wp14:sizeRelV>
          </wp:anchor>
        </w:drawing>
      </w:r>
      <w:r w:rsidR="004715B4">
        <w:br w:type="page"/>
      </w:r>
    </w:p>
    <w:p w14:paraId="4F83B371" w14:textId="77777777" w:rsidR="00D20A8B" w:rsidRDefault="00D20A8B" w:rsidP="00EC0C63">
      <w:pPr>
        <w:pStyle w:val="Heading1"/>
        <w:numPr>
          <w:ilvl w:val="0"/>
          <w:numId w:val="0"/>
        </w:numPr>
        <w:ind w:left="432"/>
      </w:pPr>
      <w:bookmarkStart w:id="9" w:name="_Toc209517818"/>
      <w:r>
        <w:lastRenderedPageBreak/>
        <w:t>Glossary</w:t>
      </w:r>
      <w:bookmarkEnd w:id="9"/>
    </w:p>
    <w:p w14:paraId="28327AA5" w14:textId="77777777" w:rsidR="005C56EE" w:rsidRDefault="005C56EE" w:rsidP="005C56EE">
      <w:bookmarkStart w:id="10" w:name="_Hlk184814470"/>
    </w:p>
    <w:tbl>
      <w:tblPr>
        <w:tblStyle w:val="ScyneTable"/>
        <w:tblW w:w="4971" w:type="pct"/>
        <w:tblInd w:w="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28" w:type="dxa"/>
          <w:bottom w:w="28" w:type="dxa"/>
        </w:tblCellMar>
        <w:tblLook w:val="06E0" w:firstRow="1" w:lastRow="1" w:firstColumn="1" w:lastColumn="0" w:noHBand="1" w:noVBand="1"/>
      </w:tblPr>
      <w:tblGrid>
        <w:gridCol w:w="2511"/>
        <w:gridCol w:w="6463"/>
      </w:tblGrid>
      <w:tr w:rsidR="00F467D6" w:rsidRPr="00F0724D" w14:paraId="27FEFE5E" w14:textId="77777777" w:rsidTr="00DC7947">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399"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3397D872" w14:textId="057556CC" w:rsidR="005C56EE" w:rsidRPr="00F0724D" w:rsidRDefault="005C56EE">
            <w:pPr>
              <w:pStyle w:val="TableNormalColumnHeading"/>
              <w:spacing w:before="0" w:after="0"/>
              <w:rPr>
                <w:rFonts w:ascii="Avenir Next LT Pro Demi" w:hAnsi="Avenir Next LT Pro Demi"/>
                <w:snapToGrid/>
                <w:sz w:val="20"/>
                <w:lang w:eastAsia="en-AU"/>
              </w:rPr>
            </w:pPr>
            <w:r>
              <w:rPr>
                <w:rFonts w:ascii="Avenir Next LT Pro Demi" w:hAnsi="Avenir Next LT Pro Demi"/>
                <w:b w:val="0"/>
                <w:bCs/>
                <w:sz w:val="20"/>
              </w:rPr>
              <w:t>Term</w:t>
            </w:r>
          </w:p>
        </w:tc>
        <w:tc>
          <w:tcPr>
            <w:tcW w:w="3601"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63575259" w14:textId="14D76967" w:rsidR="005C56EE" w:rsidRPr="00F0724D" w:rsidRDefault="005C56EE">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Pr>
                <w:rFonts w:ascii="Avenir Next LT Pro Demi" w:hAnsi="Avenir Next LT Pro Demi"/>
                <w:b w:val="0"/>
                <w:bCs/>
                <w:sz w:val="20"/>
              </w:rPr>
              <w:t>Definition</w:t>
            </w:r>
          </w:p>
        </w:tc>
      </w:tr>
      <w:tr w:rsidR="007B1AC6" w:rsidRPr="00F0724D" w14:paraId="1EAEEC65"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C713469" w14:textId="7894E6AB" w:rsidR="000B762B" w:rsidRPr="00F0724D" w:rsidRDefault="000B762B" w:rsidP="000B762B">
            <w:r w:rsidRPr="00A0158E">
              <w:t>ABF</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CD83D27" w14:textId="03621BD2"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rPr>
                <w:color w:val="44546A" w:themeColor="text2"/>
              </w:rPr>
            </w:pPr>
            <w:r w:rsidRPr="00A0158E">
              <w:t>Activity Based Funded</w:t>
            </w:r>
          </w:p>
        </w:tc>
      </w:tr>
      <w:tr w:rsidR="007B1AC6" w:rsidRPr="00F0724D" w14:paraId="2EE11D0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93D341D" w14:textId="6DD1F59C" w:rsidR="00AB61BF" w:rsidRPr="00A0158E" w:rsidRDefault="00AB61BF" w:rsidP="000B762B">
            <w:r>
              <w:t>ACT</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C053578" w14:textId="0C298A76" w:rsidR="00AB61BF" w:rsidRPr="00A0158E" w:rsidRDefault="00AB61BF" w:rsidP="000B762B">
            <w:pPr>
              <w:cnfStyle w:val="000000000000" w:firstRow="0" w:lastRow="0" w:firstColumn="0" w:lastColumn="0" w:oddVBand="0" w:evenVBand="0" w:oddHBand="0" w:evenHBand="0" w:firstRowFirstColumn="0" w:firstRowLastColumn="0" w:lastRowFirstColumn="0" w:lastRowLastColumn="0"/>
            </w:pPr>
            <w:r>
              <w:t>Australian Capital Territory</w:t>
            </w:r>
          </w:p>
        </w:tc>
      </w:tr>
      <w:tr w:rsidR="007B1AC6" w:rsidRPr="00F0724D" w14:paraId="74D453C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2CACCEA" w14:textId="155CD546" w:rsidR="00E03E92" w:rsidRPr="0012716D" w:rsidRDefault="00E03E92" w:rsidP="000B762B">
            <w:r w:rsidRPr="0012716D">
              <w:t>AHPCS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923FE01" w14:textId="5668C247" w:rsidR="00E03E92" w:rsidRPr="0012716D" w:rsidRDefault="00E03E92" w:rsidP="000B762B">
            <w:pPr>
              <w:cnfStyle w:val="000000000000" w:firstRow="0" w:lastRow="0" w:firstColumn="0" w:lastColumn="0" w:oddVBand="0" w:evenVBand="0" w:oddHBand="0" w:evenHBand="0" w:firstRowFirstColumn="0" w:firstRowLastColumn="0" w:lastRowFirstColumn="0" w:lastRowLastColumn="0"/>
            </w:pPr>
            <w:r w:rsidRPr="0012716D">
              <w:t>Australian Hospital Patient Costing Standards</w:t>
            </w:r>
          </w:p>
        </w:tc>
      </w:tr>
      <w:tr w:rsidR="007B1AC6" w:rsidRPr="00F0724D" w14:paraId="27B02F4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A3616F1" w14:textId="42590A25" w:rsidR="000B762B" w:rsidRPr="00F0724D" w:rsidRDefault="004E4B55" w:rsidP="000B762B">
            <w:r w:rsidRPr="0012716D">
              <w:t>AICU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81AD027" w14:textId="1B0DA5D8"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Adult Intensive Care Unit</w:t>
            </w:r>
            <w:r w:rsidR="00854C47">
              <w:t xml:space="preserve"> (NHCDC Cost Centre)</w:t>
            </w:r>
          </w:p>
        </w:tc>
      </w:tr>
      <w:tr w:rsidR="007B1AC6" w:rsidRPr="00F0724D" w14:paraId="5987BB52"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39485D2" w14:textId="6E6D008F" w:rsidR="00064C73" w:rsidRPr="0012716D" w:rsidRDefault="00064C73" w:rsidP="000B762B">
            <w:r w:rsidRPr="0012716D">
              <w:t>AIN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3DE7DAB" w14:textId="375B6B6A" w:rsidR="00064C73" w:rsidRPr="0012716D" w:rsidRDefault="00064C73" w:rsidP="000B762B">
            <w:pPr>
              <w:cnfStyle w:val="000000000000" w:firstRow="0" w:lastRow="0" w:firstColumn="0" w:lastColumn="0" w:oddVBand="0" w:evenVBand="0" w:oddHBand="0" w:evenHBand="0" w:firstRowFirstColumn="0" w:firstRowLastColumn="0" w:lastRowFirstColumn="0" w:lastRowLastColumn="0"/>
            </w:pPr>
            <w:r w:rsidRPr="0012716D">
              <w:t>Assistant in Nursing</w:t>
            </w:r>
          </w:p>
        </w:tc>
      </w:tr>
      <w:tr w:rsidR="007B1AC6" w:rsidRPr="00F0724D" w14:paraId="1D7EABC0"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29FBC1C" w14:textId="65A58B13" w:rsidR="00D97F3C" w:rsidRPr="0012716D" w:rsidRDefault="00D97F3C" w:rsidP="000B762B">
            <w:r w:rsidRPr="0012716D">
              <w:t>AMHCC</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5007469" w14:textId="6F1E344A" w:rsidR="00D97F3C" w:rsidRPr="0012716D" w:rsidRDefault="00F67854" w:rsidP="000B762B">
            <w:pPr>
              <w:cnfStyle w:val="000000000000" w:firstRow="0" w:lastRow="0" w:firstColumn="0" w:lastColumn="0" w:oddVBand="0" w:evenVBand="0" w:oddHBand="0" w:evenHBand="0" w:firstRowFirstColumn="0" w:firstRowLastColumn="0" w:lastRowFirstColumn="0" w:lastRowLastColumn="0"/>
            </w:pPr>
            <w:r>
              <w:t>Australian Mental Health Care Classification</w:t>
            </w:r>
          </w:p>
        </w:tc>
      </w:tr>
      <w:tr w:rsidR="007B1AC6" w:rsidRPr="00F0724D" w14:paraId="02748489"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57B10A0" w14:textId="489A04AD" w:rsidR="000B762B" w:rsidRPr="00F0724D" w:rsidRDefault="000B762B" w:rsidP="000B762B">
            <w:r w:rsidRPr="00A0158E">
              <w:t>C</w:t>
            </w:r>
            <w:r w:rsidR="00901258">
              <w:t>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D398372" w14:textId="7327DE56"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Coronary Care Unit</w:t>
            </w:r>
            <w:r w:rsidR="00DD1FEB">
              <w:t xml:space="preserve"> (NHCDC Cost Centre)</w:t>
            </w:r>
          </w:p>
        </w:tc>
      </w:tr>
      <w:tr w:rsidR="007B1AC6" w:rsidRPr="00F0724D" w14:paraId="729EC09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DA8E284" w14:textId="7FB8BF15" w:rsidR="00CB6383" w:rsidRPr="0012716D" w:rsidRDefault="00CB6383" w:rsidP="000B762B">
            <w:r w:rsidRPr="0012716D">
              <w:t>CNC</w:t>
            </w:r>
            <w:r w:rsidR="009E1CB8">
              <w:t xml:space="preserve"> / CNE</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306B01A" w14:textId="439CAEC1" w:rsidR="00CB6383" w:rsidRPr="0012716D" w:rsidRDefault="00CB6383" w:rsidP="000B762B">
            <w:pPr>
              <w:cnfStyle w:val="000000000000" w:firstRow="0" w:lastRow="0" w:firstColumn="0" w:lastColumn="0" w:oddVBand="0" w:evenVBand="0" w:oddHBand="0" w:evenHBand="0" w:firstRowFirstColumn="0" w:firstRowLastColumn="0" w:lastRowFirstColumn="0" w:lastRowLastColumn="0"/>
            </w:pPr>
            <w:r w:rsidRPr="0012716D">
              <w:t>Clinical Nurse Consultant</w:t>
            </w:r>
            <w:r w:rsidR="009E1CB8">
              <w:t xml:space="preserve"> / Educator</w:t>
            </w:r>
          </w:p>
        </w:tc>
      </w:tr>
      <w:tr w:rsidR="007B1AC6" w:rsidRPr="00F0724D" w14:paraId="7521ABE9"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54D9FBE" w14:textId="18BF3520" w:rsidR="00CB6383" w:rsidRPr="0012716D" w:rsidRDefault="000A492C" w:rsidP="000B762B">
            <w:r w:rsidRPr="0012716D">
              <w:t>CPAP</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DF618C9" w14:textId="06A8CFFF" w:rsidR="00CB6383" w:rsidRPr="0012716D" w:rsidRDefault="000A492C" w:rsidP="000B762B">
            <w:pPr>
              <w:cnfStyle w:val="000000000000" w:firstRow="0" w:lastRow="0" w:firstColumn="0" w:lastColumn="0" w:oddVBand="0" w:evenVBand="0" w:oddHBand="0" w:evenHBand="0" w:firstRowFirstColumn="0" w:firstRowLastColumn="0" w:lastRowFirstColumn="0" w:lastRowLastColumn="0"/>
            </w:pPr>
            <w:r w:rsidRPr="0012716D">
              <w:t>Continuous positive airway pressure</w:t>
            </w:r>
          </w:p>
        </w:tc>
      </w:tr>
      <w:tr w:rsidR="007B1AC6" w:rsidRPr="00F0724D" w14:paraId="04A3003F"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25E719D" w14:textId="18C88E39" w:rsidR="00160F26" w:rsidRPr="00A0158E" w:rsidRDefault="00160F26" w:rsidP="000B762B">
            <w:r>
              <w:t>Cticu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C397DFC" w14:textId="32B8C0BC" w:rsidR="00160F26" w:rsidRPr="00A0158E" w:rsidRDefault="00765022" w:rsidP="000B762B">
            <w:pPr>
              <w:cnfStyle w:val="000000000000" w:firstRow="0" w:lastRow="0" w:firstColumn="0" w:lastColumn="0" w:oddVBand="0" w:evenVBand="0" w:oddHBand="0" w:evenHBand="0" w:firstRowFirstColumn="0" w:firstRowLastColumn="0" w:lastRowFirstColumn="0" w:lastRowLastColumn="0"/>
            </w:pPr>
            <w:r w:rsidRPr="00765022">
              <w:t>Cardiothoracic Intensive Care Unit</w:t>
            </w:r>
            <w:r w:rsidR="00DD1FEB">
              <w:t xml:space="preserve"> (NHCDC Cost Centre)</w:t>
            </w:r>
          </w:p>
        </w:tc>
      </w:tr>
      <w:tr w:rsidR="007B1AC6" w:rsidRPr="00F0724D" w14:paraId="54D99771"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7206455" w14:textId="651824F1" w:rsidR="00C62DD4" w:rsidRPr="0012716D" w:rsidRDefault="00C62DD4" w:rsidP="000B762B">
            <w:r w:rsidRPr="0012716D">
              <w:t>DHR</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0B61893" w14:textId="3871A0A5" w:rsidR="00C62DD4" w:rsidRPr="0012716D" w:rsidRDefault="00C62DD4" w:rsidP="000B762B">
            <w:pPr>
              <w:cnfStyle w:val="000000000000" w:firstRow="0" w:lastRow="0" w:firstColumn="0" w:lastColumn="0" w:oddVBand="0" w:evenVBand="0" w:oddHBand="0" w:evenHBand="0" w:firstRowFirstColumn="0" w:firstRowLastColumn="0" w:lastRowFirstColumn="0" w:lastRowLastColumn="0"/>
            </w:pPr>
            <w:r w:rsidRPr="0012716D">
              <w:t>Digital Health Record</w:t>
            </w:r>
          </w:p>
        </w:tc>
      </w:tr>
      <w:tr w:rsidR="007B1AC6" w:rsidRPr="00F0724D" w14:paraId="3F5AA72C"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2D86964" w14:textId="0F97038A" w:rsidR="006B0296" w:rsidRPr="0012716D" w:rsidRDefault="006B0296" w:rsidP="000B762B">
            <w:r w:rsidRPr="0012716D">
              <w:t>DNA</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350019C" w14:textId="0F7C0121" w:rsidR="006B0296" w:rsidRPr="0012716D" w:rsidRDefault="006B0296" w:rsidP="000B762B">
            <w:pPr>
              <w:cnfStyle w:val="000000000000" w:firstRow="0" w:lastRow="0" w:firstColumn="0" w:lastColumn="0" w:oddVBand="0" w:evenVBand="0" w:oddHBand="0" w:evenHBand="0" w:firstRowFirstColumn="0" w:firstRowLastColumn="0" w:lastRowFirstColumn="0" w:lastRowLastColumn="0"/>
            </w:pPr>
            <w:r w:rsidRPr="0012716D">
              <w:t>Do Not Attend</w:t>
            </w:r>
          </w:p>
        </w:tc>
      </w:tr>
      <w:tr w:rsidR="007B1AC6" w:rsidRPr="00F0724D" w14:paraId="68967921"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28CBE89" w14:textId="6FFBA985" w:rsidR="000B762B" w:rsidRPr="00F0724D" w:rsidRDefault="000B762B" w:rsidP="000B762B">
            <w:r w:rsidRPr="00A0158E">
              <w:t>DoH</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C767C96" w14:textId="24A343F0"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Department of Health</w:t>
            </w:r>
          </w:p>
        </w:tc>
      </w:tr>
      <w:tr w:rsidR="007B1AC6" w:rsidRPr="00F0724D" w14:paraId="6F94025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5410719" w14:textId="267201F7" w:rsidR="000B762B" w:rsidRPr="00F0724D" w:rsidRDefault="000B762B" w:rsidP="000B762B">
            <w:r w:rsidRPr="00A0158E">
              <w:t>DQS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ABA13BD" w14:textId="3D7D4EA1"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Data </w:t>
            </w:r>
            <w:r w:rsidR="00DF272F">
              <w:t>Q</w:t>
            </w:r>
            <w:r w:rsidRPr="00A0158E">
              <w:t xml:space="preserve">uality </w:t>
            </w:r>
            <w:r w:rsidR="00DF272F">
              <w:t>S</w:t>
            </w:r>
            <w:r w:rsidRPr="00A0158E">
              <w:t>tatement</w:t>
            </w:r>
          </w:p>
        </w:tc>
      </w:tr>
      <w:tr w:rsidR="007B1AC6" w:rsidRPr="00F0724D" w14:paraId="55EC770D"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2078D6D" w14:textId="798204E9" w:rsidR="000B762B" w:rsidRPr="00F0724D" w:rsidRDefault="000B762B" w:rsidP="000B762B">
            <w:r w:rsidRPr="00A0158E">
              <w:t>DRG</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6C95C72" w14:textId="4A96AB97"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Diagnostic </w:t>
            </w:r>
            <w:r w:rsidR="005C3C5C">
              <w:t>r</w:t>
            </w:r>
            <w:r w:rsidRPr="00A0158E">
              <w:t xml:space="preserve">elated </w:t>
            </w:r>
            <w:r w:rsidR="005C3C5C">
              <w:t>g</w:t>
            </w:r>
            <w:r w:rsidRPr="00A0158E">
              <w:t xml:space="preserve">roup </w:t>
            </w:r>
          </w:p>
        </w:tc>
      </w:tr>
      <w:tr w:rsidR="007B1AC6" w:rsidRPr="00F0724D" w14:paraId="2100652B"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5AF347C" w14:textId="745DEF48" w:rsidR="00BB1701" w:rsidRPr="00A0158E" w:rsidRDefault="00BB1701" w:rsidP="000B762B">
            <w:r>
              <w:t>DRS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D7D750E" w14:textId="0646376A" w:rsidR="00BB1701" w:rsidRPr="00A0158E" w:rsidRDefault="00BB1701" w:rsidP="000B762B">
            <w:pPr>
              <w:cnfStyle w:val="000000000000" w:firstRow="0" w:lastRow="0" w:firstColumn="0" w:lastColumn="0" w:oddVBand="0" w:evenVBand="0" w:oddHBand="0" w:evenHBand="0" w:firstRowFirstColumn="0" w:firstRowLastColumn="0" w:lastRowFirstColumn="0" w:lastRowLastColumn="0"/>
            </w:pPr>
            <w:r>
              <w:t xml:space="preserve">Data Request </w:t>
            </w:r>
            <w:r w:rsidRPr="0012716D">
              <w:t>Specification</w:t>
            </w:r>
          </w:p>
        </w:tc>
      </w:tr>
      <w:tr w:rsidR="007B1AC6" w:rsidRPr="00F0724D" w14:paraId="71EDB9CA"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9F37ED1" w14:textId="76D94DE8" w:rsidR="000B762B" w:rsidRPr="00F0724D" w:rsidRDefault="000B762B" w:rsidP="000B762B">
            <w:r w:rsidRPr="00A0158E">
              <w:t>EBA</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D5506AB" w14:textId="098EACC7"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Enterprise bargaining agreement</w:t>
            </w:r>
          </w:p>
        </w:tc>
      </w:tr>
      <w:tr w:rsidR="007B1AC6" w:rsidRPr="00F0724D" w14:paraId="5F96EC0B"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176FDE3" w14:textId="41870C8F" w:rsidR="000B762B" w:rsidRPr="00F0724D" w:rsidRDefault="000B762B" w:rsidP="000B762B">
            <w:r w:rsidRPr="00A0158E">
              <w:t>ECMO</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CF6B552" w14:textId="74F9A19D"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Extracorporeal Membrane Oxygenation</w:t>
            </w:r>
          </w:p>
        </w:tc>
      </w:tr>
      <w:tr w:rsidR="007B1AC6" w:rsidRPr="00F0724D" w14:paraId="6BD0D988"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5075DB2" w14:textId="27B9F1CF" w:rsidR="000B762B" w:rsidRPr="00F0724D" w:rsidRDefault="000B762B" w:rsidP="000B762B">
            <w:r w:rsidRPr="00A0158E">
              <w:t>ED</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6A24F82" w14:textId="237E49B9"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Emergency department</w:t>
            </w:r>
          </w:p>
        </w:tc>
      </w:tr>
      <w:tr w:rsidR="007B1AC6" w:rsidRPr="00F0724D" w14:paraId="23E080DA"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5BC43E5" w14:textId="5447CB9D" w:rsidR="004079DE" w:rsidRPr="0012716D" w:rsidRDefault="004079DE" w:rsidP="000B762B">
            <w:r w:rsidRPr="0012716D">
              <w:t>EDW</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2856E2D" w14:textId="47134884" w:rsidR="004079DE" w:rsidRPr="0012716D" w:rsidRDefault="004079DE" w:rsidP="000B762B">
            <w:pPr>
              <w:cnfStyle w:val="000000000000" w:firstRow="0" w:lastRow="0" w:firstColumn="0" w:lastColumn="0" w:oddVBand="0" w:evenVBand="0" w:oddHBand="0" w:evenHBand="0" w:firstRowFirstColumn="0" w:firstRowLastColumn="0" w:lastRowFirstColumn="0" w:lastRowLastColumn="0"/>
            </w:pPr>
            <w:r w:rsidRPr="0012716D">
              <w:t>Enterprise Data Warehouse</w:t>
            </w:r>
          </w:p>
        </w:tc>
      </w:tr>
      <w:tr w:rsidR="007B1AC6" w:rsidRPr="00F0724D" w14:paraId="59BFD37B"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05E0B2B" w14:textId="3EDF0889" w:rsidR="000B762B" w:rsidRPr="00F0724D" w:rsidRDefault="000B762B" w:rsidP="000B762B">
            <w:r w:rsidRPr="00A0158E">
              <w:t>eMR</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2DF40A5" w14:textId="06E0041E"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Electronic medical record </w:t>
            </w:r>
          </w:p>
        </w:tc>
      </w:tr>
      <w:tr w:rsidR="007B1AC6" w:rsidRPr="00F0724D" w14:paraId="7101541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195958F" w14:textId="2B45A47D" w:rsidR="00150BCA" w:rsidRPr="0012716D" w:rsidRDefault="00150BCA" w:rsidP="000B762B">
            <w:r w:rsidRPr="0012716D">
              <w:t>EN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2974A12" w14:textId="1597859B" w:rsidR="00150BCA" w:rsidRPr="0012716D" w:rsidRDefault="00150BCA" w:rsidP="000B762B">
            <w:pPr>
              <w:cnfStyle w:val="000000000000" w:firstRow="0" w:lastRow="0" w:firstColumn="0" w:lastColumn="0" w:oddVBand="0" w:evenVBand="0" w:oddHBand="0" w:evenHBand="0" w:firstRowFirstColumn="0" w:firstRowLastColumn="0" w:lastRowFirstColumn="0" w:lastRowLastColumn="0"/>
            </w:pPr>
            <w:r w:rsidRPr="0012716D">
              <w:t>Enrolled nurse</w:t>
            </w:r>
          </w:p>
        </w:tc>
      </w:tr>
      <w:tr w:rsidR="007B1AC6" w:rsidRPr="00F0724D" w14:paraId="187E24B8"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D041269" w14:textId="0E132C41" w:rsidR="00391760" w:rsidRPr="0012716D" w:rsidRDefault="00391760" w:rsidP="000B762B">
            <w:r w:rsidRPr="0012716D">
              <w:t>ETL</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04314B5" w14:textId="51266FB4" w:rsidR="00391760" w:rsidRPr="0012716D" w:rsidRDefault="00391760" w:rsidP="000B762B">
            <w:pPr>
              <w:cnfStyle w:val="000000000000" w:firstRow="0" w:lastRow="0" w:firstColumn="0" w:lastColumn="0" w:oddVBand="0" w:evenVBand="0" w:oddHBand="0" w:evenHBand="0" w:firstRowFirstColumn="0" w:firstRowLastColumn="0" w:lastRowFirstColumn="0" w:lastRowLastColumn="0"/>
            </w:pPr>
            <w:r w:rsidRPr="0012716D">
              <w:t>Extract, Transform, Load</w:t>
            </w:r>
          </w:p>
        </w:tc>
      </w:tr>
      <w:tr w:rsidR="007B1AC6" w:rsidRPr="00F0724D" w14:paraId="21D78D86"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36078AE" w14:textId="69C3AAED" w:rsidR="000B762B" w:rsidRPr="00F0724D" w:rsidRDefault="000B762B" w:rsidP="000B762B">
            <w:r w:rsidRPr="00A0158E">
              <w:t>FTE</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7026488" w14:textId="39E6E296"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Full</w:t>
            </w:r>
            <w:r w:rsidR="00C42CB1">
              <w:t>-</w:t>
            </w:r>
            <w:r w:rsidRPr="00A0158E">
              <w:t xml:space="preserve">time equivalent </w:t>
            </w:r>
          </w:p>
        </w:tc>
      </w:tr>
      <w:tr w:rsidR="007B1AC6" w:rsidRPr="00F0724D" w14:paraId="35A5F060"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4F9BFD1" w14:textId="25AF6CD6" w:rsidR="00160F26" w:rsidRPr="00A0158E" w:rsidRDefault="00160F26" w:rsidP="000B762B">
            <w:r>
              <w:t>Gencritcare</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C409BCD" w14:textId="3FDD001C" w:rsidR="00160F26" w:rsidRPr="00A0158E" w:rsidRDefault="0080752B" w:rsidP="000B762B">
            <w:pPr>
              <w:cnfStyle w:val="000000000000" w:firstRow="0" w:lastRow="0" w:firstColumn="0" w:lastColumn="0" w:oddVBand="0" w:evenVBand="0" w:oddHBand="0" w:evenHBand="0" w:firstRowFirstColumn="0" w:firstRowLastColumn="0" w:lastRowFirstColumn="0" w:lastRowLastColumn="0"/>
            </w:pPr>
            <w:r>
              <w:t>General Critical Care Unit (NHCDC Cost Centre)</w:t>
            </w:r>
          </w:p>
        </w:tc>
      </w:tr>
      <w:tr w:rsidR="007B1AC6" w:rsidRPr="00F0724D" w14:paraId="78E1AE86"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394FFF3" w14:textId="02959F1E" w:rsidR="000B762B" w:rsidRPr="00F0724D" w:rsidRDefault="000B762B" w:rsidP="000B762B">
            <w:r w:rsidRPr="00A0158E">
              <w:t>GL</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62BC999" w14:textId="4105EE7B"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General Ledger</w:t>
            </w:r>
          </w:p>
        </w:tc>
      </w:tr>
      <w:tr w:rsidR="007B1AC6" w:rsidRPr="00F0724D" w14:paraId="6F66E916"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0D5D4B0" w14:textId="1B9AC173" w:rsidR="000B762B" w:rsidRPr="00F0724D" w:rsidRDefault="000B762B" w:rsidP="000B762B">
            <w:r w:rsidRPr="00A0158E">
              <w:t>GWAU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64D529B" w14:textId="1AFC1E50"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Gross weighted average unit</w:t>
            </w:r>
          </w:p>
        </w:tc>
      </w:tr>
      <w:tr w:rsidR="007B1AC6" w:rsidRPr="00F0724D" w14:paraId="4903779E"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751CA95" w14:textId="7CB4894B" w:rsidR="00944629" w:rsidRPr="00A0158E" w:rsidRDefault="00944629" w:rsidP="000B762B">
            <w:r>
              <w:t>Hdicu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7D59D62" w14:textId="470CDBAF" w:rsidR="00944629" w:rsidRPr="00A0158E" w:rsidRDefault="006620F6" w:rsidP="000B762B">
            <w:pPr>
              <w:cnfStyle w:val="000000000000" w:firstRow="0" w:lastRow="0" w:firstColumn="0" w:lastColumn="0" w:oddVBand="0" w:evenVBand="0" w:oddHBand="0" w:evenHBand="0" w:firstRowFirstColumn="0" w:firstRowLastColumn="0" w:lastRowFirstColumn="0" w:lastRowLastColumn="0"/>
            </w:pPr>
            <w:r>
              <w:t>High Dependency Unit</w:t>
            </w:r>
            <w:r w:rsidR="00A4472C">
              <w:t xml:space="preserve"> (NHCDC Cost Centre)</w:t>
            </w:r>
          </w:p>
        </w:tc>
      </w:tr>
      <w:tr w:rsidR="007B1AC6" w:rsidRPr="00F0724D" w14:paraId="7EEC986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779E250" w14:textId="789FD517" w:rsidR="00C5358F" w:rsidRPr="0012716D" w:rsidRDefault="00C5358F" w:rsidP="000B762B">
            <w:r w:rsidRPr="0012716D">
              <w:t>HEN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9EC079B" w14:textId="7AB3F50D" w:rsidR="00C5358F" w:rsidRPr="0012716D" w:rsidRDefault="00C5358F" w:rsidP="000B762B">
            <w:pPr>
              <w:cnfStyle w:val="000000000000" w:firstRow="0" w:lastRow="0" w:firstColumn="0" w:lastColumn="0" w:oddVBand="0" w:evenVBand="0" w:oddHBand="0" w:evenHBand="0" w:firstRowFirstColumn="0" w:firstRowLastColumn="0" w:lastRowFirstColumn="0" w:lastRowLastColumn="0"/>
            </w:pPr>
            <w:r w:rsidRPr="0012716D">
              <w:t>Home Enteral Nutrition</w:t>
            </w:r>
          </w:p>
        </w:tc>
      </w:tr>
      <w:tr w:rsidR="007B1AC6" w:rsidRPr="00F0724D" w14:paraId="59F39C6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B63F7B3" w14:textId="1B5F4B2F" w:rsidR="000B762B" w:rsidRPr="00F0724D" w:rsidRDefault="000B762B" w:rsidP="000B762B">
            <w:r w:rsidRPr="00A0158E">
              <w:t>HHS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5228FCE" w14:textId="46141956" w:rsidR="000B762B" w:rsidRPr="00F0724D" w:rsidRDefault="008C5F72" w:rsidP="000B762B">
            <w:pPr>
              <w:cnfStyle w:val="000000000000" w:firstRow="0" w:lastRow="0" w:firstColumn="0" w:lastColumn="0" w:oddVBand="0" w:evenVBand="0" w:oddHBand="0" w:evenHBand="0" w:firstRowFirstColumn="0" w:firstRowLastColumn="0" w:lastRowFirstColumn="0" w:lastRowLastColumn="0"/>
            </w:pPr>
            <w:r>
              <w:t>Hospital &amp; Health Service</w:t>
            </w:r>
          </w:p>
        </w:tc>
      </w:tr>
      <w:tr w:rsidR="007B1AC6" w:rsidRPr="00F0724D" w14:paraId="14CB626C"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4DD2A7B" w14:textId="5C091FCB" w:rsidR="00407C33" w:rsidRPr="00A0158E" w:rsidRDefault="00407C33" w:rsidP="000B762B">
            <w:r>
              <w:lastRenderedPageBreak/>
              <w:t>HS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3B368E2" w14:textId="04ECC22D" w:rsidR="00407C33" w:rsidRPr="00A0158E" w:rsidRDefault="00407C33" w:rsidP="000B762B">
            <w:pPr>
              <w:cnfStyle w:val="000000000000" w:firstRow="0" w:lastRow="0" w:firstColumn="0" w:lastColumn="0" w:oddVBand="0" w:evenVBand="0" w:oddHBand="0" w:evenHBand="0" w:firstRowFirstColumn="0" w:firstRowLastColumn="0" w:lastRowFirstColumn="0" w:lastRowLastColumn="0"/>
            </w:pPr>
            <w:r>
              <w:t xml:space="preserve">Health Service </w:t>
            </w:r>
          </w:p>
        </w:tc>
      </w:tr>
      <w:tr w:rsidR="007B1AC6" w:rsidRPr="00F0724D" w14:paraId="15922D1B"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EE4B995" w14:textId="0BA7085C" w:rsidR="000B762B" w:rsidRPr="00F0724D" w:rsidRDefault="000B762B" w:rsidP="000B762B">
            <w:r w:rsidRPr="00A0158E">
              <w:t>HSP</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7B067FE" w14:textId="751F1A74"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Health Service Provider</w:t>
            </w:r>
            <w:r w:rsidR="00591057">
              <w:t xml:space="preserve"> </w:t>
            </w:r>
          </w:p>
        </w:tc>
      </w:tr>
      <w:tr w:rsidR="007B1AC6" w:rsidRPr="00F0724D" w14:paraId="4E4B04E1"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99CBD99" w14:textId="435BA74A" w:rsidR="00231DC2" w:rsidRPr="00A0158E" w:rsidRDefault="00231DC2" w:rsidP="000B762B">
            <w:r>
              <w:t>ICCU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D227764" w14:textId="2E324EDC" w:rsidR="00231DC2" w:rsidRPr="00A0158E" w:rsidRDefault="00231DC2" w:rsidP="000B762B">
            <w:pPr>
              <w:cnfStyle w:val="000000000000" w:firstRow="0" w:lastRow="0" w:firstColumn="0" w:lastColumn="0" w:oddVBand="0" w:evenVBand="0" w:oddHBand="0" w:evenHBand="0" w:firstRowFirstColumn="0" w:firstRowLastColumn="0" w:lastRowFirstColumn="0" w:lastRowLastColumn="0"/>
            </w:pPr>
            <w:r>
              <w:t>Intensive and Critical Care Unit</w:t>
            </w:r>
          </w:p>
        </w:tc>
      </w:tr>
      <w:tr w:rsidR="007B1AC6" w:rsidRPr="00F0724D" w14:paraId="4DA2321E"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B7E765C" w14:textId="6A7FE6D5" w:rsidR="00231DC2" w:rsidRPr="001F1656" w:rsidRDefault="00231DC2" w:rsidP="000B762B">
            <w:r>
              <w:t>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D8F4DA4" w14:textId="061B604B" w:rsidR="00231DC2" w:rsidRPr="001F1656" w:rsidRDefault="00231DC2" w:rsidP="000B762B">
            <w:pPr>
              <w:cnfStyle w:val="000000000000" w:firstRow="0" w:lastRow="0" w:firstColumn="0" w:lastColumn="0" w:oddVBand="0" w:evenVBand="0" w:oddHBand="0" w:evenHBand="0" w:firstRowFirstColumn="0" w:firstRowLastColumn="0" w:lastRowFirstColumn="0" w:lastRowLastColumn="0"/>
            </w:pPr>
            <w:r>
              <w:t>Intensive Care Unit</w:t>
            </w:r>
          </w:p>
        </w:tc>
      </w:tr>
      <w:tr w:rsidR="007B1AC6" w:rsidRPr="00F0724D" w14:paraId="1159DC35"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53FECBC" w14:textId="358AAB1D" w:rsidR="00BF4F97" w:rsidRPr="0012716D" w:rsidRDefault="00BF4F97" w:rsidP="000B762B">
            <w:r w:rsidRPr="0012716D">
              <w:t>ICT</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069AE8B" w14:textId="62924DDC" w:rsidR="00BF4F97" w:rsidRPr="0012716D" w:rsidRDefault="009C698B" w:rsidP="000B762B">
            <w:pPr>
              <w:cnfStyle w:val="000000000000" w:firstRow="0" w:lastRow="0" w:firstColumn="0" w:lastColumn="0" w:oddVBand="0" w:evenVBand="0" w:oddHBand="0" w:evenHBand="0" w:firstRowFirstColumn="0" w:firstRowLastColumn="0" w:lastRowFirstColumn="0" w:lastRowLastColumn="0"/>
            </w:pPr>
            <w:r w:rsidRPr="0012716D">
              <w:t>Information and Communications Technology</w:t>
            </w:r>
          </w:p>
        </w:tc>
      </w:tr>
      <w:tr w:rsidR="007B1AC6" w:rsidRPr="00F0724D" w14:paraId="0191DA0B"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0FCB7EC" w14:textId="47E6DDBA" w:rsidR="009C4A62" w:rsidRPr="0012716D" w:rsidRDefault="009C4A62" w:rsidP="000B762B">
            <w:r w:rsidRPr="0012716D">
              <w:t>IHACPA</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A2892BA" w14:textId="2CBBBBAB" w:rsidR="009C4A62" w:rsidRPr="0012716D" w:rsidRDefault="009C4A62" w:rsidP="000B762B">
            <w:pPr>
              <w:cnfStyle w:val="000000000000" w:firstRow="0" w:lastRow="0" w:firstColumn="0" w:lastColumn="0" w:oddVBand="0" w:evenVBand="0" w:oddHBand="0" w:evenHBand="0" w:firstRowFirstColumn="0" w:firstRowLastColumn="0" w:lastRowFirstColumn="0" w:lastRowLastColumn="0"/>
            </w:pPr>
            <w:r w:rsidRPr="0012716D">
              <w:t xml:space="preserve">Independent Health and Aged Care </w:t>
            </w:r>
            <w:r w:rsidR="005C7BF7">
              <w:t>P</w:t>
            </w:r>
            <w:r w:rsidRPr="0012716D">
              <w:t>ricing Authority</w:t>
            </w:r>
          </w:p>
        </w:tc>
      </w:tr>
      <w:tr w:rsidR="007B1AC6" w:rsidRPr="00F0724D" w14:paraId="3F90C049"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4552C15" w14:textId="54A83F52" w:rsidR="00C777DC" w:rsidRPr="00A0158E" w:rsidRDefault="00C777DC" w:rsidP="000B762B">
            <w:r>
              <w:t>IFR</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2891252" w14:textId="5C8FB81A" w:rsidR="00C777DC" w:rsidRPr="00A0158E" w:rsidRDefault="00C777DC" w:rsidP="000B762B">
            <w:pPr>
              <w:cnfStyle w:val="000000000000" w:firstRow="0" w:lastRow="0" w:firstColumn="0" w:lastColumn="0" w:oddVBand="0" w:evenVBand="0" w:oddHBand="0" w:evenHBand="0" w:firstRowFirstColumn="0" w:firstRowLastColumn="0" w:lastRowFirstColumn="0" w:lastRowLastColumn="0"/>
            </w:pPr>
            <w:r>
              <w:t>Independent Financial Review</w:t>
            </w:r>
          </w:p>
        </w:tc>
      </w:tr>
      <w:tr w:rsidR="007B1AC6" w:rsidRPr="00F0724D" w14:paraId="6530F841"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13060E6" w14:textId="3F16D7F2" w:rsidR="000B762B" w:rsidRPr="00F0724D" w:rsidRDefault="000B762B" w:rsidP="000B762B">
            <w:r w:rsidRPr="00A0158E">
              <w:t>IT</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8022421" w14:textId="6A67347B"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Information technology</w:t>
            </w:r>
          </w:p>
        </w:tc>
      </w:tr>
      <w:tr w:rsidR="007B1AC6" w:rsidRPr="00F0724D" w14:paraId="2B9A779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166F869" w14:textId="14553D29" w:rsidR="000B762B" w:rsidRPr="00F0724D" w:rsidRDefault="000B762B" w:rsidP="000B762B">
            <w:r w:rsidRPr="00A0158E">
              <w:t>JMO</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654BB18" w14:textId="251805A5"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Junior medical officer</w:t>
            </w:r>
          </w:p>
        </w:tc>
      </w:tr>
      <w:tr w:rsidR="007B1AC6" w:rsidRPr="00F0724D" w14:paraId="597B309C"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4CBCB30" w14:textId="32CF4AF4" w:rsidR="00D34986" w:rsidRDefault="00D34986" w:rsidP="000B762B">
            <w:r>
              <w:t>LHD</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93ECE3F" w14:textId="094BBFCA" w:rsidR="00D34986" w:rsidRPr="00A0158E" w:rsidRDefault="00D34986" w:rsidP="000B762B">
            <w:pPr>
              <w:cnfStyle w:val="000000000000" w:firstRow="0" w:lastRow="0" w:firstColumn="0" w:lastColumn="0" w:oddVBand="0" w:evenVBand="0" w:oddHBand="0" w:evenHBand="0" w:firstRowFirstColumn="0" w:firstRowLastColumn="0" w:lastRowFirstColumn="0" w:lastRowLastColumn="0"/>
            </w:pPr>
            <w:r>
              <w:t>Local Health District</w:t>
            </w:r>
          </w:p>
        </w:tc>
      </w:tr>
      <w:tr w:rsidR="007B1AC6" w:rsidRPr="00F0724D" w14:paraId="65BAAB9C"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D303C43" w14:textId="63973B0B" w:rsidR="00D34986" w:rsidRPr="00A0158E" w:rsidRDefault="00D34986" w:rsidP="000B762B">
            <w:r>
              <w:t>LHN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E84BFB1" w14:textId="1CB6D8F9" w:rsidR="00D34986" w:rsidRPr="00A0158E" w:rsidRDefault="00D34986" w:rsidP="000B762B">
            <w:pPr>
              <w:cnfStyle w:val="000000000000" w:firstRow="0" w:lastRow="0" w:firstColumn="0" w:lastColumn="0" w:oddVBand="0" w:evenVBand="0" w:oddHBand="0" w:evenHBand="0" w:firstRowFirstColumn="0" w:firstRowLastColumn="0" w:lastRowFirstColumn="0" w:lastRowLastColumn="0"/>
            </w:pPr>
            <w:r>
              <w:t>Local Hea</w:t>
            </w:r>
            <w:r w:rsidR="005E1CA7">
              <w:t>l</w:t>
            </w:r>
            <w:r>
              <w:t>th Network</w:t>
            </w:r>
          </w:p>
        </w:tc>
      </w:tr>
      <w:tr w:rsidR="007B1AC6" w:rsidRPr="00F0724D" w14:paraId="032CAE24"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4F4225C" w14:textId="3556FC15" w:rsidR="009346CA" w:rsidRPr="0012716D" w:rsidRDefault="009346CA" w:rsidP="000B762B">
            <w:r w:rsidRPr="0012716D">
              <w:t>LHSN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4D6E56F" w14:textId="098719EC" w:rsidR="009346CA" w:rsidRPr="0012716D" w:rsidRDefault="009346CA" w:rsidP="000B762B">
            <w:pPr>
              <w:cnfStyle w:val="000000000000" w:firstRow="0" w:lastRow="0" w:firstColumn="0" w:lastColumn="0" w:oddVBand="0" w:evenVBand="0" w:oddHBand="0" w:evenHBand="0" w:firstRowFirstColumn="0" w:firstRowLastColumn="0" w:lastRowFirstColumn="0" w:lastRowLastColumn="0"/>
            </w:pPr>
            <w:r w:rsidRPr="0012716D">
              <w:t>Local Health Service Network</w:t>
            </w:r>
          </w:p>
        </w:tc>
      </w:tr>
      <w:tr w:rsidR="007B1AC6" w:rsidRPr="00F0724D" w14:paraId="42F14FF6"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C9DE66D" w14:textId="259D43D0" w:rsidR="000B762B" w:rsidRPr="00F0724D" w:rsidRDefault="000B762B" w:rsidP="000B762B">
            <w:r w:rsidRPr="00A0158E">
              <w:t>LOS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09DDB43" w14:textId="1D3F573C"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Length of stay</w:t>
            </w:r>
          </w:p>
        </w:tc>
      </w:tr>
      <w:tr w:rsidR="007B1AC6" w:rsidRPr="00F0724D" w14:paraId="0F6650E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5045F63" w14:textId="326988BE" w:rsidR="00B51F87" w:rsidRPr="0012716D" w:rsidRDefault="00B51F87" w:rsidP="000B762B">
            <w:r w:rsidRPr="0012716D">
              <w:t>MET</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3CC4B01" w14:textId="59BA02BC" w:rsidR="00B51F87" w:rsidRPr="0012716D" w:rsidRDefault="00B51F87" w:rsidP="000B762B">
            <w:pPr>
              <w:cnfStyle w:val="000000000000" w:firstRow="0" w:lastRow="0" w:firstColumn="0" w:lastColumn="0" w:oddVBand="0" w:evenVBand="0" w:oddHBand="0" w:evenHBand="0" w:firstRowFirstColumn="0" w:firstRowLastColumn="0" w:lastRowFirstColumn="0" w:lastRowLastColumn="0"/>
            </w:pPr>
            <w:r w:rsidRPr="0012716D">
              <w:t>Medical Emergency Team</w:t>
            </w:r>
          </w:p>
        </w:tc>
      </w:tr>
      <w:tr w:rsidR="007B1AC6" w:rsidRPr="00F0724D" w14:paraId="05D4328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FA44CC2" w14:textId="10B3FFD1" w:rsidR="00064C73" w:rsidRPr="0012716D" w:rsidRDefault="00064C73" w:rsidP="000B762B">
            <w:r w:rsidRPr="0012716D">
              <w:t>METEOR</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D21695E" w14:textId="62FDF7C6" w:rsidR="00064C73" w:rsidRPr="0012716D" w:rsidRDefault="00064C73" w:rsidP="000B762B">
            <w:pPr>
              <w:cnfStyle w:val="000000000000" w:firstRow="0" w:lastRow="0" w:firstColumn="0" w:lastColumn="0" w:oddVBand="0" w:evenVBand="0" w:oddHBand="0" w:evenHBand="0" w:firstRowFirstColumn="0" w:firstRowLastColumn="0" w:lastRowFirstColumn="0" w:lastRowLastColumn="0"/>
            </w:pPr>
            <w:r w:rsidRPr="0012716D">
              <w:t>Metadata Online Registry</w:t>
            </w:r>
          </w:p>
        </w:tc>
      </w:tr>
      <w:tr w:rsidR="007B1AC6" w:rsidRPr="00F0724D" w14:paraId="0933447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D058496" w14:textId="0C8150FE" w:rsidR="006C7846" w:rsidRPr="0012716D" w:rsidRDefault="006C7846" w:rsidP="000B762B">
            <w:r w:rsidRPr="0012716D">
              <w:t>MBS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7BC2DBB" w14:textId="460583A6" w:rsidR="006C7846" w:rsidRPr="0012716D" w:rsidRDefault="006C7846" w:rsidP="000B762B">
            <w:pPr>
              <w:cnfStyle w:val="000000000000" w:firstRow="0" w:lastRow="0" w:firstColumn="0" w:lastColumn="0" w:oddVBand="0" w:evenVBand="0" w:oddHBand="0" w:evenHBand="0" w:firstRowFirstColumn="0" w:firstRowLastColumn="0" w:lastRowFirstColumn="0" w:lastRowLastColumn="0"/>
            </w:pPr>
            <w:r w:rsidRPr="0012716D">
              <w:t>Medicare Benefits S</w:t>
            </w:r>
            <w:r w:rsidR="00C531FD" w:rsidRPr="0012716D">
              <w:t>chedule</w:t>
            </w:r>
          </w:p>
        </w:tc>
      </w:tr>
      <w:tr w:rsidR="007B1AC6" w:rsidRPr="00F0724D" w14:paraId="2DDC12CB"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97D629D" w14:textId="6C8BC0DA" w:rsidR="00391760" w:rsidRPr="0012716D" w:rsidRDefault="00391760" w:rsidP="000B762B">
            <w:r w:rsidRPr="0012716D">
              <w:t>NAC</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A3CE9A5" w14:textId="0528992D" w:rsidR="00391760" w:rsidRPr="0012716D" w:rsidRDefault="00391760" w:rsidP="000B762B">
            <w:pPr>
              <w:cnfStyle w:val="000000000000" w:firstRow="0" w:lastRow="0" w:firstColumn="0" w:lastColumn="0" w:oddVBand="0" w:evenVBand="0" w:oddHBand="0" w:evenHBand="0" w:firstRowFirstColumn="0" w:firstRowLastColumn="0" w:lastRowFirstColumn="0" w:lastRowLastColumn="0"/>
            </w:pPr>
            <w:r w:rsidRPr="0012716D">
              <w:t>NHCDC Advisory Committee</w:t>
            </w:r>
          </w:p>
        </w:tc>
      </w:tr>
      <w:tr w:rsidR="007B1AC6" w:rsidRPr="00F0724D" w14:paraId="5EA1D6CA"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26F17E4" w14:textId="3560BEAE" w:rsidR="00FC33DB" w:rsidRPr="0012716D" w:rsidRDefault="00FC33DB" w:rsidP="000B762B">
            <w:r w:rsidRPr="0012716D">
              <w:t>NAP</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AF4710E" w14:textId="74FBB44C" w:rsidR="00FC33DB" w:rsidRPr="0012716D" w:rsidRDefault="00FC33DB" w:rsidP="000B762B">
            <w:pPr>
              <w:cnfStyle w:val="000000000000" w:firstRow="0" w:lastRow="0" w:firstColumn="0" w:lastColumn="0" w:oddVBand="0" w:evenVBand="0" w:oddHBand="0" w:evenHBand="0" w:firstRowFirstColumn="0" w:firstRowLastColumn="0" w:lastRowFirstColumn="0" w:lastRowLastColumn="0"/>
            </w:pPr>
            <w:r w:rsidRPr="0012716D">
              <w:t>Non-admitted patient</w:t>
            </w:r>
          </w:p>
        </w:tc>
      </w:tr>
      <w:tr w:rsidR="007B1AC6" w:rsidRPr="00F0724D" w14:paraId="6B58BB5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70F2C5E" w14:textId="22025604" w:rsidR="000B762B" w:rsidRPr="00F0724D" w:rsidRDefault="000B762B" w:rsidP="000B762B">
            <w:r w:rsidRPr="00A0158E">
              <w:t>NEP</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C2610A1" w14:textId="4EAA9A4A"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National efficient price </w:t>
            </w:r>
          </w:p>
        </w:tc>
      </w:tr>
      <w:tr w:rsidR="007B1AC6" w:rsidRPr="00F0724D" w14:paraId="41A1870F"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44B26BA" w14:textId="0A32E081" w:rsidR="006203F4" w:rsidRPr="0012716D" w:rsidRDefault="006203F4" w:rsidP="000B762B">
            <w:r w:rsidRPr="0012716D">
              <w:t>NETS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2195A14" w14:textId="0CCB2384" w:rsidR="006203F4" w:rsidRPr="0012716D" w:rsidRDefault="006203F4" w:rsidP="000B762B">
            <w:pPr>
              <w:cnfStyle w:val="000000000000" w:firstRow="0" w:lastRow="0" w:firstColumn="0" w:lastColumn="0" w:oddVBand="0" w:evenVBand="0" w:oddHBand="0" w:evenHBand="0" w:firstRowFirstColumn="0" w:firstRowLastColumn="0" w:lastRowFirstColumn="0" w:lastRowLastColumn="0"/>
            </w:pPr>
            <w:r w:rsidRPr="0012716D">
              <w:t>Newborn and Paediatric Emergency Transport Service</w:t>
            </w:r>
          </w:p>
        </w:tc>
      </w:tr>
      <w:tr w:rsidR="007B1AC6" w:rsidRPr="00F0724D" w14:paraId="3442F4C4"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30E8535" w14:textId="01EDE3A0" w:rsidR="000B762B" w:rsidRPr="00F0724D" w:rsidRDefault="000B762B" w:rsidP="000B762B">
            <w:r w:rsidRPr="00A0158E">
              <w:t>NHCDC</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F192F92" w14:textId="71082208"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National </w:t>
            </w:r>
            <w:r w:rsidR="00F139BA">
              <w:t>Hospital</w:t>
            </w:r>
            <w:r w:rsidRPr="00A0158E">
              <w:t xml:space="preserve"> Cost Data Collection</w:t>
            </w:r>
          </w:p>
        </w:tc>
      </w:tr>
      <w:tr w:rsidR="007B1AC6" w:rsidRPr="00F0724D" w14:paraId="3A3359E2"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BC87A79" w14:textId="26B16EDB" w:rsidR="00B51F87" w:rsidRPr="00A0158E" w:rsidRDefault="00B51F87" w:rsidP="000B762B">
            <w:r>
              <w:t>NHRA</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50F621B" w14:textId="1500673E" w:rsidR="00B51F87" w:rsidRPr="00A0158E" w:rsidRDefault="00B51F87" w:rsidP="000B762B">
            <w:pPr>
              <w:cnfStyle w:val="000000000000" w:firstRow="0" w:lastRow="0" w:firstColumn="0" w:lastColumn="0" w:oddVBand="0" w:evenVBand="0" w:oddHBand="0" w:evenHBand="0" w:firstRowFirstColumn="0" w:firstRowLastColumn="0" w:lastRowFirstColumn="0" w:lastRowLastColumn="0"/>
            </w:pPr>
            <w:r>
              <w:t>National Health Reform Agreement</w:t>
            </w:r>
          </w:p>
        </w:tc>
      </w:tr>
      <w:tr w:rsidR="007B1AC6" w:rsidRPr="00F0724D" w14:paraId="5509760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7B4DF72" w14:textId="2C3BFE70" w:rsidR="000B762B" w:rsidRPr="00F0724D" w:rsidRDefault="003B610E" w:rsidP="000B762B">
            <w:r>
              <w:t>NICU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0ECBC88" w14:textId="0F04B8DF"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Neonatal </w:t>
            </w:r>
            <w:r w:rsidR="0080752B">
              <w:t>I</w:t>
            </w:r>
            <w:r w:rsidRPr="00A0158E">
              <w:t xml:space="preserve">ntensive </w:t>
            </w:r>
            <w:r w:rsidR="0080752B">
              <w:t>C</w:t>
            </w:r>
            <w:r w:rsidRPr="00A0158E">
              <w:t xml:space="preserve">are </w:t>
            </w:r>
            <w:r w:rsidR="0080752B">
              <w:t>U</w:t>
            </w:r>
            <w:r w:rsidRPr="00A0158E">
              <w:t>nit</w:t>
            </w:r>
            <w:r w:rsidR="0080752B">
              <w:t xml:space="preserve"> (NHCDC Cost Centre)</w:t>
            </w:r>
          </w:p>
        </w:tc>
      </w:tr>
      <w:tr w:rsidR="00886D93" w:rsidRPr="00F0724D" w14:paraId="5B94638D"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65057B9" w14:textId="726E6407" w:rsidR="00886D93" w:rsidRDefault="00886D93" w:rsidP="00886D93">
            <w:r>
              <w:t>NSW</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342250E" w14:textId="100044E0" w:rsidR="00886D93" w:rsidRPr="00A0158E" w:rsidRDefault="00886D93" w:rsidP="00886D93">
            <w:pPr>
              <w:cnfStyle w:val="000000000000" w:firstRow="0" w:lastRow="0" w:firstColumn="0" w:lastColumn="0" w:oddVBand="0" w:evenVBand="0" w:oddHBand="0" w:evenHBand="0" w:firstRowFirstColumn="0" w:firstRowLastColumn="0" w:lastRowFirstColumn="0" w:lastRowLastColumn="0"/>
            </w:pPr>
            <w:r>
              <w:t>New South Wales</w:t>
            </w:r>
          </w:p>
        </w:tc>
      </w:tr>
      <w:tr w:rsidR="00886D93" w:rsidRPr="00F0724D" w14:paraId="40049B29"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EBCFBAC" w14:textId="755F013D" w:rsidR="00886D93" w:rsidRDefault="00886D93" w:rsidP="00886D93">
            <w:r>
              <w:t>NT</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30FCBA6" w14:textId="58BF8662" w:rsidR="00886D93" w:rsidRPr="00A0158E" w:rsidRDefault="00886D93" w:rsidP="00886D93">
            <w:pPr>
              <w:cnfStyle w:val="000000000000" w:firstRow="0" w:lastRow="0" w:firstColumn="0" w:lastColumn="0" w:oddVBand="0" w:evenVBand="0" w:oddHBand="0" w:evenHBand="0" w:firstRowFirstColumn="0" w:firstRowLastColumn="0" w:lastRowFirstColumn="0" w:lastRowLastColumn="0"/>
            </w:pPr>
            <w:r>
              <w:t>Northern Territory</w:t>
            </w:r>
          </w:p>
        </w:tc>
      </w:tr>
      <w:tr w:rsidR="007B1AC6" w:rsidRPr="00F0724D" w14:paraId="6C35F7B4"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88B05CE" w14:textId="2D019370" w:rsidR="00826DCA" w:rsidRDefault="00826DCA" w:rsidP="000B762B">
            <w:r>
              <w:t>NUM</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86A972A" w14:textId="3A3A10ED" w:rsidR="00826DCA" w:rsidRDefault="00826DCA" w:rsidP="000B762B">
            <w:pPr>
              <w:cnfStyle w:val="000000000000" w:firstRow="0" w:lastRow="0" w:firstColumn="0" w:lastColumn="0" w:oddVBand="0" w:evenVBand="0" w:oddHBand="0" w:evenHBand="0" w:firstRowFirstColumn="0" w:firstRowLastColumn="0" w:lastRowFirstColumn="0" w:lastRowLastColumn="0"/>
            </w:pPr>
            <w:r>
              <w:t>Nurse Unit Manager</w:t>
            </w:r>
          </w:p>
        </w:tc>
      </w:tr>
      <w:tr w:rsidR="007B1AC6" w:rsidRPr="00F0724D" w14:paraId="1EB78DB1"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A0DDBA2" w14:textId="233E820A" w:rsidR="00D97F3C" w:rsidRPr="0012716D" w:rsidRDefault="00D97F3C" w:rsidP="000B762B">
            <w:r w:rsidRPr="0012716D">
              <w:t>NWAU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0AFAE1D" w14:textId="4D88BFAA" w:rsidR="00D97F3C" w:rsidRPr="0012716D" w:rsidRDefault="00D97F3C" w:rsidP="000B762B">
            <w:pPr>
              <w:cnfStyle w:val="000000000000" w:firstRow="0" w:lastRow="0" w:firstColumn="0" w:lastColumn="0" w:oddVBand="0" w:evenVBand="0" w:oddHBand="0" w:evenHBand="0" w:firstRowFirstColumn="0" w:firstRowLastColumn="0" w:lastRowFirstColumn="0" w:lastRowLastColumn="0"/>
            </w:pPr>
            <w:r w:rsidRPr="0012716D">
              <w:t>National Weighted Activity Unit</w:t>
            </w:r>
          </w:p>
        </w:tc>
      </w:tr>
      <w:tr w:rsidR="007B1AC6" w:rsidRPr="00F0724D" w14:paraId="2585DF1C"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8618B78" w14:textId="7B93A105" w:rsidR="00D97F3C" w:rsidRPr="0012716D" w:rsidRDefault="00D97F3C" w:rsidP="000B762B">
            <w:r w:rsidRPr="0012716D">
              <w:t>OBD</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1305050" w14:textId="4DC5BA19" w:rsidR="00D97F3C" w:rsidRPr="0012716D" w:rsidRDefault="00D97F3C" w:rsidP="000B762B">
            <w:pPr>
              <w:cnfStyle w:val="000000000000" w:firstRow="0" w:lastRow="0" w:firstColumn="0" w:lastColumn="0" w:oddVBand="0" w:evenVBand="0" w:oddHBand="0" w:evenHBand="0" w:firstRowFirstColumn="0" w:firstRowLastColumn="0" w:lastRowFirstColumn="0" w:lastRowLastColumn="0"/>
            </w:pPr>
            <w:r w:rsidRPr="0012716D">
              <w:t>Occupied bed day</w:t>
            </w:r>
          </w:p>
        </w:tc>
      </w:tr>
      <w:tr w:rsidR="007B1AC6" w:rsidRPr="00F0724D" w14:paraId="148BC7AE"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94BA8D4" w14:textId="26C6A744" w:rsidR="0060689E" w:rsidRDefault="0060689E" w:rsidP="000B762B">
            <w:r>
              <w:t>OtherCritCare</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6988750" w14:textId="3B1D60DF" w:rsidR="0060689E" w:rsidRDefault="0060689E" w:rsidP="000B762B">
            <w:pPr>
              <w:cnfStyle w:val="000000000000" w:firstRow="0" w:lastRow="0" w:firstColumn="0" w:lastColumn="0" w:oddVBand="0" w:evenVBand="0" w:oddHBand="0" w:evenHBand="0" w:firstRowFirstColumn="0" w:firstRowLastColumn="0" w:lastRowFirstColumn="0" w:lastRowLastColumn="0"/>
            </w:pPr>
            <w:r>
              <w:t>Other Critical Care Unit (NHCDC Cost Centre)</w:t>
            </w:r>
          </w:p>
        </w:tc>
      </w:tr>
      <w:tr w:rsidR="007B1AC6" w:rsidRPr="00F0724D" w14:paraId="3778EAA7"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A3C8E10" w14:textId="427F95B0" w:rsidR="0060689E" w:rsidRDefault="0060689E" w:rsidP="000B762B">
            <w:r>
              <w:t>Paedicu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022F0B3" w14:textId="640F417F" w:rsidR="0060689E" w:rsidRDefault="0060689E" w:rsidP="000B762B">
            <w:pPr>
              <w:cnfStyle w:val="000000000000" w:firstRow="0" w:lastRow="0" w:firstColumn="0" w:lastColumn="0" w:oddVBand="0" w:evenVBand="0" w:oddHBand="0" w:evenHBand="0" w:firstRowFirstColumn="0" w:firstRowLastColumn="0" w:lastRowFirstColumn="0" w:lastRowLastColumn="0"/>
            </w:pPr>
            <w:r>
              <w:t>Paediatric Intensive Care Unit (NHCDC Cost Centre)</w:t>
            </w:r>
          </w:p>
        </w:tc>
      </w:tr>
      <w:tr w:rsidR="007B1AC6" w:rsidRPr="00F0724D" w14:paraId="1ABAC9E0"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D649343" w14:textId="13E46C29" w:rsidR="000B762B" w:rsidRPr="00F0724D" w:rsidRDefault="000B762B" w:rsidP="000B762B">
            <w:r w:rsidRPr="00A0158E">
              <w:t>PAS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67251D8" w14:textId="3D1612B9"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Patient Administration System</w:t>
            </w:r>
          </w:p>
        </w:tc>
      </w:tr>
      <w:tr w:rsidR="007B1AC6" w:rsidRPr="00F0724D" w14:paraId="58D47AFC"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ADF5A57" w14:textId="12D91508" w:rsidR="000B762B" w:rsidRPr="00F0724D" w:rsidRDefault="000B762B" w:rsidP="000B762B">
            <w:r w:rsidRPr="00A0158E">
              <w:t>PBS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599656B" w14:textId="380C5919"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Pharmaceutical </w:t>
            </w:r>
            <w:r w:rsidR="00895EB9">
              <w:t>B</w:t>
            </w:r>
            <w:r w:rsidRPr="00A0158E">
              <w:t xml:space="preserve">enefits </w:t>
            </w:r>
            <w:r w:rsidR="00895EB9">
              <w:t>S</w:t>
            </w:r>
            <w:r w:rsidRPr="00A0158E">
              <w:t xml:space="preserve">cheme </w:t>
            </w:r>
          </w:p>
        </w:tc>
      </w:tr>
      <w:tr w:rsidR="007B1AC6" w:rsidRPr="00F0724D" w14:paraId="4CCECF1A"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4BA5114" w14:textId="4BA45E9F" w:rsidR="001C25F9" w:rsidRPr="0012716D" w:rsidRDefault="001C25F9" w:rsidP="000B762B">
            <w:r w:rsidRPr="0012716D">
              <w:t>PICC</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AC54403" w14:textId="2F29B79A" w:rsidR="001C25F9" w:rsidRPr="0012716D" w:rsidRDefault="001C25F9" w:rsidP="000B762B">
            <w:pPr>
              <w:cnfStyle w:val="000000000000" w:firstRow="0" w:lastRow="0" w:firstColumn="0" w:lastColumn="0" w:oddVBand="0" w:evenVBand="0" w:oddHBand="0" w:evenHBand="0" w:firstRowFirstColumn="0" w:firstRowLastColumn="0" w:lastRowFirstColumn="0" w:lastRowLastColumn="0"/>
            </w:pPr>
            <w:r w:rsidRPr="0012716D">
              <w:t>Peripherally Inserted Central Catheter</w:t>
            </w:r>
          </w:p>
        </w:tc>
      </w:tr>
      <w:tr w:rsidR="007B1AC6" w:rsidRPr="00F0724D" w14:paraId="2D67A20D"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3B98085" w14:textId="35761A28" w:rsidR="000B762B" w:rsidRPr="00F0724D" w:rsidRDefault="000B762B" w:rsidP="000B762B">
            <w:r w:rsidRPr="00A0158E">
              <w:lastRenderedPageBreak/>
              <w:t>PPM2</w:t>
            </w:r>
            <w:r w:rsidR="00F732D1">
              <w:t xml:space="preserve"> </w:t>
            </w:r>
            <w:r w:rsidR="006C7846">
              <w:t>/</w:t>
            </w:r>
            <w:r w:rsidR="00F732D1">
              <w:t xml:space="preserve"> </w:t>
            </w:r>
            <w:r w:rsidR="006C7846">
              <w:t>3</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E841D5E" w14:textId="366982ED"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Power Performance Manage</w:t>
            </w:r>
            <w:r w:rsidR="00CB64BE">
              <w:t>r</w:t>
            </w:r>
            <w:r w:rsidRPr="00A0158E">
              <w:t xml:space="preserve"> 2</w:t>
            </w:r>
            <w:r w:rsidR="00F732D1">
              <w:t xml:space="preserve"> </w:t>
            </w:r>
            <w:r w:rsidR="006C7846">
              <w:t>/</w:t>
            </w:r>
            <w:r w:rsidR="00F732D1">
              <w:t xml:space="preserve"> </w:t>
            </w:r>
            <w:r w:rsidR="006C7846">
              <w:t>3</w:t>
            </w:r>
          </w:p>
        </w:tc>
      </w:tr>
      <w:tr w:rsidR="007B1AC6" w:rsidRPr="00F0724D" w14:paraId="41F84956"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C38E0D2" w14:textId="6FAE0BF9" w:rsidR="00B51F87" w:rsidRPr="00A0158E" w:rsidRDefault="00B51F87" w:rsidP="000B762B">
            <w:r>
              <w:t>PPP</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D15A217" w14:textId="38377028" w:rsidR="00B51F87" w:rsidRPr="00A0158E" w:rsidRDefault="00B51F87" w:rsidP="000B762B">
            <w:pPr>
              <w:cnfStyle w:val="000000000000" w:firstRow="0" w:lastRow="0" w:firstColumn="0" w:lastColumn="0" w:oddVBand="0" w:evenVBand="0" w:oddHBand="0" w:evenHBand="0" w:firstRowFirstColumn="0" w:firstRowLastColumn="0" w:lastRowFirstColumn="0" w:lastRowLastColumn="0"/>
            </w:pPr>
            <w:r>
              <w:t>Public</w:t>
            </w:r>
            <w:r w:rsidR="00FE3818">
              <w:t>-</w:t>
            </w:r>
            <w:r w:rsidR="00DA447F">
              <w:t>P</w:t>
            </w:r>
            <w:r>
              <w:t>rivate Partnership</w:t>
            </w:r>
          </w:p>
        </w:tc>
      </w:tr>
      <w:tr w:rsidR="007B1AC6" w:rsidRPr="00F0724D" w14:paraId="28888ED0"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33F6298" w14:textId="1EE7E1E8" w:rsidR="00D423B7" w:rsidRPr="00A0158E" w:rsidRDefault="00D423B7" w:rsidP="000B762B">
            <w:r>
              <w:t>Psychicu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1B6452C" w14:textId="66F807FD" w:rsidR="00D423B7" w:rsidRPr="00A0158E" w:rsidRDefault="00D423B7" w:rsidP="000B762B">
            <w:pPr>
              <w:cnfStyle w:val="000000000000" w:firstRow="0" w:lastRow="0" w:firstColumn="0" w:lastColumn="0" w:oddVBand="0" w:evenVBand="0" w:oddHBand="0" w:evenHBand="0" w:firstRowFirstColumn="0" w:firstRowLastColumn="0" w:lastRowFirstColumn="0" w:lastRowLastColumn="0"/>
            </w:pPr>
            <w:r>
              <w:t>Psychiatric Intensive Care Unit (NHCDC Cost Centre)</w:t>
            </w:r>
          </w:p>
        </w:tc>
      </w:tr>
      <w:tr w:rsidR="007B1AC6" w:rsidRPr="00F0724D" w14:paraId="6C16A0E8"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D3AF667" w14:textId="57701C9A" w:rsidR="000B762B" w:rsidRPr="00F0724D" w:rsidRDefault="000B762B" w:rsidP="000B762B">
            <w:r w:rsidRPr="00A0158E">
              <w:t>QA</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A0BA71C" w14:textId="03062CAC"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Quality assurance</w:t>
            </w:r>
          </w:p>
        </w:tc>
      </w:tr>
      <w:tr w:rsidR="00886D93" w:rsidRPr="00F0724D" w14:paraId="6E4E09F8"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3F3F76B" w14:textId="3ED56B84" w:rsidR="00886D93" w:rsidRPr="00A0158E" w:rsidRDefault="00886D93" w:rsidP="000B762B">
            <w:r>
              <w:t>Qld</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1679864" w14:textId="3D216C2B" w:rsidR="00886D93" w:rsidRPr="00A0158E" w:rsidRDefault="00886D93" w:rsidP="000B762B">
            <w:pPr>
              <w:cnfStyle w:val="000000000000" w:firstRow="0" w:lastRow="0" w:firstColumn="0" w:lastColumn="0" w:oddVBand="0" w:evenVBand="0" w:oddHBand="0" w:evenHBand="0" w:firstRowFirstColumn="0" w:firstRowLastColumn="0" w:lastRowFirstColumn="0" w:lastRowLastColumn="0"/>
            </w:pPr>
            <w:r>
              <w:t>Queensland</w:t>
            </w:r>
          </w:p>
        </w:tc>
      </w:tr>
      <w:tr w:rsidR="007B1AC6" w:rsidRPr="00F0724D" w14:paraId="35909546"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7502955" w14:textId="153ACEA1" w:rsidR="000B762B" w:rsidRPr="00F0724D" w:rsidRDefault="000B762B" w:rsidP="000B762B">
            <w:r w:rsidRPr="00A0158E">
              <w:t>RN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94E8D53" w14:textId="0C15B428"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Registered nurse</w:t>
            </w:r>
          </w:p>
        </w:tc>
      </w:tr>
      <w:tr w:rsidR="007B1AC6" w:rsidRPr="00F0724D" w14:paraId="55678FE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89E5B61" w14:textId="40B33340" w:rsidR="004079DE" w:rsidRPr="00A0158E" w:rsidRDefault="004079DE" w:rsidP="000B762B">
            <w:r>
              <w:t>RQ</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E2465EF" w14:textId="1FFE28A5" w:rsidR="004079DE" w:rsidRPr="00A0158E" w:rsidRDefault="004079DE" w:rsidP="000B762B">
            <w:pPr>
              <w:cnfStyle w:val="000000000000" w:firstRow="0" w:lastRow="0" w:firstColumn="0" w:lastColumn="0" w:oddVBand="0" w:evenVBand="0" w:oddHBand="0" w:evenHBand="0" w:firstRowFirstColumn="0" w:firstRowLastColumn="0" w:lastRowFirstColumn="0" w:lastRowLastColumn="0"/>
            </w:pPr>
            <w:r>
              <w:t>Reasonableness and Quality</w:t>
            </w:r>
          </w:p>
        </w:tc>
      </w:tr>
      <w:tr w:rsidR="007B1AC6" w:rsidRPr="00F0724D" w14:paraId="4C6CAC09"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6BB7C65" w14:textId="677572E4" w:rsidR="000B762B" w:rsidRPr="00F0724D" w:rsidRDefault="000B762B" w:rsidP="000B762B">
            <w:r w:rsidRPr="00A0158E">
              <w:t>RV</w:t>
            </w:r>
            <w:r w:rsidR="00782F52">
              <w:t>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19FD9A0" w14:textId="09039BF1"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Relative value unit</w:t>
            </w:r>
          </w:p>
        </w:tc>
      </w:tr>
      <w:tr w:rsidR="007B1AC6" w:rsidRPr="00F0724D" w14:paraId="571FD97F"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25F7909" w14:textId="05DC5DBB" w:rsidR="00C517F6" w:rsidRPr="00A0158E" w:rsidRDefault="00C517F6" w:rsidP="00C517F6">
            <w:r>
              <w:t>S&amp;W</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3B30DA9" w14:textId="72047F42" w:rsidR="00C517F6" w:rsidRPr="00A0158E" w:rsidRDefault="00C517F6" w:rsidP="00C517F6">
            <w:pPr>
              <w:cnfStyle w:val="000000000000" w:firstRow="0" w:lastRow="0" w:firstColumn="0" w:lastColumn="0" w:oddVBand="0" w:evenVBand="0" w:oddHBand="0" w:evenHBand="0" w:firstRowFirstColumn="0" w:firstRowLastColumn="0" w:lastRowFirstColumn="0" w:lastRowLastColumn="0"/>
            </w:pPr>
            <w:r>
              <w:t>Salaries &amp; Wages</w:t>
            </w:r>
          </w:p>
        </w:tc>
      </w:tr>
      <w:tr w:rsidR="007B1AC6" w:rsidRPr="00F0724D" w14:paraId="4DF234F5"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65F9988" w14:textId="2A592EE5" w:rsidR="00AB61BF" w:rsidRPr="00A0158E" w:rsidRDefault="00AB61BF" w:rsidP="000B762B">
            <w:r>
              <w:t>SA</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C91BC51" w14:textId="09D4BEB7" w:rsidR="00AB61BF" w:rsidRPr="00A0158E" w:rsidRDefault="00AB61BF" w:rsidP="000B762B">
            <w:pPr>
              <w:cnfStyle w:val="000000000000" w:firstRow="0" w:lastRow="0" w:firstColumn="0" w:lastColumn="0" w:oddVBand="0" w:evenVBand="0" w:oddHBand="0" w:evenHBand="0" w:firstRowFirstColumn="0" w:firstRowLastColumn="0" w:lastRowFirstColumn="0" w:lastRowLastColumn="0"/>
            </w:pPr>
            <w:r>
              <w:t>South Australia</w:t>
            </w:r>
          </w:p>
        </w:tc>
      </w:tr>
      <w:tr w:rsidR="007B1AC6" w:rsidRPr="00F0724D" w14:paraId="246D46CD"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F282D1F" w14:textId="497E8184" w:rsidR="000B762B" w:rsidRPr="00F0724D" w:rsidRDefault="00C517F6" w:rsidP="000B762B">
            <w:r>
              <w:t>SCN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357A54D" w14:textId="25BE9DE3" w:rsidR="000B762B" w:rsidRPr="00F0724D" w:rsidRDefault="00C517F6" w:rsidP="000B762B">
            <w:pPr>
              <w:cnfStyle w:val="000000000000" w:firstRow="0" w:lastRow="0" w:firstColumn="0" w:lastColumn="0" w:oddVBand="0" w:evenVBand="0" w:oddHBand="0" w:evenHBand="0" w:firstRowFirstColumn="0" w:firstRowLastColumn="0" w:lastRowFirstColumn="0" w:lastRowLastColumn="0"/>
            </w:pPr>
            <w:r>
              <w:t>Special Care Nursery</w:t>
            </w:r>
          </w:p>
        </w:tc>
      </w:tr>
      <w:tr w:rsidR="007B1AC6" w:rsidRPr="00F0724D" w14:paraId="3002A6F3"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F259307" w14:textId="6E662744" w:rsidR="0060390A" w:rsidRDefault="0060390A" w:rsidP="00C517F6">
            <w:r>
              <w:t>Scnicu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F8658A0" w14:textId="754CBDEC" w:rsidR="0060390A" w:rsidRDefault="0060390A" w:rsidP="00C517F6">
            <w:pPr>
              <w:cnfStyle w:val="000000000000" w:firstRow="0" w:lastRow="0" w:firstColumn="0" w:lastColumn="0" w:oddVBand="0" w:evenVBand="0" w:oddHBand="0" w:evenHBand="0" w:firstRowFirstColumn="0" w:firstRowLastColumn="0" w:lastRowFirstColumn="0" w:lastRowLastColumn="0"/>
            </w:pPr>
            <w:r>
              <w:t>Special Care Nursery Intensive Care Unit (NHCDC Cost Centre)</w:t>
            </w:r>
          </w:p>
        </w:tc>
      </w:tr>
      <w:tr w:rsidR="007B1AC6" w:rsidRPr="00F0724D" w14:paraId="71CA81B0"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FABEA55" w14:textId="5C42B4AB" w:rsidR="00C33729" w:rsidRPr="0012716D" w:rsidRDefault="00C33729" w:rsidP="00C517F6">
            <w:r w:rsidRPr="0012716D">
              <w:t>SRMO</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149A84E" w14:textId="39CA2FA7" w:rsidR="00C33729" w:rsidRPr="0012716D" w:rsidRDefault="00C33729" w:rsidP="00C517F6">
            <w:pPr>
              <w:cnfStyle w:val="000000000000" w:firstRow="0" w:lastRow="0" w:firstColumn="0" w:lastColumn="0" w:oddVBand="0" w:evenVBand="0" w:oddHBand="0" w:evenHBand="0" w:firstRowFirstColumn="0" w:firstRowLastColumn="0" w:lastRowFirstColumn="0" w:lastRowLastColumn="0"/>
            </w:pPr>
            <w:r w:rsidRPr="0012716D">
              <w:t>Senior Resident Medical Officer</w:t>
            </w:r>
          </w:p>
        </w:tc>
      </w:tr>
      <w:tr w:rsidR="007B1AC6" w:rsidRPr="00F0724D" w14:paraId="5A46831C"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E3AA705" w14:textId="7810DE26" w:rsidR="00E6610F" w:rsidRDefault="00E6610F" w:rsidP="00C517F6">
            <w:r>
              <w:t>Tas</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B26603C" w14:textId="5E3869A8" w:rsidR="00E6610F" w:rsidRDefault="00E6610F" w:rsidP="00C517F6">
            <w:pPr>
              <w:cnfStyle w:val="000000000000" w:firstRow="0" w:lastRow="0" w:firstColumn="0" w:lastColumn="0" w:oddVBand="0" w:evenVBand="0" w:oddHBand="0" w:evenHBand="0" w:firstRowFirstColumn="0" w:firstRowLastColumn="0" w:lastRowFirstColumn="0" w:lastRowLastColumn="0"/>
            </w:pPr>
            <w:r>
              <w:t>Tasmania</w:t>
            </w:r>
          </w:p>
        </w:tc>
      </w:tr>
      <w:tr w:rsidR="007B1AC6" w:rsidRPr="00F0724D" w14:paraId="62FA02C9"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5489ADC" w14:textId="629C765B" w:rsidR="00163AD9" w:rsidRPr="0012716D" w:rsidRDefault="00163AD9" w:rsidP="00C517F6">
            <w:r w:rsidRPr="0012716D">
              <w:t>TAVI</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D69E819" w14:textId="1202395F" w:rsidR="00163AD9" w:rsidRPr="0012716D" w:rsidRDefault="00163AD9" w:rsidP="00C517F6">
            <w:pPr>
              <w:cnfStyle w:val="000000000000" w:firstRow="0" w:lastRow="0" w:firstColumn="0" w:lastColumn="0" w:oddVBand="0" w:evenVBand="0" w:oddHBand="0" w:evenHBand="0" w:firstRowFirstColumn="0" w:firstRowLastColumn="0" w:lastRowFirstColumn="0" w:lastRowLastColumn="0"/>
            </w:pPr>
            <w:r w:rsidRPr="0012716D">
              <w:t xml:space="preserve">Transcatheter </w:t>
            </w:r>
            <w:r w:rsidR="00150BCA" w:rsidRPr="0012716D">
              <w:t>Aortic Valve Implantation</w:t>
            </w:r>
          </w:p>
        </w:tc>
      </w:tr>
      <w:tr w:rsidR="007B1AC6" w:rsidRPr="00F0724D" w14:paraId="3543CDBF"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F41F96C" w14:textId="71FE3535" w:rsidR="000B762B" w:rsidRPr="00F0724D" w:rsidRDefault="000B762B" w:rsidP="000B762B">
            <w:r w:rsidRPr="00A0158E">
              <w:t>TPN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10A5AA1" w14:textId="404C2545"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 xml:space="preserve">Total parenteral nutrition </w:t>
            </w:r>
          </w:p>
        </w:tc>
      </w:tr>
      <w:tr w:rsidR="007B1AC6" w:rsidRPr="00F0724D" w14:paraId="7D995776"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B80F054" w14:textId="0484BA45" w:rsidR="007B39BC" w:rsidRPr="0012716D" w:rsidRDefault="007B39BC" w:rsidP="000B762B">
            <w:r w:rsidRPr="0012716D">
              <w:t>TTR</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C9079B0" w14:textId="2DF4E9C9" w:rsidR="007B39BC" w:rsidRPr="0012716D" w:rsidRDefault="007B39BC" w:rsidP="000B762B">
            <w:pPr>
              <w:cnfStyle w:val="000000000000" w:firstRow="0" w:lastRow="0" w:firstColumn="0" w:lastColumn="0" w:oddVBand="0" w:evenVBand="0" w:oddHBand="0" w:evenHBand="0" w:firstRowFirstColumn="0" w:firstRowLastColumn="0" w:lastRowFirstColumn="0" w:lastRowLastColumn="0"/>
            </w:pPr>
            <w:r w:rsidRPr="0012716D">
              <w:t>Teaching, Training and Research</w:t>
            </w:r>
          </w:p>
        </w:tc>
      </w:tr>
      <w:tr w:rsidR="007B1AC6" w:rsidRPr="00F0724D" w14:paraId="69F97885"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AFB2D0B" w14:textId="0047C065" w:rsidR="008F6612" w:rsidRPr="0012716D" w:rsidRDefault="008F6612" w:rsidP="000B762B">
            <w:r w:rsidRPr="0012716D">
              <w:t>UQB</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0FBE127" w14:textId="509CC9F2" w:rsidR="008F6612" w:rsidRPr="0012716D" w:rsidRDefault="008F6612" w:rsidP="000B762B">
            <w:pPr>
              <w:cnfStyle w:val="000000000000" w:firstRow="0" w:lastRow="0" w:firstColumn="0" w:lastColumn="0" w:oddVBand="0" w:evenVBand="0" w:oddHBand="0" w:evenHBand="0" w:firstRowFirstColumn="0" w:firstRowLastColumn="0" w:lastRowFirstColumn="0" w:lastRowLastColumn="0"/>
            </w:pPr>
            <w:r w:rsidRPr="0012716D">
              <w:t>Unqualified baby</w:t>
            </w:r>
          </w:p>
        </w:tc>
      </w:tr>
      <w:tr w:rsidR="007B1AC6" w:rsidRPr="00F0724D" w14:paraId="45226E69"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3C06CD3" w14:textId="224BCFBE" w:rsidR="006B0296" w:rsidRPr="0012716D" w:rsidRDefault="006B0296" w:rsidP="000B762B">
            <w:r w:rsidRPr="0012716D">
              <w:t>URN</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81B94A6" w14:textId="485E36A2" w:rsidR="006B0296" w:rsidRPr="0012716D" w:rsidRDefault="006B0296" w:rsidP="000B762B">
            <w:pPr>
              <w:cnfStyle w:val="000000000000" w:firstRow="0" w:lastRow="0" w:firstColumn="0" w:lastColumn="0" w:oddVBand="0" w:evenVBand="0" w:oddHBand="0" w:evenHBand="0" w:firstRowFirstColumn="0" w:firstRowLastColumn="0" w:lastRowFirstColumn="0" w:lastRowLastColumn="0"/>
            </w:pPr>
            <w:r w:rsidRPr="0012716D">
              <w:t>Unique Record Number</w:t>
            </w:r>
          </w:p>
        </w:tc>
      </w:tr>
      <w:tr w:rsidR="00886D93" w:rsidRPr="00F0724D" w14:paraId="5F5A2C31"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B868075" w14:textId="51048226" w:rsidR="00886D93" w:rsidRPr="0012716D" w:rsidRDefault="00886D93" w:rsidP="000B762B">
            <w:r>
              <w:t>Vic</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FAD8C1" w14:textId="30EAAFCD" w:rsidR="00886D93" w:rsidRPr="0012716D" w:rsidRDefault="00886D93" w:rsidP="000B762B">
            <w:pPr>
              <w:cnfStyle w:val="000000000000" w:firstRow="0" w:lastRow="0" w:firstColumn="0" w:lastColumn="0" w:oddVBand="0" w:evenVBand="0" w:oddHBand="0" w:evenHBand="0" w:firstRowFirstColumn="0" w:firstRowLastColumn="0" w:lastRowFirstColumn="0" w:lastRowLastColumn="0"/>
            </w:pPr>
            <w:r>
              <w:t>Victoria</w:t>
            </w:r>
          </w:p>
        </w:tc>
      </w:tr>
      <w:tr w:rsidR="007B1AC6" w:rsidRPr="00F0724D" w14:paraId="27A2B992"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E497BAA" w14:textId="1E7083E8" w:rsidR="00F83B1D" w:rsidRPr="0012716D" w:rsidRDefault="00F83B1D" w:rsidP="000B762B">
            <w:r w:rsidRPr="0012716D">
              <w:t>VMO</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41A14F4" w14:textId="78293E8C" w:rsidR="00F83B1D" w:rsidRPr="0012716D" w:rsidRDefault="00F83B1D" w:rsidP="000B762B">
            <w:pPr>
              <w:cnfStyle w:val="000000000000" w:firstRow="0" w:lastRow="0" w:firstColumn="0" w:lastColumn="0" w:oddVBand="0" w:evenVBand="0" w:oddHBand="0" w:evenHBand="0" w:firstRowFirstColumn="0" w:firstRowLastColumn="0" w:lastRowFirstColumn="0" w:lastRowLastColumn="0"/>
            </w:pPr>
            <w:r w:rsidRPr="0012716D">
              <w:t>Visiting Medical Officer</w:t>
            </w:r>
          </w:p>
        </w:tc>
      </w:tr>
      <w:tr w:rsidR="007B1AC6" w:rsidRPr="00F0724D" w14:paraId="77EA8E48"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AED521F" w14:textId="5B53E616" w:rsidR="000B762B" w:rsidRPr="00F0724D" w:rsidRDefault="000B762B" w:rsidP="000B762B">
            <w:r w:rsidRPr="00A0158E">
              <w:t>WA</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D747647" w14:textId="3CAED27A" w:rsidR="000B762B" w:rsidRPr="00F0724D" w:rsidRDefault="000B762B" w:rsidP="000B762B">
            <w:pPr>
              <w:cnfStyle w:val="000000000000" w:firstRow="0" w:lastRow="0" w:firstColumn="0" w:lastColumn="0" w:oddVBand="0" w:evenVBand="0" w:oddHBand="0" w:evenHBand="0" w:firstRowFirstColumn="0" w:firstRowLastColumn="0" w:lastRowFirstColumn="0" w:lastRowLastColumn="0"/>
            </w:pPr>
            <w:r w:rsidRPr="00A0158E">
              <w:t>Western Australia</w:t>
            </w:r>
          </w:p>
        </w:tc>
      </w:tr>
      <w:tr w:rsidR="007B1AC6" w:rsidRPr="00F0724D" w14:paraId="3961010A" w14:textId="77777777" w:rsidTr="00DC7947">
        <w:trPr>
          <w:trHeight w:val="290"/>
        </w:trPr>
        <w:tc>
          <w:tcPr>
            <w:cnfStyle w:val="001000000000" w:firstRow="0" w:lastRow="0" w:firstColumn="1" w:lastColumn="0" w:oddVBand="0" w:evenVBand="0" w:oddHBand="0" w:evenHBand="0" w:firstRowFirstColumn="0" w:firstRowLastColumn="0" w:lastRowFirstColumn="0"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92F6A02" w14:textId="19C831A7" w:rsidR="004079DE" w:rsidRPr="00A0158E" w:rsidRDefault="004079DE" w:rsidP="000B762B">
            <w:r>
              <w:t>WAU</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B027C22" w14:textId="5BE16B8C" w:rsidR="004079DE" w:rsidRPr="00A0158E" w:rsidRDefault="004079DE" w:rsidP="000B762B">
            <w:pPr>
              <w:cnfStyle w:val="000000000000" w:firstRow="0" w:lastRow="0" w:firstColumn="0" w:lastColumn="0" w:oddVBand="0" w:evenVBand="0" w:oddHBand="0" w:evenHBand="0" w:firstRowFirstColumn="0" w:firstRowLastColumn="0" w:lastRowFirstColumn="0" w:lastRowLastColumn="0"/>
            </w:pPr>
            <w:r>
              <w:t>Weighted Activity Unit</w:t>
            </w:r>
          </w:p>
        </w:tc>
      </w:tr>
      <w:tr w:rsidR="007B1AC6" w:rsidRPr="00F0724D" w14:paraId="54726DF5" w14:textId="77777777" w:rsidTr="00DC7947">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39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9159B5D" w14:textId="7B9049B0" w:rsidR="000B762B" w:rsidRPr="00AB61BF" w:rsidRDefault="000B762B" w:rsidP="000B762B">
            <w:pPr>
              <w:rPr>
                <w:b w:val="0"/>
                <w:bCs/>
              </w:rPr>
            </w:pPr>
            <w:r w:rsidRPr="00AB61BF">
              <w:rPr>
                <w:b w:val="0"/>
                <w:bCs/>
              </w:rPr>
              <w:t>WIP</w:t>
            </w:r>
          </w:p>
        </w:tc>
        <w:tc>
          <w:tcPr>
            <w:tcW w:w="360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CF60033" w14:textId="6967E896" w:rsidR="000B762B" w:rsidRPr="00AB61BF" w:rsidRDefault="000B762B" w:rsidP="000B762B">
            <w:pPr>
              <w:cnfStyle w:val="010000000000" w:firstRow="0" w:lastRow="1" w:firstColumn="0" w:lastColumn="0" w:oddVBand="0" w:evenVBand="0" w:oddHBand="0" w:evenHBand="0" w:firstRowFirstColumn="0" w:firstRowLastColumn="0" w:lastRowFirstColumn="0" w:lastRowLastColumn="0"/>
              <w:rPr>
                <w:b w:val="0"/>
                <w:bCs/>
              </w:rPr>
            </w:pPr>
            <w:r w:rsidRPr="00AB61BF">
              <w:rPr>
                <w:b w:val="0"/>
                <w:bCs/>
              </w:rPr>
              <w:t>Work in progress</w:t>
            </w:r>
          </w:p>
        </w:tc>
      </w:tr>
    </w:tbl>
    <w:p w14:paraId="00C7DC0F" w14:textId="77777777" w:rsidR="002F238B" w:rsidRDefault="002F238B" w:rsidP="005C56EE">
      <w:pPr>
        <w:sectPr w:rsidR="002F238B" w:rsidSect="007A2B79">
          <w:headerReference w:type="even" r:id="rId17"/>
          <w:headerReference w:type="default" r:id="rId18"/>
          <w:footerReference w:type="even" r:id="rId19"/>
          <w:footerReference w:type="default" r:id="rId20"/>
          <w:headerReference w:type="first" r:id="rId21"/>
          <w:footerReference w:type="first" r:id="rId22"/>
          <w:footnotePr>
            <w:pos w:val="beneathText"/>
          </w:footnotePr>
          <w:endnotePr>
            <w:numFmt w:val="decimal"/>
          </w:endnotePr>
          <w:pgSz w:w="11906" w:h="16838" w:code="9"/>
          <w:pgMar w:top="1440" w:right="1440" w:bottom="1440" w:left="1440" w:header="720" w:footer="720" w:gutter="0"/>
          <w:cols w:space="720"/>
          <w:docGrid w:linePitch="360"/>
        </w:sectPr>
      </w:pPr>
    </w:p>
    <w:p w14:paraId="65E35643" w14:textId="6D59A8B7" w:rsidR="009C192B" w:rsidRPr="006D5F0D" w:rsidRDefault="002C04A3" w:rsidP="00101B44">
      <w:pPr>
        <w:pStyle w:val="Heading1"/>
      </w:pPr>
      <w:bookmarkStart w:id="11" w:name="_Toc209517819"/>
      <w:r>
        <w:lastRenderedPageBreak/>
        <w:t>Executive Summary</w:t>
      </w:r>
      <w:bookmarkEnd w:id="11"/>
    </w:p>
    <w:p w14:paraId="525DFA87" w14:textId="397904DB" w:rsidR="00240820" w:rsidRPr="00D34AD5" w:rsidRDefault="00240820" w:rsidP="00DA728C">
      <w:pPr>
        <w:pStyle w:val="Heading2"/>
      </w:pPr>
      <w:bookmarkStart w:id="12" w:name="_Toc179469754"/>
      <w:bookmarkStart w:id="13" w:name="_Toc184825650"/>
      <w:bookmarkStart w:id="14" w:name="_Hlk184814783"/>
      <w:bookmarkEnd w:id="10"/>
      <w:r w:rsidRPr="00D34AD5">
        <w:t xml:space="preserve">Overview of the </w:t>
      </w:r>
      <w:r w:rsidR="0017213A">
        <w:t>Independent Financial Review</w:t>
      </w:r>
    </w:p>
    <w:bookmarkEnd w:id="12"/>
    <w:bookmarkEnd w:id="13"/>
    <w:p w14:paraId="5D77DB87" w14:textId="5674BB76" w:rsidR="001729F2" w:rsidRDefault="001729F2" w:rsidP="001729F2">
      <w:r>
        <w:t>The National Hospital Cost Data Collection (NHCDC) is compiled annually by the Independent Health and Aged Care Pricing Authority (IHACPA)</w:t>
      </w:r>
      <w:r w:rsidR="008032C1">
        <w:t xml:space="preserve"> from submissions </w:t>
      </w:r>
      <w:r w:rsidR="00745ECF">
        <w:t xml:space="preserve">by states and territories (jurisdictions) </w:t>
      </w:r>
      <w:r>
        <w:t xml:space="preserve">and serves as the primary input for determining the </w:t>
      </w:r>
      <w:r w:rsidR="009C3C45">
        <w:t>n</w:t>
      </w:r>
      <w:r>
        <w:t xml:space="preserve">ational </w:t>
      </w:r>
      <w:r w:rsidR="009C3C45">
        <w:t>e</w:t>
      </w:r>
      <w:r>
        <w:t xml:space="preserve">fficient </w:t>
      </w:r>
      <w:r w:rsidR="009C3C45">
        <w:t>p</w:t>
      </w:r>
      <w:r>
        <w:t>rice (NEP). The NEP reflects the efficient cost of delivering public hospital services and underpins the activity</w:t>
      </w:r>
      <w:r w:rsidR="00745ECF">
        <w:noBreakHyphen/>
      </w:r>
      <w:r>
        <w:t>based funding</w:t>
      </w:r>
      <w:r w:rsidR="00F0258C">
        <w:t xml:space="preserve"> (ABF)</w:t>
      </w:r>
      <w:r>
        <w:t xml:space="preserve"> model used across Australia. A sample of NHCDC</w:t>
      </w:r>
      <w:r w:rsidR="004F310F">
        <w:t xml:space="preserve"> </w:t>
      </w:r>
      <w:r>
        <w:t>submitting hospitals from every jurisdiction undergoes an Independent Financial Review (IFR) to ensure the data is robust and fit</w:t>
      </w:r>
      <w:r w:rsidR="00860365">
        <w:t>-</w:t>
      </w:r>
      <w:r>
        <w:t>for</w:t>
      </w:r>
      <w:r w:rsidR="00860365">
        <w:t>-</w:t>
      </w:r>
      <w:r>
        <w:t>purpose. Although the IFR is intended to be conducted annually, it has not been carried out in full since 2020–21</w:t>
      </w:r>
      <w:r w:rsidR="00CE6F96">
        <w:rPr>
          <w:rFonts w:ascii="ZWAdobeF" w:hAnsi="ZWAdobeF" w:cs="ZWAdobeF"/>
          <w:color w:val="auto"/>
          <w:sz w:val="2"/>
          <w:szCs w:val="2"/>
        </w:rPr>
        <w:t>0F</w:t>
      </w:r>
      <w:r w:rsidR="006854A3">
        <w:rPr>
          <w:rStyle w:val="FootnoteReference"/>
        </w:rPr>
        <w:footnoteReference w:id="2"/>
      </w:r>
      <w:r>
        <w:t xml:space="preserve"> due to operational constraints faced by jurisdictions and hospitals as health systems focused on recovery from the COVID-19 pandemic</w:t>
      </w:r>
      <w:r w:rsidR="006854A3">
        <w:t>.</w:t>
      </w:r>
    </w:p>
    <w:p w14:paraId="19471308" w14:textId="0ABC5723" w:rsidR="00347695" w:rsidRDefault="00C274BC" w:rsidP="001729F2">
      <w:r>
        <w:t xml:space="preserve">Through a review of costing data submissions and </w:t>
      </w:r>
      <w:r w:rsidR="00BA1959">
        <w:t>consultation with costing practitioners at</w:t>
      </w:r>
      <w:r>
        <w:t xml:space="preserve"> </w:t>
      </w:r>
      <w:r w:rsidR="00B063FF">
        <w:t xml:space="preserve">the participating </w:t>
      </w:r>
      <w:r w:rsidR="00BA1959">
        <w:t>sites and jurisdictions</w:t>
      </w:r>
      <w:r w:rsidR="00B063FF">
        <w:t xml:space="preserve">, the IFR </w:t>
      </w:r>
      <w:r w:rsidR="00046648">
        <w:t>cover</w:t>
      </w:r>
      <w:r w:rsidR="00B063FF">
        <w:t xml:space="preserve">s a </w:t>
      </w:r>
      <w:r w:rsidR="007A7C51">
        <w:t xml:space="preserve">review of costing processes and the </w:t>
      </w:r>
      <w:r w:rsidR="00B063FF">
        <w:t xml:space="preserve">reconciliation between </w:t>
      </w:r>
      <w:r w:rsidR="0023691A">
        <w:t xml:space="preserve">financial and costing systems </w:t>
      </w:r>
      <w:r w:rsidR="00B71707">
        <w:t xml:space="preserve">and </w:t>
      </w:r>
      <w:r w:rsidR="0023691A">
        <w:t>assessment of the consistency between jurisdictions in the application of version 4.2 of the Australian Hospital Patient Costing Standards (AHPCS v4.2)</w:t>
      </w:r>
      <w:r w:rsidR="007E054B">
        <w:t>.</w:t>
      </w:r>
      <w:r w:rsidR="0023691A">
        <w:t xml:space="preserve"> </w:t>
      </w:r>
    </w:p>
    <w:p w14:paraId="5A2DB989" w14:textId="68F36A81" w:rsidR="001729F2" w:rsidRDefault="001729F2" w:rsidP="001729F2">
      <w:r>
        <w:t xml:space="preserve">For the 2023–24 financial year, the IFR included a </w:t>
      </w:r>
      <w:r w:rsidR="005C56EE">
        <w:t>focused</w:t>
      </w:r>
      <w:r>
        <w:t xml:space="preserve"> review into the costing methodologies and processes within</w:t>
      </w:r>
      <w:r w:rsidDel="00C411B3">
        <w:t xml:space="preserve"> </w:t>
      </w:r>
      <w:r>
        <w:t xml:space="preserve">Intensive Care Units </w:t>
      </w:r>
      <w:r w:rsidR="003652C2">
        <w:t>(ICUs)</w:t>
      </w:r>
      <w:r>
        <w:t xml:space="preserve"> / Critical Care Services. The aim was to understand the allocation methods used nationally</w:t>
      </w:r>
      <w:r w:rsidR="009F5F20" w:rsidRPr="009F5F20">
        <w:t xml:space="preserve"> </w:t>
      </w:r>
      <w:r w:rsidR="009F5F20">
        <w:t xml:space="preserve">and identify variations in costs </w:t>
      </w:r>
      <w:r>
        <w:t>to inform IHACPA’s ongoing work into the suitability of ICU pricing adjustments</w:t>
      </w:r>
      <w:r w:rsidR="00CD5B9A">
        <w:t xml:space="preserve"> in the NEP</w:t>
      </w:r>
      <w:r>
        <w:t xml:space="preserve">. </w:t>
      </w:r>
    </w:p>
    <w:p w14:paraId="1B581937" w14:textId="4A0A8C89" w:rsidR="00CD718C" w:rsidRDefault="00CD718C" w:rsidP="001729F2">
      <w:r w:rsidRPr="00CD718C">
        <w:t xml:space="preserve">The IFR </w:t>
      </w:r>
      <w:r w:rsidR="009F5F20" w:rsidRPr="00CD718C">
        <w:t xml:space="preserve">2023-24 </w:t>
      </w:r>
      <w:r w:rsidR="00767700">
        <w:t xml:space="preserve">also </w:t>
      </w:r>
      <w:r w:rsidRPr="00CD718C">
        <w:t xml:space="preserve">included a Cost Driver </w:t>
      </w:r>
      <w:r w:rsidR="00225C23">
        <w:t>a</w:t>
      </w:r>
      <w:r w:rsidRPr="00CD718C">
        <w:t xml:space="preserve">nalysis, </w:t>
      </w:r>
      <w:r w:rsidR="00DB5C0A">
        <w:t>analysing</w:t>
      </w:r>
      <w:r w:rsidR="00DE484A">
        <w:t xml:space="preserve"> trends in cost and activity data</w:t>
      </w:r>
      <w:r w:rsidR="00D35E1C">
        <w:t xml:space="preserve"> sourced </w:t>
      </w:r>
      <w:r w:rsidR="00121F9B">
        <w:t>from the</w:t>
      </w:r>
      <w:r w:rsidRPr="00CD718C">
        <w:t xml:space="preserve"> NHCDC submissions </w:t>
      </w:r>
      <w:r w:rsidR="00121F9B">
        <w:t xml:space="preserve">of participating </w:t>
      </w:r>
      <w:r w:rsidR="00F27EA6">
        <w:t>Local Health Networks (</w:t>
      </w:r>
      <w:r w:rsidR="00D35E1C">
        <w:t>LHNs</w:t>
      </w:r>
      <w:r w:rsidR="00F27EA6">
        <w:t>)</w:t>
      </w:r>
      <w:r w:rsidR="00D35E1C">
        <w:t>.</w:t>
      </w:r>
      <w:r w:rsidR="00C91A94">
        <w:t xml:space="preserve"> This was aimed at understanding key movements </w:t>
      </w:r>
      <w:r w:rsidR="0036677C">
        <w:t xml:space="preserve">by </w:t>
      </w:r>
      <w:r w:rsidR="008C27AA">
        <w:t xml:space="preserve">care </w:t>
      </w:r>
      <w:r w:rsidR="0036677C">
        <w:t xml:space="preserve">stream </w:t>
      </w:r>
      <w:r w:rsidR="00C91A94">
        <w:t>between the 2022-23 and 2023-24 years and was supported by engagement with jurisdictions to develop narratives around movements</w:t>
      </w:r>
      <w:r w:rsidRPr="00CD718C">
        <w:t xml:space="preserve"> to provide additional context to changes in the </w:t>
      </w:r>
      <w:r w:rsidR="002B7EAF">
        <w:t>reported data</w:t>
      </w:r>
      <w:r w:rsidRPr="00CD718C" w:rsidDel="00AD6754">
        <w:t>.</w:t>
      </w:r>
    </w:p>
    <w:p w14:paraId="2733A166" w14:textId="2C6F8AC5" w:rsidR="001729F2" w:rsidRDefault="001729F2" w:rsidP="001729F2">
      <w:r>
        <w:t xml:space="preserve">All jurisdictions except Tasmania agreed to participate in the IFR, nominating one to </w:t>
      </w:r>
      <w:r w:rsidR="00996163">
        <w:t>3</w:t>
      </w:r>
      <w:r>
        <w:t xml:space="preserve"> hospitals and </w:t>
      </w:r>
      <w:r w:rsidR="00950B24">
        <w:t xml:space="preserve">up to 2 </w:t>
      </w:r>
      <w:r>
        <w:t xml:space="preserve">LHNs for the review. </w:t>
      </w:r>
      <w:r w:rsidR="00E912D5">
        <w:t xml:space="preserve">The </w:t>
      </w:r>
      <w:r>
        <w:t xml:space="preserve">Australian Capital Territory (ACT) completed a partial IFR review due to a delay in their NHCDC 2023-24 submission and Northern Territory (NT) was not included in the review as their NHCDC 2023-24 data was not </w:t>
      </w:r>
      <w:r w:rsidR="00B2492E">
        <w:t>yet submitted</w:t>
      </w:r>
      <w:r w:rsidR="00F46110">
        <w:t xml:space="preserve"> </w:t>
      </w:r>
      <w:r w:rsidR="00C97F1B">
        <w:t>at</w:t>
      </w:r>
      <w:r w:rsidR="00F46110">
        <w:t xml:space="preserve"> the time the IFR was conducted</w:t>
      </w:r>
      <w:r>
        <w:t>.</w:t>
      </w:r>
    </w:p>
    <w:p w14:paraId="77786F5D" w14:textId="5DB91C00" w:rsidR="00240820" w:rsidRDefault="001729F2" w:rsidP="001729F2">
      <w:r>
        <w:t>IHACPA engaged Scyne Advisory to conduct the IFR</w:t>
      </w:r>
      <w:r w:rsidR="00BB279B">
        <w:t xml:space="preserve"> </w:t>
      </w:r>
      <w:r w:rsidR="005B51AC">
        <w:t>2023-24</w:t>
      </w:r>
      <w:r>
        <w:t>.</w:t>
      </w:r>
    </w:p>
    <w:p w14:paraId="491354D1" w14:textId="4CBE70B5" w:rsidR="00D34AD5" w:rsidRDefault="0017213A" w:rsidP="00DA728C">
      <w:pPr>
        <w:pStyle w:val="Heading2"/>
      </w:pPr>
      <w:r>
        <w:lastRenderedPageBreak/>
        <w:t xml:space="preserve">Cost Driver analysis for ABF </w:t>
      </w:r>
      <w:r w:rsidR="009F6CD3">
        <w:t>f</w:t>
      </w:r>
      <w:r>
        <w:t>unded hospitals</w:t>
      </w:r>
    </w:p>
    <w:p w14:paraId="571B54E7" w14:textId="6A80B45A" w:rsidR="00F52F67" w:rsidRPr="006E3D63" w:rsidRDefault="008C27AA" w:rsidP="003C28DB">
      <w:pPr>
        <w:rPr>
          <w:bCs/>
        </w:rPr>
      </w:pPr>
      <w:r>
        <w:t>The</w:t>
      </w:r>
      <w:r w:rsidR="005651D4">
        <w:t xml:space="preserve"> Cost Driver analysis was performed to better understand trends and drivers of change in the NHCDC submissions </w:t>
      </w:r>
      <w:r w:rsidR="008E7A1E">
        <w:t xml:space="preserve">for participating IFR jurisdictions </w:t>
      </w:r>
      <w:r w:rsidR="005651D4">
        <w:t>between 2022-23 and 2023-24.</w:t>
      </w:r>
      <w:r w:rsidR="00395AB2">
        <w:t xml:space="preserve"> The analysis was performed </w:t>
      </w:r>
      <w:r w:rsidR="008E7A1E">
        <w:t xml:space="preserve">across all </w:t>
      </w:r>
      <w:r w:rsidR="00373F2D">
        <w:t>care streams and identified the following</w:t>
      </w:r>
      <w:r w:rsidR="00F52F67">
        <w:rPr>
          <w:bCs/>
        </w:rPr>
        <w:t>:</w:t>
      </w:r>
    </w:p>
    <w:p w14:paraId="4A90FA81" w14:textId="57487E26" w:rsidR="00402251" w:rsidRDefault="00F52F67" w:rsidP="00402251">
      <w:pPr>
        <w:pStyle w:val="ListParagraph"/>
        <w:numPr>
          <w:ilvl w:val="0"/>
          <w:numId w:val="68"/>
        </w:numPr>
        <w:tabs>
          <w:tab w:val="clear" w:pos="5309"/>
        </w:tabs>
        <w:ind w:left="714" w:hanging="357"/>
        <w:contextualSpacing w:val="0"/>
      </w:pPr>
      <w:r w:rsidRPr="000713A4">
        <w:rPr>
          <w:b/>
        </w:rPr>
        <w:t>Total episodes</w:t>
      </w:r>
      <w:r w:rsidR="00CE6F96">
        <w:rPr>
          <w:rFonts w:ascii="ZWAdobeF" w:hAnsi="ZWAdobeF" w:cs="ZWAdobeF"/>
          <w:color w:val="auto"/>
          <w:sz w:val="2"/>
          <w:szCs w:val="2"/>
        </w:rPr>
        <w:t>1F</w:t>
      </w:r>
      <w:r>
        <w:rPr>
          <w:rStyle w:val="FootnoteReference"/>
          <w:b/>
        </w:rPr>
        <w:footnoteReference w:id="3"/>
      </w:r>
      <w:r>
        <w:t xml:space="preserve"> submitted in 2023-24 </w:t>
      </w:r>
      <w:r w:rsidR="004409D4">
        <w:t>for</w:t>
      </w:r>
      <w:r w:rsidR="00915A06">
        <w:t xml:space="preserve"> the 5 fully</w:t>
      </w:r>
      <w:r w:rsidR="004409D4">
        <w:t xml:space="preserve"> </w:t>
      </w:r>
      <w:r w:rsidR="00942B7F">
        <w:t xml:space="preserve">participating IFR jurisdictions </w:t>
      </w:r>
      <w:r>
        <w:t>w</w:t>
      </w:r>
      <w:r w:rsidR="00942B7F">
        <w:t>ere</w:t>
      </w:r>
      <w:r>
        <w:t xml:space="preserve"> 42.54</w:t>
      </w:r>
      <w:r w:rsidR="00942B7F">
        <w:t xml:space="preserve"> </w:t>
      </w:r>
      <w:r>
        <w:t>m</w:t>
      </w:r>
      <w:r w:rsidR="00942B7F">
        <w:t>illion</w:t>
      </w:r>
      <w:r>
        <w:t xml:space="preserve">, which represented an </w:t>
      </w:r>
      <w:r w:rsidRPr="000713A4">
        <w:rPr>
          <w:b/>
          <w:bCs/>
        </w:rPr>
        <w:t>+</w:t>
      </w:r>
      <w:r w:rsidRPr="000713A4">
        <w:rPr>
          <w:b/>
        </w:rPr>
        <w:t>8.8%</w:t>
      </w:r>
      <w:r>
        <w:t xml:space="preserve"> increase compared to total episodes submitted in 2022-23. The increase varied by jurisdiction, ranging between 5.1% and 13.1%, reflecting an increase in delivered hospital activity as well as improvements in data reporting for streams such as non-admitted where multiple jurisdictions highlighted better reporting of patient level data. </w:t>
      </w:r>
    </w:p>
    <w:p w14:paraId="1EEAB1BB" w14:textId="131C614F" w:rsidR="00F52F67" w:rsidRDefault="009B5E56" w:rsidP="00F52F67">
      <w:pPr>
        <w:pStyle w:val="ListParagraph"/>
        <w:numPr>
          <w:ilvl w:val="0"/>
          <w:numId w:val="68"/>
        </w:numPr>
        <w:tabs>
          <w:tab w:val="clear" w:pos="5309"/>
        </w:tabs>
        <w:ind w:left="714" w:hanging="357"/>
        <w:contextualSpacing w:val="0"/>
      </w:pPr>
      <w:r w:rsidRPr="00EC0C63">
        <w:rPr>
          <w:bCs/>
        </w:rPr>
        <w:t>T</w:t>
      </w:r>
      <w:r>
        <w:rPr>
          <w:bCs/>
        </w:rPr>
        <w:t xml:space="preserve">he total volume of </w:t>
      </w:r>
      <w:r w:rsidR="002A54AD">
        <w:rPr>
          <w:b/>
        </w:rPr>
        <w:t>Gross Weighted Activity Units (</w:t>
      </w:r>
      <w:r w:rsidR="00F52F67" w:rsidRPr="00C0059C">
        <w:rPr>
          <w:b/>
        </w:rPr>
        <w:t>GWAU</w:t>
      </w:r>
      <w:r w:rsidR="002A54AD">
        <w:rPr>
          <w:b/>
        </w:rPr>
        <w:t>)</w:t>
      </w:r>
      <w:r w:rsidR="00CE6F96">
        <w:rPr>
          <w:rFonts w:ascii="ZWAdobeF" w:hAnsi="ZWAdobeF" w:cs="ZWAdobeF"/>
          <w:color w:val="auto"/>
          <w:sz w:val="2"/>
          <w:szCs w:val="2"/>
        </w:rPr>
        <w:t>2F</w:t>
      </w:r>
      <w:r w:rsidR="008046D6">
        <w:rPr>
          <w:rStyle w:val="FootnoteReference"/>
          <w:b/>
        </w:rPr>
        <w:footnoteReference w:id="4"/>
      </w:r>
      <w:r w:rsidR="00D149F8" w:rsidRPr="00EC0C63">
        <w:t>,</w:t>
      </w:r>
      <w:r w:rsidR="00D149F8">
        <w:rPr>
          <w:b/>
        </w:rPr>
        <w:t xml:space="preserve"> </w:t>
      </w:r>
      <w:r w:rsidR="002A54AD">
        <w:rPr>
          <w:bCs/>
        </w:rPr>
        <w:t>a casemix standardised unit of activity,</w:t>
      </w:r>
      <w:r w:rsidR="00F52F67">
        <w:t xml:space="preserve"> </w:t>
      </w:r>
      <w:r>
        <w:t xml:space="preserve">was </w:t>
      </w:r>
      <w:r w:rsidR="00595D45">
        <w:t xml:space="preserve">10.15 million </w:t>
      </w:r>
      <w:r w:rsidR="00F52F67">
        <w:t>in 2023-24</w:t>
      </w:r>
      <w:r w:rsidR="00595D45">
        <w:t>. This</w:t>
      </w:r>
      <w:r w:rsidR="00437060">
        <w:t xml:space="preserve"> represented </w:t>
      </w:r>
      <w:r w:rsidR="00F52F67">
        <w:t xml:space="preserve">a </w:t>
      </w:r>
      <w:r w:rsidR="00F52F67" w:rsidRPr="00C0059C">
        <w:rPr>
          <w:b/>
          <w:bCs/>
        </w:rPr>
        <w:t>+</w:t>
      </w:r>
      <w:r w:rsidR="00F52F67" w:rsidRPr="00C0059C">
        <w:rPr>
          <w:b/>
        </w:rPr>
        <w:t>5.8%</w:t>
      </w:r>
      <w:r w:rsidR="00F52F67">
        <w:t xml:space="preserve"> increase compared to t</w:t>
      </w:r>
      <w:r w:rsidR="00437060">
        <w:t>he t</w:t>
      </w:r>
      <w:r w:rsidR="00F52F67">
        <w:t>otal GWAU calculated in 2022-23. This increase of 5.8%</w:t>
      </w:r>
      <w:r w:rsidR="00437060">
        <w:t xml:space="preserve"> </w:t>
      </w:r>
      <w:r w:rsidR="00F52F67">
        <w:t>was lower than the increase in total episodes, indicating a change in the reported casemix between 202</w:t>
      </w:r>
      <w:r w:rsidR="00D11EF9">
        <w:t>2</w:t>
      </w:r>
      <w:r w:rsidR="00F52F67">
        <w:t>-23 and 2023</w:t>
      </w:r>
      <w:r w:rsidR="00EC1590">
        <w:noBreakHyphen/>
      </w:r>
      <w:r w:rsidR="00F52F67">
        <w:t xml:space="preserve">24, primarily driven by GWAU growth in the admitted mental health stream being lower than </w:t>
      </w:r>
      <w:r w:rsidR="00D11EF9">
        <w:t xml:space="preserve">the </w:t>
      </w:r>
      <w:r w:rsidR="00F52F67">
        <w:t xml:space="preserve">growth in </w:t>
      </w:r>
      <w:r w:rsidR="00BB279B">
        <w:t xml:space="preserve">number of </w:t>
      </w:r>
      <w:r w:rsidR="00F52F67">
        <w:t>submitted phases</w:t>
      </w:r>
      <w:r w:rsidR="00D11EF9">
        <w:t xml:space="preserve"> </w:t>
      </w:r>
      <w:r w:rsidR="004E1450">
        <w:t xml:space="preserve">and </w:t>
      </w:r>
      <w:r w:rsidR="00D11EF9">
        <w:t>episodes</w:t>
      </w:r>
      <w:r w:rsidR="00F52F67">
        <w:t xml:space="preserve">. </w:t>
      </w:r>
    </w:p>
    <w:p w14:paraId="5D79916C" w14:textId="2BCAD36E" w:rsidR="008E26A3" w:rsidRDefault="00F52F67" w:rsidP="00F52F67">
      <w:pPr>
        <w:pStyle w:val="ListParagraph"/>
        <w:numPr>
          <w:ilvl w:val="0"/>
          <w:numId w:val="68"/>
        </w:numPr>
        <w:tabs>
          <w:tab w:val="clear" w:pos="5309"/>
        </w:tabs>
        <w:ind w:left="714" w:hanging="357"/>
        <w:contextualSpacing w:val="0"/>
      </w:pPr>
      <w:r w:rsidRPr="00C0059C">
        <w:rPr>
          <w:b/>
        </w:rPr>
        <w:t>Total cost</w:t>
      </w:r>
      <w:r>
        <w:t xml:space="preserve"> submitted in 2023-24 for the participating </w:t>
      </w:r>
      <w:r w:rsidR="00A33AC3">
        <w:t xml:space="preserve">IFR </w:t>
      </w:r>
      <w:r>
        <w:t>jurisdictions was $68.</w:t>
      </w:r>
      <w:r w:rsidR="00A312A6">
        <w:t>0</w:t>
      </w:r>
      <w:r w:rsidR="00494481">
        <w:t>8</w:t>
      </w:r>
      <w:r w:rsidR="00A312A6">
        <w:t xml:space="preserve"> </w:t>
      </w:r>
      <w:r>
        <w:t>b</w:t>
      </w:r>
      <w:r w:rsidR="00A33AC3">
        <w:t>illio</w:t>
      </w:r>
      <w:r>
        <w:t xml:space="preserve">n, which was a </w:t>
      </w:r>
      <w:r w:rsidRPr="00C0059C">
        <w:rPr>
          <w:b/>
          <w:bCs/>
        </w:rPr>
        <w:t>+</w:t>
      </w:r>
      <w:r w:rsidR="00A312A6">
        <w:rPr>
          <w:b/>
        </w:rPr>
        <w:t>8.8</w:t>
      </w:r>
      <w:r w:rsidRPr="00C0059C">
        <w:rPr>
          <w:b/>
        </w:rPr>
        <w:t>%</w:t>
      </w:r>
      <w:r>
        <w:t xml:space="preserve"> increase compared to total costs submitted in 2022-23, </w:t>
      </w:r>
      <w:r w:rsidR="00494481">
        <w:t xml:space="preserve">with the growth rate </w:t>
      </w:r>
      <w:r>
        <w:t>ranging between 7.</w:t>
      </w:r>
      <w:r w:rsidR="000F733F">
        <w:t>0</w:t>
      </w:r>
      <w:r>
        <w:t xml:space="preserve">% and </w:t>
      </w:r>
      <w:r w:rsidR="000F733F">
        <w:t>11.8</w:t>
      </w:r>
      <w:r>
        <w:t xml:space="preserve">% by jurisdiction. </w:t>
      </w:r>
    </w:p>
    <w:p w14:paraId="0E6E5125" w14:textId="729C3249" w:rsidR="008E26A3" w:rsidRDefault="00F52F67" w:rsidP="00EC0C63">
      <w:pPr>
        <w:pStyle w:val="ListParagraph"/>
        <w:numPr>
          <w:ilvl w:val="0"/>
          <w:numId w:val="68"/>
        </w:numPr>
        <w:tabs>
          <w:tab w:val="clear" w:pos="5309"/>
        </w:tabs>
        <w:ind w:left="714" w:hanging="357"/>
        <w:contextualSpacing w:val="0"/>
      </w:pPr>
      <w:r>
        <w:t xml:space="preserve">Total submitted costs increased by more than the increase in GWAU. This meant that the casemix adjusted average cost per unit, as measured by the </w:t>
      </w:r>
      <w:r w:rsidRPr="008E26A3">
        <w:rPr>
          <w:b/>
        </w:rPr>
        <w:t>average cost per GWAU</w:t>
      </w:r>
      <w:r>
        <w:t xml:space="preserve"> increased by </w:t>
      </w:r>
      <w:r w:rsidRPr="008E26A3">
        <w:rPr>
          <w:b/>
          <w:bCs/>
        </w:rPr>
        <w:t>+</w:t>
      </w:r>
      <w:r w:rsidR="002B1E67" w:rsidRPr="008E26A3">
        <w:rPr>
          <w:b/>
        </w:rPr>
        <w:t>2.9</w:t>
      </w:r>
      <w:r w:rsidRPr="008E26A3">
        <w:rPr>
          <w:b/>
        </w:rPr>
        <w:t xml:space="preserve">% </w:t>
      </w:r>
      <w:r>
        <w:t xml:space="preserve">to </w:t>
      </w:r>
      <w:r w:rsidRPr="008E26A3">
        <w:rPr>
          <w:b/>
        </w:rPr>
        <w:t>$6,</w:t>
      </w:r>
      <w:r w:rsidR="002B1E67" w:rsidRPr="008E26A3">
        <w:rPr>
          <w:b/>
        </w:rPr>
        <w:t>707</w:t>
      </w:r>
      <w:r w:rsidR="002B1E67">
        <w:t xml:space="preserve"> </w:t>
      </w:r>
      <w:r>
        <w:t xml:space="preserve">in 2023-24. </w:t>
      </w:r>
      <w:r w:rsidR="00204D7E">
        <w:t xml:space="preserve">South Australia </w:t>
      </w:r>
      <w:r>
        <w:t xml:space="preserve">had the highest increase in average cost per GWAU </w:t>
      </w:r>
      <w:r w:rsidR="002B1E67">
        <w:t xml:space="preserve">with </w:t>
      </w:r>
      <w:r>
        <w:t>5.</w:t>
      </w:r>
      <w:r w:rsidR="005D54AA">
        <w:t>1</w:t>
      </w:r>
      <w:r>
        <w:t xml:space="preserve">%, </w:t>
      </w:r>
      <w:r w:rsidR="002B1E67">
        <w:t>followed by Victoria with</w:t>
      </w:r>
      <w:r w:rsidR="005D54AA">
        <w:t xml:space="preserve"> 3.9%</w:t>
      </w:r>
      <w:r w:rsidR="002B1E67">
        <w:t xml:space="preserve">, and </w:t>
      </w:r>
      <w:r>
        <w:t>the other jurisdictions increased by approximately 2.</w:t>
      </w:r>
      <w:r w:rsidR="005D54AA">
        <w:t>0</w:t>
      </w:r>
      <w:r>
        <w:t xml:space="preserve">% to 2.2%. </w:t>
      </w:r>
    </w:p>
    <w:p w14:paraId="7D2BC200" w14:textId="450BA4B5" w:rsidR="00386D5F" w:rsidRPr="00412BCC" w:rsidRDefault="00412BCC" w:rsidP="00EC0C63">
      <w:pPr>
        <w:pStyle w:val="ListParagraph"/>
        <w:keepLines/>
        <w:tabs>
          <w:tab w:val="clear" w:pos="5309"/>
        </w:tabs>
        <w:ind w:left="714"/>
        <w:contextualSpacing w:val="0"/>
      </w:pPr>
      <w:r w:rsidRPr="00412BCC">
        <w:t xml:space="preserve">Variation </w:t>
      </w:r>
      <w:r>
        <w:t xml:space="preserve">was also observed </w:t>
      </w:r>
      <w:r w:rsidRPr="00412BCC">
        <w:t xml:space="preserve">in the growth for average cost per GWAU </w:t>
      </w:r>
      <w:r>
        <w:t xml:space="preserve">by </w:t>
      </w:r>
      <w:r w:rsidRPr="00412BCC">
        <w:t>NHCDC activity stream, with higher growth rates in admitted mental health (</w:t>
      </w:r>
      <w:r w:rsidR="00075E21">
        <w:t>10.8</w:t>
      </w:r>
      <w:r w:rsidRPr="00412BCC">
        <w:t xml:space="preserve">%) and </w:t>
      </w:r>
      <w:r w:rsidR="001D5001">
        <w:t xml:space="preserve">emergency department </w:t>
      </w:r>
      <w:r w:rsidRPr="00412BCC">
        <w:t>(6.</w:t>
      </w:r>
      <w:r w:rsidR="00075E21">
        <w:t>0</w:t>
      </w:r>
      <w:r w:rsidRPr="00412BCC">
        <w:t>%) compared to admitted acute (2.</w:t>
      </w:r>
      <w:r w:rsidR="00075E21">
        <w:t>2</w:t>
      </w:r>
      <w:r w:rsidRPr="00412BCC">
        <w:t>%) and non-admitted (0.</w:t>
      </w:r>
      <w:r w:rsidR="00075E21">
        <w:t>6</w:t>
      </w:r>
      <w:r w:rsidRPr="00412BCC">
        <w:t xml:space="preserve">%). </w:t>
      </w:r>
    </w:p>
    <w:p w14:paraId="6E9E772C" w14:textId="11BE3E10" w:rsidR="00282610" w:rsidRDefault="00423980" w:rsidP="00BE4ED1">
      <w:pPr>
        <w:tabs>
          <w:tab w:val="clear" w:pos="5309"/>
        </w:tabs>
        <w:spacing w:line="279" w:lineRule="auto"/>
      </w:pPr>
      <w:r w:rsidRPr="001511E4">
        <w:t>Results from the Cost Driver analysis w</w:t>
      </w:r>
      <w:r w:rsidR="00176D56" w:rsidRPr="001511E4">
        <w:t>ere</w:t>
      </w:r>
      <w:r w:rsidRPr="001511E4">
        <w:t xml:space="preserve"> discussed with jurisdictions</w:t>
      </w:r>
      <w:r w:rsidR="00750E54">
        <w:t>’</w:t>
      </w:r>
      <w:r w:rsidRPr="001511E4">
        <w:t xml:space="preserve"> representatives as part of the IFR </w:t>
      </w:r>
      <w:r w:rsidR="009B127A" w:rsidRPr="001511E4">
        <w:t>to</w:t>
      </w:r>
      <w:r w:rsidRPr="001511E4">
        <w:t xml:space="preserve"> try to understand </w:t>
      </w:r>
      <w:r w:rsidR="003C5E02" w:rsidRPr="001511E4">
        <w:t xml:space="preserve">factors driving the observed activity and cost changes. </w:t>
      </w:r>
      <w:r w:rsidR="000B70BA">
        <w:t xml:space="preserve">Some </w:t>
      </w:r>
      <w:r w:rsidR="005A27EB">
        <w:t xml:space="preserve">insights around the analysis </w:t>
      </w:r>
      <w:r w:rsidR="00624ECD">
        <w:t>were</w:t>
      </w:r>
      <w:r w:rsidR="005A27EB">
        <w:t xml:space="preserve"> obt</w:t>
      </w:r>
      <w:r w:rsidR="000B70BA">
        <w:t>ained</w:t>
      </w:r>
      <w:r w:rsidR="005A27EB">
        <w:t xml:space="preserve"> will be provided to </w:t>
      </w:r>
      <w:r w:rsidR="008B3FBB">
        <w:t xml:space="preserve">IHACPA </w:t>
      </w:r>
      <w:r w:rsidR="00B316F2">
        <w:t xml:space="preserve">to consider </w:t>
      </w:r>
      <w:r w:rsidR="00C16C9D">
        <w:t xml:space="preserve">as they use the dataset </w:t>
      </w:r>
      <w:r w:rsidR="00B316F2">
        <w:t>in the NEP determination</w:t>
      </w:r>
      <w:r w:rsidR="00C16C9D">
        <w:t xml:space="preserve">. </w:t>
      </w:r>
      <w:r w:rsidR="005A27EB">
        <w:t>However</w:t>
      </w:r>
      <w:r w:rsidR="00616183">
        <w:t xml:space="preserve"> a detailed understanding of the trend</w:t>
      </w:r>
      <w:r w:rsidR="00944492">
        <w:t>s and</w:t>
      </w:r>
      <w:r w:rsidR="00616183">
        <w:t xml:space="preserve"> movements </w:t>
      </w:r>
      <w:r w:rsidR="00944492">
        <w:t xml:space="preserve">in submitted data </w:t>
      </w:r>
      <w:r w:rsidR="00616183">
        <w:t xml:space="preserve">was limited by </w:t>
      </w:r>
      <w:r w:rsidR="00282610">
        <w:t xml:space="preserve">the </w:t>
      </w:r>
      <w:r w:rsidR="00282610" w:rsidRPr="001511E4">
        <w:t>time lag</w:t>
      </w:r>
      <w:r w:rsidR="00BE4ED1">
        <w:t xml:space="preserve"> </w:t>
      </w:r>
      <w:r w:rsidR="00282610" w:rsidRPr="001511E4">
        <w:t>between the NHCDC submission and the financial year in question</w:t>
      </w:r>
      <w:r w:rsidR="00890268">
        <w:t xml:space="preserve"> (2 years)</w:t>
      </w:r>
      <w:r w:rsidR="00282610" w:rsidRPr="001511E4">
        <w:t xml:space="preserve">, </w:t>
      </w:r>
      <w:r w:rsidR="00624ECD">
        <w:t xml:space="preserve">and the fact </w:t>
      </w:r>
      <w:r w:rsidR="007A6751">
        <w:t xml:space="preserve">that </w:t>
      </w:r>
      <w:r w:rsidR="00890268">
        <w:t>an</w:t>
      </w:r>
      <w:r w:rsidR="007A6751">
        <w:t xml:space="preserve"> understanding of a LHN</w:t>
      </w:r>
      <w:r w:rsidR="00F732D1">
        <w:t xml:space="preserve"> </w:t>
      </w:r>
      <w:r w:rsidR="00890268">
        <w:t>/</w:t>
      </w:r>
      <w:r w:rsidR="00F732D1">
        <w:t xml:space="preserve"> </w:t>
      </w:r>
      <w:r w:rsidR="00890268">
        <w:t>hospital</w:t>
      </w:r>
      <w:r w:rsidR="00F732D1">
        <w:t>’</w:t>
      </w:r>
      <w:r w:rsidR="007A6751">
        <w:t xml:space="preserve">s performance is considered for the </w:t>
      </w:r>
      <w:r w:rsidR="00890268">
        <w:t xml:space="preserve">facility or entity </w:t>
      </w:r>
      <w:r w:rsidR="007A6751">
        <w:t xml:space="preserve">as a whole rather </w:t>
      </w:r>
      <w:r w:rsidR="00282610" w:rsidRPr="001511E4">
        <w:t>than just the in</w:t>
      </w:r>
      <w:r w:rsidR="00890268">
        <w:t>-</w:t>
      </w:r>
      <w:r w:rsidR="00282610" w:rsidRPr="001511E4">
        <w:t>scope elements</w:t>
      </w:r>
      <w:r w:rsidR="00890268">
        <w:t xml:space="preserve"> of</w:t>
      </w:r>
      <w:r w:rsidR="00282610" w:rsidRPr="001511E4">
        <w:t xml:space="preserve"> the National Hospital Reform Agreement.</w:t>
      </w:r>
    </w:p>
    <w:p w14:paraId="4553CBB9" w14:textId="77777777" w:rsidR="00AE71AC" w:rsidRPr="00AE71AC" w:rsidRDefault="00467D3A" w:rsidP="00984C97">
      <w:pPr>
        <w:pStyle w:val="Heading2"/>
      </w:pPr>
      <w:r>
        <w:lastRenderedPageBreak/>
        <w:t>Findings and recommendations</w:t>
      </w:r>
    </w:p>
    <w:p w14:paraId="6BBDACB0" w14:textId="4B8A052E" w:rsidR="00AE71AC" w:rsidRDefault="00AE71AC" w:rsidP="00AE71AC">
      <w:r w:rsidRPr="00D8286D">
        <w:t>Findings throughout this review have been</w:t>
      </w:r>
      <w:r w:rsidR="000A4BB3" w:rsidRPr="00D8286D">
        <w:t xml:space="preserve"> </w:t>
      </w:r>
      <w:r w:rsidR="00DD642E">
        <w:t>grouped</w:t>
      </w:r>
      <w:r w:rsidR="00801428">
        <w:t xml:space="preserve"> into</w:t>
      </w:r>
      <w:r w:rsidR="000A4BB3">
        <w:t xml:space="preserve"> </w:t>
      </w:r>
      <w:r w:rsidR="00996163">
        <w:t>5</w:t>
      </w:r>
      <w:r w:rsidR="000A4BB3">
        <w:t xml:space="preserve"> areas: the </w:t>
      </w:r>
      <w:r w:rsidR="009B5F7D">
        <w:t xml:space="preserve">overall robustness of the NHCDC, </w:t>
      </w:r>
      <w:r w:rsidR="000A4BB3">
        <w:t xml:space="preserve">the critical care focused review, scope of exclusions from NHCDC 2023-24, findings relating to costing processes, </w:t>
      </w:r>
      <w:r w:rsidR="009B5F7D">
        <w:t xml:space="preserve">and </w:t>
      </w:r>
      <w:r w:rsidR="000A4BB3">
        <w:t xml:space="preserve">comparability across </w:t>
      </w:r>
      <w:r w:rsidR="009B5F7D">
        <w:t>jurisdictions</w:t>
      </w:r>
      <w:r w:rsidR="000A4BB3">
        <w:t>.</w:t>
      </w:r>
    </w:p>
    <w:p w14:paraId="6DDBB377" w14:textId="77777777" w:rsidR="005248B6" w:rsidRDefault="005248B6" w:rsidP="005248B6">
      <w:pPr>
        <w:pStyle w:val="Heading3"/>
      </w:pPr>
      <w:r>
        <w:t>Overall robustness of the NHCDC</w:t>
      </w:r>
    </w:p>
    <w:p w14:paraId="76E372D7" w14:textId="142D4F43" w:rsidR="002975EA" w:rsidRDefault="005248B6" w:rsidP="002975EA">
      <w:r w:rsidRPr="001F626C">
        <w:t>One of the key objectives of the IFR is to assess the robustness of the NHCDC and its suitability to inform the NEP.</w:t>
      </w:r>
      <w:r w:rsidR="002975EA" w:rsidRPr="002975EA">
        <w:t xml:space="preserve"> </w:t>
      </w:r>
      <w:r w:rsidR="002975EA">
        <w:t xml:space="preserve">The development of the NEP </w:t>
      </w:r>
      <w:r w:rsidR="0084350A">
        <w:t>d</w:t>
      </w:r>
      <w:r w:rsidR="002975EA">
        <w:t>etermination utilises submitted activity and cost data across all NHCDC activity streams.</w:t>
      </w:r>
    </w:p>
    <w:p w14:paraId="00EDF563" w14:textId="24869733" w:rsidR="002975EA" w:rsidRDefault="002975EA" w:rsidP="002975EA">
      <w:r>
        <w:t xml:space="preserve">The admitted acute stream is the most mature stream and accounts for the largest proportion of submitted costs. In the context of the </w:t>
      </w:r>
      <w:r w:rsidR="0084350A">
        <w:t xml:space="preserve">development of the </w:t>
      </w:r>
      <w:r>
        <w:t xml:space="preserve">NEP </w:t>
      </w:r>
      <w:r w:rsidR="0084350A">
        <w:t>determination</w:t>
      </w:r>
      <w:r>
        <w:t xml:space="preserve">, it is also the most important stream as it is used for the development of the Reference Cost (the average cost per weighted activity unit underpinning the </w:t>
      </w:r>
      <w:r w:rsidR="00846931">
        <w:t>NEP</w:t>
      </w:r>
      <w:r>
        <w:t xml:space="preserve">), against which all other streams are compared to for developing price weights. </w:t>
      </w:r>
    </w:p>
    <w:p w14:paraId="36708E0D" w14:textId="77777777" w:rsidR="00490984" w:rsidRDefault="002975EA" w:rsidP="00985174">
      <w:r>
        <w:t>Other streams such as non-admitted and mental health (especially community mental health) are still maturing and jurisdictions continue to make refinements to data collection and costing processes</w:t>
      </w:r>
      <w:r w:rsidR="00E96F78">
        <w:t>.</w:t>
      </w:r>
      <w:r w:rsidR="00490984">
        <w:t xml:space="preserve"> </w:t>
      </w:r>
    </w:p>
    <w:p w14:paraId="3A2557C0" w14:textId="33442E45" w:rsidR="005248B6" w:rsidRPr="00C97F1B" w:rsidRDefault="0014316C" w:rsidP="003C28DB">
      <w:pPr>
        <w:rPr>
          <w:b/>
        </w:rPr>
      </w:pPr>
      <w:r>
        <w:t>Five</w:t>
      </w:r>
      <w:r w:rsidR="00490984" w:rsidRPr="001F626C">
        <w:t xml:space="preserve"> jurisdictions participated in a full IFR process this year,</w:t>
      </w:r>
      <w:r w:rsidR="00490984">
        <w:t xml:space="preserve"> nominating one to </w:t>
      </w:r>
      <w:r w:rsidR="0084350A">
        <w:t xml:space="preserve">3 hospitals </w:t>
      </w:r>
      <w:r w:rsidR="00205763">
        <w:t xml:space="preserve">across one to </w:t>
      </w:r>
      <w:r w:rsidR="00490984">
        <w:t>2 LHNs</w:t>
      </w:r>
      <w:r w:rsidR="00C148D7">
        <w:t xml:space="preserve"> each</w:t>
      </w:r>
      <w:r w:rsidR="00490984" w:rsidRPr="001F626C">
        <w:t>.</w:t>
      </w:r>
      <w:r>
        <w:t xml:space="preserve"> For these participa</w:t>
      </w:r>
      <w:r w:rsidR="00796309">
        <w:t xml:space="preserve">nts, the review </w:t>
      </w:r>
      <w:r w:rsidR="005536B8">
        <w:t xml:space="preserve">consisted of workshops to discuss </w:t>
      </w:r>
      <w:r w:rsidR="00796309">
        <w:t>their costing processes, compliance with AHPCS</w:t>
      </w:r>
      <w:r w:rsidR="00846931">
        <w:t xml:space="preserve"> v4.2</w:t>
      </w:r>
      <w:r w:rsidR="00302F67">
        <w:t xml:space="preserve">, reconciliations </w:t>
      </w:r>
      <w:r w:rsidR="00EE6604">
        <w:t>from the general ledger</w:t>
      </w:r>
      <w:r w:rsidR="00846931">
        <w:t xml:space="preserve"> (GL)</w:t>
      </w:r>
      <w:r w:rsidR="00EE6604">
        <w:t xml:space="preserve"> to </w:t>
      </w:r>
      <w:r w:rsidR="00302F67">
        <w:t>the costed submission</w:t>
      </w:r>
      <w:r w:rsidR="00EE6604">
        <w:t xml:space="preserve"> and a focused review of </w:t>
      </w:r>
      <w:r w:rsidR="0047273C">
        <w:t xml:space="preserve">costing </w:t>
      </w:r>
      <w:r w:rsidR="00FB2BF0">
        <w:t xml:space="preserve">critical care areas. The IFR is not an audit, and so the </w:t>
      </w:r>
      <w:r w:rsidR="00C148D7">
        <w:t xml:space="preserve">approach </w:t>
      </w:r>
      <w:r w:rsidR="0047273C">
        <w:t>relies upon the information provided by</w:t>
      </w:r>
      <w:r w:rsidR="008160F9">
        <w:t xml:space="preserve"> fully</w:t>
      </w:r>
      <w:r w:rsidR="0047273C">
        <w:t xml:space="preserve"> participating jurisdictions</w:t>
      </w:r>
      <w:r w:rsidR="00634E48">
        <w:t xml:space="preserve"> to identify findings.</w:t>
      </w:r>
      <w:r w:rsidR="00490984">
        <w:t xml:space="preserve"> </w:t>
      </w:r>
      <w:r w:rsidR="00357FD5" w:rsidRPr="00C97F1B">
        <w:rPr>
          <w:b/>
        </w:rPr>
        <w:t>While the IFR did identify some</w:t>
      </w:r>
      <w:r w:rsidR="003A3702" w:rsidRPr="00C97F1B">
        <w:rPr>
          <w:b/>
        </w:rPr>
        <w:t xml:space="preserve"> reporting inconsistencies and </w:t>
      </w:r>
      <w:r w:rsidR="00D82FF7" w:rsidRPr="00C97F1B">
        <w:rPr>
          <w:b/>
        </w:rPr>
        <w:t xml:space="preserve">some </w:t>
      </w:r>
      <w:r w:rsidR="003A3702" w:rsidRPr="00C97F1B">
        <w:rPr>
          <w:b/>
        </w:rPr>
        <w:t>opportunities for improvement in cost allocation processes, none of these were considered material</w:t>
      </w:r>
      <w:r w:rsidR="00D82FF7" w:rsidRPr="00C97F1B">
        <w:rPr>
          <w:b/>
        </w:rPr>
        <w:t xml:space="preserve"> or </w:t>
      </w:r>
      <w:r w:rsidR="003A3702" w:rsidRPr="00C97F1B">
        <w:rPr>
          <w:b/>
        </w:rPr>
        <w:t>impact</w:t>
      </w:r>
      <w:r w:rsidR="00D82FF7" w:rsidRPr="00C97F1B">
        <w:rPr>
          <w:b/>
        </w:rPr>
        <w:t>ed</w:t>
      </w:r>
      <w:r w:rsidR="003A3702" w:rsidRPr="00C97F1B">
        <w:rPr>
          <w:b/>
        </w:rPr>
        <w:t xml:space="preserve"> on the suitability of the NHCDC 2023-24 to be used for the develop</w:t>
      </w:r>
      <w:r w:rsidR="00D82FF7" w:rsidRPr="00C97F1B">
        <w:rPr>
          <w:b/>
        </w:rPr>
        <w:t>ment of</w:t>
      </w:r>
      <w:r w:rsidR="003A3702" w:rsidRPr="00C97F1B">
        <w:rPr>
          <w:b/>
        </w:rPr>
        <w:t xml:space="preserve"> the NEP.</w:t>
      </w:r>
      <w:r w:rsidR="00357FD5" w:rsidRPr="00C97F1B">
        <w:rPr>
          <w:b/>
        </w:rPr>
        <w:t xml:space="preserve"> </w:t>
      </w:r>
    </w:p>
    <w:p w14:paraId="366D86DC" w14:textId="2A05CCA4" w:rsidR="005B1912" w:rsidRDefault="005B1912" w:rsidP="005A7B8B">
      <w:pPr>
        <w:pStyle w:val="Heading3"/>
      </w:pPr>
      <w:r>
        <w:t xml:space="preserve">Critical Care </w:t>
      </w:r>
      <w:r w:rsidR="00431CCB">
        <w:t>focused review findings</w:t>
      </w:r>
    </w:p>
    <w:p w14:paraId="72B3032B" w14:textId="49316408" w:rsidR="005B1912" w:rsidRDefault="005B1912" w:rsidP="005B1912">
      <w:r>
        <w:t>The focu</w:t>
      </w:r>
      <w:r w:rsidR="00846931">
        <w:t>s</w:t>
      </w:r>
      <w:r>
        <w:t xml:space="preserve">ed review of critical care costing practices across jurisdictions has </w:t>
      </w:r>
      <w:r w:rsidR="00186356">
        <w:t>highlighted</w:t>
      </w:r>
      <w:r>
        <w:t xml:space="preserve"> </w:t>
      </w:r>
      <w:r w:rsidRPr="00C97F1B">
        <w:rPr>
          <w:b/>
        </w:rPr>
        <w:t xml:space="preserve">variation in how </w:t>
      </w:r>
      <w:r w:rsidR="00186356" w:rsidRPr="00C97F1B">
        <w:rPr>
          <w:b/>
        </w:rPr>
        <w:t>critical</w:t>
      </w:r>
      <w:r w:rsidR="00750E54">
        <w:rPr>
          <w:b/>
        </w:rPr>
        <w:t xml:space="preserve"> care</w:t>
      </w:r>
      <w:r w:rsidR="00186356" w:rsidRPr="00C97F1B">
        <w:rPr>
          <w:b/>
        </w:rPr>
        <w:t xml:space="preserve"> </w:t>
      </w:r>
      <w:r w:rsidRPr="00C97F1B">
        <w:rPr>
          <w:b/>
        </w:rPr>
        <w:t>costs and activity are reported</w:t>
      </w:r>
      <w:r>
        <w:t xml:space="preserve"> within the NHCDC 2023-24. These inconsistencies affect th</w:t>
      </w:r>
      <w:r w:rsidR="00431CCB">
        <w:t>e</w:t>
      </w:r>
      <w:r>
        <w:t xml:space="preserve"> comparability</w:t>
      </w:r>
      <w:r w:rsidR="00431CCB">
        <w:t xml:space="preserve"> of cost </w:t>
      </w:r>
      <w:r>
        <w:t xml:space="preserve">data </w:t>
      </w:r>
      <w:r w:rsidR="00431CCB">
        <w:t xml:space="preserve">within the </w:t>
      </w:r>
      <w:r w:rsidR="00431CCB" w:rsidRPr="00186356">
        <w:rPr>
          <w:i/>
          <w:iCs/>
        </w:rPr>
        <w:t>Critical</w:t>
      </w:r>
      <w:r w:rsidR="00431CCB" w:rsidRPr="002C3947">
        <w:t xml:space="preserve"> </w:t>
      </w:r>
      <w:r w:rsidR="00431CCB">
        <w:t xml:space="preserve">NHCDC Cost Centre Group across jurisdictions </w:t>
      </w:r>
      <w:r>
        <w:t>for benchmarking purposes.</w:t>
      </w:r>
      <w:r w:rsidR="00BA2813">
        <w:t xml:space="preserve"> It also impacts on IHACPA</w:t>
      </w:r>
      <w:r w:rsidR="00A83FD0">
        <w:t>’</w:t>
      </w:r>
      <w:r w:rsidR="00BA2813">
        <w:t>s ability to accurately</w:t>
      </w:r>
      <w:r w:rsidR="00F700AB">
        <w:t xml:space="preserve"> determine the </w:t>
      </w:r>
      <w:r w:rsidR="003652C2">
        <w:t>ICU</w:t>
      </w:r>
      <w:r w:rsidR="00F700AB">
        <w:t xml:space="preserve"> adjustment applied in the NEP calculation, as that relies on the reporting of</w:t>
      </w:r>
      <w:r w:rsidR="00373983">
        <w:t xml:space="preserve"> </w:t>
      </w:r>
      <w:r w:rsidR="00F700AB">
        <w:t>hours</w:t>
      </w:r>
      <w:r w:rsidR="00373983">
        <w:t xml:space="preserve"> and costs within specific NHCDC </w:t>
      </w:r>
      <w:r w:rsidR="000C537C">
        <w:t>C</w:t>
      </w:r>
      <w:r w:rsidR="00373983">
        <w:t xml:space="preserve">ost </w:t>
      </w:r>
      <w:r w:rsidR="000C537C">
        <w:t>C</w:t>
      </w:r>
      <w:r w:rsidR="00373983">
        <w:t xml:space="preserve">entre </w:t>
      </w:r>
      <w:r w:rsidR="000C537C">
        <w:t>G</w:t>
      </w:r>
      <w:r w:rsidR="00373983">
        <w:t>roups and activity reporting.</w:t>
      </w:r>
    </w:p>
    <w:p w14:paraId="588D6E99" w14:textId="2A7201A7" w:rsidR="005B1912" w:rsidRDefault="00EB34C1" w:rsidP="005B1912">
      <w:r>
        <w:t xml:space="preserve">While ICU departments cater to </w:t>
      </w:r>
      <w:r w:rsidR="00D278BE">
        <w:t xml:space="preserve">patients requiring </w:t>
      </w:r>
      <w:r>
        <w:t xml:space="preserve">both ICU and </w:t>
      </w:r>
      <w:r w:rsidR="00D278BE">
        <w:t>a step down level of care, m</w:t>
      </w:r>
      <w:r w:rsidR="005B1912">
        <w:t xml:space="preserve">ost jurisdictions report </w:t>
      </w:r>
      <w:r w:rsidR="00B86EAC">
        <w:t xml:space="preserve">the </w:t>
      </w:r>
      <w:r w:rsidR="005B1912">
        <w:t>majority</w:t>
      </w:r>
      <w:r w:rsidR="005A0AC7">
        <w:t xml:space="preserve"> of</w:t>
      </w:r>
      <w:r w:rsidR="005B1912">
        <w:t xml:space="preserve"> critical care costs under the </w:t>
      </w:r>
      <w:r w:rsidR="00A858BD">
        <w:t>Adult ICU (</w:t>
      </w:r>
      <w:r w:rsidR="005B1912" w:rsidRPr="005B1912">
        <w:rPr>
          <w:i/>
          <w:iCs/>
        </w:rPr>
        <w:t>Aicu</w:t>
      </w:r>
      <w:r w:rsidR="00A858BD">
        <w:rPr>
          <w:i/>
          <w:iCs/>
        </w:rPr>
        <w:t>)</w:t>
      </w:r>
      <w:r w:rsidR="005B1912">
        <w:t xml:space="preserve"> NHCDC </w:t>
      </w:r>
      <w:r w:rsidR="00225C23">
        <w:t>C</w:t>
      </w:r>
      <w:r w:rsidR="005B1912">
        <w:t xml:space="preserve">ost </w:t>
      </w:r>
      <w:r w:rsidR="00225C23">
        <w:t>C</w:t>
      </w:r>
      <w:r w:rsidR="005B1912">
        <w:t xml:space="preserve">entre due to challenges in distinguishing between </w:t>
      </w:r>
      <w:r w:rsidR="00B86EAC">
        <w:t>care needs for ICU patients</w:t>
      </w:r>
      <w:r w:rsidR="005B1912">
        <w:t xml:space="preserve">. </w:t>
      </w:r>
      <w:r w:rsidR="00B86EAC">
        <w:t xml:space="preserve">Nationally, </w:t>
      </w:r>
      <w:r w:rsidR="00B86EAC" w:rsidRPr="00B86EAC">
        <w:rPr>
          <w:i/>
          <w:iCs/>
        </w:rPr>
        <w:t>Aicu</w:t>
      </w:r>
      <w:r w:rsidR="00B86EAC">
        <w:t xml:space="preserve"> represented </w:t>
      </w:r>
      <w:r w:rsidR="00CC7591">
        <w:t>65.4</w:t>
      </w:r>
      <w:r w:rsidR="002B6F12">
        <w:t xml:space="preserve">% of </w:t>
      </w:r>
      <w:r w:rsidR="002B6F12" w:rsidRPr="00B86EAC">
        <w:rPr>
          <w:i/>
          <w:iCs/>
        </w:rPr>
        <w:t>Critical</w:t>
      </w:r>
      <w:r w:rsidR="002B6F12">
        <w:t xml:space="preserve"> NHCDC Cost Centre Group costs in 2023-24</w:t>
      </w:r>
      <w:r w:rsidR="002B6F12" w:rsidRPr="00205763">
        <w:t>.</w:t>
      </w:r>
      <w:r w:rsidR="002B6F12">
        <w:t xml:space="preserve"> </w:t>
      </w:r>
      <w:r w:rsidR="005D3D0B">
        <w:t>Six</w:t>
      </w:r>
      <w:r w:rsidR="005B1912">
        <w:t xml:space="preserve"> of the </w:t>
      </w:r>
      <w:r w:rsidR="002B6F12">
        <w:t>10</w:t>
      </w:r>
      <w:r w:rsidR="005B1912">
        <w:t xml:space="preserve"> </w:t>
      </w:r>
      <w:r w:rsidR="00B86EAC" w:rsidRPr="00205763">
        <w:rPr>
          <w:i/>
        </w:rPr>
        <w:t xml:space="preserve">Critical </w:t>
      </w:r>
      <w:r w:rsidR="00205763" w:rsidRPr="00EC0C63">
        <w:t xml:space="preserve">NHCDC </w:t>
      </w:r>
      <w:r w:rsidR="00225C23">
        <w:t>C</w:t>
      </w:r>
      <w:r w:rsidR="005B1912" w:rsidRPr="00205763">
        <w:t xml:space="preserve">ost </w:t>
      </w:r>
      <w:r w:rsidR="00225C23">
        <w:t>C</w:t>
      </w:r>
      <w:r w:rsidR="005B1912" w:rsidRPr="00205763">
        <w:t>entres</w:t>
      </w:r>
      <w:r w:rsidR="005B1912">
        <w:t xml:space="preserve"> are underutilised nationally. </w:t>
      </w:r>
      <w:r w:rsidR="006D5EFC">
        <w:t>New South Wales (</w:t>
      </w:r>
      <w:r w:rsidR="005B1912">
        <w:t>NSW</w:t>
      </w:r>
      <w:r w:rsidR="006D5EFC">
        <w:t>)</w:t>
      </w:r>
      <w:r w:rsidR="005B1912">
        <w:t xml:space="preserve"> is a notable exception, having implemented detailed mapping of local bed types to </w:t>
      </w:r>
      <w:r w:rsidR="000C537C" w:rsidRPr="00205763">
        <w:rPr>
          <w:i/>
        </w:rPr>
        <w:t>Critical</w:t>
      </w:r>
      <w:r w:rsidR="000C537C" w:rsidRPr="00205763">
        <w:t xml:space="preserve"> </w:t>
      </w:r>
      <w:r w:rsidR="005B1912" w:rsidRPr="00205763">
        <w:t xml:space="preserve">NHCDC </w:t>
      </w:r>
      <w:r w:rsidR="002C3947" w:rsidRPr="00205763">
        <w:t>C</w:t>
      </w:r>
      <w:r w:rsidR="005B1912" w:rsidRPr="00205763">
        <w:t xml:space="preserve">ost </w:t>
      </w:r>
      <w:r w:rsidR="002C3947" w:rsidRPr="00205763">
        <w:t>C</w:t>
      </w:r>
      <w:r w:rsidR="005B1912" w:rsidRPr="00205763">
        <w:t>entres</w:t>
      </w:r>
      <w:r w:rsidR="00B86EAC">
        <w:t>.</w:t>
      </w:r>
      <w:r w:rsidR="005B1912">
        <w:t xml:space="preserve"> While </w:t>
      </w:r>
      <w:r w:rsidR="005B1912">
        <w:lastRenderedPageBreak/>
        <w:t>th</w:t>
      </w:r>
      <w:r w:rsidR="00F80E4C">
        <w:t xml:space="preserve">is varied </w:t>
      </w:r>
      <w:r w:rsidR="00DD3CE5">
        <w:t>practice</w:t>
      </w:r>
      <w:r w:rsidR="005B1912">
        <w:t xml:space="preserve"> did not materially affect total reported costs</w:t>
      </w:r>
      <w:r w:rsidR="007F7C54">
        <w:t xml:space="preserve"> within </w:t>
      </w:r>
      <w:r w:rsidR="007F7C54" w:rsidRPr="007F7C54">
        <w:rPr>
          <w:i/>
          <w:iCs/>
        </w:rPr>
        <w:t>Critical</w:t>
      </w:r>
      <w:r w:rsidR="005B1912">
        <w:t>, they reduced the granularity and comparability of data at the individual cost centre level.</w:t>
      </w:r>
    </w:p>
    <w:p w14:paraId="44D8C5AA" w14:textId="1F3FCD79" w:rsidR="005B1912" w:rsidRDefault="005B1912" w:rsidP="005B1912">
      <w:r>
        <w:t xml:space="preserve">In terms of ICU hours reporting, only NSW and </w:t>
      </w:r>
      <w:r w:rsidR="00B33D4A">
        <w:t>Victoria</w:t>
      </w:r>
      <w:r w:rsidR="00C83695">
        <w:t xml:space="preserve"> </w:t>
      </w:r>
      <w:r>
        <w:t xml:space="preserve">currently </w:t>
      </w:r>
      <w:r w:rsidR="009324FE">
        <w:t>utilises</w:t>
      </w:r>
      <w:r>
        <w:t xml:space="preserve"> the </w:t>
      </w:r>
      <w:r w:rsidRPr="007F7C54">
        <w:rPr>
          <w:i/>
          <w:iCs/>
        </w:rPr>
        <w:t>Other ICU Hours</w:t>
      </w:r>
      <w:r>
        <w:t xml:space="preserve"> fi</w:t>
      </w:r>
      <w:r w:rsidR="007F7C54">
        <w:t>eld</w:t>
      </w:r>
      <w:r w:rsidR="00A871E1">
        <w:t xml:space="preserve">, with other jurisdictions only using </w:t>
      </w:r>
      <w:r w:rsidR="00A871E1" w:rsidRPr="00A871E1">
        <w:rPr>
          <w:i/>
          <w:iCs/>
        </w:rPr>
        <w:t>Level 3 ICU Hours</w:t>
      </w:r>
      <w:r>
        <w:t xml:space="preserve">. </w:t>
      </w:r>
      <w:r w:rsidR="0071155B">
        <w:t>Despite this alignment, the type of hours</w:t>
      </w:r>
      <w:r w:rsidR="007508C0">
        <w:t xml:space="preserve"> and type of facilities</w:t>
      </w:r>
      <w:r w:rsidR="00BE49CD">
        <w:t xml:space="preserve"> included in the </w:t>
      </w:r>
      <w:r w:rsidR="0071155B">
        <w:t>report</w:t>
      </w:r>
      <w:r w:rsidR="00BE49CD">
        <w:t>ing of</w:t>
      </w:r>
      <w:r w:rsidR="007D37B4">
        <w:t xml:space="preserve"> the </w:t>
      </w:r>
      <w:r w:rsidR="007D37B4" w:rsidRPr="003C28DB">
        <w:rPr>
          <w:i/>
          <w:iCs/>
        </w:rPr>
        <w:t>Level 3 ICU Hours</w:t>
      </w:r>
      <w:r w:rsidR="007D37B4">
        <w:t xml:space="preserve"> and </w:t>
      </w:r>
      <w:r w:rsidR="007D37B4" w:rsidRPr="003C28DB">
        <w:rPr>
          <w:i/>
          <w:iCs/>
        </w:rPr>
        <w:t>Other ICU Hours</w:t>
      </w:r>
      <w:r w:rsidR="007D37B4">
        <w:t xml:space="preserve"> differs between</w:t>
      </w:r>
      <w:r w:rsidR="00F80E4C">
        <w:t xml:space="preserve"> all</w:t>
      </w:r>
      <w:r w:rsidR="007D37B4">
        <w:t xml:space="preserve"> jurisdictions</w:t>
      </w:r>
      <w:r w:rsidR="00352E35">
        <w:t xml:space="preserve">. </w:t>
      </w:r>
      <w:r>
        <w:t xml:space="preserve">NSW uses local bed-type mapping to determine whether hours should be reported as </w:t>
      </w:r>
      <w:r w:rsidRPr="00C97F1B">
        <w:rPr>
          <w:i/>
        </w:rPr>
        <w:t xml:space="preserve">Level 3 ICU </w:t>
      </w:r>
      <w:r w:rsidR="005561E2" w:rsidRPr="00C97F1B">
        <w:rPr>
          <w:i/>
        </w:rPr>
        <w:t>Hours</w:t>
      </w:r>
      <w:r w:rsidR="005561E2">
        <w:t xml:space="preserve"> </w:t>
      </w:r>
      <w:r>
        <w:t xml:space="preserve">or </w:t>
      </w:r>
      <w:r w:rsidRPr="00C97F1B">
        <w:rPr>
          <w:i/>
        </w:rPr>
        <w:t>Other ICU</w:t>
      </w:r>
      <w:r w:rsidR="005561E2" w:rsidRPr="00C97F1B">
        <w:rPr>
          <w:i/>
        </w:rPr>
        <w:t xml:space="preserve"> Hours</w:t>
      </w:r>
      <w:r>
        <w:t xml:space="preserve">, while </w:t>
      </w:r>
      <w:r w:rsidR="00C83695">
        <w:t xml:space="preserve">Victoria </w:t>
      </w:r>
      <w:r>
        <w:t xml:space="preserve">bases its reporting on facility designation. </w:t>
      </w:r>
      <w:r w:rsidR="00426E52">
        <w:t>Two</w:t>
      </w:r>
      <w:r w:rsidR="004F38EE">
        <w:t xml:space="preserve"> other</w:t>
      </w:r>
      <w:r w:rsidR="00426E52">
        <w:t xml:space="preserve"> </w:t>
      </w:r>
      <w:r>
        <w:t>jurisdictions rely solely on ICU accreditation status</w:t>
      </w:r>
      <w:r w:rsidR="00426E52">
        <w:t xml:space="preserve"> and only report </w:t>
      </w:r>
      <w:r w:rsidR="006D6514" w:rsidRPr="003C28DB">
        <w:rPr>
          <w:i/>
          <w:iCs/>
        </w:rPr>
        <w:t>Aicu</w:t>
      </w:r>
      <w:r w:rsidR="006D6514">
        <w:t xml:space="preserve"> and </w:t>
      </w:r>
      <w:r w:rsidR="00BD0F1B" w:rsidRPr="00C97F1B">
        <w:t>Paediatric</w:t>
      </w:r>
      <w:r w:rsidR="00BD0F1B">
        <w:t xml:space="preserve"> </w:t>
      </w:r>
      <w:r w:rsidR="00C97F1B">
        <w:t>ICU</w:t>
      </w:r>
      <w:r w:rsidR="00BD0F1B">
        <w:t xml:space="preserve"> (</w:t>
      </w:r>
      <w:r w:rsidR="006D6514" w:rsidRPr="003C28DB">
        <w:rPr>
          <w:i/>
          <w:iCs/>
        </w:rPr>
        <w:t>Paedicu</w:t>
      </w:r>
      <w:r w:rsidR="00BD0F1B">
        <w:rPr>
          <w:i/>
          <w:iCs/>
        </w:rPr>
        <w:t>)</w:t>
      </w:r>
      <w:r w:rsidR="006D6514">
        <w:rPr>
          <w:i/>
          <w:iCs/>
        </w:rPr>
        <w:t xml:space="preserve"> </w:t>
      </w:r>
      <w:r w:rsidR="006D6514">
        <w:t xml:space="preserve">hours and </w:t>
      </w:r>
      <w:r w:rsidR="004F38EE">
        <w:t>the fi</w:t>
      </w:r>
      <w:r w:rsidR="003A6428">
        <w:t>fth</w:t>
      </w:r>
      <w:r w:rsidR="004F38EE">
        <w:t xml:space="preserve"> participating</w:t>
      </w:r>
      <w:r w:rsidR="00CB6433">
        <w:t xml:space="preserve"> jurisdiction reports all critical care hours regardless of the facilities ICU accreditation status</w:t>
      </w:r>
      <w:r w:rsidR="00A871E1">
        <w:t xml:space="preserve">. </w:t>
      </w:r>
      <w:r w:rsidR="00EB6399">
        <w:t xml:space="preserve">These </w:t>
      </w:r>
      <w:r w:rsidRPr="00C97F1B">
        <w:rPr>
          <w:b/>
        </w:rPr>
        <w:t>differences</w:t>
      </w:r>
      <w:r w:rsidR="00A871E1" w:rsidRPr="00C97F1B">
        <w:rPr>
          <w:b/>
        </w:rPr>
        <w:t xml:space="preserve"> between cost and activity</w:t>
      </w:r>
      <w:r w:rsidRPr="00C97F1B">
        <w:rPr>
          <w:b/>
        </w:rPr>
        <w:t xml:space="preserve"> make it difficult to accurately compare ICU costs per hour across jurisdictions.</w:t>
      </w:r>
    </w:p>
    <w:p w14:paraId="39AF82A5" w14:textId="72B63650" w:rsidR="005B1912" w:rsidRDefault="005B1912" w:rsidP="005B1912">
      <w:r>
        <w:t>The review also found ambiguity in the treatment of Coronary Care Unit (CCU) costs. CCUs are often operationally integrated with broader cardiology services, sharing resources and cost centres. This makes it difficult to isolate CCU</w:t>
      </w:r>
      <w:r w:rsidR="005561E2">
        <w:t xml:space="preserve"> </w:t>
      </w:r>
      <w:r>
        <w:t xml:space="preserve">specific costs. Costing practices vary, with some sites allocating a portion of CCU costs to the </w:t>
      </w:r>
      <w:r w:rsidR="00D544E6" w:rsidRPr="00D544E6">
        <w:rPr>
          <w:i/>
          <w:iCs/>
        </w:rPr>
        <w:t>Ccu</w:t>
      </w:r>
      <w:r w:rsidR="00D544E6">
        <w:t xml:space="preserve"> </w:t>
      </w:r>
      <w:r w:rsidR="00B83D51">
        <w:t xml:space="preserve">NHCDC </w:t>
      </w:r>
      <w:r w:rsidR="00D544E6">
        <w:t xml:space="preserve">Cost Centre within the </w:t>
      </w:r>
      <w:r w:rsidRPr="00D544E6">
        <w:rPr>
          <w:i/>
          <w:iCs/>
        </w:rPr>
        <w:t xml:space="preserve">Critical </w:t>
      </w:r>
      <w:r w:rsidR="00432375" w:rsidRPr="00C97F1B">
        <w:t>NHCDC</w:t>
      </w:r>
      <w:r w:rsidR="00432375">
        <w:rPr>
          <w:i/>
          <w:iCs/>
        </w:rPr>
        <w:t xml:space="preserve"> </w:t>
      </w:r>
      <w:r>
        <w:t>Cost Centre Group and others reporting them under</w:t>
      </w:r>
      <w:r w:rsidR="00B83D51">
        <w:t xml:space="preserve"> the</w:t>
      </w:r>
      <w:r>
        <w:t xml:space="preserve"> </w:t>
      </w:r>
      <w:r w:rsidRPr="002803B4">
        <w:rPr>
          <w:i/>
          <w:iCs/>
        </w:rPr>
        <w:t>Clinical</w:t>
      </w:r>
      <w:r w:rsidR="00B83D51">
        <w:rPr>
          <w:i/>
          <w:iCs/>
        </w:rPr>
        <w:t xml:space="preserve"> </w:t>
      </w:r>
      <w:r w:rsidR="00B83D51">
        <w:t>NHCDC Cost Centre Group</w:t>
      </w:r>
      <w:r>
        <w:t xml:space="preserve">. Medical costs are consistently allocated to cardiology clinician cost centres and mapped to </w:t>
      </w:r>
      <w:r w:rsidR="009324FE">
        <w:t xml:space="preserve">the </w:t>
      </w:r>
      <w:r w:rsidRPr="00CE6F2F">
        <w:rPr>
          <w:i/>
          <w:iCs/>
        </w:rPr>
        <w:t>Clinical</w:t>
      </w:r>
      <w:r w:rsidR="009324FE">
        <w:t xml:space="preserve"> Cost Centre Group</w:t>
      </w:r>
      <w:r>
        <w:t xml:space="preserve">. </w:t>
      </w:r>
      <w:r w:rsidR="00CE6F2F" w:rsidRPr="00C97F1B">
        <w:rPr>
          <w:b/>
        </w:rPr>
        <w:t>T</w:t>
      </w:r>
      <w:r w:rsidRPr="00C97F1B">
        <w:rPr>
          <w:b/>
        </w:rPr>
        <w:t xml:space="preserve">here is no clear guidance from IHACPA on whether CCU should be reported under </w:t>
      </w:r>
      <w:r w:rsidRPr="00C97F1B">
        <w:rPr>
          <w:b/>
          <w:i/>
        </w:rPr>
        <w:t>Critical</w:t>
      </w:r>
      <w:r w:rsidRPr="00C97F1B">
        <w:rPr>
          <w:b/>
        </w:rPr>
        <w:t xml:space="preserve"> or </w:t>
      </w:r>
      <w:r w:rsidRPr="00C97F1B">
        <w:rPr>
          <w:b/>
          <w:i/>
        </w:rPr>
        <w:t>Clinical</w:t>
      </w:r>
      <w:r>
        <w:t xml:space="preserve">, and CCU hours are excluded from </w:t>
      </w:r>
      <w:r w:rsidRPr="005A5832">
        <w:rPr>
          <w:i/>
          <w:iCs/>
        </w:rPr>
        <w:t xml:space="preserve">Level 3 ICU </w:t>
      </w:r>
      <w:r w:rsidR="00D402D5">
        <w:rPr>
          <w:i/>
          <w:iCs/>
        </w:rPr>
        <w:t>H</w:t>
      </w:r>
      <w:r w:rsidR="00756B2B" w:rsidRPr="005A5832">
        <w:rPr>
          <w:i/>
          <w:iCs/>
        </w:rPr>
        <w:t>ours</w:t>
      </w:r>
      <w:r w:rsidR="00756B2B">
        <w:t xml:space="preserve"> </w:t>
      </w:r>
      <w:r>
        <w:t>reporting definitions, further complicating alignment between cost and activity data.</w:t>
      </w:r>
    </w:p>
    <w:p w14:paraId="6619F275" w14:textId="1ECDBF01" w:rsidR="005B1912" w:rsidRDefault="00A82880" w:rsidP="005B1912">
      <w:r w:rsidRPr="00C97F1B">
        <w:rPr>
          <w:b/>
        </w:rPr>
        <w:t>P</w:t>
      </w:r>
      <w:r w:rsidR="005B1912" w:rsidRPr="00C97F1B">
        <w:rPr>
          <w:b/>
        </w:rPr>
        <w:t xml:space="preserve">athology, imaging, allied health, and most pharmacy costs consumed within critical care departments are not reported under the </w:t>
      </w:r>
      <w:r w:rsidR="005B1912" w:rsidRPr="00C97F1B">
        <w:rPr>
          <w:b/>
          <w:i/>
        </w:rPr>
        <w:t>Critical</w:t>
      </w:r>
      <w:r w:rsidR="005B1912" w:rsidRPr="00C97F1B">
        <w:rPr>
          <w:b/>
        </w:rPr>
        <w:t xml:space="preserve"> </w:t>
      </w:r>
      <w:r w:rsidR="00A14D1E" w:rsidRPr="00C97F1B">
        <w:rPr>
          <w:b/>
        </w:rPr>
        <w:t xml:space="preserve">NHCDC </w:t>
      </w:r>
      <w:r w:rsidR="005B1912" w:rsidRPr="00C97F1B">
        <w:rPr>
          <w:b/>
        </w:rPr>
        <w:t>Cost Centre Group</w:t>
      </w:r>
      <w:r w:rsidR="005B1912">
        <w:t xml:space="preserve">. While this practice is consistent across jurisdictions, it limits visibility into the full cost of </w:t>
      </w:r>
      <w:r w:rsidR="0079415E">
        <w:t xml:space="preserve">delivering </w:t>
      </w:r>
      <w:r w:rsidR="005B1912">
        <w:t xml:space="preserve">critical care services. Although IHACPA calculates </w:t>
      </w:r>
      <w:r w:rsidR="008941BF">
        <w:t xml:space="preserve">the </w:t>
      </w:r>
      <w:r w:rsidR="005B1912">
        <w:t xml:space="preserve">ICU </w:t>
      </w:r>
      <w:r w:rsidR="008941BF">
        <w:t>NEP adjustment</w:t>
      </w:r>
      <w:r w:rsidR="005B1912">
        <w:t xml:space="preserve"> without these costs</w:t>
      </w:r>
      <w:r w:rsidR="001747CE">
        <w:t xml:space="preserve"> currently</w:t>
      </w:r>
      <w:r w:rsidR="005B1912">
        <w:t xml:space="preserve">, visibility of these elements would be beneficial </w:t>
      </w:r>
      <w:r w:rsidR="0079415E">
        <w:t xml:space="preserve">for future plans to </w:t>
      </w:r>
      <w:r w:rsidR="005B1912">
        <w:t>refine the loading adjustment methodology.</w:t>
      </w:r>
    </w:p>
    <w:p w14:paraId="524F4A24" w14:textId="0157AB6B" w:rsidR="00756B2B" w:rsidRDefault="000351D3" w:rsidP="005B1912">
      <w:r>
        <w:t>I</w:t>
      </w:r>
      <w:r w:rsidR="004A3382">
        <w:t>n most jurisdictions</w:t>
      </w:r>
      <w:r w:rsidR="00963560">
        <w:t>,</w:t>
      </w:r>
      <w:r w:rsidR="004A3382">
        <w:t xml:space="preserve"> </w:t>
      </w:r>
      <w:r w:rsidR="005B1912" w:rsidRPr="00C97F1B">
        <w:rPr>
          <w:b/>
        </w:rPr>
        <w:t xml:space="preserve">critical care costs are allocated using uniform methods based on </w:t>
      </w:r>
      <w:r w:rsidR="00144D13">
        <w:rPr>
          <w:b/>
          <w:bCs/>
        </w:rPr>
        <w:t>a patient’s duration of stay in an ICU ward</w:t>
      </w:r>
      <w:r w:rsidR="005A1049">
        <w:t xml:space="preserve">. </w:t>
      </w:r>
      <w:r w:rsidR="00BE2A12">
        <w:t xml:space="preserve">In </w:t>
      </w:r>
      <w:r w:rsidR="008941BF">
        <w:t>some</w:t>
      </w:r>
      <w:r w:rsidR="00BE2A12">
        <w:t xml:space="preserve"> jurisdictions (NSW, </w:t>
      </w:r>
      <w:r w:rsidR="00D4575B">
        <w:t>Queensland</w:t>
      </w:r>
      <w:r w:rsidR="00BE2A12">
        <w:t xml:space="preserve">, </w:t>
      </w:r>
      <w:r w:rsidR="007F7510">
        <w:t>Vic</w:t>
      </w:r>
      <w:r w:rsidR="00F02B24">
        <w:t>toria</w:t>
      </w:r>
      <w:r w:rsidR="00BE2A12">
        <w:t>)</w:t>
      </w:r>
      <w:r w:rsidR="005B1912">
        <w:t xml:space="preserve"> sites </w:t>
      </w:r>
      <w:r w:rsidR="00A714A8">
        <w:t xml:space="preserve">are utilising </w:t>
      </w:r>
      <w:r w:rsidR="005B1912">
        <w:t xml:space="preserve">feeder systems that allow for more </w:t>
      </w:r>
      <w:r w:rsidR="003E32BE">
        <w:t>granular</w:t>
      </w:r>
      <w:r w:rsidR="005B1912">
        <w:t xml:space="preserve"> allocation based on patient</w:t>
      </w:r>
      <w:r w:rsidR="00BE2A12">
        <w:t xml:space="preserve"> need</w:t>
      </w:r>
      <w:r w:rsidR="005B1912">
        <w:t xml:space="preserve"> </w:t>
      </w:r>
      <w:r w:rsidR="005B51AC">
        <w:t>such as:</w:t>
      </w:r>
    </w:p>
    <w:p w14:paraId="27DEACDA" w14:textId="77777777" w:rsidR="00756B2B" w:rsidRDefault="00CE46B4" w:rsidP="00756B2B">
      <w:pPr>
        <w:pStyle w:val="ListParagraph"/>
        <w:numPr>
          <w:ilvl w:val="0"/>
          <w:numId w:val="93"/>
        </w:numPr>
      </w:pPr>
      <w:r>
        <w:t xml:space="preserve">NSW uses differing </w:t>
      </w:r>
      <w:r w:rsidR="008941BF">
        <w:t>relative value units (</w:t>
      </w:r>
      <w:r>
        <w:t>RVUs</w:t>
      </w:r>
      <w:r w:rsidR="00F612CD">
        <w:t>)</w:t>
      </w:r>
      <w:r>
        <w:t xml:space="preserve"> to account for higher care needs and staffing ratios for ICU patients versus step down care;</w:t>
      </w:r>
      <w:r w:rsidR="00A60061">
        <w:t xml:space="preserve"> </w:t>
      </w:r>
    </w:p>
    <w:p w14:paraId="6F00FFCB" w14:textId="7AF87C38" w:rsidR="00756B2B" w:rsidRDefault="00B33D4A" w:rsidP="00756B2B">
      <w:pPr>
        <w:pStyle w:val="ListParagraph"/>
        <w:numPr>
          <w:ilvl w:val="0"/>
          <w:numId w:val="93"/>
        </w:numPr>
      </w:pPr>
      <w:r>
        <w:t>Queensland</w:t>
      </w:r>
      <w:r w:rsidR="00CE46B4">
        <w:t xml:space="preserve"> uses feeder data from their nursing acuity system to allocate nursing costs</w:t>
      </w:r>
      <w:r w:rsidR="00A60061">
        <w:t xml:space="preserve">; </w:t>
      </w:r>
    </w:p>
    <w:p w14:paraId="05D673F9" w14:textId="1B57E431" w:rsidR="00F02B24" w:rsidRDefault="00F02B24" w:rsidP="00F02B24">
      <w:pPr>
        <w:pStyle w:val="ListParagraph"/>
        <w:numPr>
          <w:ilvl w:val="0"/>
          <w:numId w:val="93"/>
        </w:numPr>
      </w:pPr>
      <w:r>
        <w:t>T</w:t>
      </w:r>
      <w:r w:rsidR="00741B3F">
        <w:t>he Alfred (</w:t>
      </w:r>
      <w:r w:rsidR="007F7510">
        <w:t>Vic</w:t>
      </w:r>
      <w:r w:rsidR="00D402D5">
        <w:t>toria</w:t>
      </w:r>
      <w:r w:rsidR="00741B3F">
        <w:t xml:space="preserve">) utilises </w:t>
      </w:r>
      <w:r w:rsidR="00B73BDC">
        <w:t xml:space="preserve">feeder data for extracorporeal membrane oxygenation (ECMO) and specialised burns patients to </w:t>
      </w:r>
      <w:r w:rsidR="002949B6">
        <w:t>allocate specific costs to these high-cost cohorts of patients</w:t>
      </w:r>
      <w:r w:rsidR="00684138">
        <w:t>.</w:t>
      </w:r>
      <w:r w:rsidR="002949B6">
        <w:t xml:space="preserve"> </w:t>
      </w:r>
    </w:p>
    <w:p w14:paraId="5DA8A671" w14:textId="49F72D14" w:rsidR="00FB6B1F" w:rsidRDefault="00FB6B1F" w:rsidP="00F02B24">
      <w:r>
        <w:t>Finally,</w:t>
      </w:r>
      <w:r w:rsidR="00D255BA">
        <w:t xml:space="preserve"> local admission practices determined whether the patient was admitted under the </w:t>
      </w:r>
      <w:r w:rsidR="00181E5F">
        <w:t xml:space="preserve">medical </w:t>
      </w:r>
      <w:r w:rsidR="00D255BA">
        <w:t xml:space="preserve">intensivist or </w:t>
      </w:r>
      <w:r w:rsidR="00A83D22">
        <w:t>a different admitting clinician, with this driving the allocation of Medical</w:t>
      </w:r>
      <w:r w:rsidR="00A14D1E">
        <w:t xml:space="preserve"> Salary &amp; Wages (</w:t>
      </w:r>
      <w:r w:rsidR="00926F3C" w:rsidRPr="00926F3C">
        <w:rPr>
          <w:i/>
          <w:iCs/>
        </w:rPr>
        <w:t>S&amp;W</w:t>
      </w:r>
      <w:r w:rsidR="00A14D1E">
        <w:rPr>
          <w:i/>
          <w:iCs/>
        </w:rPr>
        <w:t>)</w:t>
      </w:r>
      <w:r w:rsidR="00A83D22">
        <w:t xml:space="preserve"> that were allocated to the episode</w:t>
      </w:r>
      <w:r w:rsidR="00D04BF3">
        <w:t xml:space="preserve"> </w:t>
      </w:r>
      <w:r w:rsidR="006303D2">
        <w:t xml:space="preserve">and </w:t>
      </w:r>
      <w:r w:rsidR="00D04BF3">
        <w:t>driving variability</w:t>
      </w:r>
      <w:r w:rsidR="006303D2">
        <w:t xml:space="preserve"> in these costs</w:t>
      </w:r>
      <w:r w:rsidR="00D04BF3">
        <w:t>.</w:t>
      </w:r>
    </w:p>
    <w:p w14:paraId="4B2AFCD5" w14:textId="67E2C902" w:rsidR="00346348" w:rsidRDefault="00346348" w:rsidP="005B1912">
      <w:r>
        <w:t xml:space="preserve">The following recommendations </w:t>
      </w:r>
      <w:r w:rsidR="00790D95">
        <w:t>have been made from these findings:</w:t>
      </w:r>
    </w:p>
    <w:p w14:paraId="0CCFE7EF" w14:textId="002462CF" w:rsidR="00346348" w:rsidRDefault="00346348" w:rsidP="00346348">
      <w:pPr>
        <w:pStyle w:val="ListParagraph"/>
        <w:numPr>
          <w:ilvl w:val="0"/>
          <w:numId w:val="86"/>
        </w:numPr>
      </w:pPr>
      <w:r w:rsidRPr="00665AFD">
        <w:rPr>
          <w:b/>
        </w:rPr>
        <w:t>Recommendation 1:</w:t>
      </w:r>
      <w:r>
        <w:t xml:space="preserve"> IHACPA should provide clear definitions and guidance on the cost centres within the </w:t>
      </w:r>
      <w:r w:rsidRPr="002126A3">
        <w:rPr>
          <w:i/>
          <w:iCs/>
        </w:rPr>
        <w:t>Critical</w:t>
      </w:r>
      <w:r>
        <w:t xml:space="preserve"> </w:t>
      </w:r>
      <w:r w:rsidR="00933E3D">
        <w:t xml:space="preserve">NHCDC </w:t>
      </w:r>
      <w:r>
        <w:t>Cost Centre Group and the ICU hours within the activity reporting.</w:t>
      </w:r>
    </w:p>
    <w:p w14:paraId="5DD9A1D6" w14:textId="77777777" w:rsidR="00346348" w:rsidRDefault="00346348" w:rsidP="00346348">
      <w:pPr>
        <w:pStyle w:val="ListParagraph"/>
        <w:numPr>
          <w:ilvl w:val="0"/>
          <w:numId w:val="86"/>
        </w:numPr>
      </w:pPr>
      <w:r w:rsidRPr="00665AFD">
        <w:rPr>
          <w:b/>
        </w:rPr>
        <w:lastRenderedPageBreak/>
        <w:t>Recommendation 2</w:t>
      </w:r>
      <w:r>
        <w:t xml:space="preserve">: </w:t>
      </w:r>
      <w:r w:rsidRPr="00A742CC">
        <w:t>IHACPA should provide clarity on the Cost Bucket Matrix in relation to imaging, pharmacy, pathology and allied health in the critical care setting, in consultation with jurisdictions and in alignment with other ongoing work in this area.</w:t>
      </w:r>
    </w:p>
    <w:p w14:paraId="756A3233" w14:textId="349BE4A5" w:rsidR="00346348" w:rsidRDefault="00346348" w:rsidP="003C28DB">
      <w:pPr>
        <w:pStyle w:val="ListParagraph"/>
        <w:numPr>
          <w:ilvl w:val="0"/>
          <w:numId w:val="86"/>
        </w:numPr>
      </w:pPr>
      <w:r w:rsidRPr="00665AFD">
        <w:rPr>
          <w:b/>
        </w:rPr>
        <w:t>Recommendation 3:</w:t>
      </w:r>
      <w:r>
        <w:t xml:space="preserve"> </w:t>
      </w:r>
      <w:r w:rsidRPr="00A742CC">
        <w:t xml:space="preserve">Costing teams should review the materiality and accuracy of key cost drivers within </w:t>
      </w:r>
      <w:r w:rsidR="00203422">
        <w:t>c</w:t>
      </w:r>
      <w:r w:rsidRPr="00A742CC">
        <w:t xml:space="preserve">ritical </w:t>
      </w:r>
      <w:r w:rsidR="00203422">
        <w:t>c</w:t>
      </w:r>
      <w:r w:rsidRPr="00A742CC">
        <w:t>are specifically nursing RVUs, medical RVUs, consumables and, where feasible, refine allocation methodologies to better reflect actual resource consumption at the individual patient level.</w:t>
      </w:r>
    </w:p>
    <w:p w14:paraId="1606AD7B" w14:textId="2C5A5BD7" w:rsidR="005A7B8B" w:rsidRDefault="008B51F5" w:rsidP="005A7B8B">
      <w:pPr>
        <w:pStyle w:val="Heading3"/>
      </w:pPr>
      <w:r>
        <w:t>Scope of exclusions from NHCDC 2023-24</w:t>
      </w:r>
    </w:p>
    <w:p w14:paraId="251304DD" w14:textId="4A5F9A91" w:rsidR="009A3280" w:rsidRDefault="006F7BDF" w:rsidP="005B1912">
      <w:r w:rsidRPr="006F7BDF">
        <w:t xml:space="preserve">The review identified </w:t>
      </w:r>
      <w:r w:rsidR="00820283">
        <w:t>2</w:t>
      </w:r>
      <w:r w:rsidR="00820283" w:rsidRPr="006F7BDF">
        <w:t xml:space="preserve"> </w:t>
      </w:r>
      <w:r w:rsidRPr="006F7BDF">
        <w:t>primary reasons for cost exclu</w:t>
      </w:r>
      <w:r w:rsidR="00C80A34">
        <w:t xml:space="preserve">ded from the </w:t>
      </w:r>
      <w:r w:rsidRPr="006F7BDF">
        <w:t>NHCDC submissions: out</w:t>
      </w:r>
      <w:r w:rsidR="00820283">
        <w:noBreakHyphen/>
      </w:r>
      <w:r w:rsidRPr="006F7BDF">
        <w:t>of</w:t>
      </w:r>
      <w:r w:rsidR="00820283">
        <w:noBreakHyphen/>
      </w:r>
      <w:r w:rsidRPr="006F7BDF">
        <w:t xml:space="preserve">scope exclusions, </w:t>
      </w:r>
      <w:r w:rsidRPr="00AD1F32">
        <w:rPr>
          <w:b/>
          <w:bCs/>
        </w:rPr>
        <w:t>appropriately remove</w:t>
      </w:r>
      <w:r w:rsidR="004B320A" w:rsidRPr="00AD1F32">
        <w:rPr>
          <w:b/>
          <w:bCs/>
        </w:rPr>
        <w:t>s</w:t>
      </w:r>
      <w:r w:rsidRPr="00AD1F32">
        <w:rPr>
          <w:b/>
          <w:bCs/>
        </w:rPr>
        <w:t xml:space="preserve"> </w:t>
      </w:r>
      <w:r w:rsidR="004B320A" w:rsidRPr="00AD1F32">
        <w:rPr>
          <w:b/>
          <w:bCs/>
        </w:rPr>
        <w:t>costs for out</w:t>
      </w:r>
      <w:r w:rsidR="00611BCC" w:rsidRPr="00AD1F32">
        <w:rPr>
          <w:b/>
          <w:bCs/>
        </w:rPr>
        <w:t>-</w:t>
      </w:r>
      <w:r w:rsidR="004B320A" w:rsidRPr="00AD1F32">
        <w:rPr>
          <w:b/>
          <w:bCs/>
        </w:rPr>
        <w:t>of</w:t>
      </w:r>
      <w:r w:rsidR="00611BCC" w:rsidRPr="00AD1F32">
        <w:rPr>
          <w:b/>
          <w:bCs/>
        </w:rPr>
        <w:t>-</w:t>
      </w:r>
      <w:r w:rsidR="004B320A" w:rsidRPr="00AD1F32">
        <w:rPr>
          <w:b/>
          <w:bCs/>
        </w:rPr>
        <w:t>scope services</w:t>
      </w:r>
      <w:r w:rsidR="004B320A">
        <w:t xml:space="preserve"> </w:t>
      </w:r>
      <w:r w:rsidRPr="006F7BDF">
        <w:t>such as population health</w:t>
      </w:r>
      <w:r w:rsidR="004B320A">
        <w:t xml:space="preserve"> programs</w:t>
      </w:r>
      <w:r w:rsidR="00611BCC">
        <w:t xml:space="preserve">; </w:t>
      </w:r>
      <w:r w:rsidRPr="006F7BDF">
        <w:t xml:space="preserve">and </w:t>
      </w:r>
      <w:r w:rsidR="00611BCC">
        <w:t xml:space="preserve">in-scope </w:t>
      </w:r>
      <w:r w:rsidRPr="006F7BDF">
        <w:t xml:space="preserve">linking exclusions, where </w:t>
      </w:r>
      <w:r w:rsidRPr="00AD1F32">
        <w:rPr>
          <w:b/>
          <w:bCs/>
        </w:rPr>
        <w:t xml:space="preserve">costs </w:t>
      </w:r>
      <w:r w:rsidR="00611BCC" w:rsidRPr="00AD1F32">
        <w:rPr>
          <w:b/>
          <w:bCs/>
        </w:rPr>
        <w:t>were incurred for in</w:t>
      </w:r>
      <w:r w:rsidR="00820283" w:rsidRPr="00AD1F32">
        <w:rPr>
          <w:b/>
          <w:bCs/>
        </w:rPr>
        <w:noBreakHyphen/>
      </w:r>
      <w:r w:rsidR="00611BCC" w:rsidRPr="00AD1F32">
        <w:rPr>
          <w:b/>
          <w:bCs/>
        </w:rPr>
        <w:t>scope services</w:t>
      </w:r>
      <w:r w:rsidR="00611BCC">
        <w:t xml:space="preserve"> </w:t>
      </w:r>
      <w:r w:rsidR="00611BCC" w:rsidRPr="00055219">
        <w:rPr>
          <w:b/>
          <w:bCs/>
        </w:rPr>
        <w:t>but</w:t>
      </w:r>
      <w:r w:rsidR="00611BCC">
        <w:t xml:space="preserve"> </w:t>
      </w:r>
      <w:r w:rsidR="00611BCC" w:rsidRPr="00AD1F32">
        <w:rPr>
          <w:b/>
          <w:bCs/>
        </w:rPr>
        <w:t>could not</w:t>
      </w:r>
      <w:r w:rsidRPr="00AD1F32">
        <w:rPr>
          <w:b/>
          <w:bCs/>
        </w:rPr>
        <w:t xml:space="preserve"> be matched to activity records</w:t>
      </w:r>
      <w:r w:rsidRPr="006F7BDF">
        <w:t xml:space="preserve">. Across participating </w:t>
      </w:r>
      <w:r w:rsidR="0048351D">
        <w:t>LHNs</w:t>
      </w:r>
      <w:r w:rsidRPr="006F7BDF">
        <w:t xml:space="preserve">, between </w:t>
      </w:r>
      <w:r w:rsidR="00B05430" w:rsidRPr="003C28DB">
        <w:t>58%</w:t>
      </w:r>
      <w:r w:rsidR="005D3D0B">
        <w:t xml:space="preserve"> </w:t>
      </w:r>
      <w:r w:rsidRPr="006F7BDF">
        <w:t xml:space="preserve">and </w:t>
      </w:r>
      <w:r w:rsidR="00B05430" w:rsidRPr="003C28DB">
        <w:t>90</w:t>
      </w:r>
      <w:r w:rsidRPr="0060488B">
        <w:t>%</w:t>
      </w:r>
      <w:r w:rsidRPr="006F7BDF">
        <w:t xml:space="preserve"> of GL costs were submitted, though the granularity and structure of reconciliations varied, making it difficult to distinguish </w:t>
      </w:r>
      <w:r w:rsidR="00FB041C">
        <w:t>the</w:t>
      </w:r>
      <w:r w:rsidRPr="006F7BDF">
        <w:t xml:space="preserve"> </w:t>
      </w:r>
      <w:r w:rsidR="009A3280">
        <w:t>breakdown of these excluded amounts</w:t>
      </w:r>
      <w:r w:rsidRPr="006F7BDF">
        <w:t>.</w:t>
      </w:r>
    </w:p>
    <w:p w14:paraId="21174D8C" w14:textId="01D2901A" w:rsidR="005A7B8B" w:rsidRDefault="00553C1F" w:rsidP="005B1912">
      <w:r w:rsidRPr="006F7BDF">
        <w:t xml:space="preserve">Jurisdictions </w:t>
      </w:r>
      <w:r>
        <w:t xml:space="preserve">reported </w:t>
      </w:r>
      <w:r w:rsidRPr="00AD1F32">
        <w:rPr>
          <w:b/>
          <w:bCs/>
        </w:rPr>
        <w:t>challenges identifying the appropriate treatment</w:t>
      </w:r>
      <w:r>
        <w:t xml:space="preserve"> for</w:t>
      </w:r>
      <w:r w:rsidRPr="006F7BDF">
        <w:t xml:space="preserve"> unlinked costs</w:t>
      </w:r>
      <w:r>
        <w:t xml:space="preserve"> </w:t>
      </w:r>
      <w:r w:rsidRPr="006F7BDF">
        <w:t>—</w:t>
      </w:r>
      <w:r>
        <w:t xml:space="preserve"> </w:t>
      </w:r>
      <w:r w:rsidRPr="006F7BDF">
        <w:t xml:space="preserve">some excluded them via </w:t>
      </w:r>
      <w:r>
        <w:t>the costing process and creation of ‘</w:t>
      </w:r>
      <w:r w:rsidRPr="006F7BDF">
        <w:t>dummy</w:t>
      </w:r>
      <w:r>
        <w:t>’</w:t>
      </w:r>
      <w:r w:rsidRPr="006F7BDF">
        <w:t xml:space="preserve"> encounters, others redistributed the</w:t>
      </w:r>
      <w:r>
        <w:t xml:space="preserve"> costs </w:t>
      </w:r>
      <w:r w:rsidRPr="006F7BDF">
        <w:t>across linked records, and some used hybrid methods depending on the cost type</w:t>
      </w:r>
      <w:r>
        <w:t xml:space="preserve">. </w:t>
      </w:r>
      <w:r w:rsidR="006F7BDF" w:rsidRPr="006F7BDF">
        <w:t xml:space="preserve">This lack of clarity may impact pricing, as </w:t>
      </w:r>
      <w:r w:rsidR="00EE42BA" w:rsidRPr="00AD1F32">
        <w:rPr>
          <w:b/>
          <w:bCs/>
        </w:rPr>
        <w:t xml:space="preserve">in-scope </w:t>
      </w:r>
      <w:r w:rsidR="006F7BDF" w:rsidRPr="00AD1F32">
        <w:rPr>
          <w:b/>
          <w:bCs/>
        </w:rPr>
        <w:t>linking-related exclusions could artificially reduce reported costs</w:t>
      </w:r>
      <w:r w:rsidR="006B30F0">
        <w:t xml:space="preserve"> </w:t>
      </w:r>
      <w:r w:rsidR="00EE42BA">
        <w:t>which are used f</w:t>
      </w:r>
      <w:r w:rsidR="006B30F0">
        <w:t>or the purpose of calculating the NEP</w:t>
      </w:r>
      <w:r w:rsidR="006F7BDF" w:rsidRPr="006F7BDF">
        <w:t xml:space="preserve">. </w:t>
      </w:r>
    </w:p>
    <w:p w14:paraId="5626FB93" w14:textId="77777777" w:rsidR="00790D95" w:rsidRDefault="00790D95" w:rsidP="00790D95">
      <w:r>
        <w:t>The following recommendations have been made from these findings:</w:t>
      </w:r>
    </w:p>
    <w:p w14:paraId="5F699E30" w14:textId="3650626F" w:rsidR="00790D95" w:rsidRDefault="00790D95" w:rsidP="00790D95">
      <w:pPr>
        <w:pStyle w:val="ListParagraph"/>
        <w:numPr>
          <w:ilvl w:val="0"/>
          <w:numId w:val="86"/>
        </w:numPr>
      </w:pPr>
      <w:r w:rsidRPr="00665AFD">
        <w:rPr>
          <w:b/>
        </w:rPr>
        <w:t xml:space="preserve">Recommendation 4: </w:t>
      </w:r>
      <w:r w:rsidRPr="00A742CC">
        <w:t xml:space="preserve">IHACPA should provide clear and consistent guidance on the treatment of unlinked costs in NHCDC submissions, including whether such costs should be </w:t>
      </w:r>
      <w:r w:rsidR="00C97F1B">
        <w:t xml:space="preserve">excluded or </w:t>
      </w:r>
      <w:r w:rsidRPr="00A742CC">
        <w:t>proportionally allocated across all patient episodes.</w:t>
      </w:r>
    </w:p>
    <w:p w14:paraId="617CFCB2" w14:textId="7D2E0B12" w:rsidR="003E2256" w:rsidRDefault="003E2256" w:rsidP="003E2256">
      <w:pPr>
        <w:pStyle w:val="Heading3"/>
      </w:pPr>
      <w:r>
        <w:t>Findings on costing processes</w:t>
      </w:r>
      <w:r w:rsidR="00C5653B">
        <w:t xml:space="preserve"> and comparability of NHCDC outputs</w:t>
      </w:r>
    </w:p>
    <w:p w14:paraId="75CC9497" w14:textId="29C2599F" w:rsidR="00841360" w:rsidRDefault="000F6070" w:rsidP="00C5653B">
      <w:r>
        <w:t xml:space="preserve">As part of the review, </w:t>
      </w:r>
      <w:r w:rsidR="00874357">
        <w:t xml:space="preserve">details on the costing process, systems and quality assurance checks undertaken were discussed </w:t>
      </w:r>
      <w:r w:rsidR="00F26B0A">
        <w:t xml:space="preserve">with all participating LHNs. </w:t>
      </w:r>
      <w:r w:rsidR="00C5653B" w:rsidRPr="000A44E4">
        <w:t>The review identified several jurisdiction</w:t>
      </w:r>
      <w:r w:rsidR="005D7499">
        <w:noBreakHyphen/>
      </w:r>
      <w:r w:rsidR="00C5653B" w:rsidRPr="000A44E4">
        <w:t>specific practices that impact the comparability</w:t>
      </w:r>
      <w:r w:rsidR="00C5653B">
        <w:t xml:space="preserve"> and consistency</w:t>
      </w:r>
      <w:r w:rsidR="00C5653B" w:rsidRPr="000A44E4">
        <w:t xml:space="preserve"> of NHCDC costing outputs. </w:t>
      </w:r>
    </w:p>
    <w:p w14:paraId="200CA14B" w14:textId="15D9E7BF" w:rsidR="00841360" w:rsidRDefault="00F3391A" w:rsidP="00841360">
      <w:pPr>
        <w:pStyle w:val="ListParagraph"/>
        <w:numPr>
          <w:ilvl w:val="0"/>
          <w:numId w:val="84"/>
        </w:numPr>
      </w:pPr>
      <w:r>
        <w:t>Two</w:t>
      </w:r>
      <w:r w:rsidRPr="00F3391A">
        <w:t xml:space="preserve"> jurisdictions excluded costs related to </w:t>
      </w:r>
      <w:r w:rsidR="00B96421">
        <w:t xml:space="preserve">certain </w:t>
      </w:r>
      <w:r w:rsidRPr="00AD1F32">
        <w:rPr>
          <w:b/>
          <w:bCs/>
        </w:rPr>
        <w:t>Public</w:t>
      </w:r>
      <w:r w:rsidR="00FE3818" w:rsidRPr="00AD1F32">
        <w:rPr>
          <w:b/>
          <w:bCs/>
        </w:rPr>
        <w:t>-</w:t>
      </w:r>
      <w:r w:rsidRPr="00AD1F32">
        <w:rPr>
          <w:b/>
          <w:bCs/>
        </w:rPr>
        <w:t>Private Partnerships</w:t>
      </w:r>
      <w:r w:rsidRPr="00F3391A">
        <w:t xml:space="preserve"> (PPPs), citing commercial-in-confidence concerns or lack of patient-level data</w:t>
      </w:r>
      <w:r>
        <w:t xml:space="preserve">. </w:t>
      </w:r>
    </w:p>
    <w:p w14:paraId="3E233DD0" w14:textId="517B76BB" w:rsidR="00C51BC5" w:rsidRDefault="00841360" w:rsidP="00841360">
      <w:pPr>
        <w:pStyle w:val="ListParagraph"/>
        <w:numPr>
          <w:ilvl w:val="0"/>
          <w:numId w:val="84"/>
        </w:numPr>
      </w:pPr>
      <w:r w:rsidRPr="00AD1F32">
        <w:rPr>
          <w:b/>
          <w:bCs/>
        </w:rPr>
        <w:t>N</w:t>
      </w:r>
      <w:r w:rsidR="00F3391A" w:rsidRPr="00AD1F32">
        <w:rPr>
          <w:b/>
          <w:bCs/>
        </w:rPr>
        <w:t>egative cost records</w:t>
      </w:r>
      <w:r w:rsidR="00F3391A" w:rsidRPr="00F3391A">
        <w:t xml:space="preserve"> were identified across </w:t>
      </w:r>
      <w:r w:rsidR="00682907">
        <w:t>3</w:t>
      </w:r>
      <w:r w:rsidR="00F3391A" w:rsidRPr="00F3391A">
        <w:t xml:space="preserve"> jurisdictions, stemming from mismatches in </w:t>
      </w:r>
      <w:r w:rsidR="00DA2F6D">
        <w:t xml:space="preserve">debit and corresponding credit journals being allocated to different </w:t>
      </w:r>
      <w:r w:rsidR="00B96421">
        <w:t>GL</w:t>
      </w:r>
      <w:r w:rsidR="00F3391A" w:rsidRPr="00F3391A">
        <w:t xml:space="preserve"> </w:t>
      </w:r>
      <w:r w:rsidR="00DA2F6D">
        <w:t xml:space="preserve">accounts in error. </w:t>
      </w:r>
      <w:r w:rsidR="00DA6E9B">
        <w:t>While t</w:t>
      </w:r>
      <w:r w:rsidR="00B35F0A">
        <w:t xml:space="preserve">hese negative records were </w:t>
      </w:r>
      <w:r w:rsidR="006F2360">
        <w:t xml:space="preserve">at the </w:t>
      </w:r>
      <w:r w:rsidR="007C7A4B">
        <w:t>NHCDC line item</w:t>
      </w:r>
      <w:r w:rsidR="006F2360">
        <w:t xml:space="preserve"> level, not the episode level</w:t>
      </w:r>
      <w:r w:rsidR="00DA6E9B">
        <w:t xml:space="preserve">, IHACPA requested </w:t>
      </w:r>
      <w:r w:rsidR="0029153F" w:rsidRPr="0029153F">
        <w:t>further</w:t>
      </w:r>
      <w:r w:rsidR="00DA6E9B">
        <w:t xml:space="preserve"> information from jurisdictions to </w:t>
      </w:r>
      <w:r w:rsidR="0029153F" w:rsidRPr="0029153F">
        <w:t>understand the reason for the</w:t>
      </w:r>
      <w:r w:rsidR="00DA6E9B">
        <w:t xml:space="preserve"> </w:t>
      </w:r>
      <w:r w:rsidR="00D96B87">
        <w:t>negative costs</w:t>
      </w:r>
      <w:r w:rsidR="0029153F" w:rsidRPr="0029153F">
        <w:t xml:space="preserve"> and to ensure they were appropriately treated in a consistent way nationally</w:t>
      </w:r>
      <w:r w:rsidR="00622C04">
        <w:t>.</w:t>
      </w:r>
    </w:p>
    <w:p w14:paraId="3D90E291" w14:textId="42E1B329" w:rsidR="00014811" w:rsidRPr="00014811" w:rsidRDefault="00F526E0" w:rsidP="003C28DB">
      <w:pPr>
        <w:pStyle w:val="ListParagraph"/>
        <w:numPr>
          <w:ilvl w:val="0"/>
          <w:numId w:val="84"/>
        </w:numPr>
      </w:pPr>
      <w:r>
        <w:t>V</w:t>
      </w:r>
      <w:r w:rsidR="00F3391A" w:rsidRPr="00F3391A">
        <w:t xml:space="preserve">ariation was observed in the </w:t>
      </w:r>
      <w:r w:rsidR="00B96421" w:rsidRPr="00AD1F32">
        <w:rPr>
          <w:b/>
          <w:bCs/>
        </w:rPr>
        <w:t>allocation of expense types</w:t>
      </w:r>
      <w:r w:rsidR="00B96421">
        <w:t xml:space="preserve"> </w:t>
      </w:r>
      <w:r w:rsidR="008D77EF">
        <w:t xml:space="preserve">included </w:t>
      </w:r>
      <w:r w:rsidR="00B96421">
        <w:t xml:space="preserve">within the </w:t>
      </w:r>
      <w:r w:rsidR="00F3391A" w:rsidRPr="00AD1F32">
        <w:rPr>
          <w:b/>
          <w:bCs/>
          <w:i/>
          <w:iCs/>
        </w:rPr>
        <w:t>Oncost</w:t>
      </w:r>
      <w:r w:rsidR="00B96421" w:rsidRPr="00AD1F32">
        <w:rPr>
          <w:b/>
          <w:bCs/>
          <w:i/>
          <w:iCs/>
        </w:rPr>
        <w:t xml:space="preserve"> </w:t>
      </w:r>
      <w:r w:rsidR="00B96421" w:rsidRPr="00AD1F32">
        <w:rPr>
          <w:b/>
          <w:bCs/>
        </w:rPr>
        <w:t>line</w:t>
      </w:r>
      <w:r w:rsidR="00491993" w:rsidRPr="00AD1F32">
        <w:rPr>
          <w:b/>
          <w:bCs/>
        </w:rPr>
        <w:t xml:space="preserve"> </w:t>
      </w:r>
      <w:r w:rsidR="00B96421" w:rsidRPr="00AD1F32">
        <w:rPr>
          <w:b/>
          <w:bCs/>
        </w:rPr>
        <w:t>item</w:t>
      </w:r>
      <w:r w:rsidR="00B96421">
        <w:t xml:space="preserve">, </w:t>
      </w:r>
      <w:r w:rsidR="00F3391A" w:rsidRPr="00F3391A">
        <w:t>highlighting the need for clearer definitions to support consistent workforce cost reporting.</w:t>
      </w:r>
    </w:p>
    <w:p w14:paraId="49E05592" w14:textId="67A2FEB0" w:rsidR="00790D95" w:rsidRDefault="000A44E4" w:rsidP="00790D95">
      <w:r w:rsidRPr="000A44E4">
        <w:lastRenderedPageBreak/>
        <w:t xml:space="preserve">These inconsistencies highlight the need for clearer national guidance to support </w:t>
      </w:r>
      <w:r w:rsidR="008D77EF">
        <w:t xml:space="preserve">a </w:t>
      </w:r>
      <w:r w:rsidRPr="000A44E4">
        <w:t xml:space="preserve">more </w:t>
      </w:r>
      <w:r w:rsidR="00061E5B">
        <w:t xml:space="preserve">comparable </w:t>
      </w:r>
      <w:r w:rsidRPr="000A44E4">
        <w:t xml:space="preserve">costing practices </w:t>
      </w:r>
      <w:r w:rsidR="008D77EF">
        <w:t>nationally</w:t>
      </w:r>
      <w:r w:rsidR="00061E5B">
        <w:t>.</w:t>
      </w:r>
      <w:r w:rsidR="00790D95">
        <w:t xml:space="preserve"> </w:t>
      </w:r>
    </w:p>
    <w:p w14:paraId="5DEE4532" w14:textId="2788E5B0" w:rsidR="00790D95" w:rsidRDefault="00790D95" w:rsidP="00790D95">
      <w:r>
        <w:t>The following recommendations have been made from these findings:</w:t>
      </w:r>
    </w:p>
    <w:p w14:paraId="132218AB" w14:textId="77777777" w:rsidR="00790D95" w:rsidRDefault="00790D95" w:rsidP="00790D95">
      <w:pPr>
        <w:pStyle w:val="ListParagraph"/>
        <w:numPr>
          <w:ilvl w:val="0"/>
          <w:numId w:val="86"/>
        </w:numPr>
      </w:pPr>
      <w:r w:rsidRPr="00665AFD">
        <w:rPr>
          <w:b/>
        </w:rPr>
        <w:t>Recommendation 5:</w:t>
      </w:r>
      <w:r>
        <w:t xml:space="preserve"> </w:t>
      </w:r>
      <w:r w:rsidRPr="00A742CC">
        <w:t>IHACPA should consider whether additional information is required from jurisdictions to support the development of the NEP where significant hospital costs associated with PPPs are not currently submitted.</w:t>
      </w:r>
    </w:p>
    <w:p w14:paraId="63C6CA73" w14:textId="50B993B4" w:rsidR="00790D95" w:rsidRDefault="00790D95">
      <w:pPr>
        <w:pStyle w:val="ListParagraph"/>
        <w:numPr>
          <w:ilvl w:val="0"/>
          <w:numId w:val="86"/>
        </w:numPr>
      </w:pPr>
      <w:r w:rsidRPr="00665AFD">
        <w:rPr>
          <w:b/>
        </w:rPr>
        <w:t xml:space="preserve">Recommendation 6: </w:t>
      </w:r>
      <w:r w:rsidRPr="00777398">
        <w:t>IHACPA should consider implementing a warning flag in the NHCDC submission process to detect negative line items</w:t>
      </w:r>
      <w:r>
        <w:t xml:space="preserve"> (above a materiality threshold)</w:t>
      </w:r>
      <w:r w:rsidRPr="00777398">
        <w:t>, even when the total episode cost remains positive.</w:t>
      </w:r>
      <w:r>
        <w:t xml:space="preserve"> </w:t>
      </w:r>
      <w:r w:rsidRPr="00942226">
        <w:t xml:space="preserve">Jurisdictions should also consider implementing internal </w:t>
      </w:r>
      <w:r w:rsidR="00DA447F">
        <w:t>q</w:t>
      </w:r>
      <w:r w:rsidRPr="00942226">
        <w:t xml:space="preserve">uality </w:t>
      </w:r>
      <w:r w:rsidR="00DA447F">
        <w:t>a</w:t>
      </w:r>
      <w:r w:rsidRPr="00942226">
        <w:t xml:space="preserve">ssurance (QA) checks to identify negative line item values prior to submission, </w:t>
      </w:r>
      <w:r w:rsidR="00B211C9">
        <w:t>to</w:t>
      </w:r>
      <w:r w:rsidRPr="00942226">
        <w:t xml:space="preserve"> be reviewed with finance / business partners to understand the appropriate treatment of whether any additional reclasses of costs should be made.</w:t>
      </w:r>
    </w:p>
    <w:p w14:paraId="38F1B6D3" w14:textId="42ECA64F" w:rsidR="00790D95" w:rsidRDefault="00790D95" w:rsidP="003C28DB">
      <w:pPr>
        <w:pStyle w:val="ListParagraph"/>
        <w:numPr>
          <w:ilvl w:val="0"/>
          <w:numId w:val="86"/>
        </w:numPr>
      </w:pPr>
      <w:r w:rsidRPr="00665AFD">
        <w:rPr>
          <w:b/>
        </w:rPr>
        <w:t>Recommendation 7:</w:t>
      </w:r>
      <w:r>
        <w:t xml:space="preserve"> </w:t>
      </w:r>
      <w:r w:rsidRPr="00942226">
        <w:t xml:space="preserve">IHACPA should consult with jurisdictions to provide clarity on which costs should appear in the </w:t>
      </w:r>
      <w:r w:rsidRPr="00790D95">
        <w:rPr>
          <w:i/>
        </w:rPr>
        <w:t>Oncost</w:t>
      </w:r>
      <w:r w:rsidRPr="00942226">
        <w:t xml:space="preserve"> line item versus </w:t>
      </w:r>
      <w:r w:rsidRPr="00790D95">
        <w:rPr>
          <w:i/>
        </w:rPr>
        <w:t>S&amp;W</w:t>
      </w:r>
      <w:r w:rsidRPr="00942226">
        <w:t>.</w:t>
      </w:r>
    </w:p>
    <w:p w14:paraId="54333168" w14:textId="6B76BE17" w:rsidR="00037A09" w:rsidRPr="00037A09" w:rsidRDefault="00037A09" w:rsidP="003C28DB"/>
    <w:p w14:paraId="77FC4F09" w14:textId="77777777" w:rsidR="002F238B" w:rsidRDefault="002F238B">
      <w:pPr>
        <w:tabs>
          <w:tab w:val="clear" w:pos="5309"/>
        </w:tabs>
        <w:spacing w:line="279" w:lineRule="auto"/>
        <w:sectPr w:rsidR="002F238B" w:rsidSect="007A2B79">
          <w:headerReference w:type="default" r:id="rId23"/>
          <w:footnotePr>
            <w:pos w:val="beneathText"/>
          </w:footnotePr>
          <w:endnotePr>
            <w:numFmt w:val="decimal"/>
          </w:endnotePr>
          <w:pgSz w:w="11906" w:h="16838" w:code="9"/>
          <w:pgMar w:top="1440" w:right="1440" w:bottom="1440" w:left="1440" w:header="720" w:footer="720" w:gutter="0"/>
          <w:cols w:space="720"/>
          <w:docGrid w:linePitch="360"/>
        </w:sectPr>
      </w:pPr>
    </w:p>
    <w:p w14:paraId="5C3B4236" w14:textId="2510B1DA" w:rsidR="009C192B" w:rsidRDefault="00D34AD5" w:rsidP="00101B44">
      <w:pPr>
        <w:pStyle w:val="Heading1"/>
      </w:pPr>
      <w:bookmarkStart w:id="15" w:name="_Toc209517820"/>
      <w:bookmarkEnd w:id="14"/>
      <w:r>
        <w:lastRenderedPageBreak/>
        <w:t>Introduction</w:t>
      </w:r>
      <w:bookmarkEnd w:id="15"/>
    </w:p>
    <w:p w14:paraId="2111CC07" w14:textId="539B22D8" w:rsidR="00087629" w:rsidRDefault="00087629" w:rsidP="00101B44">
      <w:pPr>
        <w:pStyle w:val="Heading2"/>
      </w:pPr>
      <w:r>
        <w:t>National Hospital Cost Data Collection (NHCDC)</w:t>
      </w:r>
    </w:p>
    <w:p w14:paraId="2486F306" w14:textId="3ED72B98" w:rsidR="00087629" w:rsidRDefault="00087629" w:rsidP="00087629">
      <w:r>
        <w:t>The NHCDC Public Sector is an annual collection of Australian public hospital cost data that is the primary source of information about the cost of treating patients in Australian public hospitals. The NHCDC is a unique collection and valuable evidence base that is used across the Australian health system, linking patient level activity with the cost incurred by hospitals for this activity. The collection covers the following care streams: admitted acute, admitted subacute and non-acute, non-admitted, emergency department, admitted mental health, and community mental health.</w:t>
      </w:r>
      <w:r w:rsidR="00170751">
        <w:t xml:space="preserve"> It is the primary data collection that the Independent Health and Aged Care Pricing Authority (IHACPA) relies on to calculate the </w:t>
      </w:r>
      <w:r w:rsidR="0028616F">
        <w:t>n</w:t>
      </w:r>
      <w:r w:rsidR="00170751">
        <w:t xml:space="preserve">ational </w:t>
      </w:r>
      <w:r w:rsidR="0028616F">
        <w:t>e</w:t>
      </w:r>
      <w:r w:rsidR="00170751">
        <w:t xml:space="preserve">fficient </w:t>
      </w:r>
      <w:r w:rsidR="0028616F">
        <w:t>p</w:t>
      </w:r>
      <w:r w:rsidR="00170751">
        <w:t xml:space="preserve">rice </w:t>
      </w:r>
      <w:r w:rsidR="006D633B">
        <w:t xml:space="preserve">(NEP) </w:t>
      </w:r>
      <w:r w:rsidR="00170751">
        <w:t>used for the funding of public hospital services.</w:t>
      </w:r>
    </w:p>
    <w:p w14:paraId="71023767" w14:textId="3EF68D8F" w:rsidR="00087629" w:rsidRDefault="00087629" w:rsidP="00087629">
      <w:r>
        <w:t>IHACPA</w:t>
      </w:r>
      <w:r w:rsidR="006F146F" w:rsidRPr="003C28DB">
        <w:t xml:space="preserve"> commission</w:t>
      </w:r>
      <w:r w:rsidR="00F44030">
        <w:t>ed</w:t>
      </w:r>
      <w:r w:rsidR="006F146F" w:rsidRPr="003C28DB">
        <w:t xml:space="preserve"> an Independent Financial Review (IFR) </w:t>
      </w:r>
      <w:r w:rsidR="00622C04">
        <w:t xml:space="preserve">of </w:t>
      </w:r>
      <w:r w:rsidR="006F146F">
        <w:t xml:space="preserve">the NHCDC </w:t>
      </w:r>
      <w:r w:rsidR="006F146F" w:rsidRPr="003C28DB">
        <w:t xml:space="preserve">to </w:t>
      </w:r>
      <w:r w:rsidR="001E2848">
        <w:t>ensure that the quality of the datas</w:t>
      </w:r>
      <w:r w:rsidR="00170751">
        <w:t>e</w:t>
      </w:r>
      <w:r w:rsidR="001E2848">
        <w:t>t is robust and fit</w:t>
      </w:r>
      <w:r w:rsidR="00860365">
        <w:t>-</w:t>
      </w:r>
      <w:r w:rsidR="001E2848">
        <w:t>for</w:t>
      </w:r>
      <w:r w:rsidR="00585509">
        <w:t>-</w:t>
      </w:r>
      <w:r w:rsidR="001E2848">
        <w:t>purpose</w:t>
      </w:r>
      <w:r w:rsidR="00E905CA">
        <w:t xml:space="preserve"> for the development of the NEP</w:t>
      </w:r>
      <w:r w:rsidR="006F146F" w:rsidRPr="003C28DB">
        <w:t>.</w:t>
      </w:r>
    </w:p>
    <w:p w14:paraId="6825FE06" w14:textId="55ECB88B" w:rsidR="00087629" w:rsidRDefault="00087629" w:rsidP="00087629">
      <w:r>
        <w:t xml:space="preserve">IHACPA opened the </w:t>
      </w:r>
      <w:r w:rsidR="00E905CA">
        <w:t xml:space="preserve">NHCDC </w:t>
      </w:r>
      <w:r>
        <w:t xml:space="preserve">data portal to begin receiving NHCDC 2023-24 submissions from jurisdictions in </w:t>
      </w:r>
      <w:r w:rsidRPr="008629C2">
        <w:t>January 2025. Costed</w:t>
      </w:r>
      <w:r>
        <w:t xml:space="preserve"> datasets were submitted, reviewed by IHACPA and where required</w:t>
      </w:r>
      <w:r w:rsidR="007D5AC9">
        <w:t>,</w:t>
      </w:r>
      <w:r>
        <w:t xml:space="preserve"> revised and resubmitted by jurisdictions </w:t>
      </w:r>
      <w:r w:rsidR="00BE54A5">
        <w:t>between</w:t>
      </w:r>
      <w:r>
        <w:t xml:space="preserve"> March 2025 </w:t>
      </w:r>
      <w:r w:rsidR="00BE54A5">
        <w:t>and</w:t>
      </w:r>
      <w:r>
        <w:t xml:space="preserve"> </w:t>
      </w:r>
      <w:r w:rsidR="009D2382">
        <w:t>November 2025</w:t>
      </w:r>
      <w:r>
        <w:t>. The draft NEP determination made using the NHCDC</w:t>
      </w:r>
      <w:r w:rsidR="00E23A3E">
        <w:t xml:space="preserve"> 2023-24</w:t>
      </w:r>
      <w:r>
        <w:t xml:space="preserve"> costed data will be finalised in November 2025. </w:t>
      </w:r>
    </w:p>
    <w:p w14:paraId="45EDD4E3" w14:textId="2078A8BD" w:rsidR="00087629" w:rsidRPr="007047DE" w:rsidRDefault="00087629" w:rsidP="003C28DB">
      <w:r>
        <w:t>As a result, th</w:t>
      </w:r>
      <w:r w:rsidR="002E50DD">
        <w:t>is</w:t>
      </w:r>
      <w:r>
        <w:t xml:space="preserve"> IFR commenced in June 2025</w:t>
      </w:r>
      <w:r w:rsidR="00E23A3E">
        <w:t>,</w:t>
      </w:r>
      <w:r>
        <w:t xml:space="preserve"> once the majority of the datasets had been submitted</w:t>
      </w:r>
      <w:r w:rsidR="00E23A3E">
        <w:t>,</w:t>
      </w:r>
      <w:r>
        <w:t xml:space="preserve"> and ran until October 2025. For future years, it is worth considering the benefits of splitting the IFR into 2 separate reviews. The first being the focused review conducted when the jurisdictions are undertaking costing to enable real time adjustments if identified, and the second being the reconciliation process, undertaken after submission have been completed.</w:t>
      </w:r>
    </w:p>
    <w:p w14:paraId="42700FA2" w14:textId="27018798" w:rsidR="006E6FE3" w:rsidRDefault="00D34AD5" w:rsidP="00101B44">
      <w:pPr>
        <w:pStyle w:val="Heading2"/>
      </w:pPr>
      <w:r>
        <w:t xml:space="preserve">Scope of the </w:t>
      </w:r>
      <w:r w:rsidR="0008226B">
        <w:t>IF</w:t>
      </w:r>
      <w:r w:rsidR="006E6FE3">
        <w:t>R</w:t>
      </w:r>
    </w:p>
    <w:p w14:paraId="5A82CD56" w14:textId="694AF514" w:rsidR="00D96EE1" w:rsidRDefault="00CC30BC" w:rsidP="00CC30BC">
      <w:pPr>
        <w:tabs>
          <w:tab w:val="clear" w:pos="5309"/>
        </w:tabs>
        <w:spacing w:line="259" w:lineRule="auto"/>
      </w:pPr>
      <w:r w:rsidRPr="0094151B">
        <w:t xml:space="preserve">The </w:t>
      </w:r>
      <w:r w:rsidR="003D7BD3">
        <w:t>primary purpose of the IFR</w:t>
      </w:r>
      <w:r w:rsidR="006C2DF6">
        <w:t xml:space="preserve"> is to </w:t>
      </w:r>
      <w:r w:rsidR="00B140C9">
        <w:t>understand the costing methodology applied by participating jurisdictions</w:t>
      </w:r>
      <w:r w:rsidR="001C4186">
        <w:t xml:space="preserve"> in generating their NHCDC </w:t>
      </w:r>
      <w:r w:rsidR="000660F7">
        <w:t>submissions;</w:t>
      </w:r>
      <w:r w:rsidR="00B140C9">
        <w:t xml:space="preserve"> and to </w:t>
      </w:r>
      <w:r w:rsidR="006C2DF6">
        <w:t xml:space="preserve">assess </w:t>
      </w:r>
      <w:r w:rsidR="00CB250D">
        <w:t>whether the</w:t>
      </w:r>
      <w:r w:rsidR="00B140C9">
        <w:t xml:space="preserve"> NHCDC </w:t>
      </w:r>
      <w:r w:rsidR="00CB250D">
        <w:t>dataset is fit</w:t>
      </w:r>
      <w:r w:rsidR="00D427CC">
        <w:t>-</w:t>
      </w:r>
      <w:r w:rsidR="00CB250D">
        <w:t>for</w:t>
      </w:r>
      <w:r w:rsidR="00D427CC">
        <w:t>-</w:t>
      </w:r>
      <w:r w:rsidR="00CB250D">
        <w:t xml:space="preserve">purpose </w:t>
      </w:r>
      <w:r w:rsidR="001C4186">
        <w:t xml:space="preserve">as the primary input into the NEP calculation. </w:t>
      </w:r>
    </w:p>
    <w:p w14:paraId="76D1EEC2" w14:textId="75709325" w:rsidR="00CC30BC" w:rsidRPr="0094151B" w:rsidRDefault="006548E7" w:rsidP="00CC30BC">
      <w:pPr>
        <w:tabs>
          <w:tab w:val="clear" w:pos="5309"/>
        </w:tabs>
        <w:spacing w:line="259" w:lineRule="auto"/>
      </w:pPr>
      <w:r>
        <w:t>The design of the IFR was</w:t>
      </w:r>
      <w:r w:rsidR="00BC6E4E">
        <w:t xml:space="preserve"> mainly</w:t>
      </w:r>
      <w:r w:rsidR="002C2A87">
        <w:t xml:space="preserve"> focused around achieving this </w:t>
      </w:r>
      <w:r w:rsidR="00D96EE1">
        <w:t xml:space="preserve">primary </w:t>
      </w:r>
      <w:r w:rsidR="002C2A87">
        <w:t>purpose, but also cover</w:t>
      </w:r>
      <w:r w:rsidR="00D96EE1">
        <w:t>ing</w:t>
      </w:r>
      <w:r w:rsidR="006F50D9">
        <w:t xml:space="preserve"> several other </w:t>
      </w:r>
      <w:r w:rsidR="00CB1472">
        <w:t>objectives</w:t>
      </w:r>
      <w:r w:rsidR="006F50D9">
        <w:t xml:space="preserve">, </w:t>
      </w:r>
      <w:r w:rsidR="00B211C9">
        <w:t>including</w:t>
      </w:r>
      <w:r w:rsidR="006F50D9">
        <w:t>:</w:t>
      </w:r>
      <w:r w:rsidR="00CC30BC" w:rsidRPr="0094151B">
        <w:t xml:space="preserve"> </w:t>
      </w:r>
    </w:p>
    <w:p w14:paraId="6EC17233" w14:textId="3882F739" w:rsidR="00CC30BC" w:rsidRPr="0094151B" w:rsidRDefault="00CC30BC" w:rsidP="00A45D71">
      <w:pPr>
        <w:pStyle w:val="ListParagraph"/>
        <w:numPr>
          <w:ilvl w:val="0"/>
          <w:numId w:val="65"/>
        </w:numPr>
        <w:tabs>
          <w:tab w:val="clear" w:pos="5309"/>
        </w:tabs>
        <w:spacing w:line="259" w:lineRule="auto"/>
      </w:pPr>
      <w:r w:rsidRPr="0094151B">
        <w:t xml:space="preserve">Assess the level of compliance with Australian Hospital Patient Costing Standards version 4.2 </w:t>
      </w:r>
      <w:r w:rsidR="00E23A3E">
        <w:t xml:space="preserve">(AHPCS v4.2) </w:t>
      </w:r>
      <w:r w:rsidRPr="0094151B">
        <w:t xml:space="preserve">for all data submitted to the NHCDC; </w:t>
      </w:r>
    </w:p>
    <w:p w14:paraId="0E46F3C2" w14:textId="3FB31F5D" w:rsidR="00CC30BC" w:rsidRPr="0094151B" w:rsidRDefault="00CC30BC" w:rsidP="00A45D71">
      <w:pPr>
        <w:pStyle w:val="ListParagraph"/>
        <w:numPr>
          <w:ilvl w:val="0"/>
          <w:numId w:val="65"/>
        </w:numPr>
        <w:tabs>
          <w:tab w:val="clear" w:pos="5309"/>
        </w:tabs>
        <w:spacing w:line="259" w:lineRule="auto"/>
      </w:pPr>
      <w:r w:rsidRPr="0094151B">
        <w:t xml:space="preserve">Assess </w:t>
      </w:r>
      <w:r w:rsidR="003D7BD3">
        <w:t>that</w:t>
      </w:r>
      <w:r w:rsidRPr="0094151B">
        <w:t xml:space="preserve"> the NHCDC data is robust and fit-for-purpose for users of the data, including for pricing purposes;</w:t>
      </w:r>
    </w:p>
    <w:p w14:paraId="53021C3D" w14:textId="4F507267" w:rsidR="00CC30BC" w:rsidRPr="0094151B" w:rsidRDefault="00CC30BC" w:rsidP="00A45D71">
      <w:pPr>
        <w:pStyle w:val="ListParagraph"/>
        <w:numPr>
          <w:ilvl w:val="0"/>
          <w:numId w:val="65"/>
        </w:numPr>
        <w:tabs>
          <w:tab w:val="clear" w:pos="5309"/>
        </w:tabs>
        <w:spacing w:line="259" w:lineRule="auto"/>
      </w:pPr>
      <w:r w:rsidRPr="0094151B">
        <w:t xml:space="preserve">Describe the level of alignment in the cost allocation process across jurisdictions and between </w:t>
      </w:r>
      <w:r w:rsidR="00F27EA6">
        <w:t>Local Health Networks (</w:t>
      </w:r>
      <w:r w:rsidRPr="0094151B">
        <w:t>LHNs</w:t>
      </w:r>
      <w:r w:rsidR="00F27EA6">
        <w:t>)</w:t>
      </w:r>
      <w:r w:rsidRPr="0094151B">
        <w:t xml:space="preserve"> and make recommendations </w:t>
      </w:r>
      <w:r w:rsidR="00F63CE7">
        <w:t xml:space="preserve">on </w:t>
      </w:r>
      <w:r w:rsidRPr="0094151B">
        <w:t xml:space="preserve">how further alignment could be achieved; </w:t>
      </w:r>
    </w:p>
    <w:p w14:paraId="130223EF" w14:textId="2E620309" w:rsidR="00CC30BC" w:rsidRPr="0094151B" w:rsidRDefault="00CC30BC" w:rsidP="00A45D71">
      <w:pPr>
        <w:pStyle w:val="ListParagraph"/>
        <w:numPr>
          <w:ilvl w:val="0"/>
          <w:numId w:val="65"/>
        </w:numPr>
        <w:tabs>
          <w:tab w:val="clear" w:pos="5309"/>
        </w:tabs>
        <w:spacing w:line="259" w:lineRule="auto"/>
      </w:pPr>
      <w:r w:rsidRPr="0094151B">
        <w:t xml:space="preserve">Deliver a focused review of </w:t>
      </w:r>
      <w:r w:rsidR="00E23A3E">
        <w:t>c</w:t>
      </w:r>
      <w:r w:rsidR="006F2147">
        <w:t xml:space="preserve">ritical </w:t>
      </w:r>
      <w:r w:rsidR="00E23A3E">
        <w:t>c</w:t>
      </w:r>
      <w:r w:rsidR="006F2147">
        <w:t xml:space="preserve">are </w:t>
      </w:r>
      <w:r w:rsidR="00E16E35">
        <w:t>cost</w:t>
      </w:r>
      <w:r w:rsidR="00917331">
        <w:t xml:space="preserve"> </w:t>
      </w:r>
      <w:r w:rsidR="006F2147">
        <w:t xml:space="preserve">areas, focusing </w:t>
      </w:r>
      <w:r w:rsidR="0007793D">
        <w:t xml:space="preserve">on </w:t>
      </w:r>
      <w:r w:rsidRPr="0094151B">
        <w:t>Intensive Care Units</w:t>
      </w:r>
      <w:r w:rsidRPr="0094151B" w:rsidDel="009B6268">
        <w:t xml:space="preserve"> </w:t>
      </w:r>
      <w:r w:rsidR="002F7C92">
        <w:t>(ICUs)</w:t>
      </w:r>
      <w:r w:rsidRPr="0094151B">
        <w:t xml:space="preserve">, as nominated by the NHCDC Advisory Committee and to support IHACPA’s ongoing work on ICU pricing adjustments; </w:t>
      </w:r>
    </w:p>
    <w:p w14:paraId="54293E25" w14:textId="60347025" w:rsidR="00CC30BC" w:rsidRPr="0094151B" w:rsidRDefault="00CC30BC" w:rsidP="00A45D71">
      <w:pPr>
        <w:pStyle w:val="ListParagraph"/>
        <w:numPr>
          <w:ilvl w:val="0"/>
          <w:numId w:val="65"/>
        </w:numPr>
        <w:tabs>
          <w:tab w:val="clear" w:pos="5309"/>
        </w:tabs>
        <w:spacing w:line="259" w:lineRule="auto"/>
      </w:pPr>
      <w:r w:rsidRPr="0094151B">
        <w:lastRenderedPageBreak/>
        <w:t xml:space="preserve">Facilitate a peer review process designed to promote cross-jurisdictional collaboration and shared learning among costing </w:t>
      </w:r>
      <w:r w:rsidR="008666CD" w:rsidRPr="0094151B">
        <w:t>practitioners.</w:t>
      </w:r>
      <w:r w:rsidRPr="0094151B">
        <w:t xml:space="preserve"> These outputs aim to strengthen costing methodologies nationally and support continuous improvement across the costing community;</w:t>
      </w:r>
      <w:r w:rsidR="00917331">
        <w:t xml:space="preserve"> and</w:t>
      </w:r>
    </w:p>
    <w:p w14:paraId="4D4205BB" w14:textId="769393ED" w:rsidR="00CC30BC" w:rsidRPr="0094151B" w:rsidRDefault="00CC30BC" w:rsidP="00A45D71">
      <w:pPr>
        <w:pStyle w:val="ListParagraph"/>
        <w:numPr>
          <w:ilvl w:val="0"/>
          <w:numId w:val="65"/>
        </w:numPr>
        <w:tabs>
          <w:tab w:val="clear" w:pos="5309"/>
        </w:tabs>
        <w:spacing w:line="259" w:lineRule="auto"/>
      </w:pPr>
      <w:r w:rsidRPr="0094151B">
        <w:t xml:space="preserve">Conduct a </w:t>
      </w:r>
      <w:r w:rsidR="00543E2D">
        <w:t>C</w:t>
      </w:r>
      <w:r w:rsidRPr="0094151B">
        <w:t xml:space="preserve">ost </w:t>
      </w:r>
      <w:r w:rsidR="00543E2D">
        <w:t>D</w:t>
      </w:r>
      <w:r w:rsidRPr="0094151B">
        <w:t>river analysis that examines trends in NHCDC cost and activity data for the 2023–24 financial year. This analysis include</w:t>
      </w:r>
      <w:r w:rsidR="0098659D">
        <w:t>s</w:t>
      </w:r>
      <w:r w:rsidRPr="0094151B">
        <w:t xml:space="preserve"> a detailed exploration of the factors influencing changes in cost and activity levels</w:t>
      </w:r>
      <w:r w:rsidR="00A337AC">
        <w:t xml:space="preserve"> across stream</w:t>
      </w:r>
      <w:r w:rsidR="00940037">
        <w:t>s</w:t>
      </w:r>
      <w:r w:rsidR="00A337AC">
        <w:t xml:space="preserve"> compared to the prior year</w:t>
      </w:r>
      <w:r w:rsidRPr="0094151B">
        <w:t>, supported by engagement with jurisdictions to develop a meaningful narrative around these movements. This represents a new component of the IFR introduced in this year’s process.</w:t>
      </w:r>
    </w:p>
    <w:p w14:paraId="2B1A73D0" w14:textId="65EB3BEB" w:rsidR="00CC30BC" w:rsidRPr="0094151B" w:rsidRDefault="00CC30BC" w:rsidP="00944FB9">
      <w:pPr>
        <w:tabs>
          <w:tab w:val="clear" w:pos="5309"/>
        </w:tabs>
        <w:spacing w:line="259" w:lineRule="auto"/>
      </w:pPr>
      <w:r w:rsidRPr="0094151B">
        <w:t xml:space="preserve">The IFR is not an audit and as a result, no assurance on the completeness or accuracy of the costing has been provided. The outcomes and results rely heavily on the representations and data submissions made by hospital costing teams and jurisdiction representatives. Procedures performed were limited to analysing and reviewing costing submissions, </w:t>
      </w:r>
      <w:r w:rsidR="00DB622B">
        <w:t xml:space="preserve">discussing </w:t>
      </w:r>
      <w:r w:rsidRPr="0094151B">
        <w:t>reconcili</w:t>
      </w:r>
      <w:r w:rsidR="00DB622B">
        <w:t>ations from</w:t>
      </w:r>
      <w:r w:rsidRPr="0094151B">
        <w:t xml:space="preserve"> financ</w:t>
      </w:r>
      <w:r w:rsidR="002256C6">
        <w:t>e system general ledgers</w:t>
      </w:r>
      <w:r w:rsidR="000A10E1">
        <w:t xml:space="preserve"> (GLs)</w:t>
      </w:r>
      <w:r w:rsidRPr="0094151B">
        <w:t xml:space="preserve"> to costing submissions</w:t>
      </w:r>
      <w:r w:rsidR="00236360">
        <w:t xml:space="preserve"> and</w:t>
      </w:r>
      <w:r w:rsidRPr="0094151B">
        <w:t xml:space="preserve"> discussions with costing teams a</w:t>
      </w:r>
      <w:r w:rsidR="00236360">
        <w:t xml:space="preserve">round their </w:t>
      </w:r>
      <w:r w:rsidR="007B5E97">
        <w:t xml:space="preserve">costing and </w:t>
      </w:r>
      <w:r w:rsidR="00543E2D">
        <w:t>quality assurance (</w:t>
      </w:r>
      <w:r w:rsidR="00CB64BE">
        <w:t>QA</w:t>
      </w:r>
      <w:r w:rsidR="00543E2D">
        <w:t>)</w:t>
      </w:r>
      <w:r w:rsidR="007B5E97">
        <w:t xml:space="preserve"> </w:t>
      </w:r>
      <w:r w:rsidR="0037256F">
        <w:t>processes</w:t>
      </w:r>
      <w:r w:rsidRPr="0094151B">
        <w:t>.</w:t>
      </w:r>
    </w:p>
    <w:p w14:paraId="42DB023D" w14:textId="60F90714" w:rsidR="0049266B" w:rsidRDefault="00B70FB4" w:rsidP="00101B44">
      <w:pPr>
        <w:pStyle w:val="Heading2"/>
      </w:pPr>
      <w:r>
        <w:t xml:space="preserve">Costing </w:t>
      </w:r>
    </w:p>
    <w:p w14:paraId="72802591" w14:textId="504300AD" w:rsidR="00692109" w:rsidRDefault="00EF2CC3" w:rsidP="00087629">
      <w:r>
        <w:t xml:space="preserve">Hospital costing </w:t>
      </w:r>
      <w:r w:rsidR="000F5DFB">
        <w:t xml:space="preserve">is the process of </w:t>
      </w:r>
      <w:r w:rsidR="0065364B">
        <w:t xml:space="preserve">determining and </w:t>
      </w:r>
      <w:r w:rsidR="000F5DFB">
        <w:t xml:space="preserve">allocating </w:t>
      </w:r>
      <w:r w:rsidR="0065364B">
        <w:t>all the resources that are used to provide patient care in a hospital.</w:t>
      </w:r>
      <w:r w:rsidR="00632C47">
        <w:t xml:space="preserve"> </w:t>
      </w:r>
      <w:r w:rsidR="00713A0F">
        <w:t xml:space="preserve">IHACPA provide guidance to follow in the </w:t>
      </w:r>
      <w:r w:rsidR="00692109">
        <w:t xml:space="preserve">costing process through the </w:t>
      </w:r>
      <w:r w:rsidR="00713A0F">
        <w:t>AHPCS</w:t>
      </w:r>
      <w:r w:rsidR="007E1D7A">
        <w:t xml:space="preserve"> and Data Request Specifications for the NHCDC submissions. </w:t>
      </w:r>
    </w:p>
    <w:p w14:paraId="252063C7" w14:textId="57C3DD22" w:rsidR="00A56606" w:rsidRPr="007047DE" w:rsidRDefault="00F52301" w:rsidP="003C28DB">
      <w:r>
        <w:t xml:space="preserve">In Australia, there are 2 </w:t>
      </w:r>
      <w:r w:rsidR="00692109">
        <w:t xml:space="preserve">main </w:t>
      </w:r>
      <w:r>
        <w:t xml:space="preserve">costing systems </w:t>
      </w:r>
      <w:r w:rsidR="00692109">
        <w:t xml:space="preserve">in </w:t>
      </w:r>
      <w:r>
        <w:t>us</w:t>
      </w:r>
      <w:r w:rsidR="00692109">
        <w:t>e</w:t>
      </w:r>
      <w:r w:rsidR="008C5D24">
        <w:t xml:space="preserve">: </w:t>
      </w:r>
      <w:r w:rsidR="008C5D24">
        <w:rPr>
          <w:lang w:eastAsia="en-US"/>
        </w:rPr>
        <w:t>P</w:t>
      </w:r>
      <w:r w:rsidR="00A56606">
        <w:rPr>
          <w:lang w:eastAsia="en-US"/>
        </w:rPr>
        <w:t>owerPerformance Manager (PPM), and</w:t>
      </w:r>
      <w:r w:rsidR="008C5D24">
        <w:rPr>
          <w:lang w:eastAsia="en-US"/>
        </w:rPr>
        <w:t xml:space="preserve"> </w:t>
      </w:r>
      <w:r w:rsidR="00A56606">
        <w:rPr>
          <w:lang w:eastAsia="en-US"/>
        </w:rPr>
        <w:t>CostPro</w:t>
      </w:r>
      <w:r w:rsidR="008C5D24">
        <w:rPr>
          <w:lang w:eastAsia="en-US"/>
        </w:rPr>
        <w:t xml:space="preserve">. Both </w:t>
      </w:r>
      <w:r w:rsidR="000B35DA">
        <w:rPr>
          <w:lang w:eastAsia="en-US"/>
        </w:rPr>
        <w:t>system</w:t>
      </w:r>
      <w:r w:rsidR="00DB2C06">
        <w:rPr>
          <w:lang w:eastAsia="en-US"/>
        </w:rPr>
        <w:t>s</w:t>
      </w:r>
      <w:r w:rsidR="000B35DA">
        <w:rPr>
          <w:lang w:eastAsia="en-US"/>
        </w:rPr>
        <w:t xml:space="preserve"> are used to allocate </w:t>
      </w:r>
      <w:r w:rsidR="00DB2C06">
        <w:rPr>
          <w:lang w:eastAsia="en-US"/>
        </w:rPr>
        <w:t>GL</w:t>
      </w:r>
      <w:r w:rsidR="000B35DA">
        <w:rPr>
          <w:lang w:eastAsia="en-US"/>
        </w:rPr>
        <w:t xml:space="preserve"> costs to patient episodes through the use of feeder system data and allocation methodologies. Further details about the systems used for each of the participating IFR sites is included in the respective jurisdiction chapters.</w:t>
      </w:r>
      <w:r w:rsidR="008C5D24">
        <w:rPr>
          <w:lang w:eastAsia="en-US"/>
        </w:rPr>
        <w:t xml:space="preserve"> </w:t>
      </w:r>
    </w:p>
    <w:p w14:paraId="03777AD0" w14:textId="69D6E84F" w:rsidR="00D34AD5" w:rsidRDefault="00D34AD5" w:rsidP="00101B44">
      <w:pPr>
        <w:pStyle w:val="Heading2"/>
      </w:pPr>
      <w:r>
        <w:t>Methodology</w:t>
      </w:r>
      <w:r w:rsidR="0008226B">
        <w:t xml:space="preserve"> of the IFR</w:t>
      </w:r>
    </w:p>
    <w:p w14:paraId="3B780208" w14:textId="7D7BFB68" w:rsidR="00430326" w:rsidRPr="00F04FC7" w:rsidRDefault="00430326" w:rsidP="00944FB9">
      <w:r w:rsidRPr="00F04FC7">
        <w:t xml:space="preserve">Throughout the IFR, the team gathered information from a range of sources to support </w:t>
      </w:r>
      <w:r w:rsidR="00B03774">
        <w:t>the review</w:t>
      </w:r>
      <w:r w:rsidRPr="00F04FC7">
        <w:t>. These included:</w:t>
      </w:r>
    </w:p>
    <w:p w14:paraId="05F2B54A" w14:textId="66090CBB" w:rsidR="00430326" w:rsidRPr="00F04FC7" w:rsidRDefault="0022754B" w:rsidP="00944FB9">
      <w:r>
        <w:rPr>
          <w:b/>
        </w:rPr>
        <w:t>Jurisdictions’</w:t>
      </w:r>
      <w:r w:rsidR="00430326" w:rsidRPr="00F04FC7">
        <w:rPr>
          <w:b/>
        </w:rPr>
        <w:t xml:space="preserve"> Data Quality </w:t>
      </w:r>
      <w:r w:rsidR="0023294E">
        <w:rPr>
          <w:b/>
        </w:rPr>
        <w:t>Statement</w:t>
      </w:r>
      <w:r w:rsidR="00430326" w:rsidRPr="00F04FC7">
        <w:rPr>
          <w:b/>
        </w:rPr>
        <w:t xml:space="preserve"> (DQS):</w:t>
      </w:r>
      <w:r w:rsidR="00430326" w:rsidRPr="00F04FC7">
        <w:t xml:space="preserve"> Completed by jurisdictions, these templates provided summaries of costing processes and assessments of compliance against the AHPCS v4.2. The DQS also included GL totals and costs submitted to the NHCDC 2023–24, which were further explored during site visits.</w:t>
      </w:r>
    </w:p>
    <w:p w14:paraId="6CF37D1D" w14:textId="7AC9ECCC" w:rsidR="00430326" w:rsidRPr="00977EC8" w:rsidRDefault="00977EC8" w:rsidP="00944FB9">
      <w:r w:rsidRPr="00977EC8">
        <w:rPr>
          <w:b/>
          <w:bCs/>
        </w:rPr>
        <w:t xml:space="preserve">IHACPA’s QA reports: </w:t>
      </w:r>
      <w:r w:rsidR="000220AE" w:rsidRPr="00AD1F32">
        <w:t>IHACPA</w:t>
      </w:r>
      <w:r w:rsidR="000220AE">
        <w:t xml:space="preserve"> provides jurisdictions with QA reports </w:t>
      </w:r>
      <w:r w:rsidR="00B211C9">
        <w:t xml:space="preserve">containing </w:t>
      </w:r>
      <w:r w:rsidR="00B37D00">
        <w:t>prior year comparisons of activity, cost and linking percentages and breakdowns of costs</w:t>
      </w:r>
      <w:r w:rsidR="000C693B">
        <w:t xml:space="preserve"> submitted. These reports </w:t>
      </w:r>
      <w:r w:rsidRPr="00977EC8">
        <w:t xml:space="preserve">served as a source of information for estimating </w:t>
      </w:r>
      <w:r w:rsidR="00401CB1">
        <w:t xml:space="preserve">the </w:t>
      </w:r>
      <w:r w:rsidRPr="00977EC8">
        <w:t>cost per episode in community mental health</w:t>
      </w:r>
      <w:r w:rsidR="00707589">
        <w:t xml:space="preserve">. </w:t>
      </w:r>
      <w:r w:rsidR="00D0655F">
        <w:t>Where questions were identified in t</w:t>
      </w:r>
      <w:r w:rsidR="00707589">
        <w:t xml:space="preserve">hese QA reports, </w:t>
      </w:r>
      <w:r w:rsidRPr="00977EC8">
        <w:t>email correspondence between IHACPA and jurisdictions</w:t>
      </w:r>
      <w:r w:rsidR="00707589">
        <w:t xml:space="preserve"> </w:t>
      </w:r>
      <w:r w:rsidR="00161AAA">
        <w:t>responding to these questions were provided</w:t>
      </w:r>
      <w:r w:rsidRPr="00977EC8">
        <w:t>, from which additional insights were drawn.</w:t>
      </w:r>
    </w:p>
    <w:p w14:paraId="4B219D31" w14:textId="78CAE871" w:rsidR="00430326" w:rsidRDefault="00430326" w:rsidP="00F82360">
      <w:pPr>
        <w:tabs>
          <w:tab w:val="left" w:pos="851"/>
        </w:tabs>
      </w:pPr>
      <w:r w:rsidRPr="00F82360">
        <w:rPr>
          <w:b/>
          <w:bCs/>
        </w:rPr>
        <w:t>Supplementary Reconciliation Data:</w:t>
      </w:r>
      <w:r w:rsidRPr="00F04FC7">
        <w:t xml:space="preserve"> Jurisdictions were asked to provide additional information to support reconciliation</w:t>
      </w:r>
      <w:r w:rsidR="00886C0E">
        <w:t>s</w:t>
      </w:r>
      <w:r w:rsidRPr="00F04FC7">
        <w:t xml:space="preserve"> from the GL to the NHCDC 2023–24 submissions. This included detailed breakdowns of adjustments and exclusions </w:t>
      </w:r>
      <w:r w:rsidR="00947BD6">
        <w:t>for</w:t>
      </w:r>
      <w:r w:rsidR="00947BD6" w:rsidRPr="00F04FC7">
        <w:t xml:space="preserve"> </w:t>
      </w:r>
      <w:r w:rsidRPr="00F04FC7">
        <w:t>each participating LHN.</w:t>
      </w:r>
      <w:r w:rsidR="0060488B">
        <w:t xml:space="preserve"> The approach to this </w:t>
      </w:r>
      <w:r w:rsidR="0087760F">
        <w:t>year’s</w:t>
      </w:r>
      <w:r w:rsidR="0060488B">
        <w:t xml:space="preserve"> </w:t>
      </w:r>
      <w:r w:rsidR="0060488B">
        <w:lastRenderedPageBreak/>
        <w:t xml:space="preserve">IFR was aimed at minimising burden on participating jurisdictions, and so reconciliation data was </w:t>
      </w:r>
      <w:r w:rsidR="00D205AF">
        <w:t xml:space="preserve">obtained in </w:t>
      </w:r>
      <w:r w:rsidR="00DD5516">
        <w:t xml:space="preserve">their existing format rather than using a </w:t>
      </w:r>
      <w:r w:rsidR="00C516CC">
        <w:t>pre-prepared</w:t>
      </w:r>
      <w:r w:rsidR="00DD5516">
        <w:t xml:space="preserve"> IFR template.</w:t>
      </w:r>
      <w:r w:rsidR="0060488B">
        <w:t xml:space="preserve"> </w:t>
      </w:r>
    </w:p>
    <w:p w14:paraId="63983B50" w14:textId="773C0A4B" w:rsidR="00430326" w:rsidRPr="00AA6F02" w:rsidRDefault="00430326" w:rsidP="00F82360">
      <w:pPr>
        <w:tabs>
          <w:tab w:val="left" w:pos="851"/>
        </w:tabs>
      </w:pPr>
      <w:r>
        <w:rPr>
          <w:b/>
          <w:bCs/>
        </w:rPr>
        <w:t>Cost Driver Analysis</w:t>
      </w:r>
      <w:r w:rsidR="001F4F32">
        <w:rPr>
          <w:b/>
          <w:bCs/>
        </w:rPr>
        <w:t>:</w:t>
      </w:r>
      <w:r>
        <w:rPr>
          <w:b/>
          <w:bCs/>
        </w:rPr>
        <w:t xml:space="preserve"> </w:t>
      </w:r>
      <w:r w:rsidR="006F0382">
        <w:t>A</w:t>
      </w:r>
      <w:r w:rsidRPr="00AA6F02">
        <w:t xml:space="preserve">nalysis of NHCDC </w:t>
      </w:r>
      <w:r w:rsidR="00DC7442">
        <w:t xml:space="preserve">2022-23 and </w:t>
      </w:r>
      <w:r w:rsidR="006F0382">
        <w:t xml:space="preserve">2023-24 </w:t>
      </w:r>
      <w:r w:rsidRPr="00AA6F02">
        <w:t xml:space="preserve">submissions was undertaken to review cost and activity changes </w:t>
      </w:r>
      <w:r w:rsidR="0019649E">
        <w:t>between the 2 years</w:t>
      </w:r>
      <w:r w:rsidRPr="00AA6F02">
        <w:t xml:space="preserve">, </w:t>
      </w:r>
      <w:r w:rsidR="00314194">
        <w:t xml:space="preserve">across streams for all participating </w:t>
      </w:r>
      <w:r w:rsidR="009D074E">
        <w:t>jurisdictions</w:t>
      </w:r>
      <w:r w:rsidRPr="00AA6F02">
        <w:t xml:space="preserve">. The methodology for performing this analysis, and key insights is discussed further in </w:t>
      </w:r>
      <w:r w:rsidR="001901E6">
        <w:t>Section</w:t>
      </w:r>
      <w:r w:rsidRPr="00AA6F02">
        <w:t xml:space="preserve"> </w:t>
      </w:r>
      <w:r w:rsidR="00623AC2">
        <w:t>3</w:t>
      </w:r>
      <w:r>
        <w:t>.</w:t>
      </w:r>
    </w:p>
    <w:p w14:paraId="62285616" w14:textId="3B7B0F5D" w:rsidR="00430326" w:rsidRPr="00CC2B69" w:rsidRDefault="00430326" w:rsidP="00944FB9">
      <w:r w:rsidRPr="00F04FC7">
        <w:rPr>
          <w:b/>
        </w:rPr>
        <w:t>Site Visits:</w:t>
      </w:r>
      <w:r w:rsidRPr="00313725">
        <w:rPr>
          <w:b/>
          <w:bCs/>
        </w:rPr>
        <w:t xml:space="preserve"> </w:t>
      </w:r>
      <w:r w:rsidRPr="00CC2B69">
        <w:t xml:space="preserve">Each site visit involved </w:t>
      </w:r>
      <w:r w:rsidR="006F0382">
        <w:t>2</w:t>
      </w:r>
      <w:r w:rsidR="006F0382" w:rsidRPr="00CC2B69">
        <w:t xml:space="preserve"> </w:t>
      </w:r>
      <w:r w:rsidRPr="00CC2B69">
        <w:t>elements:</w:t>
      </w:r>
    </w:p>
    <w:p w14:paraId="407B64A8" w14:textId="79590B3C" w:rsidR="00430326" w:rsidRDefault="00430326" w:rsidP="00A45D71">
      <w:pPr>
        <w:pStyle w:val="ListParagraph"/>
        <w:numPr>
          <w:ilvl w:val="0"/>
          <w:numId w:val="67"/>
        </w:numPr>
      </w:pPr>
      <w:r>
        <w:t>A</w:t>
      </w:r>
      <w:r w:rsidRPr="00F04FC7">
        <w:t xml:space="preserve"> jurisdiction-level meeting involving hospital costing teams and jurisdictional representatives. These sessions explored costing processes, reconciliati</w:t>
      </w:r>
      <w:r>
        <w:t>on to GL to submitted NHCDC costs</w:t>
      </w:r>
      <w:r w:rsidRPr="00F04FC7">
        <w:t xml:space="preserve">, governance structures, and </w:t>
      </w:r>
      <w:r w:rsidR="00CB64BE">
        <w:t>QA</w:t>
      </w:r>
      <w:r w:rsidRPr="00F04FC7">
        <w:t xml:space="preserve"> mechanisms</w:t>
      </w:r>
      <w:r w:rsidR="00D728D9">
        <w:t xml:space="preserve"> focusing on the </w:t>
      </w:r>
      <w:r w:rsidR="001B5380">
        <w:t>results for the nominated LHNs</w:t>
      </w:r>
      <w:r w:rsidRPr="00F04FC7">
        <w:t>.</w:t>
      </w:r>
    </w:p>
    <w:p w14:paraId="58DD2C0A" w14:textId="0981CCD9" w:rsidR="00CC2B69" w:rsidRDefault="00430326" w:rsidP="00A45D71">
      <w:pPr>
        <w:pStyle w:val="ListParagraph"/>
        <w:numPr>
          <w:ilvl w:val="0"/>
          <w:numId w:val="67"/>
        </w:numPr>
      </w:pPr>
      <w:r w:rsidRPr="00F04FC7">
        <w:t>Additionally, each participating site took part in a Critical Care Focused Review meeting, involving operational</w:t>
      </w:r>
      <w:r w:rsidR="004515E4">
        <w:t xml:space="preserve">, </w:t>
      </w:r>
      <w:r w:rsidRPr="00F04FC7">
        <w:t>finance</w:t>
      </w:r>
      <w:r w:rsidR="004515E4">
        <w:t xml:space="preserve"> and costing</w:t>
      </w:r>
      <w:r w:rsidRPr="00F04FC7">
        <w:t xml:space="preserve"> stakeholders. These workshops examined departmental structures, resource consumption, cost flows from the GL to the Costing Ledger, cost allocation methodologies, as well as how costs and activity </w:t>
      </w:r>
      <w:r w:rsidR="008C4639">
        <w:t>we</w:t>
      </w:r>
      <w:r w:rsidRPr="00F04FC7">
        <w:t>re ultimately reported to IHACPA.</w:t>
      </w:r>
      <w:r w:rsidRPr="00084DCE">
        <w:t xml:space="preserve"> </w:t>
      </w:r>
    </w:p>
    <w:p w14:paraId="715BBCE8" w14:textId="2F8E3FC7" w:rsidR="00430326" w:rsidRPr="00084DCE" w:rsidRDefault="00430326" w:rsidP="00944FB9">
      <w:r w:rsidRPr="00CC2B69">
        <w:rPr>
          <w:b/>
        </w:rPr>
        <w:t>Peer Review Process:</w:t>
      </w:r>
      <w:r w:rsidRPr="00084DCE">
        <w:t xml:space="preserve"> A key component of the IFR was the peer review initiative, </w:t>
      </w:r>
      <w:r w:rsidR="00B211C9">
        <w:t>enabling</w:t>
      </w:r>
      <w:r w:rsidRPr="00084DCE">
        <w:t xml:space="preserve"> costing practitioners to attend site visits in other jurisdictions. This facilitated the exchange of information, insights, and methodologies, and helped build a deeper understanding of costing</w:t>
      </w:r>
      <w:r w:rsidR="00152985">
        <w:t xml:space="preserve"> </w:t>
      </w:r>
      <w:r w:rsidRPr="00084DCE">
        <w:t xml:space="preserve">practices across the sector. Following the site visits, participants attended a dedicated workshop to </w:t>
      </w:r>
      <w:r w:rsidR="00BB4174">
        <w:t>discuss the IFR</w:t>
      </w:r>
      <w:r w:rsidRPr="00084DCE">
        <w:t xml:space="preserve"> key learnings and </w:t>
      </w:r>
      <w:r w:rsidR="00B77CF5">
        <w:t>proposed</w:t>
      </w:r>
      <w:r w:rsidR="00B77CF5" w:rsidDel="00CD2386">
        <w:t xml:space="preserve"> </w:t>
      </w:r>
      <w:r w:rsidRPr="00084DCE">
        <w:t>recommendations.</w:t>
      </w:r>
    </w:p>
    <w:p w14:paraId="676B08FD" w14:textId="736415F7" w:rsidR="00430326" w:rsidRPr="00F04FC7" w:rsidRDefault="00430326" w:rsidP="00944FB9">
      <w:r>
        <w:rPr>
          <w:b/>
        </w:rPr>
        <w:t>I</w:t>
      </w:r>
      <w:r>
        <w:rPr>
          <w:b/>
          <w:bCs/>
        </w:rPr>
        <w:t>HACPA Process Review</w:t>
      </w:r>
      <w:r w:rsidRPr="00F04FC7">
        <w:rPr>
          <w:b/>
          <w:bCs/>
        </w:rPr>
        <w:t>:</w:t>
      </w:r>
      <w:r w:rsidRPr="00F04FC7">
        <w:t xml:space="preserve"> The IFR team engaged with IHACPA staff to understand the processes in place for collecting, adjusting, and </w:t>
      </w:r>
      <w:r>
        <w:t>performing QA over jurisdictions’ NHCDC submissions.</w:t>
      </w:r>
      <w:r w:rsidRPr="00F04FC7">
        <w:t xml:space="preserve"> These consultations also covered the methodology used to produce the final NHCDC dataset.</w:t>
      </w:r>
    </w:p>
    <w:p w14:paraId="1B735412" w14:textId="1FA6A8E8" w:rsidR="00D34AD5" w:rsidRDefault="00856ABF" w:rsidP="00101B44">
      <w:pPr>
        <w:pStyle w:val="Heading2"/>
      </w:pPr>
      <w:r>
        <w:t>Participating sites</w:t>
      </w:r>
    </w:p>
    <w:p w14:paraId="57F13D2E" w14:textId="391CE369" w:rsidR="00201D8B" w:rsidRDefault="00DD5359" w:rsidP="00C276A7">
      <w:r>
        <w:t>Six</w:t>
      </w:r>
      <w:r w:rsidR="00C276A7" w:rsidRPr="00B34D37">
        <w:t xml:space="preserve"> jurisdictions participated in the IFR</w:t>
      </w:r>
      <w:r w:rsidR="009D28D9">
        <w:t xml:space="preserve"> for the NHCDC </w:t>
      </w:r>
      <w:r w:rsidR="00CD2386">
        <w:t xml:space="preserve">2023-24 </w:t>
      </w:r>
      <w:r w:rsidR="009D28D9">
        <w:t>submissions</w:t>
      </w:r>
      <w:r w:rsidR="00C276A7">
        <w:t xml:space="preserve">, </w:t>
      </w:r>
      <w:r w:rsidR="00281E3C">
        <w:t xml:space="preserve">with </w:t>
      </w:r>
      <w:r w:rsidR="00F9158F">
        <w:t>5</w:t>
      </w:r>
      <w:r w:rsidR="00281E3C">
        <w:t xml:space="preserve"> of them </w:t>
      </w:r>
      <w:r w:rsidR="009069E4">
        <w:t xml:space="preserve">nominating one to </w:t>
      </w:r>
      <w:r w:rsidR="0087636B">
        <w:t>2</w:t>
      </w:r>
      <w:r w:rsidR="009069E4">
        <w:t xml:space="preserve"> participating </w:t>
      </w:r>
      <w:r w:rsidR="0087636B">
        <w:t>LHNs</w:t>
      </w:r>
      <w:r w:rsidR="00F9158F">
        <w:t>. The 6</w:t>
      </w:r>
      <w:r w:rsidR="00F9158F" w:rsidRPr="003C28DB">
        <w:rPr>
          <w:vertAlign w:val="superscript"/>
        </w:rPr>
        <w:t>th</w:t>
      </w:r>
      <w:r w:rsidR="00F9158F">
        <w:t xml:space="preserve"> jurisdiction was </w:t>
      </w:r>
      <w:r w:rsidR="006934E9">
        <w:t>Australian</w:t>
      </w:r>
      <w:r w:rsidR="00274755">
        <w:t xml:space="preserve"> Capital Territory (</w:t>
      </w:r>
      <w:r w:rsidR="00C276A7">
        <w:t>ACT</w:t>
      </w:r>
      <w:r w:rsidR="00274755">
        <w:t>)</w:t>
      </w:r>
      <w:r w:rsidR="00F9158F">
        <w:t>, who</w:t>
      </w:r>
      <w:r w:rsidR="00C276A7">
        <w:t xml:space="preserve"> complet</w:t>
      </w:r>
      <w:r w:rsidR="00F9158F">
        <w:t>ed</w:t>
      </w:r>
      <w:r w:rsidR="00C276A7">
        <w:t xml:space="preserve"> a partial review due to a delay in their NHCDC submission. </w:t>
      </w:r>
    </w:p>
    <w:p w14:paraId="51AA0408" w14:textId="78666202" w:rsidR="00201D8B" w:rsidRDefault="00201D8B" w:rsidP="00C276A7">
      <w:r>
        <w:t xml:space="preserve">Tasmania </w:t>
      </w:r>
      <w:r w:rsidR="00BF135A">
        <w:t xml:space="preserve">(Tas) </w:t>
      </w:r>
      <w:r w:rsidR="005E5297">
        <w:t>elected not</w:t>
      </w:r>
      <w:r>
        <w:t xml:space="preserve"> to participate in the IFR </w:t>
      </w:r>
      <w:r w:rsidR="005414FE">
        <w:t xml:space="preserve">and Northern Territory (NT) was not included in the review as their NHCDC 2023-24 data was not </w:t>
      </w:r>
      <w:r w:rsidR="00E62477">
        <w:t>yet submitted by the time the IFR was conducted</w:t>
      </w:r>
      <w:r w:rsidR="005414FE">
        <w:t>.</w:t>
      </w:r>
    </w:p>
    <w:p w14:paraId="619BC9ED" w14:textId="390F1706" w:rsidR="004D4C3E" w:rsidRDefault="00672F22" w:rsidP="003C28DB">
      <w:pPr>
        <w:rPr>
          <w:highlight w:val="yellow"/>
        </w:rPr>
      </w:pPr>
      <w:r>
        <w:t>A sampling framework was developed by the project team, considering the desired</w:t>
      </w:r>
      <w:r w:rsidR="00C5491A">
        <w:t xml:space="preserve"> characteristics of participating sites</w:t>
      </w:r>
      <w:r w:rsidR="00C5491A" w:rsidDel="002F1D1A">
        <w:t xml:space="preserve"> </w:t>
      </w:r>
      <w:r w:rsidR="00F06380">
        <w:t>including</w:t>
      </w:r>
      <w:r w:rsidR="00C276A7" w:rsidRPr="00B34D37" w:rsidDel="00780800">
        <w:t xml:space="preserve"> </w:t>
      </w:r>
      <w:r w:rsidR="00C276A7">
        <w:t>size,</w:t>
      </w:r>
      <w:r w:rsidR="00C276A7" w:rsidRPr="00B34D37">
        <w:t xml:space="preserve"> remoteness of location </w:t>
      </w:r>
      <w:r w:rsidR="00C276A7">
        <w:t xml:space="preserve">and whether they held a Level 3 ICU facility designation, to align with the scope of the Critical Care </w:t>
      </w:r>
      <w:r w:rsidR="00622486">
        <w:t>Focused</w:t>
      </w:r>
      <w:r w:rsidR="00C276A7">
        <w:t xml:space="preserve"> Review.</w:t>
      </w:r>
      <w:r w:rsidR="00C276A7" w:rsidRPr="00B34D37">
        <w:t xml:space="preserve"> Each jurisdiction was provided with a list of hospitals</w:t>
      </w:r>
      <w:r w:rsidR="009B1F8D">
        <w:t xml:space="preserve"> and LHNs</w:t>
      </w:r>
      <w:r w:rsidR="00C276A7" w:rsidRPr="00B34D37">
        <w:t xml:space="preserve"> </w:t>
      </w:r>
      <w:r w:rsidR="00780800">
        <w:t>that met</w:t>
      </w:r>
      <w:r w:rsidR="00780800" w:rsidRPr="00B34D37">
        <w:t xml:space="preserve"> </w:t>
      </w:r>
      <w:r w:rsidR="00C276A7" w:rsidRPr="00B34D37">
        <w:t>the</w:t>
      </w:r>
      <w:r w:rsidR="00C276A7">
        <w:t xml:space="preserve"> required </w:t>
      </w:r>
      <w:r w:rsidR="00C276A7" w:rsidRPr="00B34D37">
        <w:t>criteria</w:t>
      </w:r>
      <w:r w:rsidR="00780800">
        <w:t>,</w:t>
      </w:r>
      <w:r w:rsidR="00C276A7" w:rsidRPr="00B34D37">
        <w:t xml:space="preserve"> and </w:t>
      </w:r>
      <w:r w:rsidR="009B1F8D">
        <w:t>the</w:t>
      </w:r>
      <w:r w:rsidR="00F06380" w:rsidRPr="00B34D37">
        <w:t xml:space="preserve"> </w:t>
      </w:r>
      <w:r w:rsidR="00595A8C">
        <w:t xml:space="preserve">nomination of </w:t>
      </w:r>
      <w:r w:rsidR="00F06380">
        <w:t>participating sites was</w:t>
      </w:r>
      <w:r w:rsidR="00F06380" w:rsidRPr="00B34D37">
        <w:t xml:space="preserve"> undertaken by each jurisdictio</w:t>
      </w:r>
      <w:r w:rsidR="009B1F8D">
        <w:t xml:space="preserve">n. </w:t>
      </w:r>
    </w:p>
    <w:p w14:paraId="5D9C58B4" w14:textId="3B66BCC8" w:rsidR="00C276A7" w:rsidRPr="00B34D37" w:rsidRDefault="00C276A7" w:rsidP="00EC0C63">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1</w:t>
      </w:r>
      <w:r w:rsidR="00BD5B5E">
        <w:fldChar w:fldCharType="end"/>
      </w:r>
      <w:r w:rsidR="00044B84">
        <w:t xml:space="preserve">: </w:t>
      </w:r>
      <w:r w:rsidR="00163774">
        <w:t>Map of participating sites in IFR 2023-24</w:t>
      </w:r>
    </w:p>
    <w:p w14:paraId="34B7F16B" w14:textId="77777777" w:rsidR="00B178C4" w:rsidRDefault="00D1714F" w:rsidP="00622486">
      <w:r>
        <w:rPr>
          <w:noProof/>
        </w:rPr>
        <mc:AlternateContent>
          <mc:Choice Requires="wpg">
            <w:drawing>
              <wp:inline distT="0" distB="0" distL="0" distR="0" wp14:anchorId="20C6DC0F" wp14:editId="4986F328">
                <wp:extent cx="5730876" cy="4158945"/>
                <wp:effectExtent l="0" t="0" r="22225" b="13335"/>
                <wp:docPr id="515852317" name="Group 3" descr="P389#y1"/>
                <wp:cNvGraphicFramePr/>
                <a:graphic xmlns:a="http://schemas.openxmlformats.org/drawingml/2006/main">
                  <a:graphicData uri="http://schemas.microsoft.com/office/word/2010/wordprocessingGroup">
                    <wpg:wgp>
                      <wpg:cNvGrpSpPr/>
                      <wpg:grpSpPr>
                        <a:xfrm>
                          <a:off x="0" y="0"/>
                          <a:ext cx="5730876" cy="4158945"/>
                          <a:chOff x="0" y="0"/>
                          <a:chExt cx="6387496" cy="4635442"/>
                        </a:xfrm>
                      </wpg:grpSpPr>
                      <wpg:grpSp>
                        <wpg:cNvPr id="1615428091" name="Group 11">
                          <a:extLst>
                            <a:ext uri="{FF2B5EF4-FFF2-40B4-BE49-F238E27FC236}">
                              <a16:creationId xmlns:a16="http://schemas.microsoft.com/office/drawing/2014/main" id="{28DA09F9-9336-7444-588E-A8778DA4D6A3}"/>
                            </a:ext>
                          </a:extLst>
                        </wpg:cNvPr>
                        <wpg:cNvGrpSpPr/>
                        <wpg:grpSpPr>
                          <a:xfrm>
                            <a:off x="209550" y="0"/>
                            <a:ext cx="4639945" cy="4253230"/>
                            <a:chOff x="1104016" y="0"/>
                            <a:chExt cx="3623027" cy="3321018"/>
                          </a:xfrm>
                        </wpg:grpSpPr>
                        <wpg:grpSp>
                          <wpg:cNvPr id="1592028452" name="Group 1592028452">
                            <a:extLst>
                              <a:ext uri="{FF2B5EF4-FFF2-40B4-BE49-F238E27FC236}">
                                <a16:creationId xmlns:a16="http://schemas.microsoft.com/office/drawing/2014/main" id="{FCADE52A-E1BA-0C13-3C91-F8065AB06F56}"/>
                              </a:ext>
                            </a:extLst>
                          </wpg:cNvPr>
                          <wpg:cNvGrpSpPr>
                            <a:grpSpLocks noChangeAspect="1"/>
                          </wpg:cNvGrpSpPr>
                          <wpg:grpSpPr bwMode="auto">
                            <a:xfrm>
                              <a:off x="1104016" y="0"/>
                              <a:ext cx="3623027" cy="3321018"/>
                              <a:chOff x="1104016" y="0"/>
                              <a:chExt cx="4773" cy="4247"/>
                            </a:xfrm>
                            <a:solidFill>
                              <a:srgbClr val="F2EFED"/>
                            </a:solidFill>
                          </wpg:grpSpPr>
                          <wps:wsp>
                            <wps:cNvPr id="1645601091" name="Freeform 45">
                              <a:extLst>
                                <a:ext uri="{FF2B5EF4-FFF2-40B4-BE49-F238E27FC236}">
                                  <a16:creationId xmlns:a16="http://schemas.microsoft.com/office/drawing/2014/main" id="{F8512948-61ED-0CEE-0438-00C8C7D036F5}"/>
                                </a:ext>
                              </a:extLst>
                            </wps:cNvPr>
                            <wps:cNvSpPr>
                              <a:spLocks noEditPoints="1"/>
                            </wps:cNvSpPr>
                            <wps:spPr bwMode="auto">
                              <a:xfrm>
                                <a:off x="1107615" y="3682"/>
                                <a:ext cx="539" cy="565"/>
                              </a:xfrm>
                              <a:custGeom>
                                <a:avLst/>
                                <a:gdLst/>
                                <a:ahLst/>
                                <a:cxnLst>
                                  <a:cxn ang="0">
                                    <a:pos x="44" y="97"/>
                                  </a:cxn>
                                  <a:cxn ang="0">
                                    <a:pos x="58" y="124"/>
                                  </a:cxn>
                                  <a:cxn ang="0">
                                    <a:pos x="70" y="146"/>
                                  </a:cxn>
                                  <a:cxn ang="0">
                                    <a:pos x="74" y="166"/>
                                  </a:cxn>
                                  <a:cxn ang="0">
                                    <a:pos x="71" y="175"/>
                                  </a:cxn>
                                  <a:cxn ang="0">
                                    <a:pos x="80" y="188"/>
                                  </a:cxn>
                                  <a:cxn ang="0">
                                    <a:pos x="101" y="216"/>
                                  </a:cxn>
                                  <a:cxn ang="0">
                                    <a:pos x="109" y="217"/>
                                  </a:cxn>
                                  <a:cxn ang="0">
                                    <a:pos x="103" y="224"/>
                                  </a:cxn>
                                  <a:cxn ang="0">
                                    <a:pos x="119" y="230"/>
                                  </a:cxn>
                                  <a:cxn ang="0">
                                    <a:pos x="150" y="234"/>
                                  </a:cxn>
                                  <a:cxn ang="0">
                                    <a:pos x="152" y="215"/>
                                  </a:cxn>
                                  <a:cxn ang="0">
                                    <a:pos x="161" y="228"/>
                                  </a:cxn>
                                  <a:cxn ang="0">
                                    <a:pos x="164" y="204"/>
                                  </a:cxn>
                                  <a:cxn ang="0">
                                    <a:pos x="175" y="202"/>
                                  </a:cxn>
                                  <a:cxn ang="0">
                                    <a:pos x="181" y="202"/>
                                  </a:cxn>
                                  <a:cxn ang="0">
                                    <a:pos x="184" y="210"/>
                                  </a:cxn>
                                  <a:cxn ang="0">
                                    <a:pos x="190" y="222"/>
                                  </a:cxn>
                                  <a:cxn ang="0">
                                    <a:pos x="194" y="215"/>
                                  </a:cxn>
                                  <a:cxn ang="0">
                                    <a:pos x="195" y="172"/>
                                  </a:cxn>
                                  <a:cxn ang="0">
                                    <a:pos x="202" y="152"/>
                                  </a:cxn>
                                  <a:cxn ang="0">
                                    <a:pos x="209" y="152"/>
                                  </a:cxn>
                                  <a:cxn ang="0">
                                    <a:pos x="210" y="143"/>
                                  </a:cxn>
                                  <a:cxn ang="0">
                                    <a:pos x="216" y="98"/>
                                  </a:cxn>
                                  <a:cxn ang="0">
                                    <a:pos x="220" y="80"/>
                                  </a:cxn>
                                  <a:cxn ang="0">
                                    <a:pos x="207" y="61"/>
                                  </a:cxn>
                                  <a:cxn ang="0">
                                    <a:pos x="174" y="74"/>
                                  </a:cxn>
                                  <a:cxn ang="0">
                                    <a:pos x="151" y="75"/>
                                  </a:cxn>
                                  <a:cxn ang="0">
                                    <a:pos x="145" y="84"/>
                                  </a:cxn>
                                  <a:cxn ang="0">
                                    <a:pos x="134" y="83"/>
                                  </a:cxn>
                                  <a:cxn ang="0">
                                    <a:pos x="123" y="85"/>
                                  </a:cxn>
                                  <a:cxn ang="0">
                                    <a:pos x="97" y="75"/>
                                  </a:cxn>
                                  <a:cxn ang="0">
                                    <a:pos x="75" y="69"/>
                                  </a:cxn>
                                  <a:cxn ang="0">
                                    <a:pos x="49" y="61"/>
                                  </a:cxn>
                                  <a:cxn ang="0">
                                    <a:pos x="166" y="228"/>
                                  </a:cxn>
                                  <a:cxn ang="0">
                                    <a:pos x="170" y="228"/>
                                  </a:cxn>
                                  <a:cxn ang="0">
                                    <a:pos x="199" y="187"/>
                                  </a:cxn>
                                  <a:cxn ang="0">
                                    <a:pos x="208" y="165"/>
                                  </a:cxn>
                                  <a:cxn ang="0">
                                    <a:pos x="149" y="92"/>
                                  </a:cxn>
                                  <a:cxn ang="0">
                                    <a:pos x="51" y="54"/>
                                  </a:cxn>
                                  <a:cxn ang="0">
                                    <a:pos x="51" y="54"/>
                                  </a:cxn>
                                  <a:cxn ang="0">
                                    <a:pos x="220" y="55"/>
                                  </a:cxn>
                                  <a:cxn ang="0">
                                    <a:pos x="51" y="52"/>
                                  </a:cxn>
                                  <a:cxn ang="0">
                                    <a:pos x="216" y="52"/>
                                  </a:cxn>
                                  <a:cxn ang="0">
                                    <a:pos x="228" y="51"/>
                                  </a:cxn>
                                  <a:cxn ang="0">
                                    <a:pos x="38" y="47"/>
                                  </a:cxn>
                                  <a:cxn ang="0">
                                    <a:pos x="43" y="51"/>
                                  </a:cxn>
                                  <a:cxn ang="0">
                                    <a:pos x="48" y="46"/>
                                  </a:cxn>
                                  <a:cxn ang="0">
                                    <a:pos x="206" y="37"/>
                                  </a:cxn>
                                  <a:cxn ang="0">
                                    <a:pos x="201" y="28"/>
                                  </a:cxn>
                                  <a:cxn ang="0">
                                    <a:pos x="201" y="15"/>
                                  </a:cxn>
                                  <a:cxn ang="0">
                                    <a:pos x="213" y="34"/>
                                  </a:cxn>
                                  <a:cxn ang="0">
                                    <a:pos x="224" y="34"/>
                                  </a:cxn>
                                  <a:cxn ang="0">
                                    <a:pos x="207" y="8"/>
                                  </a:cxn>
                                  <a:cxn ang="0">
                                    <a:pos x="11" y="32"/>
                                  </a:cxn>
                                  <a:cxn ang="0">
                                    <a:pos x="13" y="7"/>
                                  </a:cxn>
                                </a:cxnLst>
                                <a:rect l="0" t="0" r="r" b="b"/>
                                <a:pathLst>
                                  <a:path w="228" h="239">
                                    <a:moveTo>
                                      <a:pt x="42" y="67"/>
                                    </a:moveTo>
                                    <a:cubicBezTo>
                                      <a:pt x="41" y="68"/>
                                      <a:pt x="38" y="70"/>
                                      <a:pt x="38" y="71"/>
                                    </a:cubicBezTo>
                                    <a:cubicBezTo>
                                      <a:pt x="37" y="78"/>
                                      <a:pt x="40" y="78"/>
                                      <a:pt x="43" y="80"/>
                                    </a:cubicBezTo>
                                    <a:cubicBezTo>
                                      <a:pt x="42" y="86"/>
                                      <a:pt x="39" y="92"/>
                                      <a:pt x="45" y="95"/>
                                    </a:cubicBezTo>
                                    <a:cubicBezTo>
                                      <a:pt x="46" y="96"/>
                                      <a:pt x="43" y="96"/>
                                      <a:pt x="44" y="97"/>
                                    </a:cubicBezTo>
                                    <a:cubicBezTo>
                                      <a:pt x="44" y="98"/>
                                      <a:pt x="47" y="100"/>
                                      <a:pt x="48" y="102"/>
                                    </a:cubicBezTo>
                                    <a:cubicBezTo>
                                      <a:pt x="48" y="105"/>
                                      <a:pt x="46" y="106"/>
                                      <a:pt x="47" y="108"/>
                                    </a:cubicBezTo>
                                    <a:cubicBezTo>
                                      <a:pt x="47" y="109"/>
                                      <a:pt x="50" y="110"/>
                                      <a:pt x="50" y="110"/>
                                    </a:cubicBezTo>
                                    <a:cubicBezTo>
                                      <a:pt x="52" y="113"/>
                                      <a:pt x="52" y="117"/>
                                      <a:pt x="53" y="120"/>
                                    </a:cubicBezTo>
                                    <a:cubicBezTo>
                                      <a:pt x="54" y="121"/>
                                      <a:pt x="57" y="122"/>
                                      <a:pt x="58" y="124"/>
                                    </a:cubicBezTo>
                                    <a:cubicBezTo>
                                      <a:pt x="60" y="126"/>
                                      <a:pt x="60" y="130"/>
                                      <a:pt x="63" y="131"/>
                                    </a:cubicBezTo>
                                    <a:cubicBezTo>
                                      <a:pt x="63" y="132"/>
                                      <a:pt x="63" y="132"/>
                                      <a:pt x="63" y="132"/>
                                    </a:cubicBezTo>
                                    <a:cubicBezTo>
                                      <a:pt x="63" y="133"/>
                                      <a:pt x="66" y="132"/>
                                      <a:pt x="68" y="132"/>
                                    </a:cubicBezTo>
                                    <a:cubicBezTo>
                                      <a:pt x="69" y="134"/>
                                      <a:pt x="69" y="140"/>
                                      <a:pt x="70" y="142"/>
                                    </a:cubicBezTo>
                                    <a:cubicBezTo>
                                      <a:pt x="70" y="146"/>
                                      <a:pt x="70" y="146"/>
                                      <a:pt x="70" y="146"/>
                                    </a:cubicBezTo>
                                    <a:cubicBezTo>
                                      <a:pt x="71" y="145"/>
                                      <a:pt x="71" y="143"/>
                                      <a:pt x="73" y="144"/>
                                    </a:cubicBezTo>
                                    <a:cubicBezTo>
                                      <a:pt x="74" y="144"/>
                                      <a:pt x="74" y="146"/>
                                      <a:pt x="75" y="146"/>
                                    </a:cubicBezTo>
                                    <a:cubicBezTo>
                                      <a:pt x="76" y="154"/>
                                      <a:pt x="74" y="155"/>
                                      <a:pt x="84" y="155"/>
                                    </a:cubicBezTo>
                                    <a:cubicBezTo>
                                      <a:pt x="84" y="156"/>
                                      <a:pt x="84" y="158"/>
                                      <a:pt x="84" y="159"/>
                                    </a:cubicBezTo>
                                    <a:cubicBezTo>
                                      <a:pt x="83" y="163"/>
                                      <a:pt x="76" y="165"/>
                                      <a:pt x="74" y="166"/>
                                    </a:cubicBezTo>
                                    <a:cubicBezTo>
                                      <a:pt x="74" y="162"/>
                                      <a:pt x="74" y="160"/>
                                      <a:pt x="73" y="158"/>
                                    </a:cubicBezTo>
                                    <a:cubicBezTo>
                                      <a:pt x="71" y="157"/>
                                      <a:pt x="71" y="157"/>
                                      <a:pt x="71" y="157"/>
                                    </a:cubicBezTo>
                                    <a:cubicBezTo>
                                      <a:pt x="70" y="156"/>
                                      <a:pt x="71" y="155"/>
                                      <a:pt x="71" y="153"/>
                                    </a:cubicBezTo>
                                    <a:cubicBezTo>
                                      <a:pt x="70" y="153"/>
                                      <a:pt x="68" y="153"/>
                                      <a:pt x="68" y="153"/>
                                    </a:cubicBezTo>
                                    <a:cubicBezTo>
                                      <a:pt x="66" y="160"/>
                                      <a:pt x="66" y="169"/>
                                      <a:pt x="71" y="175"/>
                                    </a:cubicBezTo>
                                    <a:cubicBezTo>
                                      <a:pt x="73" y="175"/>
                                      <a:pt x="73" y="175"/>
                                      <a:pt x="73" y="175"/>
                                    </a:cubicBezTo>
                                    <a:cubicBezTo>
                                      <a:pt x="75" y="177"/>
                                      <a:pt x="76" y="179"/>
                                      <a:pt x="77" y="180"/>
                                    </a:cubicBezTo>
                                    <a:cubicBezTo>
                                      <a:pt x="77" y="181"/>
                                      <a:pt x="77" y="184"/>
                                      <a:pt x="77" y="184"/>
                                    </a:cubicBezTo>
                                    <a:cubicBezTo>
                                      <a:pt x="76" y="183"/>
                                      <a:pt x="76" y="187"/>
                                      <a:pt x="76" y="187"/>
                                    </a:cubicBezTo>
                                    <a:cubicBezTo>
                                      <a:pt x="78" y="188"/>
                                      <a:pt x="80" y="187"/>
                                      <a:pt x="80" y="188"/>
                                    </a:cubicBezTo>
                                    <a:cubicBezTo>
                                      <a:pt x="82" y="191"/>
                                      <a:pt x="79" y="192"/>
                                      <a:pt x="81" y="195"/>
                                    </a:cubicBezTo>
                                    <a:cubicBezTo>
                                      <a:pt x="82" y="197"/>
                                      <a:pt x="86" y="197"/>
                                      <a:pt x="88" y="199"/>
                                    </a:cubicBezTo>
                                    <a:cubicBezTo>
                                      <a:pt x="90" y="201"/>
                                      <a:pt x="90" y="204"/>
                                      <a:pt x="92" y="206"/>
                                    </a:cubicBezTo>
                                    <a:cubicBezTo>
                                      <a:pt x="94" y="210"/>
                                      <a:pt x="97" y="212"/>
                                      <a:pt x="99" y="216"/>
                                    </a:cubicBezTo>
                                    <a:cubicBezTo>
                                      <a:pt x="101" y="216"/>
                                      <a:pt x="101" y="216"/>
                                      <a:pt x="101" y="216"/>
                                    </a:cubicBezTo>
                                    <a:cubicBezTo>
                                      <a:pt x="101" y="216"/>
                                      <a:pt x="101" y="212"/>
                                      <a:pt x="102" y="211"/>
                                    </a:cubicBezTo>
                                    <a:cubicBezTo>
                                      <a:pt x="102" y="209"/>
                                      <a:pt x="102" y="209"/>
                                      <a:pt x="102" y="209"/>
                                    </a:cubicBezTo>
                                    <a:cubicBezTo>
                                      <a:pt x="103" y="211"/>
                                      <a:pt x="104" y="214"/>
                                      <a:pt x="105" y="217"/>
                                    </a:cubicBezTo>
                                    <a:cubicBezTo>
                                      <a:pt x="106" y="217"/>
                                      <a:pt x="107" y="215"/>
                                      <a:pt x="107" y="215"/>
                                    </a:cubicBezTo>
                                    <a:cubicBezTo>
                                      <a:pt x="108" y="215"/>
                                      <a:pt x="108" y="217"/>
                                      <a:pt x="109" y="217"/>
                                    </a:cubicBezTo>
                                    <a:cubicBezTo>
                                      <a:pt x="112" y="218"/>
                                      <a:pt x="115" y="217"/>
                                      <a:pt x="116" y="217"/>
                                    </a:cubicBezTo>
                                    <a:cubicBezTo>
                                      <a:pt x="115" y="219"/>
                                      <a:pt x="115" y="220"/>
                                      <a:pt x="115" y="223"/>
                                    </a:cubicBezTo>
                                    <a:cubicBezTo>
                                      <a:pt x="110" y="222"/>
                                      <a:pt x="109" y="222"/>
                                      <a:pt x="105" y="221"/>
                                    </a:cubicBezTo>
                                    <a:cubicBezTo>
                                      <a:pt x="104" y="220"/>
                                      <a:pt x="104" y="220"/>
                                      <a:pt x="104" y="220"/>
                                    </a:cubicBezTo>
                                    <a:cubicBezTo>
                                      <a:pt x="104" y="221"/>
                                      <a:pt x="104" y="222"/>
                                      <a:pt x="103" y="224"/>
                                    </a:cubicBezTo>
                                    <a:cubicBezTo>
                                      <a:pt x="104" y="224"/>
                                      <a:pt x="106" y="224"/>
                                      <a:pt x="106" y="225"/>
                                    </a:cubicBezTo>
                                    <a:cubicBezTo>
                                      <a:pt x="107" y="226"/>
                                      <a:pt x="108" y="231"/>
                                      <a:pt x="109" y="231"/>
                                    </a:cubicBezTo>
                                    <a:cubicBezTo>
                                      <a:pt x="109" y="232"/>
                                      <a:pt x="109" y="232"/>
                                      <a:pt x="109" y="232"/>
                                    </a:cubicBezTo>
                                    <a:cubicBezTo>
                                      <a:pt x="110" y="232"/>
                                      <a:pt x="114" y="229"/>
                                      <a:pt x="114" y="229"/>
                                    </a:cubicBezTo>
                                    <a:cubicBezTo>
                                      <a:pt x="116" y="229"/>
                                      <a:pt x="116" y="231"/>
                                      <a:pt x="119" y="230"/>
                                    </a:cubicBezTo>
                                    <a:cubicBezTo>
                                      <a:pt x="119" y="230"/>
                                      <a:pt x="118" y="228"/>
                                      <a:pt x="122" y="228"/>
                                    </a:cubicBezTo>
                                    <a:cubicBezTo>
                                      <a:pt x="123" y="231"/>
                                      <a:pt x="123" y="231"/>
                                      <a:pt x="123" y="231"/>
                                    </a:cubicBezTo>
                                    <a:cubicBezTo>
                                      <a:pt x="126" y="234"/>
                                      <a:pt x="130" y="233"/>
                                      <a:pt x="135" y="232"/>
                                    </a:cubicBezTo>
                                    <a:cubicBezTo>
                                      <a:pt x="137" y="236"/>
                                      <a:pt x="137" y="238"/>
                                      <a:pt x="143" y="239"/>
                                    </a:cubicBezTo>
                                    <a:cubicBezTo>
                                      <a:pt x="144" y="239"/>
                                      <a:pt x="150" y="237"/>
                                      <a:pt x="150" y="234"/>
                                    </a:cubicBezTo>
                                    <a:cubicBezTo>
                                      <a:pt x="151" y="233"/>
                                      <a:pt x="149" y="231"/>
                                      <a:pt x="149" y="231"/>
                                    </a:cubicBezTo>
                                    <a:cubicBezTo>
                                      <a:pt x="151" y="230"/>
                                      <a:pt x="152" y="231"/>
                                      <a:pt x="153" y="230"/>
                                    </a:cubicBezTo>
                                    <a:cubicBezTo>
                                      <a:pt x="153" y="229"/>
                                      <a:pt x="154" y="228"/>
                                      <a:pt x="153" y="226"/>
                                    </a:cubicBezTo>
                                    <a:cubicBezTo>
                                      <a:pt x="153" y="225"/>
                                      <a:pt x="151" y="226"/>
                                      <a:pt x="150" y="226"/>
                                    </a:cubicBezTo>
                                    <a:cubicBezTo>
                                      <a:pt x="151" y="221"/>
                                      <a:pt x="151" y="219"/>
                                      <a:pt x="152" y="215"/>
                                    </a:cubicBezTo>
                                    <a:cubicBezTo>
                                      <a:pt x="152" y="215"/>
                                      <a:pt x="152" y="221"/>
                                      <a:pt x="152" y="223"/>
                                    </a:cubicBezTo>
                                    <a:cubicBezTo>
                                      <a:pt x="154" y="223"/>
                                      <a:pt x="155" y="222"/>
                                      <a:pt x="157" y="221"/>
                                    </a:cubicBezTo>
                                    <a:cubicBezTo>
                                      <a:pt x="158" y="222"/>
                                      <a:pt x="157" y="224"/>
                                      <a:pt x="158" y="226"/>
                                    </a:cubicBezTo>
                                    <a:cubicBezTo>
                                      <a:pt x="161" y="226"/>
                                      <a:pt x="161" y="226"/>
                                      <a:pt x="161" y="226"/>
                                    </a:cubicBezTo>
                                    <a:cubicBezTo>
                                      <a:pt x="161" y="228"/>
                                      <a:pt x="161" y="228"/>
                                      <a:pt x="161" y="228"/>
                                    </a:cubicBezTo>
                                    <a:cubicBezTo>
                                      <a:pt x="161" y="228"/>
                                      <a:pt x="163" y="228"/>
                                      <a:pt x="164" y="228"/>
                                    </a:cubicBezTo>
                                    <a:cubicBezTo>
                                      <a:pt x="163" y="225"/>
                                      <a:pt x="163" y="224"/>
                                      <a:pt x="163" y="223"/>
                                    </a:cubicBezTo>
                                    <a:cubicBezTo>
                                      <a:pt x="162" y="220"/>
                                      <a:pt x="163" y="215"/>
                                      <a:pt x="163" y="215"/>
                                    </a:cubicBezTo>
                                    <a:cubicBezTo>
                                      <a:pt x="163" y="214"/>
                                      <a:pt x="164" y="208"/>
                                      <a:pt x="164" y="209"/>
                                    </a:cubicBezTo>
                                    <a:cubicBezTo>
                                      <a:pt x="163" y="208"/>
                                      <a:pt x="164" y="206"/>
                                      <a:pt x="164" y="204"/>
                                    </a:cubicBezTo>
                                    <a:cubicBezTo>
                                      <a:pt x="163" y="204"/>
                                      <a:pt x="161" y="201"/>
                                      <a:pt x="160" y="201"/>
                                    </a:cubicBezTo>
                                    <a:cubicBezTo>
                                      <a:pt x="164" y="202"/>
                                      <a:pt x="167" y="203"/>
                                      <a:pt x="171" y="205"/>
                                    </a:cubicBezTo>
                                    <a:cubicBezTo>
                                      <a:pt x="171" y="207"/>
                                      <a:pt x="170" y="209"/>
                                      <a:pt x="171" y="210"/>
                                    </a:cubicBezTo>
                                    <a:cubicBezTo>
                                      <a:pt x="167" y="210"/>
                                      <a:pt x="167" y="214"/>
                                      <a:pt x="171" y="213"/>
                                    </a:cubicBezTo>
                                    <a:cubicBezTo>
                                      <a:pt x="175" y="212"/>
                                      <a:pt x="175" y="208"/>
                                      <a:pt x="175" y="202"/>
                                    </a:cubicBezTo>
                                    <a:cubicBezTo>
                                      <a:pt x="174" y="202"/>
                                      <a:pt x="175" y="204"/>
                                      <a:pt x="173" y="203"/>
                                    </a:cubicBezTo>
                                    <a:cubicBezTo>
                                      <a:pt x="171" y="201"/>
                                      <a:pt x="171" y="201"/>
                                      <a:pt x="171" y="201"/>
                                    </a:cubicBezTo>
                                    <a:cubicBezTo>
                                      <a:pt x="173" y="200"/>
                                      <a:pt x="176" y="198"/>
                                      <a:pt x="179" y="198"/>
                                    </a:cubicBezTo>
                                    <a:cubicBezTo>
                                      <a:pt x="179" y="200"/>
                                      <a:pt x="179" y="200"/>
                                      <a:pt x="179" y="200"/>
                                    </a:cubicBezTo>
                                    <a:cubicBezTo>
                                      <a:pt x="181" y="200"/>
                                      <a:pt x="180" y="201"/>
                                      <a:pt x="181" y="202"/>
                                    </a:cubicBezTo>
                                    <a:cubicBezTo>
                                      <a:pt x="184" y="202"/>
                                      <a:pt x="184" y="200"/>
                                      <a:pt x="187" y="201"/>
                                    </a:cubicBezTo>
                                    <a:cubicBezTo>
                                      <a:pt x="187" y="202"/>
                                      <a:pt x="190" y="207"/>
                                      <a:pt x="191" y="208"/>
                                    </a:cubicBezTo>
                                    <a:cubicBezTo>
                                      <a:pt x="191" y="209"/>
                                      <a:pt x="190" y="212"/>
                                      <a:pt x="190" y="211"/>
                                    </a:cubicBezTo>
                                    <a:cubicBezTo>
                                      <a:pt x="191" y="212"/>
                                      <a:pt x="189" y="213"/>
                                      <a:pt x="189" y="213"/>
                                    </a:cubicBezTo>
                                    <a:cubicBezTo>
                                      <a:pt x="187" y="212"/>
                                      <a:pt x="186" y="211"/>
                                      <a:pt x="184" y="210"/>
                                    </a:cubicBezTo>
                                    <a:cubicBezTo>
                                      <a:pt x="184" y="208"/>
                                      <a:pt x="184" y="208"/>
                                      <a:pt x="184" y="208"/>
                                    </a:cubicBezTo>
                                    <a:cubicBezTo>
                                      <a:pt x="177" y="212"/>
                                      <a:pt x="184" y="213"/>
                                      <a:pt x="186" y="214"/>
                                    </a:cubicBezTo>
                                    <a:cubicBezTo>
                                      <a:pt x="187" y="214"/>
                                      <a:pt x="187" y="214"/>
                                      <a:pt x="187" y="214"/>
                                    </a:cubicBezTo>
                                    <a:cubicBezTo>
                                      <a:pt x="187" y="215"/>
                                      <a:pt x="187" y="220"/>
                                      <a:pt x="187" y="221"/>
                                    </a:cubicBezTo>
                                    <a:cubicBezTo>
                                      <a:pt x="188" y="221"/>
                                      <a:pt x="189" y="221"/>
                                      <a:pt x="190" y="222"/>
                                    </a:cubicBezTo>
                                    <a:cubicBezTo>
                                      <a:pt x="190" y="221"/>
                                      <a:pt x="189" y="217"/>
                                      <a:pt x="190" y="217"/>
                                    </a:cubicBezTo>
                                    <a:cubicBezTo>
                                      <a:pt x="190" y="217"/>
                                      <a:pt x="191" y="218"/>
                                      <a:pt x="192" y="218"/>
                                    </a:cubicBezTo>
                                    <a:cubicBezTo>
                                      <a:pt x="193" y="219"/>
                                      <a:pt x="194" y="220"/>
                                      <a:pt x="195" y="221"/>
                                    </a:cubicBezTo>
                                    <a:cubicBezTo>
                                      <a:pt x="195" y="218"/>
                                      <a:pt x="197" y="219"/>
                                      <a:pt x="196" y="217"/>
                                    </a:cubicBezTo>
                                    <a:cubicBezTo>
                                      <a:pt x="194" y="215"/>
                                      <a:pt x="194" y="215"/>
                                      <a:pt x="194" y="215"/>
                                    </a:cubicBezTo>
                                    <a:cubicBezTo>
                                      <a:pt x="195" y="210"/>
                                      <a:pt x="195" y="208"/>
                                      <a:pt x="196" y="202"/>
                                    </a:cubicBezTo>
                                    <a:cubicBezTo>
                                      <a:pt x="193" y="202"/>
                                      <a:pt x="192" y="202"/>
                                      <a:pt x="190" y="202"/>
                                    </a:cubicBezTo>
                                    <a:cubicBezTo>
                                      <a:pt x="193" y="192"/>
                                      <a:pt x="191" y="186"/>
                                      <a:pt x="192" y="178"/>
                                    </a:cubicBezTo>
                                    <a:cubicBezTo>
                                      <a:pt x="192" y="177"/>
                                      <a:pt x="195" y="179"/>
                                      <a:pt x="195" y="179"/>
                                    </a:cubicBezTo>
                                    <a:cubicBezTo>
                                      <a:pt x="196" y="177"/>
                                      <a:pt x="195" y="174"/>
                                      <a:pt x="195" y="172"/>
                                    </a:cubicBezTo>
                                    <a:cubicBezTo>
                                      <a:pt x="196" y="171"/>
                                      <a:pt x="198" y="170"/>
                                      <a:pt x="198" y="170"/>
                                    </a:cubicBezTo>
                                    <a:cubicBezTo>
                                      <a:pt x="198" y="168"/>
                                      <a:pt x="198" y="168"/>
                                      <a:pt x="198" y="168"/>
                                    </a:cubicBezTo>
                                    <a:cubicBezTo>
                                      <a:pt x="196" y="167"/>
                                      <a:pt x="197" y="168"/>
                                      <a:pt x="195" y="168"/>
                                    </a:cubicBezTo>
                                    <a:cubicBezTo>
                                      <a:pt x="197" y="161"/>
                                      <a:pt x="197" y="158"/>
                                      <a:pt x="196" y="152"/>
                                    </a:cubicBezTo>
                                    <a:cubicBezTo>
                                      <a:pt x="198" y="152"/>
                                      <a:pt x="201" y="152"/>
                                      <a:pt x="202" y="152"/>
                                    </a:cubicBezTo>
                                    <a:cubicBezTo>
                                      <a:pt x="202" y="151"/>
                                      <a:pt x="199" y="147"/>
                                      <a:pt x="201" y="146"/>
                                    </a:cubicBezTo>
                                    <a:cubicBezTo>
                                      <a:pt x="205" y="145"/>
                                      <a:pt x="205" y="145"/>
                                      <a:pt x="205" y="145"/>
                                    </a:cubicBezTo>
                                    <a:cubicBezTo>
                                      <a:pt x="209" y="145"/>
                                      <a:pt x="205" y="147"/>
                                      <a:pt x="204" y="148"/>
                                    </a:cubicBezTo>
                                    <a:cubicBezTo>
                                      <a:pt x="206" y="151"/>
                                      <a:pt x="206" y="151"/>
                                      <a:pt x="206" y="151"/>
                                    </a:cubicBezTo>
                                    <a:cubicBezTo>
                                      <a:pt x="209" y="152"/>
                                      <a:pt x="209" y="152"/>
                                      <a:pt x="209" y="152"/>
                                    </a:cubicBezTo>
                                    <a:cubicBezTo>
                                      <a:pt x="209" y="152"/>
                                      <a:pt x="209" y="156"/>
                                      <a:pt x="209" y="157"/>
                                    </a:cubicBezTo>
                                    <a:cubicBezTo>
                                      <a:pt x="212" y="157"/>
                                      <a:pt x="212" y="157"/>
                                      <a:pt x="212" y="157"/>
                                    </a:cubicBezTo>
                                    <a:cubicBezTo>
                                      <a:pt x="212" y="156"/>
                                      <a:pt x="210" y="155"/>
                                      <a:pt x="210" y="153"/>
                                    </a:cubicBezTo>
                                    <a:cubicBezTo>
                                      <a:pt x="210" y="151"/>
                                      <a:pt x="212" y="150"/>
                                      <a:pt x="212" y="147"/>
                                    </a:cubicBezTo>
                                    <a:cubicBezTo>
                                      <a:pt x="212" y="146"/>
                                      <a:pt x="210" y="145"/>
                                      <a:pt x="210" y="143"/>
                                    </a:cubicBezTo>
                                    <a:cubicBezTo>
                                      <a:pt x="210" y="141"/>
                                      <a:pt x="214" y="139"/>
                                      <a:pt x="214" y="137"/>
                                    </a:cubicBezTo>
                                    <a:cubicBezTo>
                                      <a:pt x="214" y="135"/>
                                      <a:pt x="212" y="131"/>
                                      <a:pt x="211" y="130"/>
                                    </a:cubicBezTo>
                                    <a:cubicBezTo>
                                      <a:pt x="210" y="130"/>
                                      <a:pt x="213" y="129"/>
                                      <a:pt x="213" y="129"/>
                                    </a:cubicBezTo>
                                    <a:cubicBezTo>
                                      <a:pt x="216" y="121"/>
                                      <a:pt x="211" y="110"/>
                                      <a:pt x="213" y="101"/>
                                    </a:cubicBezTo>
                                    <a:cubicBezTo>
                                      <a:pt x="213" y="100"/>
                                      <a:pt x="216" y="98"/>
                                      <a:pt x="216" y="98"/>
                                    </a:cubicBezTo>
                                    <a:cubicBezTo>
                                      <a:pt x="216" y="96"/>
                                      <a:pt x="215" y="94"/>
                                      <a:pt x="215" y="93"/>
                                    </a:cubicBezTo>
                                    <a:cubicBezTo>
                                      <a:pt x="217" y="92"/>
                                      <a:pt x="217" y="92"/>
                                      <a:pt x="217" y="92"/>
                                    </a:cubicBezTo>
                                    <a:cubicBezTo>
                                      <a:pt x="217" y="92"/>
                                      <a:pt x="215" y="86"/>
                                      <a:pt x="217" y="87"/>
                                    </a:cubicBezTo>
                                    <a:cubicBezTo>
                                      <a:pt x="216" y="81"/>
                                      <a:pt x="216" y="81"/>
                                      <a:pt x="216" y="81"/>
                                    </a:cubicBezTo>
                                    <a:cubicBezTo>
                                      <a:pt x="217" y="80"/>
                                      <a:pt x="218" y="80"/>
                                      <a:pt x="220" y="80"/>
                                    </a:cubicBezTo>
                                    <a:cubicBezTo>
                                      <a:pt x="221" y="79"/>
                                      <a:pt x="221" y="75"/>
                                      <a:pt x="221" y="75"/>
                                    </a:cubicBezTo>
                                    <a:cubicBezTo>
                                      <a:pt x="221" y="74"/>
                                      <a:pt x="217" y="70"/>
                                      <a:pt x="217" y="70"/>
                                    </a:cubicBezTo>
                                    <a:cubicBezTo>
                                      <a:pt x="216" y="70"/>
                                      <a:pt x="214" y="70"/>
                                      <a:pt x="214" y="70"/>
                                    </a:cubicBezTo>
                                    <a:cubicBezTo>
                                      <a:pt x="212" y="63"/>
                                      <a:pt x="212" y="63"/>
                                      <a:pt x="212" y="63"/>
                                    </a:cubicBezTo>
                                    <a:cubicBezTo>
                                      <a:pt x="210" y="63"/>
                                      <a:pt x="209" y="62"/>
                                      <a:pt x="207" y="61"/>
                                    </a:cubicBezTo>
                                    <a:cubicBezTo>
                                      <a:pt x="206" y="63"/>
                                      <a:pt x="205" y="66"/>
                                      <a:pt x="204" y="67"/>
                                    </a:cubicBezTo>
                                    <a:cubicBezTo>
                                      <a:pt x="203" y="68"/>
                                      <a:pt x="202" y="67"/>
                                      <a:pt x="201" y="68"/>
                                    </a:cubicBezTo>
                                    <a:cubicBezTo>
                                      <a:pt x="201" y="69"/>
                                      <a:pt x="202" y="70"/>
                                      <a:pt x="201" y="71"/>
                                    </a:cubicBezTo>
                                    <a:cubicBezTo>
                                      <a:pt x="197" y="70"/>
                                      <a:pt x="184" y="65"/>
                                      <a:pt x="181" y="66"/>
                                    </a:cubicBezTo>
                                    <a:cubicBezTo>
                                      <a:pt x="174" y="74"/>
                                      <a:pt x="174" y="74"/>
                                      <a:pt x="174" y="74"/>
                                    </a:cubicBezTo>
                                    <a:cubicBezTo>
                                      <a:pt x="173" y="74"/>
                                      <a:pt x="171" y="75"/>
                                      <a:pt x="171" y="75"/>
                                    </a:cubicBezTo>
                                    <a:cubicBezTo>
                                      <a:pt x="166" y="69"/>
                                      <a:pt x="167" y="70"/>
                                      <a:pt x="163" y="73"/>
                                    </a:cubicBezTo>
                                    <a:cubicBezTo>
                                      <a:pt x="162" y="73"/>
                                      <a:pt x="160" y="73"/>
                                      <a:pt x="159" y="74"/>
                                    </a:cubicBezTo>
                                    <a:cubicBezTo>
                                      <a:pt x="158" y="77"/>
                                      <a:pt x="158" y="77"/>
                                      <a:pt x="158" y="77"/>
                                    </a:cubicBezTo>
                                    <a:cubicBezTo>
                                      <a:pt x="154" y="77"/>
                                      <a:pt x="153" y="75"/>
                                      <a:pt x="151" y="75"/>
                                    </a:cubicBezTo>
                                    <a:cubicBezTo>
                                      <a:pt x="150" y="75"/>
                                      <a:pt x="145" y="77"/>
                                      <a:pt x="143" y="78"/>
                                    </a:cubicBezTo>
                                    <a:cubicBezTo>
                                      <a:pt x="143" y="78"/>
                                      <a:pt x="142" y="80"/>
                                      <a:pt x="143" y="81"/>
                                    </a:cubicBezTo>
                                    <a:cubicBezTo>
                                      <a:pt x="143" y="82"/>
                                      <a:pt x="147" y="81"/>
                                      <a:pt x="147" y="82"/>
                                    </a:cubicBezTo>
                                    <a:cubicBezTo>
                                      <a:pt x="149" y="84"/>
                                      <a:pt x="148" y="87"/>
                                      <a:pt x="148" y="89"/>
                                    </a:cubicBezTo>
                                    <a:cubicBezTo>
                                      <a:pt x="147" y="88"/>
                                      <a:pt x="146" y="85"/>
                                      <a:pt x="145" y="84"/>
                                    </a:cubicBezTo>
                                    <a:cubicBezTo>
                                      <a:pt x="143" y="84"/>
                                      <a:pt x="142" y="84"/>
                                      <a:pt x="141" y="83"/>
                                    </a:cubicBezTo>
                                    <a:cubicBezTo>
                                      <a:pt x="140" y="83"/>
                                      <a:pt x="141" y="81"/>
                                      <a:pt x="141" y="81"/>
                                    </a:cubicBezTo>
                                    <a:cubicBezTo>
                                      <a:pt x="140" y="80"/>
                                      <a:pt x="138" y="79"/>
                                      <a:pt x="138" y="78"/>
                                    </a:cubicBezTo>
                                    <a:cubicBezTo>
                                      <a:pt x="137" y="78"/>
                                      <a:pt x="135" y="78"/>
                                      <a:pt x="134" y="79"/>
                                    </a:cubicBezTo>
                                    <a:cubicBezTo>
                                      <a:pt x="133" y="79"/>
                                      <a:pt x="134" y="83"/>
                                      <a:pt x="134" y="83"/>
                                    </a:cubicBezTo>
                                    <a:cubicBezTo>
                                      <a:pt x="131" y="82"/>
                                      <a:pt x="131" y="82"/>
                                      <a:pt x="131" y="82"/>
                                    </a:cubicBezTo>
                                    <a:cubicBezTo>
                                      <a:pt x="131" y="80"/>
                                      <a:pt x="131" y="80"/>
                                      <a:pt x="131" y="80"/>
                                    </a:cubicBezTo>
                                    <a:cubicBezTo>
                                      <a:pt x="131" y="79"/>
                                      <a:pt x="129" y="79"/>
                                      <a:pt x="128" y="79"/>
                                    </a:cubicBezTo>
                                    <a:cubicBezTo>
                                      <a:pt x="126" y="79"/>
                                      <a:pt x="125" y="80"/>
                                      <a:pt x="122" y="81"/>
                                    </a:cubicBezTo>
                                    <a:cubicBezTo>
                                      <a:pt x="123" y="85"/>
                                      <a:pt x="123" y="85"/>
                                      <a:pt x="123" y="85"/>
                                    </a:cubicBezTo>
                                    <a:cubicBezTo>
                                      <a:pt x="122" y="86"/>
                                      <a:pt x="120" y="83"/>
                                      <a:pt x="120" y="82"/>
                                    </a:cubicBezTo>
                                    <a:cubicBezTo>
                                      <a:pt x="116" y="81"/>
                                      <a:pt x="113" y="83"/>
                                      <a:pt x="110" y="82"/>
                                    </a:cubicBezTo>
                                    <a:cubicBezTo>
                                      <a:pt x="109" y="82"/>
                                      <a:pt x="107" y="80"/>
                                      <a:pt x="106" y="80"/>
                                    </a:cubicBezTo>
                                    <a:cubicBezTo>
                                      <a:pt x="104" y="79"/>
                                      <a:pt x="101" y="80"/>
                                      <a:pt x="99" y="79"/>
                                    </a:cubicBezTo>
                                    <a:cubicBezTo>
                                      <a:pt x="99" y="78"/>
                                      <a:pt x="99" y="75"/>
                                      <a:pt x="97" y="75"/>
                                    </a:cubicBezTo>
                                    <a:cubicBezTo>
                                      <a:pt x="95" y="74"/>
                                      <a:pt x="94" y="75"/>
                                      <a:pt x="92" y="74"/>
                                    </a:cubicBezTo>
                                    <a:cubicBezTo>
                                      <a:pt x="91" y="74"/>
                                      <a:pt x="90" y="71"/>
                                      <a:pt x="90" y="71"/>
                                    </a:cubicBezTo>
                                    <a:cubicBezTo>
                                      <a:pt x="86" y="69"/>
                                      <a:pt x="84" y="72"/>
                                      <a:pt x="81" y="71"/>
                                    </a:cubicBezTo>
                                    <a:cubicBezTo>
                                      <a:pt x="80" y="71"/>
                                      <a:pt x="79" y="67"/>
                                      <a:pt x="79" y="67"/>
                                    </a:cubicBezTo>
                                    <a:cubicBezTo>
                                      <a:pt x="78" y="67"/>
                                      <a:pt x="76" y="68"/>
                                      <a:pt x="75" y="69"/>
                                    </a:cubicBezTo>
                                    <a:cubicBezTo>
                                      <a:pt x="74" y="68"/>
                                      <a:pt x="73" y="67"/>
                                      <a:pt x="72" y="67"/>
                                    </a:cubicBezTo>
                                    <a:cubicBezTo>
                                      <a:pt x="72" y="65"/>
                                      <a:pt x="72" y="65"/>
                                      <a:pt x="72" y="65"/>
                                    </a:cubicBezTo>
                                    <a:cubicBezTo>
                                      <a:pt x="61" y="65"/>
                                      <a:pt x="61" y="65"/>
                                      <a:pt x="61" y="65"/>
                                    </a:cubicBezTo>
                                    <a:cubicBezTo>
                                      <a:pt x="60" y="65"/>
                                      <a:pt x="62" y="67"/>
                                      <a:pt x="59" y="67"/>
                                    </a:cubicBezTo>
                                    <a:cubicBezTo>
                                      <a:pt x="49" y="61"/>
                                      <a:pt x="49" y="61"/>
                                      <a:pt x="49" y="61"/>
                                    </a:cubicBezTo>
                                    <a:cubicBezTo>
                                      <a:pt x="47" y="61"/>
                                      <a:pt x="47" y="63"/>
                                      <a:pt x="45" y="62"/>
                                    </a:cubicBezTo>
                                    <a:cubicBezTo>
                                      <a:pt x="44" y="62"/>
                                      <a:pt x="44" y="60"/>
                                      <a:pt x="43" y="59"/>
                                    </a:cubicBezTo>
                                    <a:cubicBezTo>
                                      <a:pt x="42" y="61"/>
                                      <a:pt x="41" y="62"/>
                                      <a:pt x="41" y="62"/>
                                    </a:cubicBezTo>
                                    <a:cubicBezTo>
                                      <a:pt x="40" y="65"/>
                                      <a:pt x="42" y="65"/>
                                      <a:pt x="42" y="67"/>
                                    </a:cubicBezTo>
                                    <a:close/>
                                    <a:moveTo>
                                      <a:pt x="166" y="228"/>
                                    </a:moveTo>
                                    <a:cubicBezTo>
                                      <a:pt x="164" y="232"/>
                                      <a:pt x="164" y="234"/>
                                      <a:pt x="162" y="237"/>
                                    </a:cubicBezTo>
                                    <a:cubicBezTo>
                                      <a:pt x="163" y="237"/>
                                      <a:pt x="164" y="235"/>
                                      <a:pt x="165" y="235"/>
                                    </a:cubicBezTo>
                                    <a:cubicBezTo>
                                      <a:pt x="165" y="235"/>
                                      <a:pt x="167" y="234"/>
                                      <a:pt x="168" y="233"/>
                                    </a:cubicBezTo>
                                    <a:cubicBezTo>
                                      <a:pt x="167" y="236"/>
                                      <a:pt x="168" y="234"/>
                                      <a:pt x="170" y="235"/>
                                    </a:cubicBezTo>
                                    <a:cubicBezTo>
                                      <a:pt x="170" y="233"/>
                                      <a:pt x="169" y="231"/>
                                      <a:pt x="170" y="228"/>
                                    </a:cubicBezTo>
                                    <a:cubicBezTo>
                                      <a:pt x="169" y="228"/>
                                      <a:pt x="166" y="229"/>
                                      <a:pt x="166" y="228"/>
                                    </a:cubicBezTo>
                                    <a:close/>
                                    <a:moveTo>
                                      <a:pt x="169" y="221"/>
                                    </a:moveTo>
                                    <a:cubicBezTo>
                                      <a:pt x="169" y="221"/>
                                      <a:pt x="170" y="226"/>
                                      <a:pt x="169" y="226"/>
                                    </a:cubicBezTo>
                                    <a:cubicBezTo>
                                      <a:pt x="172" y="224"/>
                                      <a:pt x="172" y="223"/>
                                      <a:pt x="169" y="221"/>
                                    </a:cubicBezTo>
                                    <a:close/>
                                    <a:moveTo>
                                      <a:pt x="199" y="187"/>
                                    </a:moveTo>
                                    <a:cubicBezTo>
                                      <a:pt x="199" y="187"/>
                                      <a:pt x="198" y="191"/>
                                      <a:pt x="197" y="191"/>
                                    </a:cubicBezTo>
                                    <a:cubicBezTo>
                                      <a:pt x="201" y="192"/>
                                      <a:pt x="201" y="192"/>
                                      <a:pt x="201" y="192"/>
                                    </a:cubicBezTo>
                                    <a:cubicBezTo>
                                      <a:pt x="201" y="192"/>
                                      <a:pt x="203" y="186"/>
                                      <a:pt x="199" y="187"/>
                                    </a:cubicBezTo>
                                    <a:close/>
                                    <a:moveTo>
                                      <a:pt x="207" y="162"/>
                                    </a:moveTo>
                                    <a:cubicBezTo>
                                      <a:pt x="208" y="165"/>
                                      <a:pt x="208" y="165"/>
                                      <a:pt x="208" y="165"/>
                                    </a:cubicBezTo>
                                    <a:cubicBezTo>
                                      <a:pt x="210" y="165"/>
                                      <a:pt x="208" y="162"/>
                                      <a:pt x="207" y="162"/>
                                    </a:cubicBezTo>
                                    <a:close/>
                                    <a:moveTo>
                                      <a:pt x="150" y="90"/>
                                    </a:moveTo>
                                    <a:cubicBezTo>
                                      <a:pt x="151" y="93"/>
                                      <a:pt x="151" y="93"/>
                                      <a:pt x="151" y="93"/>
                                    </a:cubicBezTo>
                                    <a:cubicBezTo>
                                      <a:pt x="153" y="94"/>
                                      <a:pt x="150" y="95"/>
                                      <a:pt x="150" y="95"/>
                                    </a:cubicBezTo>
                                    <a:cubicBezTo>
                                      <a:pt x="150" y="93"/>
                                      <a:pt x="151" y="93"/>
                                      <a:pt x="149" y="92"/>
                                    </a:cubicBezTo>
                                    <a:cubicBezTo>
                                      <a:pt x="149" y="92"/>
                                      <a:pt x="150" y="88"/>
                                      <a:pt x="150" y="90"/>
                                    </a:cubicBezTo>
                                    <a:close/>
                                    <a:moveTo>
                                      <a:pt x="180" y="62"/>
                                    </a:moveTo>
                                    <a:cubicBezTo>
                                      <a:pt x="179" y="63"/>
                                      <a:pt x="181" y="64"/>
                                      <a:pt x="181" y="64"/>
                                    </a:cubicBezTo>
                                    <a:cubicBezTo>
                                      <a:pt x="181" y="64"/>
                                      <a:pt x="184" y="61"/>
                                      <a:pt x="180" y="62"/>
                                    </a:cubicBezTo>
                                    <a:close/>
                                    <a:moveTo>
                                      <a:pt x="51" y="54"/>
                                    </a:moveTo>
                                    <a:cubicBezTo>
                                      <a:pt x="48" y="58"/>
                                      <a:pt x="48" y="58"/>
                                      <a:pt x="48" y="58"/>
                                    </a:cubicBezTo>
                                    <a:cubicBezTo>
                                      <a:pt x="47" y="59"/>
                                      <a:pt x="49" y="61"/>
                                      <a:pt x="50" y="60"/>
                                    </a:cubicBezTo>
                                    <a:cubicBezTo>
                                      <a:pt x="52" y="60"/>
                                      <a:pt x="55" y="57"/>
                                      <a:pt x="56" y="56"/>
                                    </a:cubicBezTo>
                                    <a:cubicBezTo>
                                      <a:pt x="55" y="56"/>
                                      <a:pt x="53" y="57"/>
                                      <a:pt x="52" y="56"/>
                                    </a:cubicBezTo>
                                    <a:cubicBezTo>
                                      <a:pt x="52" y="56"/>
                                      <a:pt x="53" y="55"/>
                                      <a:pt x="51" y="54"/>
                                    </a:cubicBezTo>
                                    <a:close/>
                                    <a:moveTo>
                                      <a:pt x="213" y="53"/>
                                    </a:moveTo>
                                    <a:cubicBezTo>
                                      <a:pt x="215" y="56"/>
                                      <a:pt x="215" y="56"/>
                                      <a:pt x="215" y="56"/>
                                    </a:cubicBezTo>
                                    <a:cubicBezTo>
                                      <a:pt x="219" y="53"/>
                                      <a:pt x="218" y="55"/>
                                      <a:pt x="213" y="53"/>
                                    </a:cubicBezTo>
                                    <a:close/>
                                    <a:moveTo>
                                      <a:pt x="220" y="52"/>
                                    </a:moveTo>
                                    <a:cubicBezTo>
                                      <a:pt x="220" y="55"/>
                                      <a:pt x="220" y="55"/>
                                      <a:pt x="220" y="55"/>
                                    </a:cubicBezTo>
                                    <a:cubicBezTo>
                                      <a:pt x="222" y="54"/>
                                      <a:pt x="221" y="55"/>
                                      <a:pt x="221" y="53"/>
                                    </a:cubicBezTo>
                                    <a:cubicBezTo>
                                      <a:pt x="222" y="53"/>
                                      <a:pt x="221" y="52"/>
                                      <a:pt x="221" y="52"/>
                                    </a:cubicBezTo>
                                    <a:cubicBezTo>
                                      <a:pt x="220" y="52"/>
                                      <a:pt x="221" y="52"/>
                                      <a:pt x="220" y="52"/>
                                    </a:cubicBezTo>
                                    <a:close/>
                                    <a:moveTo>
                                      <a:pt x="50" y="49"/>
                                    </a:moveTo>
                                    <a:cubicBezTo>
                                      <a:pt x="51" y="52"/>
                                      <a:pt x="51" y="52"/>
                                      <a:pt x="51" y="52"/>
                                    </a:cubicBezTo>
                                    <a:cubicBezTo>
                                      <a:pt x="51" y="50"/>
                                      <a:pt x="52" y="49"/>
                                      <a:pt x="50" y="49"/>
                                    </a:cubicBezTo>
                                    <a:close/>
                                    <a:moveTo>
                                      <a:pt x="210" y="43"/>
                                    </a:moveTo>
                                    <a:cubicBezTo>
                                      <a:pt x="203" y="44"/>
                                      <a:pt x="205" y="46"/>
                                      <a:pt x="210" y="48"/>
                                    </a:cubicBezTo>
                                    <a:cubicBezTo>
                                      <a:pt x="212" y="49"/>
                                      <a:pt x="212" y="48"/>
                                      <a:pt x="214" y="48"/>
                                    </a:cubicBezTo>
                                    <a:cubicBezTo>
                                      <a:pt x="216" y="52"/>
                                      <a:pt x="216" y="52"/>
                                      <a:pt x="216" y="52"/>
                                    </a:cubicBezTo>
                                    <a:cubicBezTo>
                                      <a:pt x="216" y="52"/>
                                      <a:pt x="218" y="51"/>
                                      <a:pt x="219" y="52"/>
                                    </a:cubicBezTo>
                                    <a:cubicBezTo>
                                      <a:pt x="219" y="51"/>
                                      <a:pt x="220" y="49"/>
                                      <a:pt x="221" y="49"/>
                                    </a:cubicBezTo>
                                    <a:cubicBezTo>
                                      <a:pt x="222" y="49"/>
                                      <a:pt x="223" y="52"/>
                                      <a:pt x="223" y="52"/>
                                    </a:cubicBezTo>
                                    <a:cubicBezTo>
                                      <a:pt x="224" y="52"/>
                                      <a:pt x="226" y="51"/>
                                      <a:pt x="226" y="52"/>
                                    </a:cubicBezTo>
                                    <a:cubicBezTo>
                                      <a:pt x="224" y="51"/>
                                      <a:pt x="228" y="51"/>
                                      <a:pt x="228" y="51"/>
                                    </a:cubicBezTo>
                                    <a:cubicBezTo>
                                      <a:pt x="227" y="50"/>
                                      <a:pt x="224" y="48"/>
                                      <a:pt x="223" y="47"/>
                                    </a:cubicBezTo>
                                    <a:cubicBezTo>
                                      <a:pt x="223" y="46"/>
                                      <a:pt x="224" y="44"/>
                                      <a:pt x="223" y="44"/>
                                    </a:cubicBezTo>
                                    <a:cubicBezTo>
                                      <a:pt x="222" y="43"/>
                                      <a:pt x="213" y="43"/>
                                      <a:pt x="210" y="43"/>
                                    </a:cubicBezTo>
                                    <a:close/>
                                    <a:moveTo>
                                      <a:pt x="41" y="43"/>
                                    </a:moveTo>
                                    <a:cubicBezTo>
                                      <a:pt x="39" y="46"/>
                                      <a:pt x="40" y="45"/>
                                      <a:pt x="38" y="47"/>
                                    </a:cubicBezTo>
                                    <a:cubicBezTo>
                                      <a:pt x="38" y="47"/>
                                      <a:pt x="38" y="50"/>
                                      <a:pt x="39" y="49"/>
                                    </a:cubicBezTo>
                                    <a:cubicBezTo>
                                      <a:pt x="39" y="49"/>
                                      <a:pt x="38" y="51"/>
                                      <a:pt x="40" y="50"/>
                                    </a:cubicBezTo>
                                    <a:cubicBezTo>
                                      <a:pt x="40" y="52"/>
                                      <a:pt x="40" y="53"/>
                                      <a:pt x="41" y="56"/>
                                    </a:cubicBezTo>
                                    <a:cubicBezTo>
                                      <a:pt x="44" y="56"/>
                                      <a:pt x="44" y="56"/>
                                      <a:pt x="44" y="56"/>
                                    </a:cubicBezTo>
                                    <a:cubicBezTo>
                                      <a:pt x="44" y="56"/>
                                      <a:pt x="41" y="51"/>
                                      <a:pt x="43" y="51"/>
                                    </a:cubicBezTo>
                                    <a:cubicBezTo>
                                      <a:pt x="42" y="51"/>
                                      <a:pt x="43" y="46"/>
                                      <a:pt x="43" y="44"/>
                                    </a:cubicBezTo>
                                    <a:cubicBezTo>
                                      <a:pt x="41" y="43"/>
                                      <a:pt x="41" y="43"/>
                                      <a:pt x="41" y="43"/>
                                    </a:cubicBezTo>
                                    <a:cubicBezTo>
                                      <a:pt x="41" y="43"/>
                                      <a:pt x="41" y="43"/>
                                      <a:pt x="41" y="43"/>
                                    </a:cubicBezTo>
                                    <a:close/>
                                    <a:moveTo>
                                      <a:pt x="48" y="42"/>
                                    </a:moveTo>
                                    <a:cubicBezTo>
                                      <a:pt x="48" y="43"/>
                                      <a:pt x="48" y="45"/>
                                      <a:pt x="48" y="46"/>
                                    </a:cubicBezTo>
                                    <a:cubicBezTo>
                                      <a:pt x="50" y="48"/>
                                      <a:pt x="50" y="48"/>
                                      <a:pt x="50" y="48"/>
                                    </a:cubicBezTo>
                                    <a:cubicBezTo>
                                      <a:pt x="51" y="45"/>
                                      <a:pt x="51" y="45"/>
                                      <a:pt x="51" y="45"/>
                                    </a:cubicBezTo>
                                    <a:cubicBezTo>
                                      <a:pt x="52" y="42"/>
                                      <a:pt x="52" y="42"/>
                                      <a:pt x="52" y="42"/>
                                    </a:cubicBezTo>
                                    <a:cubicBezTo>
                                      <a:pt x="51" y="42"/>
                                      <a:pt x="49" y="43"/>
                                      <a:pt x="48" y="42"/>
                                    </a:cubicBezTo>
                                    <a:close/>
                                    <a:moveTo>
                                      <a:pt x="206" y="37"/>
                                    </a:moveTo>
                                    <a:cubicBezTo>
                                      <a:pt x="207" y="40"/>
                                      <a:pt x="207" y="40"/>
                                      <a:pt x="207" y="40"/>
                                    </a:cubicBezTo>
                                    <a:cubicBezTo>
                                      <a:pt x="210" y="42"/>
                                      <a:pt x="207" y="38"/>
                                      <a:pt x="206" y="37"/>
                                    </a:cubicBezTo>
                                    <a:close/>
                                    <a:moveTo>
                                      <a:pt x="201" y="24"/>
                                    </a:moveTo>
                                    <a:cubicBezTo>
                                      <a:pt x="201" y="25"/>
                                      <a:pt x="196" y="30"/>
                                      <a:pt x="198" y="30"/>
                                    </a:cubicBezTo>
                                    <a:cubicBezTo>
                                      <a:pt x="201" y="28"/>
                                      <a:pt x="201" y="28"/>
                                      <a:pt x="201" y="28"/>
                                    </a:cubicBezTo>
                                    <a:cubicBezTo>
                                      <a:pt x="202" y="27"/>
                                      <a:pt x="202" y="23"/>
                                      <a:pt x="201" y="24"/>
                                    </a:cubicBezTo>
                                    <a:close/>
                                    <a:moveTo>
                                      <a:pt x="207" y="8"/>
                                    </a:moveTo>
                                    <a:cubicBezTo>
                                      <a:pt x="206" y="9"/>
                                      <a:pt x="205" y="8"/>
                                      <a:pt x="204" y="9"/>
                                    </a:cubicBezTo>
                                    <a:cubicBezTo>
                                      <a:pt x="204" y="11"/>
                                      <a:pt x="205" y="13"/>
                                      <a:pt x="204" y="14"/>
                                    </a:cubicBezTo>
                                    <a:cubicBezTo>
                                      <a:pt x="204" y="15"/>
                                      <a:pt x="202" y="14"/>
                                      <a:pt x="201" y="15"/>
                                    </a:cubicBezTo>
                                    <a:cubicBezTo>
                                      <a:pt x="201" y="16"/>
                                      <a:pt x="201" y="18"/>
                                      <a:pt x="199" y="18"/>
                                    </a:cubicBezTo>
                                    <a:cubicBezTo>
                                      <a:pt x="204" y="19"/>
                                      <a:pt x="205" y="21"/>
                                      <a:pt x="208" y="22"/>
                                    </a:cubicBezTo>
                                    <a:cubicBezTo>
                                      <a:pt x="205" y="26"/>
                                      <a:pt x="205" y="26"/>
                                      <a:pt x="205" y="26"/>
                                    </a:cubicBezTo>
                                    <a:cubicBezTo>
                                      <a:pt x="207" y="27"/>
                                      <a:pt x="210" y="28"/>
                                      <a:pt x="211" y="30"/>
                                    </a:cubicBezTo>
                                    <a:cubicBezTo>
                                      <a:pt x="212" y="32"/>
                                      <a:pt x="211" y="33"/>
                                      <a:pt x="213" y="34"/>
                                    </a:cubicBezTo>
                                    <a:cubicBezTo>
                                      <a:pt x="213" y="35"/>
                                      <a:pt x="211" y="36"/>
                                      <a:pt x="212" y="37"/>
                                    </a:cubicBezTo>
                                    <a:cubicBezTo>
                                      <a:pt x="212" y="38"/>
                                      <a:pt x="214" y="38"/>
                                      <a:pt x="214" y="39"/>
                                    </a:cubicBezTo>
                                    <a:cubicBezTo>
                                      <a:pt x="214" y="39"/>
                                      <a:pt x="216" y="39"/>
                                      <a:pt x="217" y="39"/>
                                    </a:cubicBezTo>
                                    <a:cubicBezTo>
                                      <a:pt x="218" y="39"/>
                                      <a:pt x="219" y="36"/>
                                      <a:pt x="220" y="35"/>
                                    </a:cubicBezTo>
                                    <a:cubicBezTo>
                                      <a:pt x="221" y="34"/>
                                      <a:pt x="223" y="35"/>
                                      <a:pt x="224" y="34"/>
                                    </a:cubicBezTo>
                                    <a:cubicBezTo>
                                      <a:pt x="223" y="29"/>
                                      <a:pt x="223" y="28"/>
                                      <a:pt x="223" y="23"/>
                                    </a:cubicBezTo>
                                    <a:cubicBezTo>
                                      <a:pt x="226" y="24"/>
                                      <a:pt x="223" y="21"/>
                                      <a:pt x="223" y="21"/>
                                    </a:cubicBezTo>
                                    <a:cubicBezTo>
                                      <a:pt x="221" y="20"/>
                                      <a:pt x="219" y="21"/>
                                      <a:pt x="218" y="20"/>
                                    </a:cubicBezTo>
                                    <a:cubicBezTo>
                                      <a:pt x="216" y="19"/>
                                      <a:pt x="217" y="17"/>
                                      <a:pt x="216" y="16"/>
                                    </a:cubicBezTo>
                                    <a:cubicBezTo>
                                      <a:pt x="213" y="13"/>
                                      <a:pt x="209" y="11"/>
                                      <a:pt x="207" y="8"/>
                                    </a:cubicBezTo>
                                    <a:close/>
                                    <a:moveTo>
                                      <a:pt x="3" y="0"/>
                                    </a:moveTo>
                                    <a:cubicBezTo>
                                      <a:pt x="1" y="7"/>
                                      <a:pt x="2" y="10"/>
                                      <a:pt x="0" y="18"/>
                                    </a:cubicBezTo>
                                    <a:cubicBezTo>
                                      <a:pt x="3" y="19"/>
                                      <a:pt x="3" y="19"/>
                                      <a:pt x="3" y="19"/>
                                    </a:cubicBezTo>
                                    <a:cubicBezTo>
                                      <a:pt x="5" y="23"/>
                                      <a:pt x="5" y="29"/>
                                      <a:pt x="6" y="32"/>
                                    </a:cubicBezTo>
                                    <a:cubicBezTo>
                                      <a:pt x="8" y="32"/>
                                      <a:pt x="10" y="32"/>
                                      <a:pt x="11" y="32"/>
                                    </a:cubicBezTo>
                                    <a:cubicBezTo>
                                      <a:pt x="12" y="31"/>
                                      <a:pt x="11" y="30"/>
                                      <a:pt x="12" y="29"/>
                                    </a:cubicBezTo>
                                    <a:cubicBezTo>
                                      <a:pt x="13" y="28"/>
                                      <a:pt x="15" y="27"/>
                                      <a:pt x="16" y="26"/>
                                    </a:cubicBezTo>
                                    <a:cubicBezTo>
                                      <a:pt x="17" y="23"/>
                                      <a:pt x="16" y="15"/>
                                      <a:pt x="15" y="13"/>
                                    </a:cubicBezTo>
                                    <a:cubicBezTo>
                                      <a:pt x="13" y="12"/>
                                      <a:pt x="13" y="12"/>
                                      <a:pt x="13" y="12"/>
                                    </a:cubicBezTo>
                                    <a:cubicBezTo>
                                      <a:pt x="12" y="11"/>
                                      <a:pt x="13" y="8"/>
                                      <a:pt x="13" y="7"/>
                                    </a:cubicBezTo>
                                    <a:cubicBezTo>
                                      <a:pt x="12" y="1"/>
                                      <a:pt x="7" y="1"/>
                                      <a:pt x="3" y="0"/>
                                    </a:cubicBezTo>
                                    <a:close/>
                                  </a:path>
                                </a:pathLst>
                              </a:custGeom>
                              <a:grpFill/>
                              <a:ln w="9525">
                                <a:solidFill>
                                  <a:srgbClr val="FFFFFF"/>
                                </a:solidFill>
                                <a:round/>
                                <a:headEnd/>
                                <a:tailEnd/>
                              </a:ln>
                            </wps:spPr>
                            <wps:bodyPr vert="horz" wrap="square" lIns="91440" tIns="45720" rIns="91440" bIns="45720" numCol="1" anchor="t" anchorCtr="0" compatLnSpc="1">
                              <a:prstTxWarp prst="textNoShape">
                                <a:avLst/>
                              </a:prstTxWarp>
                            </wps:bodyPr>
                          </wps:wsp>
                          <wps:wsp>
                            <wps:cNvPr id="864958418" name="Freeform 41">
                              <a:extLst>
                                <a:ext uri="{FF2B5EF4-FFF2-40B4-BE49-F238E27FC236}">
                                  <a16:creationId xmlns:a16="http://schemas.microsoft.com/office/drawing/2014/main" id="{AE036C47-0DA2-3F69-1850-C280613C73ED}"/>
                                </a:ext>
                              </a:extLst>
                            </wps:cNvPr>
                            <wps:cNvSpPr>
                              <a:spLocks noEditPoints="1"/>
                            </wps:cNvSpPr>
                            <wps:spPr bwMode="auto">
                              <a:xfrm>
                                <a:off x="1107311" y="2277"/>
                                <a:ext cx="1478" cy="1176"/>
                              </a:xfrm>
                              <a:custGeom>
                                <a:avLst/>
                                <a:gdLst/>
                                <a:ahLst/>
                                <a:cxnLst>
                                  <a:cxn ang="0">
                                    <a:pos x="418" y="479"/>
                                  </a:cxn>
                                  <a:cxn ang="0">
                                    <a:pos x="415" y="465"/>
                                  </a:cxn>
                                  <a:cxn ang="0">
                                    <a:pos x="425" y="446"/>
                                  </a:cxn>
                                  <a:cxn ang="0">
                                    <a:pos x="427" y="433"/>
                                  </a:cxn>
                                  <a:cxn ang="0">
                                    <a:pos x="431" y="409"/>
                                  </a:cxn>
                                  <a:cxn ang="0">
                                    <a:pos x="438" y="399"/>
                                  </a:cxn>
                                  <a:cxn ang="0">
                                    <a:pos x="444" y="384"/>
                                  </a:cxn>
                                  <a:cxn ang="0">
                                    <a:pos x="455" y="371"/>
                                  </a:cxn>
                                  <a:cxn ang="0">
                                    <a:pos x="459" y="365"/>
                                  </a:cxn>
                                  <a:cxn ang="0">
                                    <a:pos x="458" y="360"/>
                                  </a:cxn>
                                  <a:cxn ang="0">
                                    <a:pos x="455" y="356"/>
                                  </a:cxn>
                                  <a:cxn ang="0">
                                    <a:pos x="466" y="344"/>
                                  </a:cxn>
                                  <a:cxn ang="0">
                                    <a:pos x="468" y="336"/>
                                  </a:cxn>
                                  <a:cxn ang="0">
                                    <a:pos x="482" y="322"/>
                                  </a:cxn>
                                  <a:cxn ang="0">
                                    <a:pos x="485" y="308"/>
                                  </a:cxn>
                                  <a:cxn ang="0">
                                    <a:pos x="493" y="302"/>
                                  </a:cxn>
                                  <a:cxn ang="0">
                                    <a:pos x="501" y="290"/>
                                  </a:cxn>
                                  <a:cxn ang="0">
                                    <a:pos x="502" y="286"/>
                                  </a:cxn>
                                  <a:cxn ang="0">
                                    <a:pos x="510" y="279"/>
                                  </a:cxn>
                                  <a:cxn ang="0">
                                    <a:pos x="516" y="265"/>
                                  </a:cxn>
                                  <a:cxn ang="0">
                                    <a:pos x="513" y="261"/>
                                  </a:cxn>
                                  <a:cxn ang="0">
                                    <a:pos x="525" y="253"/>
                                  </a:cxn>
                                  <a:cxn ang="0">
                                    <a:pos x="540" y="237"/>
                                  </a:cxn>
                                  <a:cxn ang="0">
                                    <a:pos x="554" y="222"/>
                                  </a:cxn>
                                  <a:cxn ang="0">
                                    <a:pos x="552" y="214"/>
                                  </a:cxn>
                                  <a:cxn ang="0">
                                    <a:pos x="557" y="193"/>
                                  </a:cxn>
                                  <a:cxn ang="0">
                                    <a:pos x="566" y="170"/>
                                  </a:cxn>
                                  <a:cxn ang="0">
                                    <a:pos x="578" y="142"/>
                                  </a:cxn>
                                  <a:cxn ang="0">
                                    <a:pos x="581" y="129"/>
                                  </a:cxn>
                                  <a:cxn ang="0">
                                    <a:pos x="586" y="107"/>
                                  </a:cxn>
                                  <a:cxn ang="0">
                                    <a:pos x="591" y="90"/>
                                  </a:cxn>
                                  <a:cxn ang="0">
                                    <a:pos x="594" y="70"/>
                                  </a:cxn>
                                  <a:cxn ang="0">
                                    <a:pos x="592" y="68"/>
                                  </a:cxn>
                                  <a:cxn ang="0">
                                    <a:pos x="604" y="59"/>
                                  </a:cxn>
                                  <a:cxn ang="0">
                                    <a:pos x="614" y="46"/>
                                  </a:cxn>
                                  <a:cxn ang="0">
                                    <a:pos x="625" y="29"/>
                                  </a:cxn>
                                  <a:cxn ang="0">
                                    <a:pos x="624" y="6"/>
                                  </a:cxn>
                                  <a:cxn ang="0">
                                    <a:pos x="596" y="12"/>
                                  </a:cxn>
                                  <a:cxn ang="0">
                                    <a:pos x="545" y="24"/>
                                  </a:cxn>
                                  <a:cxn ang="0">
                                    <a:pos x="503" y="39"/>
                                  </a:cxn>
                                  <a:cxn ang="0">
                                    <a:pos x="460" y="20"/>
                                  </a:cxn>
                                  <a:cxn ang="0">
                                    <a:pos x="401" y="13"/>
                                  </a:cxn>
                                  <a:cxn ang="0">
                                    <a:pos x="0" y="282"/>
                                  </a:cxn>
                                  <a:cxn ang="0">
                                    <a:pos x="37" y="290"/>
                                  </a:cxn>
                                  <a:cxn ang="0">
                                    <a:pos x="63" y="327"/>
                                  </a:cxn>
                                  <a:cxn ang="0">
                                    <a:pos x="106" y="339"/>
                                  </a:cxn>
                                  <a:cxn ang="0">
                                    <a:pos x="146" y="384"/>
                                  </a:cxn>
                                  <a:cxn ang="0">
                                    <a:pos x="193" y="403"/>
                                  </a:cxn>
                                  <a:cxn ang="0">
                                    <a:pos x="232" y="399"/>
                                  </a:cxn>
                                  <a:cxn ang="0">
                                    <a:pos x="278" y="405"/>
                                  </a:cxn>
                                  <a:cxn ang="0">
                                    <a:pos x="307" y="430"/>
                                  </a:cxn>
                                  <a:cxn ang="0">
                                    <a:pos x="413" y="498"/>
                                  </a:cxn>
                                  <a:cxn ang="0">
                                    <a:pos x="376" y="364"/>
                                  </a:cxn>
                                  <a:cxn ang="0">
                                    <a:pos x="389" y="374"/>
                                  </a:cxn>
                                  <a:cxn ang="0">
                                    <a:pos x="370" y="394"/>
                                  </a:cxn>
                                </a:cxnLst>
                                <a:rect l="0" t="0" r="r" b="b"/>
                                <a:pathLst>
                                  <a:path w="626" h="498">
                                    <a:moveTo>
                                      <a:pt x="413" y="498"/>
                                    </a:moveTo>
                                    <a:cubicBezTo>
                                      <a:pt x="415" y="487"/>
                                      <a:pt x="415" y="487"/>
                                      <a:pt x="415" y="487"/>
                                    </a:cubicBezTo>
                                    <a:cubicBezTo>
                                      <a:pt x="415" y="487"/>
                                      <a:pt x="421" y="487"/>
                                      <a:pt x="422" y="487"/>
                                    </a:cubicBezTo>
                                    <a:cubicBezTo>
                                      <a:pt x="421" y="484"/>
                                      <a:pt x="421" y="480"/>
                                      <a:pt x="418" y="479"/>
                                    </a:cubicBezTo>
                                    <a:cubicBezTo>
                                      <a:pt x="417" y="478"/>
                                      <a:pt x="416" y="479"/>
                                      <a:pt x="415" y="479"/>
                                    </a:cubicBezTo>
                                    <a:cubicBezTo>
                                      <a:pt x="416" y="472"/>
                                      <a:pt x="415" y="471"/>
                                      <a:pt x="412" y="466"/>
                                    </a:cubicBezTo>
                                    <a:cubicBezTo>
                                      <a:pt x="412" y="466"/>
                                      <a:pt x="419" y="467"/>
                                      <a:pt x="416" y="465"/>
                                    </a:cubicBezTo>
                                    <a:cubicBezTo>
                                      <a:pt x="415" y="465"/>
                                      <a:pt x="415" y="465"/>
                                      <a:pt x="415" y="465"/>
                                    </a:cubicBezTo>
                                    <a:cubicBezTo>
                                      <a:pt x="415" y="464"/>
                                      <a:pt x="414" y="463"/>
                                      <a:pt x="415" y="462"/>
                                    </a:cubicBezTo>
                                    <a:cubicBezTo>
                                      <a:pt x="415" y="462"/>
                                      <a:pt x="417" y="462"/>
                                      <a:pt x="417" y="461"/>
                                    </a:cubicBezTo>
                                    <a:cubicBezTo>
                                      <a:pt x="419" y="458"/>
                                      <a:pt x="418" y="456"/>
                                      <a:pt x="419" y="453"/>
                                    </a:cubicBezTo>
                                    <a:cubicBezTo>
                                      <a:pt x="420" y="451"/>
                                      <a:pt x="424" y="448"/>
                                      <a:pt x="425" y="446"/>
                                    </a:cubicBezTo>
                                    <a:cubicBezTo>
                                      <a:pt x="425" y="446"/>
                                      <a:pt x="424" y="441"/>
                                      <a:pt x="424" y="440"/>
                                    </a:cubicBezTo>
                                    <a:cubicBezTo>
                                      <a:pt x="425" y="440"/>
                                      <a:pt x="428" y="439"/>
                                      <a:pt x="428" y="439"/>
                                    </a:cubicBezTo>
                                    <a:cubicBezTo>
                                      <a:pt x="428" y="439"/>
                                      <a:pt x="426" y="435"/>
                                      <a:pt x="428" y="436"/>
                                    </a:cubicBezTo>
                                    <a:cubicBezTo>
                                      <a:pt x="429" y="434"/>
                                      <a:pt x="427" y="435"/>
                                      <a:pt x="427" y="433"/>
                                    </a:cubicBezTo>
                                    <a:cubicBezTo>
                                      <a:pt x="429" y="433"/>
                                      <a:pt x="429" y="433"/>
                                      <a:pt x="429" y="433"/>
                                    </a:cubicBezTo>
                                    <a:cubicBezTo>
                                      <a:pt x="430" y="430"/>
                                      <a:pt x="429" y="424"/>
                                      <a:pt x="429" y="424"/>
                                    </a:cubicBezTo>
                                    <a:cubicBezTo>
                                      <a:pt x="429" y="421"/>
                                      <a:pt x="429" y="421"/>
                                      <a:pt x="429" y="421"/>
                                    </a:cubicBezTo>
                                    <a:cubicBezTo>
                                      <a:pt x="433" y="414"/>
                                      <a:pt x="433" y="419"/>
                                      <a:pt x="431" y="409"/>
                                    </a:cubicBezTo>
                                    <a:cubicBezTo>
                                      <a:pt x="433" y="409"/>
                                      <a:pt x="433" y="409"/>
                                      <a:pt x="435" y="408"/>
                                    </a:cubicBezTo>
                                    <a:cubicBezTo>
                                      <a:pt x="433" y="406"/>
                                      <a:pt x="432" y="405"/>
                                      <a:pt x="431" y="402"/>
                                    </a:cubicBezTo>
                                    <a:cubicBezTo>
                                      <a:pt x="434" y="403"/>
                                      <a:pt x="437" y="405"/>
                                      <a:pt x="440" y="403"/>
                                    </a:cubicBezTo>
                                    <a:cubicBezTo>
                                      <a:pt x="438" y="399"/>
                                      <a:pt x="438" y="399"/>
                                      <a:pt x="438" y="399"/>
                                    </a:cubicBezTo>
                                    <a:cubicBezTo>
                                      <a:pt x="439" y="398"/>
                                      <a:pt x="440" y="398"/>
                                      <a:pt x="442" y="398"/>
                                    </a:cubicBezTo>
                                    <a:cubicBezTo>
                                      <a:pt x="443" y="396"/>
                                      <a:pt x="445" y="393"/>
                                      <a:pt x="444" y="391"/>
                                    </a:cubicBezTo>
                                    <a:cubicBezTo>
                                      <a:pt x="444" y="391"/>
                                      <a:pt x="441" y="390"/>
                                      <a:pt x="442" y="388"/>
                                    </a:cubicBezTo>
                                    <a:cubicBezTo>
                                      <a:pt x="444" y="387"/>
                                      <a:pt x="445" y="387"/>
                                      <a:pt x="444" y="384"/>
                                    </a:cubicBezTo>
                                    <a:cubicBezTo>
                                      <a:pt x="444" y="384"/>
                                      <a:pt x="443" y="384"/>
                                      <a:pt x="443" y="383"/>
                                    </a:cubicBezTo>
                                    <a:cubicBezTo>
                                      <a:pt x="444" y="381"/>
                                      <a:pt x="447" y="382"/>
                                      <a:pt x="448" y="381"/>
                                    </a:cubicBezTo>
                                    <a:cubicBezTo>
                                      <a:pt x="448" y="370"/>
                                      <a:pt x="448" y="370"/>
                                      <a:pt x="448" y="370"/>
                                    </a:cubicBezTo>
                                    <a:cubicBezTo>
                                      <a:pt x="451" y="371"/>
                                      <a:pt x="453" y="371"/>
                                      <a:pt x="455" y="371"/>
                                    </a:cubicBezTo>
                                    <a:cubicBezTo>
                                      <a:pt x="455" y="375"/>
                                      <a:pt x="455" y="375"/>
                                      <a:pt x="455" y="375"/>
                                    </a:cubicBezTo>
                                    <a:cubicBezTo>
                                      <a:pt x="457" y="376"/>
                                      <a:pt x="458" y="374"/>
                                      <a:pt x="459" y="374"/>
                                    </a:cubicBezTo>
                                    <a:cubicBezTo>
                                      <a:pt x="457" y="371"/>
                                      <a:pt x="457" y="369"/>
                                      <a:pt x="455" y="365"/>
                                    </a:cubicBezTo>
                                    <a:cubicBezTo>
                                      <a:pt x="456" y="365"/>
                                      <a:pt x="458" y="366"/>
                                      <a:pt x="459" y="365"/>
                                    </a:cubicBezTo>
                                    <a:cubicBezTo>
                                      <a:pt x="458" y="365"/>
                                      <a:pt x="461" y="364"/>
                                      <a:pt x="462" y="364"/>
                                    </a:cubicBezTo>
                                    <a:cubicBezTo>
                                      <a:pt x="462" y="364"/>
                                      <a:pt x="463" y="366"/>
                                      <a:pt x="464" y="366"/>
                                    </a:cubicBezTo>
                                    <a:cubicBezTo>
                                      <a:pt x="463" y="365"/>
                                      <a:pt x="464" y="363"/>
                                      <a:pt x="463" y="362"/>
                                    </a:cubicBezTo>
                                    <a:cubicBezTo>
                                      <a:pt x="461" y="361"/>
                                      <a:pt x="459" y="361"/>
                                      <a:pt x="458" y="360"/>
                                    </a:cubicBezTo>
                                    <a:cubicBezTo>
                                      <a:pt x="456" y="360"/>
                                      <a:pt x="456" y="360"/>
                                      <a:pt x="456" y="360"/>
                                    </a:cubicBezTo>
                                    <a:cubicBezTo>
                                      <a:pt x="456" y="358"/>
                                      <a:pt x="456" y="358"/>
                                      <a:pt x="456" y="358"/>
                                    </a:cubicBezTo>
                                    <a:cubicBezTo>
                                      <a:pt x="457" y="356"/>
                                      <a:pt x="457" y="356"/>
                                      <a:pt x="457" y="356"/>
                                    </a:cubicBezTo>
                                    <a:cubicBezTo>
                                      <a:pt x="455" y="356"/>
                                      <a:pt x="455" y="356"/>
                                      <a:pt x="455" y="356"/>
                                    </a:cubicBezTo>
                                    <a:cubicBezTo>
                                      <a:pt x="454" y="355"/>
                                      <a:pt x="452" y="355"/>
                                      <a:pt x="450" y="355"/>
                                    </a:cubicBezTo>
                                    <a:cubicBezTo>
                                      <a:pt x="450" y="353"/>
                                      <a:pt x="450" y="353"/>
                                      <a:pt x="450" y="353"/>
                                    </a:cubicBezTo>
                                    <a:cubicBezTo>
                                      <a:pt x="452" y="353"/>
                                      <a:pt x="457" y="354"/>
                                      <a:pt x="459" y="353"/>
                                    </a:cubicBezTo>
                                    <a:cubicBezTo>
                                      <a:pt x="466" y="344"/>
                                      <a:pt x="466" y="344"/>
                                      <a:pt x="466" y="344"/>
                                    </a:cubicBezTo>
                                    <a:cubicBezTo>
                                      <a:pt x="468" y="344"/>
                                      <a:pt x="468" y="344"/>
                                      <a:pt x="468" y="344"/>
                                    </a:cubicBezTo>
                                    <a:cubicBezTo>
                                      <a:pt x="469" y="343"/>
                                      <a:pt x="469" y="338"/>
                                      <a:pt x="470" y="337"/>
                                    </a:cubicBezTo>
                                    <a:cubicBezTo>
                                      <a:pt x="472" y="337"/>
                                      <a:pt x="472" y="337"/>
                                      <a:pt x="473" y="336"/>
                                    </a:cubicBezTo>
                                    <a:cubicBezTo>
                                      <a:pt x="471" y="336"/>
                                      <a:pt x="471" y="336"/>
                                      <a:pt x="468" y="336"/>
                                    </a:cubicBezTo>
                                    <a:cubicBezTo>
                                      <a:pt x="468" y="335"/>
                                      <a:pt x="468" y="332"/>
                                      <a:pt x="467" y="332"/>
                                    </a:cubicBezTo>
                                    <a:cubicBezTo>
                                      <a:pt x="469" y="332"/>
                                      <a:pt x="469" y="330"/>
                                      <a:pt x="469" y="330"/>
                                    </a:cubicBezTo>
                                    <a:cubicBezTo>
                                      <a:pt x="470" y="330"/>
                                      <a:pt x="473" y="331"/>
                                      <a:pt x="475" y="331"/>
                                    </a:cubicBezTo>
                                    <a:cubicBezTo>
                                      <a:pt x="478" y="330"/>
                                      <a:pt x="479" y="324"/>
                                      <a:pt x="482" y="322"/>
                                    </a:cubicBezTo>
                                    <a:cubicBezTo>
                                      <a:pt x="484" y="321"/>
                                      <a:pt x="486" y="322"/>
                                      <a:pt x="487" y="321"/>
                                    </a:cubicBezTo>
                                    <a:cubicBezTo>
                                      <a:pt x="487" y="321"/>
                                      <a:pt x="487" y="317"/>
                                      <a:pt x="488" y="317"/>
                                    </a:cubicBezTo>
                                    <a:cubicBezTo>
                                      <a:pt x="489" y="317"/>
                                      <a:pt x="491" y="318"/>
                                      <a:pt x="492" y="317"/>
                                    </a:cubicBezTo>
                                    <a:cubicBezTo>
                                      <a:pt x="488" y="315"/>
                                      <a:pt x="487" y="312"/>
                                      <a:pt x="485" y="308"/>
                                    </a:cubicBezTo>
                                    <a:cubicBezTo>
                                      <a:pt x="488" y="308"/>
                                      <a:pt x="494" y="311"/>
                                      <a:pt x="498" y="310"/>
                                    </a:cubicBezTo>
                                    <a:cubicBezTo>
                                      <a:pt x="499" y="309"/>
                                      <a:pt x="499" y="307"/>
                                      <a:pt x="500" y="307"/>
                                    </a:cubicBezTo>
                                    <a:cubicBezTo>
                                      <a:pt x="494" y="306"/>
                                      <a:pt x="494" y="306"/>
                                      <a:pt x="494" y="306"/>
                                    </a:cubicBezTo>
                                    <a:cubicBezTo>
                                      <a:pt x="493" y="305"/>
                                      <a:pt x="493" y="302"/>
                                      <a:pt x="493" y="302"/>
                                    </a:cubicBezTo>
                                    <a:cubicBezTo>
                                      <a:pt x="494" y="301"/>
                                      <a:pt x="496" y="302"/>
                                      <a:pt x="497" y="302"/>
                                    </a:cubicBezTo>
                                    <a:cubicBezTo>
                                      <a:pt x="499" y="298"/>
                                      <a:pt x="499" y="298"/>
                                      <a:pt x="499" y="298"/>
                                    </a:cubicBezTo>
                                    <a:cubicBezTo>
                                      <a:pt x="502" y="297"/>
                                      <a:pt x="502" y="297"/>
                                      <a:pt x="502" y="297"/>
                                    </a:cubicBezTo>
                                    <a:cubicBezTo>
                                      <a:pt x="500" y="295"/>
                                      <a:pt x="505" y="292"/>
                                      <a:pt x="501" y="290"/>
                                    </a:cubicBezTo>
                                    <a:cubicBezTo>
                                      <a:pt x="500" y="290"/>
                                      <a:pt x="494" y="290"/>
                                      <a:pt x="494" y="290"/>
                                    </a:cubicBezTo>
                                    <a:cubicBezTo>
                                      <a:pt x="494" y="288"/>
                                      <a:pt x="494" y="285"/>
                                      <a:pt x="493" y="284"/>
                                    </a:cubicBezTo>
                                    <a:cubicBezTo>
                                      <a:pt x="496" y="284"/>
                                      <a:pt x="495" y="284"/>
                                      <a:pt x="498" y="285"/>
                                    </a:cubicBezTo>
                                    <a:cubicBezTo>
                                      <a:pt x="497" y="285"/>
                                      <a:pt x="502" y="286"/>
                                      <a:pt x="502" y="286"/>
                                    </a:cubicBezTo>
                                    <a:cubicBezTo>
                                      <a:pt x="502" y="284"/>
                                      <a:pt x="502" y="282"/>
                                      <a:pt x="503" y="282"/>
                                    </a:cubicBezTo>
                                    <a:cubicBezTo>
                                      <a:pt x="503" y="282"/>
                                      <a:pt x="505" y="282"/>
                                      <a:pt x="506" y="283"/>
                                    </a:cubicBezTo>
                                    <a:cubicBezTo>
                                      <a:pt x="506" y="282"/>
                                      <a:pt x="506" y="280"/>
                                      <a:pt x="507" y="280"/>
                                    </a:cubicBezTo>
                                    <a:cubicBezTo>
                                      <a:pt x="508" y="279"/>
                                      <a:pt x="509" y="279"/>
                                      <a:pt x="510" y="279"/>
                                    </a:cubicBezTo>
                                    <a:cubicBezTo>
                                      <a:pt x="509" y="277"/>
                                      <a:pt x="508" y="275"/>
                                      <a:pt x="509" y="273"/>
                                    </a:cubicBezTo>
                                    <a:cubicBezTo>
                                      <a:pt x="510" y="270"/>
                                      <a:pt x="513" y="272"/>
                                      <a:pt x="516" y="270"/>
                                    </a:cubicBezTo>
                                    <a:cubicBezTo>
                                      <a:pt x="517" y="270"/>
                                      <a:pt x="518" y="267"/>
                                      <a:pt x="519" y="266"/>
                                    </a:cubicBezTo>
                                    <a:cubicBezTo>
                                      <a:pt x="519" y="266"/>
                                      <a:pt x="517" y="265"/>
                                      <a:pt x="516" y="265"/>
                                    </a:cubicBezTo>
                                    <a:cubicBezTo>
                                      <a:pt x="518" y="266"/>
                                      <a:pt x="514" y="266"/>
                                      <a:pt x="514" y="266"/>
                                    </a:cubicBezTo>
                                    <a:cubicBezTo>
                                      <a:pt x="514" y="264"/>
                                      <a:pt x="514" y="264"/>
                                      <a:pt x="514" y="264"/>
                                    </a:cubicBezTo>
                                    <a:cubicBezTo>
                                      <a:pt x="514" y="264"/>
                                      <a:pt x="515" y="264"/>
                                      <a:pt x="514" y="263"/>
                                    </a:cubicBezTo>
                                    <a:cubicBezTo>
                                      <a:pt x="514" y="262"/>
                                      <a:pt x="513" y="261"/>
                                      <a:pt x="513" y="261"/>
                                    </a:cubicBezTo>
                                    <a:cubicBezTo>
                                      <a:pt x="516" y="258"/>
                                      <a:pt x="517" y="257"/>
                                      <a:pt x="518" y="253"/>
                                    </a:cubicBezTo>
                                    <a:cubicBezTo>
                                      <a:pt x="518" y="253"/>
                                      <a:pt x="522" y="253"/>
                                      <a:pt x="520" y="255"/>
                                    </a:cubicBezTo>
                                    <a:cubicBezTo>
                                      <a:pt x="523" y="254"/>
                                      <a:pt x="523" y="254"/>
                                      <a:pt x="523" y="254"/>
                                    </a:cubicBezTo>
                                    <a:cubicBezTo>
                                      <a:pt x="525" y="253"/>
                                      <a:pt x="525" y="253"/>
                                      <a:pt x="525" y="253"/>
                                    </a:cubicBezTo>
                                    <a:cubicBezTo>
                                      <a:pt x="525" y="253"/>
                                      <a:pt x="525" y="248"/>
                                      <a:pt x="524" y="250"/>
                                    </a:cubicBezTo>
                                    <a:cubicBezTo>
                                      <a:pt x="524" y="248"/>
                                      <a:pt x="524" y="246"/>
                                      <a:pt x="524" y="244"/>
                                    </a:cubicBezTo>
                                    <a:cubicBezTo>
                                      <a:pt x="533" y="244"/>
                                      <a:pt x="535" y="243"/>
                                      <a:pt x="541" y="239"/>
                                    </a:cubicBezTo>
                                    <a:cubicBezTo>
                                      <a:pt x="540" y="237"/>
                                      <a:pt x="540" y="237"/>
                                      <a:pt x="540" y="237"/>
                                    </a:cubicBezTo>
                                    <a:cubicBezTo>
                                      <a:pt x="538" y="237"/>
                                      <a:pt x="536" y="237"/>
                                      <a:pt x="534" y="237"/>
                                    </a:cubicBezTo>
                                    <a:cubicBezTo>
                                      <a:pt x="534" y="236"/>
                                      <a:pt x="535" y="232"/>
                                      <a:pt x="534" y="232"/>
                                    </a:cubicBezTo>
                                    <a:cubicBezTo>
                                      <a:pt x="537" y="231"/>
                                      <a:pt x="544" y="231"/>
                                      <a:pt x="547" y="229"/>
                                    </a:cubicBezTo>
                                    <a:cubicBezTo>
                                      <a:pt x="549" y="228"/>
                                      <a:pt x="551" y="225"/>
                                      <a:pt x="554" y="222"/>
                                    </a:cubicBezTo>
                                    <a:cubicBezTo>
                                      <a:pt x="554" y="220"/>
                                      <a:pt x="554" y="220"/>
                                      <a:pt x="554" y="220"/>
                                    </a:cubicBezTo>
                                    <a:cubicBezTo>
                                      <a:pt x="552" y="220"/>
                                      <a:pt x="546" y="221"/>
                                      <a:pt x="548" y="220"/>
                                    </a:cubicBezTo>
                                    <a:cubicBezTo>
                                      <a:pt x="549" y="220"/>
                                      <a:pt x="555" y="218"/>
                                      <a:pt x="557" y="218"/>
                                    </a:cubicBezTo>
                                    <a:cubicBezTo>
                                      <a:pt x="556" y="217"/>
                                      <a:pt x="552" y="215"/>
                                      <a:pt x="552" y="214"/>
                                    </a:cubicBezTo>
                                    <a:cubicBezTo>
                                      <a:pt x="552" y="212"/>
                                      <a:pt x="552" y="211"/>
                                      <a:pt x="552" y="210"/>
                                    </a:cubicBezTo>
                                    <a:cubicBezTo>
                                      <a:pt x="552" y="209"/>
                                      <a:pt x="549" y="210"/>
                                      <a:pt x="549" y="209"/>
                                    </a:cubicBezTo>
                                    <a:cubicBezTo>
                                      <a:pt x="549" y="208"/>
                                      <a:pt x="550" y="206"/>
                                      <a:pt x="549" y="205"/>
                                    </a:cubicBezTo>
                                    <a:cubicBezTo>
                                      <a:pt x="556" y="200"/>
                                      <a:pt x="554" y="202"/>
                                      <a:pt x="557" y="193"/>
                                    </a:cubicBezTo>
                                    <a:cubicBezTo>
                                      <a:pt x="559" y="190"/>
                                      <a:pt x="559" y="190"/>
                                      <a:pt x="559" y="190"/>
                                    </a:cubicBezTo>
                                    <a:cubicBezTo>
                                      <a:pt x="559" y="188"/>
                                      <a:pt x="557" y="187"/>
                                      <a:pt x="558" y="186"/>
                                    </a:cubicBezTo>
                                    <a:cubicBezTo>
                                      <a:pt x="558" y="184"/>
                                      <a:pt x="563" y="184"/>
                                      <a:pt x="564" y="182"/>
                                    </a:cubicBezTo>
                                    <a:cubicBezTo>
                                      <a:pt x="565" y="180"/>
                                      <a:pt x="566" y="170"/>
                                      <a:pt x="566" y="170"/>
                                    </a:cubicBezTo>
                                    <a:cubicBezTo>
                                      <a:pt x="568" y="164"/>
                                      <a:pt x="568" y="163"/>
                                      <a:pt x="570" y="158"/>
                                    </a:cubicBezTo>
                                    <a:cubicBezTo>
                                      <a:pt x="569" y="157"/>
                                      <a:pt x="568" y="156"/>
                                      <a:pt x="567" y="156"/>
                                    </a:cubicBezTo>
                                    <a:cubicBezTo>
                                      <a:pt x="569" y="155"/>
                                      <a:pt x="570" y="156"/>
                                      <a:pt x="572" y="155"/>
                                    </a:cubicBezTo>
                                    <a:cubicBezTo>
                                      <a:pt x="576" y="153"/>
                                      <a:pt x="576" y="146"/>
                                      <a:pt x="578" y="142"/>
                                    </a:cubicBezTo>
                                    <a:cubicBezTo>
                                      <a:pt x="578" y="141"/>
                                      <a:pt x="581" y="141"/>
                                      <a:pt x="582" y="141"/>
                                    </a:cubicBezTo>
                                    <a:cubicBezTo>
                                      <a:pt x="582" y="140"/>
                                      <a:pt x="581" y="138"/>
                                      <a:pt x="582" y="138"/>
                                    </a:cubicBezTo>
                                    <a:cubicBezTo>
                                      <a:pt x="582" y="137"/>
                                      <a:pt x="584" y="136"/>
                                      <a:pt x="585" y="136"/>
                                    </a:cubicBezTo>
                                    <a:cubicBezTo>
                                      <a:pt x="583" y="134"/>
                                      <a:pt x="582" y="131"/>
                                      <a:pt x="581" y="129"/>
                                    </a:cubicBezTo>
                                    <a:cubicBezTo>
                                      <a:pt x="583" y="127"/>
                                      <a:pt x="580" y="120"/>
                                      <a:pt x="580" y="120"/>
                                    </a:cubicBezTo>
                                    <a:cubicBezTo>
                                      <a:pt x="581" y="120"/>
                                      <a:pt x="583" y="117"/>
                                      <a:pt x="584" y="117"/>
                                    </a:cubicBezTo>
                                    <a:cubicBezTo>
                                      <a:pt x="584" y="114"/>
                                      <a:pt x="582" y="113"/>
                                      <a:pt x="583" y="110"/>
                                    </a:cubicBezTo>
                                    <a:cubicBezTo>
                                      <a:pt x="583" y="110"/>
                                      <a:pt x="585" y="108"/>
                                      <a:pt x="586" y="107"/>
                                    </a:cubicBezTo>
                                    <a:cubicBezTo>
                                      <a:pt x="586" y="105"/>
                                      <a:pt x="584" y="102"/>
                                      <a:pt x="586" y="99"/>
                                    </a:cubicBezTo>
                                    <a:cubicBezTo>
                                      <a:pt x="586" y="99"/>
                                      <a:pt x="588" y="96"/>
                                      <a:pt x="588" y="95"/>
                                    </a:cubicBezTo>
                                    <a:cubicBezTo>
                                      <a:pt x="589" y="94"/>
                                      <a:pt x="588" y="92"/>
                                      <a:pt x="588" y="91"/>
                                    </a:cubicBezTo>
                                    <a:cubicBezTo>
                                      <a:pt x="591" y="90"/>
                                      <a:pt x="591" y="90"/>
                                      <a:pt x="591" y="90"/>
                                    </a:cubicBezTo>
                                    <a:cubicBezTo>
                                      <a:pt x="594" y="87"/>
                                      <a:pt x="592" y="83"/>
                                      <a:pt x="594" y="79"/>
                                    </a:cubicBezTo>
                                    <a:cubicBezTo>
                                      <a:pt x="595" y="78"/>
                                      <a:pt x="599" y="76"/>
                                      <a:pt x="599" y="75"/>
                                    </a:cubicBezTo>
                                    <a:cubicBezTo>
                                      <a:pt x="599" y="75"/>
                                      <a:pt x="597" y="70"/>
                                      <a:pt x="598" y="69"/>
                                    </a:cubicBezTo>
                                    <a:cubicBezTo>
                                      <a:pt x="597" y="70"/>
                                      <a:pt x="595" y="69"/>
                                      <a:pt x="594" y="70"/>
                                    </a:cubicBezTo>
                                    <a:cubicBezTo>
                                      <a:pt x="594" y="71"/>
                                      <a:pt x="594" y="73"/>
                                      <a:pt x="593" y="73"/>
                                    </a:cubicBezTo>
                                    <a:cubicBezTo>
                                      <a:pt x="592" y="74"/>
                                      <a:pt x="593" y="73"/>
                                      <a:pt x="592" y="75"/>
                                    </a:cubicBezTo>
                                    <a:cubicBezTo>
                                      <a:pt x="591" y="75"/>
                                      <a:pt x="591" y="71"/>
                                      <a:pt x="592" y="71"/>
                                    </a:cubicBezTo>
                                    <a:cubicBezTo>
                                      <a:pt x="592" y="68"/>
                                      <a:pt x="592" y="68"/>
                                      <a:pt x="592" y="68"/>
                                    </a:cubicBezTo>
                                    <a:cubicBezTo>
                                      <a:pt x="593" y="67"/>
                                      <a:pt x="597" y="66"/>
                                      <a:pt x="598" y="66"/>
                                    </a:cubicBezTo>
                                    <a:cubicBezTo>
                                      <a:pt x="598" y="65"/>
                                      <a:pt x="598" y="63"/>
                                      <a:pt x="599" y="63"/>
                                    </a:cubicBezTo>
                                    <a:cubicBezTo>
                                      <a:pt x="601" y="62"/>
                                      <a:pt x="601" y="64"/>
                                      <a:pt x="604" y="64"/>
                                    </a:cubicBezTo>
                                    <a:cubicBezTo>
                                      <a:pt x="604" y="62"/>
                                      <a:pt x="603" y="61"/>
                                      <a:pt x="604" y="59"/>
                                    </a:cubicBezTo>
                                    <a:cubicBezTo>
                                      <a:pt x="604" y="58"/>
                                      <a:pt x="606" y="59"/>
                                      <a:pt x="607" y="58"/>
                                    </a:cubicBezTo>
                                    <a:cubicBezTo>
                                      <a:pt x="608" y="57"/>
                                      <a:pt x="607" y="54"/>
                                      <a:pt x="609" y="52"/>
                                    </a:cubicBezTo>
                                    <a:cubicBezTo>
                                      <a:pt x="610" y="51"/>
                                      <a:pt x="613" y="51"/>
                                      <a:pt x="614" y="49"/>
                                    </a:cubicBezTo>
                                    <a:cubicBezTo>
                                      <a:pt x="615" y="49"/>
                                      <a:pt x="614" y="47"/>
                                      <a:pt x="614" y="46"/>
                                    </a:cubicBezTo>
                                    <a:cubicBezTo>
                                      <a:pt x="616" y="46"/>
                                      <a:pt x="617" y="46"/>
                                      <a:pt x="618" y="45"/>
                                    </a:cubicBezTo>
                                    <a:cubicBezTo>
                                      <a:pt x="618" y="44"/>
                                      <a:pt x="617" y="43"/>
                                      <a:pt x="615" y="44"/>
                                    </a:cubicBezTo>
                                    <a:cubicBezTo>
                                      <a:pt x="615" y="43"/>
                                      <a:pt x="617" y="38"/>
                                      <a:pt x="616" y="38"/>
                                    </a:cubicBezTo>
                                    <a:cubicBezTo>
                                      <a:pt x="620" y="35"/>
                                      <a:pt x="623" y="34"/>
                                      <a:pt x="625" y="29"/>
                                    </a:cubicBezTo>
                                    <a:cubicBezTo>
                                      <a:pt x="626" y="27"/>
                                      <a:pt x="624" y="28"/>
                                      <a:pt x="626" y="27"/>
                                    </a:cubicBezTo>
                                    <a:cubicBezTo>
                                      <a:pt x="626" y="27"/>
                                      <a:pt x="625" y="24"/>
                                      <a:pt x="625" y="23"/>
                                    </a:cubicBezTo>
                                    <a:cubicBezTo>
                                      <a:pt x="625" y="23"/>
                                      <a:pt x="622" y="21"/>
                                      <a:pt x="622" y="20"/>
                                    </a:cubicBezTo>
                                    <a:cubicBezTo>
                                      <a:pt x="622" y="18"/>
                                      <a:pt x="624" y="11"/>
                                      <a:pt x="624" y="6"/>
                                    </a:cubicBezTo>
                                    <a:cubicBezTo>
                                      <a:pt x="620" y="4"/>
                                      <a:pt x="620" y="4"/>
                                      <a:pt x="620" y="4"/>
                                    </a:cubicBezTo>
                                    <a:cubicBezTo>
                                      <a:pt x="620" y="3"/>
                                      <a:pt x="619" y="2"/>
                                      <a:pt x="619" y="0"/>
                                    </a:cubicBezTo>
                                    <a:cubicBezTo>
                                      <a:pt x="605" y="8"/>
                                      <a:pt x="605" y="8"/>
                                      <a:pt x="605" y="8"/>
                                    </a:cubicBezTo>
                                    <a:cubicBezTo>
                                      <a:pt x="605" y="8"/>
                                      <a:pt x="599" y="9"/>
                                      <a:pt x="596" y="12"/>
                                    </a:cubicBezTo>
                                    <a:cubicBezTo>
                                      <a:pt x="593" y="15"/>
                                      <a:pt x="586" y="12"/>
                                      <a:pt x="576" y="13"/>
                                    </a:cubicBezTo>
                                    <a:cubicBezTo>
                                      <a:pt x="571" y="13"/>
                                      <a:pt x="571" y="6"/>
                                      <a:pt x="565" y="11"/>
                                    </a:cubicBezTo>
                                    <a:cubicBezTo>
                                      <a:pt x="560" y="15"/>
                                      <a:pt x="553" y="15"/>
                                      <a:pt x="548" y="16"/>
                                    </a:cubicBezTo>
                                    <a:cubicBezTo>
                                      <a:pt x="544" y="18"/>
                                      <a:pt x="546" y="21"/>
                                      <a:pt x="545" y="24"/>
                                    </a:cubicBezTo>
                                    <a:cubicBezTo>
                                      <a:pt x="543" y="33"/>
                                      <a:pt x="535" y="26"/>
                                      <a:pt x="529" y="27"/>
                                    </a:cubicBezTo>
                                    <a:cubicBezTo>
                                      <a:pt x="525" y="28"/>
                                      <a:pt x="523" y="30"/>
                                      <a:pt x="519" y="29"/>
                                    </a:cubicBezTo>
                                    <a:cubicBezTo>
                                      <a:pt x="517" y="29"/>
                                      <a:pt x="515" y="26"/>
                                      <a:pt x="513" y="27"/>
                                    </a:cubicBezTo>
                                    <a:cubicBezTo>
                                      <a:pt x="507" y="30"/>
                                      <a:pt x="508" y="33"/>
                                      <a:pt x="503" y="39"/>
                                    </a:cubicBezTo>
                                    <a:cubicBezTo>
                                      <a:pt x="498" y="48"/>
                                      <a:pt x="494" y="50"/>
                                      <a:pt x="489" y="48"/>
                                    </a:cubicBezTo>
                                    <a:cubicBezTo>
                                      <a:pt x="486" y="46"/>
                                      <a:pt x="492" y="35"/>
                                      <a:pt x="484" y="33"/>
                                    </a:cubicBezTo>
                                    <a:cubicBezTo>
                                      <a:pt x="477" y="31"/>
                                      <a:pt x="475" y="30"/>
                                      <a:pt x="471" y="27"/>
                                    </a:cubicBezTo>
                                    <a:cubicBezTo>
                                      <a:pt x="467" y="24"/>
                                      <a:pt x="465" y="22"/>
                                      <a:pt x="460" y="20"/>
                                    </a:cubicBezTo>
                                    <a:cubicBezTo>
                                      <a:pt x="453" y="17"/>
                                      <a:pt x="443" y="22"/>
                                      <a:pt x="440" y="16"/>
                                    </a:cubicBezTo>
                                    <a:cubicBezTo>
                                      <a:pt x="439" y="14"/>
                                      <a:pt x="438" y="14"/>
                                      <a:pt x="437" y="12"/>
                                    </a:cubicBezTo>
                                    <a:cubicBezTo>
                                      <a:pt x="431" y="7"/>
                                      <a:pt x="425" y="14"/>
                                      <a:pt x="417" y="14"/>
                                    </a:cubicBezTo>
                                    <a:cubicBezTo>
                                      <a:pt x="411" y="14"/>
                                      <a:pt x="412" y="6"/>
                                      <a:pt x="401" y="13"/>
                                    </a:cubicBezTo>
                                    <a:cubicBezTo>
                                      <a:pt x="394" y="18"/>
                                      <a:pt x="380" y="23"/>
                                      <a:pt x="380" y="23"/>
                                    </a:cubicBezTo>
                                    <a:cubicBezTo>
                                      <a:pt x="374" y="32"/>
                                      <a:pt x="374" y="32"/>
                                      <a:pt x="374" y="32"/>
                                    </a:cubicBezTo>
                                    <a:cubicBezTo>
                                      <a:pt x="0" y="29"/>
                                      <a:pt x="0" y="29"/>
                                      <a:pt x="0" y="29"/>
                                    </a:cubicBezTo>
                                    <a:cubicBezTo>
                                      <a:pt x="0" y="282"/>
                                      <a:pt x="0" y="282"/>
                                      <a:pt x="0" y="282"/>
                                    </a:cubicBezTo>
                                    <a:cubicBezTo>
                                      <a:pt x="1" y="282"/>
                                      <a:pt x="1" y="282"/>
                                      <a:pt x="1" y="282"/>
                                    </a:cubicBezTo>
                                    <a:cubicBezTo>
                                      <a:pt x="11" y="285"/>
                                      <a:pt x="11" y="285"/>
                                      <a:pt x="11" y="285"/>
                                    </a:cubicBezTo>
                                    <a:cubicBezTo>
                                      <a:pt x="11" y="285"/>
                                      <a:pt x="17" y="289"/>
                                      <a:pt x="21" y="290"/>
                                    </a:cubicBezTo>
                                    <a:cubicBezTo>
                                      <a:pt x="27" y="291"/>
                                      <a:pt x="32" y="288"/>
                                      <a:pt x="37" y="290"/>
                                    </a:cubicBezTo>
                                    <a:cubicBezTo>
                                      <a:pt x="41" y="291"/>
                                      <a:pt x="43" y="293"/>
                                      <a:pt x="46" y="296"/>
                                    </a:cubicBezTo>
                                    <a:cubicBezTo>
                                      <a:pt x="50" y="299"/>
                                      <a:pt x="53" y="300"/>
                                      <a:pt x="56" y="304"/>
                                    </a:cubicBezTo>
                                    <a:cubicBezTo>
                                      <a:pt x="59" y="309"/>
                                      <a:pt x="57" y="314"/>
                                      <a:pt x="59" y="318"/>
                                    </a:cubicBezTo>
                                    <a:cubicBezTo>
                                      <a:pt x="60" y="322"/>
                                      <a:pt x="60" y="324"/>
                                      <a:pt x="63" y="327"/>
                                    </a:cubicBezTo>
                                    <a:cubicBezTo>
                                      <a:pt x="66" y="331"/>
                                      <a:pt x="70" y="334"/>
                                      <a:pt x="75" y="333"/>
                                    </a:cubicBezTo>
                                    <a:cubicBezTo>
                                      <a:pt x="78" y="332"/>
                                      <a:pt x="79" y="328"/>
                                      <a:pt x="82" y="327"/>
                                    </a:cubicBezTo>
                                    <a:cubicBezTo>
                                      <a:pt x="87" y="326"/>
                                      <a:pt x="89" y="330"/>
                                      <a:pt x="94" y="332"/>
                                    </a:cubicBezTo>
                                    <a:cubicBezTo>
                                      <a:pt x="99" y="334"/>
                                      <a:pt x="103" y="334"/>
                                      <a:pt x="106" y="339"/>
                                    </a:cubicBezTo>
                                    <a:cubicBezTo>
                                      <a:pt x="110" y="344"/>
                                      <a:pt x="104" y="349"/>
                                      <a:pt x="108" y="354"/>
                                    </a:cubicBezTo>
                                    <a:cubicBezTo>
                                      <a:pt x="110" y="357"/>
                                      <a:pt x="112" y="358"/>
                                      <a:pt x="115" y="359"/>
                                    </a:cubicBezTo>
                                    <a:cubicBezTo>
                                      <a:pt x="118" y="359"/>
                                      <a:pt x="126" y="364"/>
                                      <a:pt x="132" y="369"/>
                                    </a:cubicBezTo>
                                    <a:cubicBezTo>
                                      <a:pt x="138" y="374"/>
                                      <a:pt x="140" y="379"/>
                                      <a:pt x="146" y="384"/>
                                    </a:cubicBezTo>
                                    <a:cubicBezTo>
                                      <a:pt x="150" y="387"/>
                                      <a:pt x="153" y="389"/>
                                      <a:pt x="157" y="392"/>
                                    </a:cubicBezTo>
                                    <a:cubicBezTo>
                                      <a:pt x="165" y="397"/>
                                      <a:pt x="172" y="405"/>
                                      <a:pt x="178" y="403"/>
                                    </a:cubicBezTo>
                                    <a:cubicBezTo>
                                      <a:pt x="178" y="403"/>
                                      <a:pt x="182" y="406"/>
                                      <a:pt x="187" y="408"/>
                                    </a:cubicBezTo>
                                    <a:cubicBezTo>
                                      <a:pt x="192" y="409"/>
                                      <a:pt x="188" y="402"/>
                                      <a:pt x="193" y="403"/>
                                    </a:cubicBezTo>
                                    <a:cubicBezTo>
                                      <a:pt x="193" y="401"/>
                                      <a:pt x="196" y="395"/>
                                      <a:pt x="195" y="395"/>
                                    </a:cubicBezTo>
                                    <a:cubicBezTo>
                                      <a:pt x="193" y="392"/>
                                      <a:pt x="203" y="394"/>
                                      <a:pt x="207" y="394"/>
                                    </a:cubicBezTo>
                                    <a:cubicBezTo>
                                      <a:pt x="220" y="396"/>
                                      <a:pt x="213" y="393"/>
                                      <a:pt x="217" y="394"/>
                                    </a:cubicBezTo>
                                    <a:cubicBezTo>
                                      <a:pt x="223" y="394"/>
                                      <a:pt x="226" y="397"/>
                                      <a:pt x="232" y="399"/>
                                    </a:cubicBezTo>
                                    <a:cubicBezTo>
                                      <a:pt x="237" y="401"/>
                                      <a:pt x="240" y="402"/>
                                      <a:pt x="245" y="403"/>
                                    </a:cubicBezTo>
                                    <a:cubicBezTo>
                                      <a:pt x="248" y="405"/>
                                      <a:pt x="249" y="406"/>
                                      <a:pt x="253" y="407"/>
                                    </a:cubicBezTo>
                                    <a:cubicBezTo>
                                      <a:pt x="261" y="408"/>
                                      <a:pt x="255" y="409"/>
                                      <a:pt x="269" y="413"/>
                                    </a:cubicBezTo>
                                    <a:cubicBezTo>
                                      <a:pt x="280" y="417"/>
                                      <a:pt x="274" y="409"/>
                                      <a:pt x="278" y="405"/>
                                    </a:cubicBezTo>
                                    <a:cubicBezTo>
                                      <a:pt x="280" y="401"/>
                                      <a:pt x="282" y="403"/>
                                      <a:pt x="285" y="403"/>
                                    </a:cubicBezTo>
                                    <a:cubicBezTo>
                                      <a:pt x="291" y="401"/>
                                      <a:pt x="293" y="396"/>
                                      <a:pt x="299" y="396"/>
                                    </a:cubicBezTo>
                                    <a:cubicBezTo>
                                      <a:pt x="307" y="396"/>
                                      <a:pt x="316" y="405"/>
                                      <a:pt x="317" y="413"/>
                                    </a:cubicBezTo>
                                    <a:cubicBezTo>
                                      <a:pt x="318" y="423"/>
                                      <a:pt x="305" y="421"/>
                                      <a:pt x="307" y="430"/>
                                    </a:cubicBezTo>
                                    <a:cubicBezTo>
                                      <a:pt x="307" y="431"/>
                                      <a:pt x="311" y="438"/>
                                      <a:pt x="313" y="442"/>
                                    </a:cubicBezTo>
                                    <a:cubicBezTo>
                                      <a:pt x="314" y="446"/>
                                      <a:pt x="312" y="448"/>
                                      <a:pt x="313" y="449"/>
                                    </a:cubicBezTo>
                                    <a:cubicBezTo>
                                      <a:pt x="315" y="453"/>
                                      <a:pt x="318" y="448"/>
                                      <a:pt x="318" y="448"/>
                                    </a:cubicBezTo>
                                    <a:cubicBezTo>
                                      <a:pt x="413" y="498"/>
                                      <a:pt x="413" y="498"/>
                                      <a:pt x="413" y="498"/>
                                    </a:cubicBezTo>
                                    <a:cubicBezTo>
                                      <a:pt x="413" y="498"/>
                                      <a:pt x="413" y="498"/>
                                      <a:pt x="413" y="498"/>
                                    </a:cubicBezTo>
                                    <a:close/>
                                    <a:moveTo>
                                      <a:pt x="369" y="382"/>
                                    </a:moveTo>
                                    <a:cubicBezTo>
                                      <a:pt x="369" y="379"/>
                                      <a:pt x="365" y="378"/>
                                      <a:pt x="366" y="374"/>
                                    </a:cubicBezTo>
                                    <a:cubicBezTo>
                                      <a:pt x="366" y="369"/>
                                      <a:pt x="371" y="367"/>
                                      <a:pt x="376" y="364"/>
                                    </a:cubicBezTo>
                                    <a:cubicBezTo>
                                      <a:pt x="381" y="361"/>
                                      <a:pt x="387" y="356"/>
                                      <a:pt x="393" y="360"/>
                                    </a:cubicBezTo>
                                    <a:cubicBezTo>
                                      <a:pt x="395" y="362"/>
                                      <a:pt x="394" y="365"/>
                                      <a:pt x="396" y="367"/>
                                    </a:cubicBezTo>
                                    <a:cubicBezTo>
                                      <a:pt x="398" y="369"/>
                                      <a:pt x="402" y="368"/>
                                      <a:pt x="403" y="371"/>
                                    </a:cubicBezTo>
                                    <a:cubicBezTo>
                                      <a:pt x="405" y="376"/>
                                      <a:pt x="393" y="370"/>
                                      <a:pt x="389" y="374"/>
                                    </a:cubicBezTo>
                                    <a:cubicBezTo>
                                      <a:pt x="387" y="377"/>
                                      <a:pt x="389" y="380"/>
                                      <a:pt x="388" y="382"/>
                                    </a:cubicBezTo>
                                    <a:cubicBezTo>
                                      <a:pt x="386" y="386"/>
                                      <a:pt x="379" y="385"/>
                                      <a:pt x="381" y="389"/>
                                    </a:cubicBezTo>
                                    <a:cubicBezTo>
                                      <a:pt x="382" y="393"/>
                                      <a:pt x="388" y="400"/>
                                      <a:pt x="378" y="401"/>
                                    </a:cubicBezTo>
                                    <a:cubicBezTo>
                                      <a:pt x="374" y="401"/>
                                      <a:pt x="371" y="398"/>
                                      <a:pt x="370" y="394"/>
                                    </a:cubicBezTo>
                                    <a:cubicBezTo>
                                      <a:pt x="370" y="391"/>
                                      <a:pt x="367" y="391"/>
                                      <a:pt x="366" y="389"/>
                                    </a:cubicBezTo>
                                    <a:cubicBezTo>
                                      <a:pt x="366" y="386"/>
                                      <a:pt x="369" y="385"/>
                                      <a:pt x="369" y="382"/>
                                    </a:cubicBezTo>
                                    <a:close/>
                                  </a:path>
                                </a:pathLst>
                              </a:custGeom>
                              <a:solidFill>
                                <a:srgbClr val="B4B5DB">
                                  <a:lumMod val="60000"/>
                                  <a:lumOff val="40000"/>
                                </a:srgbClr>
                              </a:solidFill>
                              <a:ln w="9525">
                                <a:solidFill>
                                  <a:srgbClr val="FFFFFF"/>
                                </a:solidFill>
                                <a:round/>
                                <a:headEnd/>
                                <a:tailEnd/>
                              </a:ln>
                            </wps:spPr>
                            <wps:bodyPr vert="horz" wrap="square" lIns="91440" tIns="45720" rIns="91440" bIns="45720" numCol="1" anchor="t" anchorCtr="0" compatLnSpc="1">
                              <a:prstTxWarp prst="textNoShape">
                                <a:avLst/>
                              </a:prstTxWarp>
                            </wps:bodyPr>
                          </wps:wsp>
                          <wps:wsp>
                            <wps:cNvPr id="1825422404" name="Freeform 42">
                              <a:extLst>
                                <a:ext uri="{FF2B5EF4-FFF2-40B4-BE49-F238E27FC236}">
                                  <a16:creationId xmlns:a16="http://schemas.microsoft.com/office/drawing/2014/main" id="{A30C6934-FE8F-AD8F-A049-52F32293915B}"/>
                                </a:ext>
                              </a:extLst>
                            </wps:cNvPr>
                            <wps:cNvSpPr>
                              <a:spLocks noEditPoints="1"/>
                            </wps:cNvSpPr>
                            <wps:spPr bwMode="auto">
                              <a:xfrm>
                                <a:off x="1105818" y="59"/>
                                <a:ext cx="1152" cy="1925"/>
                              </a:xfrm>
                              <a:custGeom>
                                <a:avLst/>
                                <a:gdLst/>
                                <a:ahLst/>
                                <a:cxnLst>
                                  <a:cxn ang="0">
                                    <a:pos x="397" y="1"/>
                                  </a:cxn>
                                  <a:cxn ang="0">
                                    <a:pos x="186" y="13"/>
                                  </a:cxn>
                                  <a:cxn ang="0">
                                    <a:pos x="73" y="41"/>
                                  </a:cxn>
                                  <a:cxn ang="0">
                                    <a:pos x="56" y="43"/>
                                  </a:cxn>
                                  <a:cxn ang="0">
                                    <a:pos x="82" y="46"/>
                                  </a:cxn>
                                  <a:cxn ang="0">
                                    <a:pos x="98" y="52"/>
                                  </a:cxn>
                                  <a:cxn ang="0">
                                    <a:pos x="127" y="26"/>
                                  </a:cxn>
                                  <a:cxn ang="0">
                                    <a:pos x="99" y="24"/>
                                  </a:cxn>
                                  <a:cxn ang="0">
                                    <a:pos x="77" y="19"/>
                                  </a:cxn>
                                  <a:cxn ang="0">
                                    <a:pos x="375" y="29"/>
                                  </a:cxn>
                                  <a:cxn ang="0">
                                    <a:pos x="348" y="49"/>
                                  </a:cxn>
                                  <a:cxn ang="0">
                                    <a:pos x="331" y="61"/>
                                  </a:cxn>
                                  <a:cxn ang="0">
                                    <a:pos x="84" y="95"/>
                                  </a:cxn>
                                  <a:cxn ang="0">
                                    <a:pos x="374" y="140"/>
                                  </a:cxn>
                                  <a:cxn ang="0">
                                    <a:pos x="374" y="159"/>
                                  </a:cxn>
                                  <a:cxn ang="0">
                                    <a:pos x="400" y="157"/>
                                  </a:cxn>
                                  <a:cxn ang="0">
                                    <a:pos x="392" y="179"/>
                                  </a:cxn>
                                  <a:cxn ang="0">
                                    <a:pos x="407" y="159"/>
                                  </a:cxn>
                                  <a:cxn ang="0">
                                    <a:pos x="34" y="215"/>
                                  </a:cxn>
                                  <a:cxn ang="0">
                                    <a:pos x="29" y="235"/>
                                  </a:cxn>
                                  <a:cxn ang="0">
                                    <a:pos x="406" y="249"/>
                                  </a:cxn>
                                  <a:cxn ang="0">
                                    <a:pos x="428" y="250"/>
                                  </a:cxn>
                                  <a:cxn ang="0">
                                    <a:pos x="412" y="259"/>
                                  </a:cxn>
                                  <a:cxn ang="0">
                                    <a:pos x="469" y="290"/>
                                  </a:cxn>
                                  <a:cxn ang="0">
                                    <a:pos x="434" y="272"/>
                                  </a:cxn>
                                  <a:cxn ang="0">
                                    <a:pos x="391" y="240"/>
                                  </a:cxn>
                                  <a:cxn ang="0">
                                    <a:pos x="345" y="220"/>
                                  </a:cxn>
                                  <a:cxn ang="0">
                                    <a:pos x="340" y="207"/>
                                  </a:cxn>
                                  <a:cxn ang="0">
                                    <a:pos x="367" y="175"/>
                                  </a:cxn>
                                  <a:cxn ang="0">
                                    <a:pos x="359" y="155"/>
                                  </a:cxn>
                                  <a:cxn ang="0">
                                    <a:pos x="372" y="117"/>
                                  </a:cxn>
                                  <a:cxn ang="0">
                                    <a:pos x="389" y="122"/>
                                  </a:cxn>
                                  <a:cxn ang="0">
                                    <a:pos x="400" y="111"/>
                                  </a:cxn>
                                  <a:cxn ang="0">
                                    <a:pos x="397" y="98"/>
                                  </a:cxn>
                                  <a:cxn ang="0">
                                    <a:pos x="416" y="72"/>
                                  </a:cxn>
                                  <a:cxn ang="0">
                                    <a:pos x="400" y="62"/>
                                  </a:cxn>
                                  <a:cxn ang="0">
                                    <a:pos x="374" y="55"/>
                                  </a:cxn>
                                  <a:cxn ang="0">
                                    <a:pos x="371" y="82"/>
                                  </a:cxn>
                                  <a:cxn ang="0">
                                    <a:pos x="360" y="61"/>
                                  </a:cxn>
                                  <a:cxn ang="0">
                                    <a:pos x="348" y="57"/>
                                  </a:cxn>
                                  <a:cxn ang="0">
                                    <a:pos x="321" y="65"/>
                                  </a:cxn>
                                  <a:cxn ang="0">
                                    <a:pos x="296" y="49"/>
                                  </a:cxn>
                                  <a:cxn ang="0">
                                    <a:pos x="268" y="56"/>
                                  </a:cxn>
                                  <a:cxn ang="0">
                                    <a:pos x="240" y="46"/>
                                  </a:cxn>
                                  <a:cxn ang="0">
                                    <a:pos x="218" y="43"/>
                                  </a:cxn>
                                  <a:cxn ang="0">
                                    <a:pos x="185" y="25"/>
                                  </a:cxn>
                                  <a:cxn ang="0">
                                    <a:pos x="164" y="15"/>
                                  </a:cxn>
                                  <a:cxn ang="0">
                                    <a:pos x="142" y="13"/>
                                  </a:cxn>
                                  <a:cxn ang="0">
                                    <a:pos x="180" y="41"/>
                                  </a:cxn>
                                  <a:cxn ang="0">
                                    <a:pos x="177" y="81"/>
                                  </a:cxn>
                                  <a:cxn ang="0">
                                    <a:pos x="169" y="65"/>
                                  </a:cxn>
                                  <a:cxn ang="0">
                                    <a:pos x="130" y="74"/>
                                  </a:cxn>
                                  <a:cxn ang="0">
                                    <a:pos x="99" y="75"/>
                                  </a:cxn>
                                  <a:cxn ang="0">
                                    <a:pos x="83" y="84"/>
                                  </a:cxn>
                                  <a:cxn ang="0">
                                    <a:pos x="63" y="105"/>
                                  </a:cxn>
                                  <a:cxn ang="0">
                                    <a:pos x="69" y="142"/>
                                  </a:cxn>
                                  <a:cxn ang="0">
                                    <a:pos x="48" y="143"/>
                                  </a:cxn>
                                  <a:cxn ang="0">
                                    <a:pos x="29" y="170"/>
                                  </a:cxn>
                                  <a:cxn ang="0">
                                    <a:pos x="32" y="192"/>
                                  </a:cxn>
                                  <a:cxn ang="0">
                                    <a:pos x="27" y="206"/>
                                  </a:cxn>
                                  <a:cxn ang="0">
                                    <a:pos x="37" y="208"/>
                                  </a:cxn>
                                  <a:cxn ang="0">
                                    <a:pos x="61" y="237"/>
                                  </a:cxn>
                                  <a:cxn ang="0">
                                    <a:pos x="23" y="223"/>
                                  </a:cxn>
                                </a:cxnLst>
                                <a:rect l="0" t="0" r="r" b="b"/>
                                <a:pathLst>
                                  <a:path w="488" h="815">
                                    <a:moveTo>
                                      <a:pt x="397" y="1"/>
                                    </a:moveTo>
                                    <a:cubicBezTo>
                                      <a:pt x="397" y="2"/>
                                      <a:pt x="397" y="2"/>
                                      <a:pt x="397" y="2"/>
                                    </a:cubicBezTo>
                                    <a:cubicBezTo>
                                      <a:pt x="394" y="4"/>
                                      <a:pt x="396" y="8"/>
                                      <a:pt x="394" y="11"/>
                                    </a:cubicBezTo>
                                    <a:cubicBezTo>
                                      <a:pt x="393" y="12"/>
                                      <a:pt x="390" y="12"/>
                                      <a:pt x="388" y="14"/>
                                    </a:cubicBezTo>
                                    <a:cubicBezTo>
                                      <a:pt x="388" y="15"/>
                                      <a:pt x="387" y="19"/>
                                      <a:pt x="390" y="17"/>
                                    </a:cubicBezTo>
                                    <a:cubicBezTo>
                                      <a:pt x="393" y="16"/>
                                      <a:pt x="399" y="7"/>
                                      <a:pt x="399" y="3"/>
                                    </a:cubicBezTo>
                                    <a:cubicBezTo>
                                      <a:pt x="400" y="2"/>
                                      <a:pt x="398" y="0"/>
                                      <a:pt x="398" y="1"/>
                                    </a:cubicBezTo>
                                    <a:cubicBezTo>
                                      <a:pt x="397" y="1"/>
                                      <a:pt x="397" y="1"/>
                                      <a:pt x="397" y="1"/>
                                    </a:cubicBezTo>
                                    <a:cubicBezTo>
                                      <a:pt x="397" y="1"/>
                                      <a:pt x="397" y="1"/>
                                      <a:pt x="397" y="1"/>
                                    </a:cubicBezTo>
                                    <a:close/>
                                    <a:moveTo>
                                      <a:pt x="177" y="4"/>
                                    </a:moveTo>
                                    <a:cubicBezTo>
                                      <a:pt x="177" y="4"/>
                                      <a:pt x="176" y="6"/>
                                      <a:pt x="177" y="7"/>
                                    </a:cubicBezTo>
                                    <a:cubicBezTo>
                                      <a:pt x="180" y="9"/>
                                      <a:pt x="180" y="9"/>
                                      <a:pt x="180" y="9"/>
                                    </a:cubicBezTo>
                                    <a:cubicBezTo>
                                      <a:pt x="180" y="9"/>
                                      <a:pt x="181" y="14"/>
                                      <a:pt x="178" y="12"/>
                                    </a:cubicBezTo>
                                    <a:cubicBezTo>
                                      <a:pt x="179" y="13"/>
                                      <a:pt x="180" y="14"/>
                                      <a:pt x="179" y="15"/>
                                    </a:cubicBezTo>
                                    <a:cubicBezTo>
                                      <a:pt x="180" y="15"/>
                                      <a:pt x="183" y="16"/>
                                      <a:pt x="185" y="16"/>
                                    </a:cubicBezTo>
                                    <a:cubicBezTo>
                                      <a:pt x="185" y="14"/>
                                      <a:pt x="186" y="14"/>
                                      <a:pt x="186" y="13"/>
                                    </a:cubicBezTo>
                                    <a:cubicBezTo>
                                      <a:pt x="183" y="12"/>
                                      <a:pt x="183" y="12"/>
                                      <a:pt x="183" y="12"/>
                                    </a:cubicBezTo>
                                    <a:cubicBezTo>
                                      <a:pt x="182" y="9"/>
                                      <a:pt x="182" y="5"/>
                                      <a:pt x="185" y="4"/>
                                    </a:cubicBezTo>
                                    <a:cubicBezTo>
                                      <a:pt x="180" y="4"/>
                                      <a:pt x="179" y="4"/>
                                      <a:pt x="177" y="4"/>
                                    </a:cubicBezTo>
                                    <a:close/>
                                    <a:moveTo>
                                      <a:pt x="61" y="12"/>
                                    </a:moveTo>
                                    <a:cubicBezTo>
                                      <a:pt x="63" y="19"/>
                                      <a:pt x="65" y="23"/>
                                      <a:pt x="67" y="29"/>
                                    </a:cubicBezTo>
                                    <a:cubicBezTo>
                                      <a:pt x="70" y="36"/>
                                      <a:pt x="70" y="36"/>
                                      <a:pt x="76" y="39"/>
                                    </a:cubicBezTo>
                                    <a:cubicBezTo>
                                      <a:pt x="77" y="41"/>
                                      <a:pt x="77" y="41"/>
                                      <a:pt x="77" y="41"/>
                                    </a:cubicBezTo>
                                    <a:cubicBezTo>
                                      <a:pt x="75" y="41"/>
                                      <a:pt x="73" y="42"/>
                                      <a:pt x="73" y="41"/>
                                    </a:cubicBezTo>
                                    <a:cubicBezTo>
                                      <a:pt x="72" y="41"/>
                                      <a:pt x="73" y="38"/>
                                      <a:pt x="72" y="38"/>
                                    </a:cubicBezTo>
                                    <a:cubicBezTo>
                                      <a:pt x="71" y="37"/>
                                      <a:pt x="70" y="38"/>
                                      <a:pt x="69" y="38"/>
                                    </a:cubicBezTo>
                                    <a:cubicBezTo>
                                      <a:pt x="65" y="36"/>
                                      <a:pt x="63" y="24"/>
                                      <a:pt x="61" y="20"/>
                                    </a:cubicBezTo>
                                    <a:cubicBezTo>
                                      <a:pt x="60" y="21"/>
                                      <a:pt x="60" y="20"/>
                                      <a:pt x="58" y="20"/>
                                    </a:cubicBezTo>
                                    <a:cubicBezTo>
                                      <a:pt x="58" y="21"/>
                                      <a:pt x="57" y="23"/>
                                      <a:pt x="57" y="23"/>
                                    </a:cubicBezTo>
                                    <a:cubicBezTo>
                                      <a:pt x="54" y="25"/>
                                      <a:pt x="49" y="29"/>
                                      <a:pt x="53" y="36"/>
                                    </a:cubicBezTo>
                                    <a:cubicBezTo>
                                      <a:pt x="53" y="37"/>
                                      <a:pt x="56" y="37"/>
                                      <a:pt x="57" y="39"/>
                                    </a:cubicBezTo>
                                    <a:cubicBezTo>
                                      <a:pt x="57" y="41"/>
                                      <a:pt x="55" y="42"/>
                                      <a:pt x="56" y="43"/>
                                    </a:cubicBezTo>
                                    <a:cubicBezTo>
                                      <a:pt x="53" y="44"/>
                                      <a:pt x="51" y="43"/>
                                      <a:pt x="49" y="44"/>
                                    </a:cubicBezTo>
                                    <a:cubicBezTo>
                                      <a:pt x="48" y="45"/>
                                      <a:pt x="48" y="47"/>
                                      <a:pt x="48" y="47"/>
                                    </a:cubicBezTo>
                                    <a:cubicBezTo>
                                      <a:pt x="48" y="47"/>
                                      <a:pt x="46" y="50"/>
                                      <a:pt x="49" y="51"/>
                                    </a:cubicBezTo>
                                    <a:cubicBezTo>
                                      <a:pt x="49" y="52"/>
                                      <a:pt x="49" y="52"/>
                                      <a:pt x="49" y="52"/>
                                    </a:cubicBezTo>
                                    <a:cubicBezTo>
                                      <a:pt x="53" y="51"/>
                                      <a:pt x="57" y="51"/>
                                      <a:pt x="60" y="50"/>
                                    </a:cubicBezTo>
                                    <a:cubicBezTo>
                                      <a:pt x="61" y="48"/>
                                      <a:pt x="61" y="48"/>
                                      <a:pt x="61" y="48"/>
                                    </a:cubicBezTo>
                                    <a:cubicBezTo>
                                      <a:pt x="66" y="47"/>
                                      <a:pt x="68" y="50"/>
                                      <a:pt x="73" y="49"/>
                                    </a:cubicBezTo>
                                    <a:cubicBezTo>
                                      <a:pt x="73" y="49"/>
                                      <a:pt x="80" y="47"/>
                                      <a:pt x="82" y="46"/>
                                    </a:cubicBezTo>
                                    <a:cubicBezTo>
                                      <a:pt x="82" y="46"/>
                                      <a:pt x="83" y="44"/>
                                      <a:pt x="83" y="43"/>
                                    </a:cubicBezTo>
                                    <a:cubicBezTo>
                                      <a:pt x="81" y="42"/>
                                      <a:pt x="79" y="41"/>
                                      <a:pt x="77" y="39"/>
                                    </a:cubicBezTo>
                                    <a:cubicBezTo>
                                      <a:pt x="78" y="40"/>
                                      <a:pt x="80" y="39"/>
                                      <a:pt x="81" y="39"/>
                                    </a:cubicBezTo>
                                    <a:cubicBezTo>
                                      <a:pt x="82" y="40"/>
                                      <a:pt x="87" y="44"/>
                                      <a:pt x="87" y="44"/>
                                    </a:cubicBezTo>
                                    <a:cubicBezTo>
                                      <a:pt x="88" y="46"/>
                                      <a:pt x="88" y="48"/>
                                      <a:pt x="89" y="49"/>
                                    </a:cubicBezTo>
                                    <a:cubicBezTo>
                                      <a:pt x="90" y="50"/>
                                      <a:pt x="93" y="49"/>
                                      <a:pt x="94" y="49"/>
                                    </a:cubicBezTo>
                                    <a:cubicBezTo>
                                      <a:pt x="95" y="49"/>
                                      <a:pt x="95" y="51"/>
                                      <a:pt x="95" y="52"/>
                                    </a:cubicBezTo>
                                    <a:cubicBezTo>
                                      <a:pt x="95" y="52"/>
                                      <a:pt x="97" y="52"/>
                                      <a:pt x="98" y="52"/>
                                    </a:cubicBezTo>
                                    <a:cubicBezTo>
                                      <a:pt x="99" y="49"/>
                                      <a:pt x="99" y="48"/>
                                      <a:pt x="102" y="46"/>
                                    </a:cubicBezTo>
                                    <a:cubicBezTo>
                                      <a:pt x="103" y="45"/>
                                      <a:pt x="105" y="46"/>
                                      <a:pt x="106" y="45"/>
                                    </a:cubicBezTo>
                                    <a:cubicBezTo>
                                      <a:pt x="107" y="45"/>
                                      <a:pt x="110" y="40"/>
                                      <a:pt x="110" y="39"/>
                                    </a:cubicBezTo>
                                    <a:cubicBezTo>
                                      <a:pt x="111" y="39"/>
                                      <a:pt x="113" y="40"/>
                                      <a:pt x="114" y="39"/>
                                    </a:cubicBezTo>
                                    <a:cubicBezTo>
                                      <a:pt x="115" y="39"/>
                                      <a:pt x="115" y="36"/>
                                      <a:pt x="116" y="36"/>
                                    </a:cubicBezTo>
                                    <a:cubicBezTo>
                                      <a:pt x="118" y="34"/>
                                      <a:pt x="121" y="34"/>
                                      <a:pt x="122" y="33"/>
                                    </a:cubicBezTo>
                                    <a:cubicBezTo>
                                      <a:pt x="123" y="31"/>
                                      <a:pt x="122" y="29"/>
                                      <a:pt x="123" y="28"/>
                                    </a:cubicBezTo>
                                    <a:cubicBezTo>
                                      <a:pt x="123" y="28"/>
                                      <a:pt x="126" y="26"/>
                                      <a:pt x="127" y="26"/>
                                    </a:cubicBezTo>
                                    <a:cubicBezTo>
                                      <a:pt x="127" y="24"/>
                                      <a:pt x="127" y="24"/>
                                      <a:pt x="127" y="24"/>
                                    </a:cubicBezTo>
                                    <a:cubicBezTo>
                                      <a:pt x="123" y="21"/>
                                      <a:pt x="120" y="16"/>
                                      <a:pt x="116" y="12"/>
                                    </a:cubicBezTo>
                                    <a:cubicBezTo>
                                      <a:pt x="111" y="16"/>
                                      <a:pt x="114" y="14"/>
                                      <a:pt x="111" y="20"/>
                                    </a:cubicBezTo>
                                    <a:cubicBezTo>
                                      <a:pt x="109" y="19"/>
                                      <a:pt x="110" y="19"/>
                                      <a:pt x="109" y="16"/>
                                    </a:cubicBezTo>
                                    <a:cubicBezTo>
                                      <a:pt x="109" y="17"/>
                                      <a:pt x="106" y="16"/>
                                      <a:pt x="105" y="16"/>
                                    </a:cubicBezTo>
                                    <a:cubicBezTo>
                                      <a:pt x="105" y="19"/>
                                      <a:pt x="105" y="19"/>
                                      <a:pt x="105" y="19"/>
                                    </a:cubicBezTo>
                                    <a:cubicBezTo>
                                      <a:pt x="105" y="21"/>
                                      <a:pt x="105" y="22"/>
                                      <a:pt x="105" y="24"/>
                                    </a:cubicBezTo>
                                    <a:cubicBezTo>
                                      <a:pt x="101" y="24"/>
                                      <a:pt x="102" y="24"/>
                                      <a:pt x="99" y="24"/>
                                    </a:cubicBezTo>
                                    <a:cubicBezTo>
                                      <a:pt x="98" y="23"/>
                                      <a:pt x="98" y="21"/>
                                      <a:pt x="98" y="21"/>
                                    </a:cubicBezTo>
                                    <a:cubicBezTo>
                                      <a:pt x="94" y="21"/>
                                      <a:pt x="95" y="24"/>
                                      <a:pt x="93" y="25"/>
                                    </a:cubicBezTo>
                                    <a:cubicBezTo>
                                      <a:pt x="92" y="26"/>
                                      <a:pt x="88" y="27"/>
                                      <a:pt x="86" y="28"/>
                                    </a:cubicBezTo>
                                    <a:cubicBezTo>
                                      <a:pt x="86" y="31"/>
                                      <a:pt x="86" y="31"/>
                                      <a:pt x="86" y="31"/>
                                    </a:cubicBezTo>
                                    <a:cubicBezTo>
                                      <a:pt x="86" y="31"/>
                                      <a:pt x="84" y="30"/>
                                      <a:pt x="83" y="31"/>
                                    </a:cubicBezTo>
                                    <a:cubicBezTo>
                                      <a:pt x="81" y="22"/>
                                      <a:pt x="84" y="24"/>
                                      <a:pt x="76" y="26"/>
                                    </a:cubicBezTo>
                                    <a:cubicBezTo>
                                      <a:pt x="77" y="24"/>
                                      <a:pt x="77" y="23"/>
                                      <a:pt x="79" y="21"/>
                                    </a:cubicBezTo>
                                    <a:cubicBezTo>
                                      <a:pt x="78" y="21"/>
                                      <a:pt x="77" y="19"/>
                                      <a:pt x="77" y="19"/>
                                    </a:cubicBezTo>
                                    <a:cubicBezTo>
                                      <a:pt x="77" y="19"/>
                                      <a:pt x="74" y="20"/>
                                      <a:pt x="73" y="20"/>
                                    </a:cubicBezTo>
                                    <a:cubicBezTo>
                                      <a:pt x="71" y="17"/>
                                      <a:pt x="69" y="14"/>
                                      <a:pt x="66" y="13"/>
                                    </a:cubicBezTo>
                                    <a:cubicBezTo>
                                      <a:pt x="64" y="12"/>
                                      <a:pt x="63" y="12"/>
                                      <a:pt x="61" y="12"/>
                                    </a:cubicBezTo>
                                    <a:close/>
                                    <a:moveTo>
                                      <a:pt x="375" y="29"/>
                                    </a:moveTo>
                                    <a:cubicBezTo>
                                      <a:pt x="374" y="29"/>
                                      <a:pt x="373" y="31"/>
                                      <a:pt x="372" y="32"/>
                                    </a:cubicBezTo>
                                    <a:cubicBezTo>
                                      <a:pt x="372" y="32"/>
                                      <a:pt x="373" y="33"/>
                                      <a:pt x="372" y="34"/>
                                    </a:cubicBezTo>
                                    <a:cubicBezTo>
                                      <a:pt x="374" y="33"/>
                                      <a:pt x="373" y="32"/>
                                      <a:pt x="375" y="33"/>
                                    </a:cubicBezTo>
                                    <a:cubicBezTo>
                                      <a:pt x="376" y="31"/>
                                      <a:pt x="376" y="28"/>
                                      <a:pt x="375" y="29"/>
                                    </a:cubicBezTo>
                                    <a:close/>
                                    <a:moveTo>
                                      <a:pt x="226" y="40"/>
                                    </a:moveTo>
                                    <a:cubicBezTo>
                                      <a:pt x="227" y="42"/>
                                      <a:pt x="227" y="42"/>
                                      <a:pt x="227" y="42"/>
                                    </a:cubicBezTo>
                                    <a:cubicBezTo>
                                      <a:pt x="226" y="41"/>
                                      <a:pt x="227" y="40"/>
                                      <a:pt x="226" y="40"/>
                                    </a:cubicBezTo>
                                    <a:close/>
                                    <a:moveTo>
                                      <a:pt x="353" y="41"/>
                                    </a:moveTo>
                                    <a:cubicBezTo>
                                      <a:pt x="343" y="47"/>
                                      <a:pt x="343" y="47"/>
                                      <a:pt x="343" y="47"/>
                                    </a:cubicBezTo>
                                    <a:cubicBezTo>
                                      <a:pt x="342" y="49"/>
                                      <a:pt x="343" y="50"/>
                                      <a:pt x="342" y="52"/>
                                    </a:cubicBezTo>
                                    <a:cubicBezTo>
                                      <a:pt x="342" y="52"/>
                                      <a:pt x="344" y="52"/>
                                      <a:pt x="345" y="52"/>
                                    </a:cubicBezTo>
                                    <a:cubicBezTo>
                                      <a:pt x="345" y="52"/>
                                      <a:pt x="347" y="49"/>
                                      <a:pt x="348" y="49"/>
                                    </a:cubicBezTo>
                                    <a:cubicBezTo>
                                      <a:pt x="354" y="46"/>
                                      <a:pt x="352" y="48"/>
                                      <a:pt x="355" y="41"/>
                                    </a:cubicBezTo>
                                    <a:cubicBezTo>
                                      <a:pt x="353" y="41"/>
                                      <a:pt x="353" y="41"/>
                                      <a:pt x="353" y="41"/>
                                    </a:cubicBezTo>
                                    <a:cubicBezTo>
                                      <a:pt x="353" y="41"/>
                                      <a:pt x="353" y="41"/>
                                      <a:pt x="353" y="41"/>
                                    </a:cubicBezTo>
                                    <a:close/>
                                    <a:moveTo>
                                      <a:pt x="335" y="55"/>
                                    </a:moveTo>
                                    <a:cubicBezTo>
                                      <a:pt x="335" y="56"/>
                                      <a:pt x="335" y="56"/>
                                      <a:pt x="335" y="56"/>
                                    </a:cubicBezTo>
                                    <a:cubicBezTo>
                                      <a:pt x="332" y="57"/>
                                      <a:pt x="331" y="58"/>
                                      <a:pt x="327" y="59"/>
                                    </a:cubicBezTo>
                                    <a:cubicBezTo>
                                      <a:pt x="327" y="61"/>
                                      <a:pt x="327" y="61"/>
                                      <a:pt x="327" y="61"/>
                                    </a:cubicBezTo>
                                    <a:cubicBezTo>
                                      <a:pt x="328" y="61"/>
                                      <a:pt x="330" y="61"/>
                                      <a:pt x="331" y="61"/>
                                    </a:cubicBezTo>
                                    <a:cubicBezTo>
                                      <a:pt x="333" y="60"/>
                                      <a:pt x="342" y="54"/>
                                      <a:pt x="335" y="55"/>
                                    </a:cubicBezTo>
                                    <a:close/>
                                    <a:moveTo>
                                      <a:pt x="114" y="71"/>
                                    </a:moveTo>
                                    <a:cubicBezTo>
                                      <a:pt x="115" y="71"/>
                                      <a:pt x="116" y="76"/>
                                      <a:pt x="114" y="75"/>
                                    </a:cubicBezTo>
                                    <a:cubicBezTo>
                                      <a:pt x="114" y="75"/>
                                      <a:pt x="113" y="70"/>
                                      <a:pt x="114" y="71"/>
                                    </a:cubicBezTo>
                                    <a:close/>
                                    <a:moveTo>
                                      <a:pt x="178" y="83"/>
                                    </a:moveTo>
                                    <a:cubicBezTo>
                                      <a:pt x="179" y="83"/>
                                      <a:pt x="180" y="85"/>
                                      <a:pt x="178" y="85"/>
                                    </a:cubicBezTo>
                                    <a:cubicBezTo>
                                      <a:pt x="178" y="85"/>
                                      <a:pt x="176" y="82"/>
                                      <a:pt x="178" y="83"/>
                                    </a:cubicBezTo>
                                    <a:close/>
                                    <a:moveTo>
                                      <a:pt x="84" y="95"/>
                                    </a:moveTo>
                                    <a:cubicBezTo>
                                      <a:pt x="86" y="95"/>
                                      <a:pt x="87" y="97"/>
                                      <a:pt x="83" y="97"/>
                                    </a:cubicBezTo>
                                    <a:cubicBezTo>
                                      <a:pt x="84" y="96"/>
                                      <a:pt x="82" y="95"/>
                                      <a:pt x="84" y="95"/>
                                    </a:cubicBezTo>
                                    <a:close/>
                                    <a:moveTo>
                                      <a:pt x="51" y="124"/>
                                    </a:moveTo>
                                    <a:cubicBezTo>
                                      <a:pt x="52" y="126"/>
                                      <a:pt x="52" y="126"/>
                                      <a:pt x="52" y="126"/>
                                    </a:cubicBezTo>
                                    <a:cubicBezTo>
                                      <a:pt x="55" y="127"/>
                                      <a:pt x="53" y="125"/>
                                      <a:pt x="51" y="124"/>
                                    </a:cubicBezTo>
                                    <a:close/>
                                    <a:moveTo>
                                      <a:pt x="370" y="131"/>
                                    </a:moveTo>
                                    <a:cubicBezTo>
                                      <a:pt x="371" y="134"/>
                                      <a:pt x="371" y="136"/>
                                      <a:pt x="372" y="140"/>
                                    </a:cubicBezTo>
                                    <a:cubicBezTo>
                                      <a:pt x="374" y="140"/>
                                      <a:pt x="374" y="140"/>
                                      <a:pt x="374" y="140"/>
                                    </a:cubicBezTo>
                                    <a:cubicBezTo>
                                      <a:pt x="376" y="133"/>
                                      <a:pt x="376" y="135"/>
                                      <a:pt x="370" y="131"/>
                                    </a:cubicBezTo>
                                    <a:close/>
                                    <a:moveTo>
                                      <a:pt x="368" y="143"/>
                                    </a:moveTo>
                                    <a:cubicBezTo>
                                      <a:pt x="366" y="144"/>
                                      <a:pt x="369" y="145"/>
                                      <a:pt x="369" y="145"/>
                                    </a:cubicBezTo>
                                    <a:cubicBezTo>
                                      <a:pt x="369" y="145"/>
                                      <a:pt x="371" y="142"/>
                                      <a:pt x="368" y="143"/>
                                    </a:cubicBezTo>
                                    <a:close/>
                                    <a:moveTo>
                                      <a:pt x="378" y="148"/>
                                    </a:moveTo>
                                    <a:cubicBezTo>
                                      <a:pt x="377" y="148"/>
                                      <a:pt x="377" y="151"/>
                                      <a:pt x="376" y="154"/>
                                    </a:cubicBezTo>
                                    <a:cubicBezTo>
                                      <a:pt x="372" y="154"/>
                                      <a:pt x="372" y="155"/>
                                      <a:pt x="374" y="155"/>
                                    </a:cubicBezTo>
                                    <a:cubicBezTo>
                                      <a:pt x="374" y="155"/>
                                      <a:pt x="374" y="158"/>
                                      <a:pt x="374" y="159"/>
                                    </a:cubicBezTo>
                                    <a:cubicBezTo>
                                      <a:pt x="375" y="159"/>
                                      <a:pt x="375" y="159"/>
                                      <a:pt x="375" y="159"/>
                                    </a:cubicBezTo>
                                    <a:cubicBezTo>
                                      <a:pt x="376" y="158"/>
                                      <a:pt x="376" y="158"/>
                                      <a:pt x="376" y="158"/>
                                    </a:cubicBezTo>
                                    <a:cubicBezTo>
                                      <a:pt x="374" y="156"/>
                                      <a:pt x="380" y="158"/>
                                      <a:pt x="377" y="159"/>
                                    </a:cubicBezTo>
                                    <a:cubicBezTo>
                                      <a:pt x="379" y="159"/>
                                      <a:pt x="379" y="159"/>
                                      <a:pt x="379" y="159"/>
                                    </a:cubicBezTo>
                                    <a:cubicBezTo>
                                      <a:pt x="379" y="159"/>
                                      <a:pt x="380" y="148"/>
                                      <a:pt x="378" y="148"/>
                                    </a:cubicBezTo>
                                    <a:close/>
                                    <a:moveTo>
                                      <a:pt x="398" y="149"/>
                                    </a:moveTo>
                                    <a:cubicBezTo>
                                      <a:pt x="399" y="150"/>
                                      <a:pt x="400" y="150"/>
                                      <a:pt x="400" y="151"/>
                                    </a:cubicBezTo>
                                    <a:cubicBezTo>
                                      <a:pt x="400" y="152"/>
                                      <a:pt x="400" y="155"/>
                                      <a:pt x="400" y="157"/>
                                    </a:cubicBezTo>
                                    <a:cubicBezTo>
                                      <a:pt x="399" y="157"/>
                                      <a:pt x="398" y="159"/>
                                      <a:pt x="397" y="159"/>
                                    </a:cubicBezTo>
                                    <a:cubicBezTo>
                                      <a:pt x="395" y="159"/>
                                      <a:pt x="395" y="157"/>
                                      <a:pt x="395" y="157"/>
                                    </a:cubicBezTo>
                                    <a:cubicBezTo>
                                      <a:pt x="394" y="157"/>
                                      <a:pt x="392" y="158"/>
                                      <a:pt x="390" y="158"/>
                                    </a:cubicBezTo>
                                    <a:cubicBezTo>
                                      <a:pt x="391" y="165"/>
                                      <a:pt x="391" y="170"/>
                                      <a:pt x="393" y="176"/>
                                    </a:cubicBezTo>
                                    <a:cubicBezTo>
                                      <a:pt x="391" y="177"/>
                                      <a:pt x="390" y="177"/>
                                      <a:pt x="388" y="178"/>
                                    </a:cubicBezTo>
                                    <a:cubicBezTo>
                                      <a:pt x="387" y="178"/>
                                      <a:pt x="387" y="180"/>
                                      <a:pt x="387" y="181"/>
                                    </a:cubicBezTo>
                                    <a:cubicBezTo>
                                      <a:pt x="388" y="180"/>
                                      <a:pt x="390" y="181"/>
                                      <a:pt x="391" y="181"/>
                                    </a:cubicBezTo>
                                    <a:cubicBezTo>
                                      <a:pt x="391" y="180"/>
                                      <a:pt x="392" y="179"/>
                                      <a:pt x="392" y="179"/>
                                    </a:cubicBezTo>
                                    <a:cubicBezTo>
                                      <a:pt x="397" y="178"/>
                                      <a:pt x="412" y="185"/>
                                      <a:pt x="418" y="182"/>
                                    </a:cubicBezTo>
                                    <a:cubicBezTo>
                                      <a:pt x="418" y="174"/>
                                      <a:pt x="418" y="174"/>
                                      <a:pt x="418" y="174"/>
                                    </a:cubicBezTo>
                                    <a:cubicBezTo>
                                      <a:pt x="416" y="173"/>
                                      <a:pt x="416" y="176"/>
                                      <a:pt x="416" y="177"/>
                                    </a:cubicBezTo>
                                    <a:cubicBezTo>
                                      <a:pt x="410" y="175"/>
                                      <a:pt x="405" y="176"/>
                                      <a:pt x="407" y="166"/>
                                    </a:cubicBezTo>
                                    <a:cubicBezTo>
                                      <a:pt x="408" y="164"/>
                                      <a:pt x="412" y="162"/>
                                      <a:pt x="413" y="161"/>
                                    </a:cubicBezTo>
                                    <a:cubicBezTo>
                                      <a:pt x="414" y="160"/>
                                      <a:pt x="414" y="158"/>
                                      <a:pt x="415" y="156"/>
                                    </a:cubicBezTo>
                                    <a:cubicBezTo>
                                      <a:pt x="413" y="155"/>
                                      <a:pt x="411" y="156"/>
                                      <a:pt x="410" y="155"/>
                                    </a:cubicBezTo>
                                    <a:cubicBezTo>
                                      <a:pt x="409" y="156"/>
                                      <a:pt x="408" y="158"/>
                                      <a:pt x="407" y="159"/>
                                    </a:cubicBezTo>
                                    <a:cubicBezTo>
                                      <a:pt x="405" y="150"/>
                                      <a:pt x="405" y="152"/>
                                      <a:pt x="398" y="149"/>
                                    </a:cubicBezTo>
                                    <a:close/>
                                    <a:moveTo>
                                      <a:pt x="29" y="188"/>
                                    </a:moveTo>
                                    <a:cubicBezTo>
                                      <a:pt x="28" y="189"/>
                                      <a:pt x="28" y="192"/>
                                      <a:pt x="27" y="192"/>
                                    </a:cubicBezTo>
                                    <a:cubicBezTo>
                                      <a:pt x="25" y="193"/>
                                      <a:pt x="26" y="191"/>
                                      <a:pt x="26" y="191"/>
                                    </a:cubicBezTo>
                                    <a:cubicBezTo>
                                      <a:pt x="27" y="190"/>
                                      <a:pt x="28" y="189"/>
                                      <a:pt x="29" y="188"/>
                                    </a:cubicBezTo>
                                    <a:close/>
                                    <a:moveTo>
                                      <a:pt x="32" y="211"/>
                                    </a:moveTo>
                                    <a:cubicBezTo>
                                      <a:pt x="32" y="212"/>
                                      <a:pt x="31" y="214"/>
                                      <a:pt x="32" y="217"/>
                                    </a:cubicBezTo>
                                    <a:cubicBezTo>
                                      <a:pt x="32" y="217"/>
                                      <a:pt x="36" y="215"/>
                                      <a:pt x="34" y="215"/>
                                    </a:cubicBezTo>
                                    <a:cubicBezTo>
                                      <a:pt x="32" y="211"/>
                                      <a:pt x="32" y="211"/>
                                      <a:pt x="32" y="211"/>
                                    </a:cubicBezTo>
                                    <a:close/>
                                    <a:moveTo>
                                      <a:pt x="27" y="213"/>
                                    </a:moveTo>
                                    <a:cubicBezTo>
                                      <a:pt x="26" y="216"/>
                                      <a:pt x="26" y="219"/>
                                      <a:pt x="26" y="222"/>
                                    </a:cubicBezTo>
                                    <a:cubicBezTo>
                                      <a:pt x="29" y="223"/>
                                      <a:pt x="29" y="223"/>
                                      <a:pt x="29" y="223"/>
                                    </a:cubicBezTo>
                                    <a:cubicBezTo>
                                      <a:pt x="27" y="224"/>
                                      <a:pt x="30" y="224"/>
                                      <a:pt x="31" y="224"/>
                                    </a:cubicBezTo>
                                    <a:cubicBezTo>
                                      <a:pt x="30" y="222"/>
                                      <a:pt x="32" y="216"/>
                                      <a:pt x="30" y="214"/>
                                    </a:cubicBezTo>
                                    <a:cubicBezTo>
                                      <a:pt x="29" y="214"/>
                                      <a:pt x="27" y="214"/>
                                      <a:pt x="27" y="213"/>
                                    </a:cubicBezTo>
                                    <a:close/>
                                    <a:moveTo>
                                      <a:pt x="29" y="235"/>
                                    </a:moveTo>
                                    <a:cubicBezTo>
                                      <a:pt x="30" y="236"/>
                                      <a:pt x="36" y="236"/>
                                      <a:pt x="32" y="237"/>
                                    </a:cubicBezTo>
                                    <a:cubicBezTo>
                                      <a:pt x="32" y="238"/>
                                      <a:pt x="32" y="238"/>
                                      <a:pt x="32" y="238"/>
                                    </a:cubicBezTo>
                                    <a:cubicBezTo>
                                      <a:pt x="34" y="239"/>
                                      <a:pt x="34" y="240"/>
                                      <a:pt x="32" y="240"/>
                                    </a:cubicBezTo>
                                    <a:cubicBezTo>
                                      <a:pt x="31" y="239"/>
                                      <a:pt x="27" y="235"/>
                                      <a:pt x="29" y="235"/>
                                    </a:cubicBezTo>
                                    <a:close/>
                                    <a:moveTo>
                                      <a:pt x="406" y="249"/>
                                    </a:moveTo>
                                    <a:cubicBezTo>
                                      <a:pt x="405" y="251"/>
                                      <a:pt x="405" y="251"/>
                                      <a:pt x="405" y="251"/>
                                    </a:cubicBezTo>
                                    <a:cubicBezTo>
                                      <a:pt x="406" y="251"/>
                                      <a:pt x="407" y="251"/>
                                      <a:pt x="408" y="252"/>
                                    </a:cubicBezTo>
                                    <a:cubicBezTo>
                                      <a:pt x="408" y="252"/>
                                      <a:pt x="411" y="248"/>
                                      <a:pt x="406" y="249"/>
                                    </a:cubicBezTo>
                                    <a:close/>
                                    <a:moveTo>
                                      <a:pt x="426" y="250"/>
                                    </a:moveTo>
                                    <a:cubicBezTo>
                                      <a:pt x="426" y="251"/>
                                      <a:pt x="427" y="257"/>
                                      <a:pt x="425" y="258"/>
                                    </a:cubicBezTo>
                                    <a:cubicBezTo>
                                      <a:pt x="428" y="259"/>
                                      <a:pt x="426" y="260"/>
                                      <a:pt x="427" y="260"/>
                                    </a:cubicBezTo>
                                    <a:cubicBezTo>
                                      <a:pt x="430" y="261"/>
                                      <a:pt x="430" y="259"/>
                                      <a:pt x="431" y="259"/>
                                    </a:cubicBezTo>
                                    <a:cubicBezTo>
                                      <a:pt x="430" y="258"/>
                                      <a:pt x="430" y="258"/>
                                      <a:pt x="430" y="258"/>
                                    </a:cubicBezTo>
                                    <a:cubicBezTo>
                                      <a:pt x="429" y="258"/>
                                      <a:pt x="431" y="257"/>
                                      <a:pt x="429" y="257"/>
                                    </a:cubicBezTo>
                                    <a:cubicBezTo>
                                      <a:pt x="429" y="255"/>
                                      <a:pt x="431" y="256"/>
                                      <a:pt x="430" y="253"/>
                                    </a:cubicBezTo>
                                    <a:cubicBezTo>
                                      <a:pt x="430" y="252"/>
                                      <a:pt x="428" y="251"/>
                                      <a:pt x="428" y="250"/>
                                    </a:cubicBezTo>
                                    <a:cubicBezTo>
                                      <a:pt x="426" y="250"/>
                                      <a:pt x="426" y="250"/>
                                      <a:pt x="426" y="250"/>
                                    </a:cubicBezTo>
                                    <a:cubicBezTo>
                                      <a:pt x="426" y="250"/>
                                      <a:pt x="426" y="250"/>
                                      <a:pt x="426" y="250"/>
                                    </a:cubicBezTo>
                                    <a:close/>
                                    <a:moveTo>
                                      <a:pt x="416" y="253"/>
                                    </a:moveTo>
                                    <a:cubicBezTo>
                                      <a:pt x="418" y="260"/>
                                      <a:pt x="418" y="260"/>
                                      <a:pt x="420" y="254"/>
                                    </a:cubicBezTo>
                                    <a:cubicBezTo>
                                      <a:pt x="419" y="254"/>
                                      <a:pt x="416" y="253"/>
                                      <a:pt x="416" y="253"/>
                                    </a:cubicBezTo>
                                    <a:close/>
                                    <a:moveTo>
                                      <a:pt x="411" y="256"/>
                                    </a:moveTo>
                                    <a:cubicBezTo>
                                      <a:pt x="410" y="258"/>
                                      <a:pt x="410" y="258"/>
                                      <a:pt x="410" y="258"/>
                                    </a:cubicBezTo>
                                    <a:cubicBezTo>
                                      <a:pt x="411" y="258"/>
                                      <a:pt x="411" y="259"/>
                                      <a:pt x="412" y="259"/>
                                    </a:cubicBezTo>
                                    <a:cubicBezTo>
                                      <a:pt x="412" y="259"/>
                                      <a:pt x="414" y="254"/>
                                      <a:pt x="411" y="256"/>
                                    </a:cubicBezTo>
                                    <a:close/>
                                    <a:moveTo>
                                      <a:pt x="488" y="805"/>
                                    </a:moveTo>
                                    <a:cubicBezTo>
                                      <a:pt x="488" y="805"/>
                                      <a:pt x="483" y="650"/>
                                      <a:pt x="488" y="804"/>
                                    </a:cubicBezTo>
                                    <a:cubicBezTo>
                                      <a:pt x="488" y="804"/>
                                      <a:pt x="479" y="533"/>
                                      <a:pt x="483" y="304"/>
                                    </a:cubicBezTo>
                                    <a:cubicBezTo>
                                      <a:pt x="483" y="304"/>
                                      <a:pt x="483" y="304"/>
                                      <a:pt x="483" y="304"/>
                                    </a:cubicBezTo>
                                    <a:cubicBezTo>
                                      <a:pt x="479" y="301"/>
                                      <a:pt x="474" y="297"/>
                                      <a:pt x="473" y="297"/>
                                    </a:cubicBezTo>
                                    <a:cubicBezTo>
                                      <a:pt x="473" y="296"/>
                                      <a:pt x="473" y="294"/>
                                      <a:pt x="472" y="293"/>
                                    </a:cubicBezTo>
                                    <a:cubicBezTo>
                                      <a:pt x="472" y="292"/>
                                      <a:pt x="469" y="291"/>
                                      <a:pt x="469" y="290"/>
                                    </a:cubicBezTo>
                                    <a:cubicBezTo>
                                      <a:pt x="468" y="289"/>
                                      <a:pt x="469" y="288"/>
                                      <a:pt x="469" y="287"/>
                                    </a:cubicBezTo>
                                    <a:cubicBezTo>
                                      <a:pt x="467" y="286"/>
                                      <a:pt x="468" y="289"/>
                                      <a:pt x="467" y="288"/>
                                    </a:cubicBezTo>
                                    <a:cubicBezTo>
                                      <a:pt x="466" y="288"/>
                                      <a:pt x="464" y="285"/>
                                      <a:pt x="463" y="284"/>
                                    </a:cubicBezTo>
                                    <a:cubicBezTo>
                                      <a:pt x="459" y="283"/>
                                      <a:pt x="457" y="285"/>
                                      <a:pt x="454" y="283"/>
                                    </a:cubicBezTo>
                                    <a:cubicBezTo>
                                      <a:pt x="451" y="283"/>
                                      <a:pt x="450" y="279"/>
                                      <a:pt x="448" y="278"/>
                                    </a:cubicBezTo>
                                    <a:cubicBezTo>
                                      <a:pt x="446" y="276"/>
                                      <a:pt x="442" y="275"/>
                                      <a:pt x="441" y="273"/>
                                    </a:cubicBezTo>
                                    <a:cubicBezTo>
                                      <a:pt x="441" y="271"/>
                                      <a:pt x="441" y="271"/>
                                      <a:pt x="441" y="271"/>
                                    </a:cubicBezTo>
                                    <a:cubicBezTo>
                                      <a:pt x="438" y="270"/>
                                      <a:pt x="437" y="272"/>
                                      <a:pt x="434" y="272"/>
                                    </a:cubicBezTo>
                                    <a:cubicBezTo>
                                      <a:pt x="432" y="272"/>
                                      <a:pt x="430" y="268"/>
                                      <a:pt x="430" y="268"/>
                                    </a:cubicBezTo>
                                    <a:cubicBezTo>
                                      <a:pt x="415" y="266"/>
                                      <a:pt x="415" y="266"/>
                                      <a:pt x="415" y="266"/>
                                    </a:cubicBezTo>
                                    <a:cubicBezTo>
                                      <a:pt x="414" y="269"/>
                                      <a:pt x="414" y="269"/>
                                      <a:pt x="414" y="269"/>
                                    </a:cubicBezTo>
                                    <a:cubicBezTo>
                                      <a:pt x="412" y="270"/>
                                      <a:pt x="410" y="270"/>
                                      <a:pt x="409" y="271"/>
                                    </a:cubicBezTo>
                                    <a:cubicBezTo>
                                      <a:pt x="409" y="270"/>
                                      <a:pt x="407" y="267"/>
                                      <a:pt x="407" y="266"/>
                                    </a:cubicBezTo>
                                    <a:cubicBezTo>
                                      <a:pt x="407" y="263"/>
                                      <a:pt x="409" y="262"/>
                                      <a:pt x="408" y="260"/>
                                    </a:cubicBezTo>
                                    <a:cubicBezTo>
                                      <a:pt x="407" y="256"/>
                                      <a:pt x="396" y="252"/>
                                      <a:pt x="394" y="249"/>
                                    </a:cubicBezTo>
                                    <a:cubicBezTo>
                                      <a:pt x="392" y="247"/>
                                      <a:pt x="392" y="244"/>
                                      <a:pt x="391" y="240"/>
                                    </a:cubicBezTo>
                                    <a:cubicBezTo>
                                      <a:pt x="390" y="238"/>
                                      <a:pt x="390" y="238"/>
                                      <a:pt x="390" y="238"/>
                                    </a:cubicBezTo>
                                    <a:cubicBezTo>
                                      <a:pt x="386" y="236"/>
                                      <a:pt x="377" y="238"/>
                                      <a:pt x="373" y="236"/>
                                    </a:cubicBezTo>
                                    <a:cubicBezTo>
                                      <a:pt x="372" y="236"/>
                                      <a:pt x="372" y="234"/>
                                      <a:pt x="372" y="232"/>
                                    </a:cubicBezTo>
                                    <a:cubicBezTo>
                                      <a:pt x="370" y="231"/>
                                      <a:pt x="368" y="231"/>
                                      <a:pt x="367" y="230"/>
                                    </a:cubicBezTo>
                                    <a:cubicBezTo>
                                      <a:pt x="366" y="229"/>
                                      <a:pt x="365" y="227"/>
                                      <a:pt x="365" y="227"/>
                                    </a:cubicBezTo>
                                    <a:cubicBezTo>
                                      <a:pt x="364" y="227"/>
                                      <a:pt x="363" y="226"/>
                                      <a:pt x="362" y="227"/>
                                    </a:cubicBezTo>
                                    <a:cubicBezTo>
                                      <a:pt x="360" y="227"/>
                                      <a:pt x="357" y="230"/>
                                      <a:pt x="355" y="232"/>
                                    </a:cubicBezTo>
                                    <a:cubicBezTo>
                                      <a:pt x="356" y="218"/>
                                      <a:pt x="352" y="226"/>
                                      <a:pt x="345" y="220"/>
                                    </a:cubicBezTo>
                                    <a:cubicBezTo>
                                      <a:pt x="344" y="219"/>
                                      <a:pt x="344" y="217"/>
                                      <a:pt x="343" y="216"/>
                                    </a:cubicBezTo>
                                    <a:cubicBezTo>
                                      <a:pt x="343" y="216"/>
                                      <a:pt x="345" y="214"/>
                                      <a:pt x="344" y="213"/>
                                    </a:cubicBezTo>
                                    <a:cubicBezTo>
                                      <a:pt x="341" y="212"/>
                                      <a:pt x="339" y="215"/>
                                      <a:pt x="337" y="214"/>
                                    </a:cubicBezTo>
                                    <a:cubicBezTo>
                                      <a:pt x="337" y="212"/>
                                      <a:pt x="337" y="212"/>
                                      <a:pt x="337" y="212"/>
                                    </a:cubicBezTo>
                                    <a:cubicBezTo>
                                      <a:pt x="336" y="212"/>
                                      <a:pt x="335" y="212"/>
                                      <a:pt x="334" y="212"/>
                                    </a:cubicBezTo>
                                    <a:cubicBezTo>
                                      <a:pt x="334" y="210"/>
                                      <a:pt x="334" y="210"/>
                                      <a:pt x="334" y="210"/>
                                    </a:cubicBezTo>
                                    <a:cubicBezTo>
                                      <a:pt x="334" y="210"/>
                                      <a:pt x="338" y="211"/>
                                      <a:pt x="337" y="211"/>
                                    </a:cubicBezTo>
                                    <a:cubicBezTo>
                                      <a:pt x="338" y="210"/>
                                      <a:pt x="339" y="207"/>
                                      <a:pt x="340" y="207"/>
                                    </a:cubicBezTo>
                                    <a:cubicBezTo>
                                      <a:pt x="343" y="205"/>
                                      <a:pt x="344" y="207"/>
                                      <a:pt x="347" y="205"/>
                                    </a:cubicBezTo>
                                    <a:cubicBezTo>
                                      <a:pt x="349" y="203"/>
                                      <a:pt x="347" y="199"/>
                                      <a:pt x="348" y="196"/>
                                    </a:cubicBezTo>
                                    <a:cubicBezTo>
                                      <a:pt x="349" y="194"/>
                                      <a:pt x="353" y="193"/>
                                      <a:pt x="354" y="191"/>
                                    </a:cubicBezTo>
                                    <a:cubicBezTo>
                                      <a:pt x="356" y="187"/>
                                      <a:pt x="355" y="184"/>
                                      <a:pt x="356" y="179"/>
                                    </a:cubicBezTo>
                                    <a:cubicBezTo>
                                      <a:pt x="357" y="179"/>
                                      <a:pt x="357" y="179"/>
                                      <a:pt x="357" y="179"/>
                                    </a:cubicBezTo>
                                    <a:cubicBezTo>
                                      <a:pt x="355" y="178"/>
                                      <a:pt x="362" y="180"/>
                                      <a:pt x="362" y="180"/>
                                    </a:cubicBezTo>
                                    <a:cubicBezTo>
                                      <a:pt x="362" y="177"/>
                                      <a:pt x="362" y="177"/>
                                      <a:pt x="362" y="177"/>
                                    </a:cubicBezTo>
                                    <a:cubicBezTo>
                                      <a:pt x="364" y="176"/>
                                      <a:pt x="365" y="176"/>
                                      <a:pt x="367" y="175"/>
                                    </a:cubicBezTo>
                                    <a:cubicBezTo>
                                      <a:pt x="364" y="171"/>
                                      <a:pt x="362" y="169"/>
                                      <a:pt x="361" y="164"/>
                                    </a:cubicBezTo>
                                    <a:cubicBezTo>
                                      <a:pt x="362" y="164"/>
                                      <a:pt x="364" y="162"/>
                                      <a:pt x="365" y="161"/>
                                    </a:cubicBezTo>
                                    <a:cubicBezTo>
                                      <a:pt x="365" y="160"/>
                                      <a:pt x="364" y="160"/>
                                      <a:pt x="365" y="159"/>
                                    </a:cubicBezTo>
                                    <a:cubicBezTo>
                                      <a:pt x="365" y="158"/>
                                      <a:pt x="367" y="157"/>
                                      <a:pt x="368" y="156"/>
                                    </a:cubicBezTo>
                                    <a:cubicBezTo>
                                      <a:pt x="368" y="154"/>
                                      <a:pt x="367" y="150"/>
                                      <a:pt x="368" y="148"/>
                                    </a:cubicBezTo>
                                    <a:cubicBezTo>
                                      <a:pt x="363" y="151"/>
                                      <a:pt x="363" y="151"/>
                                      <a:pt x="363" y="151"/>
                                    </a:cubicBezTo>
                                    <a:cubicBezTo>
                                      <a:pt x="363" y="155"/>
                                      <a:pt x="363" y="155"/>
                                      <a:pt x="363" y="155"/>
                                    </a:cubicBezTo>
                                    <a:cubicBezTo>
                                      <a:pt x="362" y="155"/>
                                      <a:pt x="360" y="154"/>
                                      <a:pt x="359" y="155"/>
                                    </a:cubicBezTo>
                                    <a:cubicBezTo>
                                      <a:pt x="359" y="155"/>
                                      <a:pt x="361" y="151"/>
                                      <a:pt x="360" y="150"/>
                                    </a:cubicBezTo>
                                    <a:cubicBezTo>
                                      <a:pt x="358" y="150"/>
                                      <a:pt x="358" y="150"/>
                                      <a:pt x="358" y="150"/>
                                    </a:cubicBezTo>
                                    <a:cubicBezTo>
                                      <a:pt x="358" y="149"/>
                                      <a:pt x="359" y="136"/>
                                      <a:pt x="359" y="136"/>
                                    </a:cubicBezTo>
                                    <a:cubicBezTo>
                                      <a:pt x="360" y="135"/>
                                      <a:pt x="362" y="136"/>
                                      <a:pt x="363" y="135"/>
                                    </a:cubicBezTo>
                                    <a:cubicBezTo>
                                      <a:pt x="362" y="134"/>
                                      <a:pt x="361" y="135"/>
                                      <a:pt x="360" y="134"/>
                                    </a:cubicBezTo>
                                    <a:cubicBezTo>
                                      <a:pt x="359" y="132"/>
                                      <a:pt x="360" y="131"/>
                                      <a:pt x="359" y="129"/>
                                    </a:cubicBezTo>
                                    <a:cubicBezTo>
                                      <a:pt x="369" y="126"/>
                                      <a:pt x="369" y="128"/>
                                      <a:pt x="371" y="117"/>
                                    </a:cubicBezTo>
                                    <a:cubicBezTo>
                                      <a:pt x="372" y="117"/>
                                      <a:pt x="372" y="117"/>
                                      <a:pt x="372" y="117"/>
                                    </a:cubicBezTo>
                                    <a:cubicBezTo>
                                      <a:pt x="373" y="119"/>
                                      <a:pt x="373" y="123"/>
                                      <a:pt x="373" y="124"/>
                                    </a:cubicBezTo>
                                    <a:cubicBezTo>
                                      <a:pt x="373" y="124"/>
                                      <a:pt x="375" y="123"/>
                                      <a:pt x="375" y="121"/>
                                    </a:cubicBezTo>
                                    <a:cubicBezTo>
                                      <a:pt x="377" y="122"/>
                                      <a:pt x="376" y="122"/>
                                      <a:pt x="378" y="122"/>
                                    </a:cubicBezTo>
                                    <a:cubicBezTo>
                                      <a:pt x="379" y="121"/>
                                      <a:pt x="379" y="120"/>
                                      <a:pt x="379" y="120"/>
                                    </a:cubicBezTo>
                                    <a:cubicBezTo>
                                      <a:pt x="383" y="117"/>
                                      <a:pt x="381" y="125"/>
                                      <a:pt x="381" y="128"/>
                                    </a:cubicBezTo>
                                    <a:cubicBezTo>
                                      <a:pt x="384" y="130"/>
                                      <a:pt x="384" y="130"/>
                                      <a:pt x="384" y="130"/>
                                    </a:cubicBezTo>
                                    <a:cubicBezTo>
                                      <a:pt x="384" y="128"/>
                                      <a:pt x="386" y="127"/>
                                      <a:pt x="387" y="125"/>
                                    </a:cubicBezTo>
                                    <a:cubicBezTo>
                                      <a:pt x="384" y="126"/>
                                      <a:pt x="388" y="122"/>
                                      <a:pt x="389" y="122"/>
                                    </a:cubicBezTo>
                                    <a:cubicBezTo>
                                      <a:pt x="391" y="122"/>
                                      <a:pt x="391" y="124"/>
                                      <a:pt x="393" y="123"/>
                                    </a:cubicBezTo>
                                    <a:cubicBezTo>
                                      <a:pt x="394" y="122"/>
                                      <a:pt x="393" y="120"/>
                                      <a:pt x="394" y="118"/>
                                    </a:cubicBezTo>
                                    <a:cubicBezTo>
                                      <a:pt x="396" y="118"/>
                                      <a:pt x="396" y="118"/>
                                      <a:pt x="396" y="118"/>
                                    </a:cubicBezTo>
                                    <a:cubicBezTo>
                                      <a:pt x="398" y="116"/>
                                      <a:pt x="393" y="116"/>
                                      <a:pt x="393" y="115"/>
                                    </a:cubicBezTo>
                                    <a:cubicBezTo>
                                      <a:pt x="392" y="115"/>
                                      <a:pt x="393" y="113"/>
                                      <a:pt x="393" y="112"/>
                                    </a:cubicBezTo>
                                    <a:cubicBezTo>
                                      <a:pt x="395" y="112"/>
                                      <a:pt x="395" y="112"/>
                                      <a:pt x="395" y="112"/>
                                    </a:cubicBezTo>
                                    <a:cubicBezTo>
                                      <a:pt x="395" y="110"/>
                                      <a:pt x="395" y="110"/>
                                      <a:pt x="396" y="109"/>
                                    </a:cubicBezTo>
                                    <a:cubicBezTo>
                                      <a:pt x="397" y="109"/>
                                      <a:pt x="399" y="110"/>
                                      <a:pt x="400" y="111"/>
                                    </a:cubicBezTo>
                                    <a:cubicBezTo>
                                      <a:pt x="400" y="109"/>
                                      <a:pt x="400" y="107"/>
                                      <a:pt x="400" y="106"/>
                                    </a:cubicBezTo>
                                    <a:cubicBezTo>
                                      <a:pt x="396" y="104"/>
                                      <a:pt x="393" y="103"/>
                                      <a:pt x="389" y="101"/>
                                    </a:cubicBezTo>
                                    <a:cubicBezTo>
                                      <a:pt x="389" y="97"/>
                                      <a:pt x="389" y="97"/>
                                      <a:pt x="389" y="97"/>
                                    </a:cubicBezTo>
                                    <a:cubicBezTo>
                                      <a:pt x="390" y="97"/>
                                      <a:pt x="390" y="98"/>
                                      <a:pt x="391" y="99"/>
                                    </a:cubicBezTo>
                                    <a:cubicBezTo>
                                      <a:pt x="393" y="99"/>
                                      <a:pt x="393" y="99"/>
                                      <a:pt x="393" y="99"/>
                                    </a:cubicBezTo>
                                    <a:cubicBezTo>
                                      <a:pt x="393" y="99"/>
                                      <a:pt x="392" y="94"/>
                                      <a:pt x="393" y="94"/>
                                    </a:cubicBezTo>
                                    <a:cubicBezTo>
                                      <a:pt x="393" y="94"/>
                                      <a:pt x="395" y="94"/>
                                      <a:pt x="396" y="94"/>
                                    </a:cubicBezTo>
                                    <a:cubicBezTo>
                                      <a:pt x="396" y="96"/>
                                      <a:pt x="394" y="96"/>
                                      <a:pt x="397" y="98"/>
                                    </a:cubicBezTo>
                                    <a:cubicBezTo>
                                      <a:pt x="397" y="95"/>
                                      <a:pt x="397" y="91"/>
                                      <a:pt x="400" y="89"/>
                                    </a:cubicBezTo>
                                    <a:cubicBezTo>
                                      <a:pt x="402" y="89"/>
                                      <a:pt x="402" y="89"/>
                                      <a:pt x="402" y="89"/>
                                    </a:cubicBezTo>
                                    <a:cubicBezTo>
                                      <a:pt x="404" y="87"/>
                                      <a:pt x="404" y="84"/>
                                      <a:pt x="405" y="82"/>
                                    </a:cubicBezTo>
                                    <a:cubicBezTo>
                                      <a:pt x="404" y="82"/>
                                      <a:pt x="404" y="82"/>
                                      <a:pt x="402" y="83"/>
                                    </a:cubicBezTo>
                                    <a:cubicBezTo>
                                      <a:pt x="402" y="81"/>
                                      <a:pt x="402" y="81"/>
                                      <a:pt x="402" y="81"/>
                                    </a:cubicBezTo>
                                    <a:cubicBezTo>
                                      <a:pt x="405" y="79"/>
                                      <a:pt x="405" y="79"/>
                                      <a:pt x="405" y="79"/>
                                    </a:cubicBezTo>
                                    <a:cubicBezTo>
                                      <a:pt x="406" y="76"/>
                                      <a:pt x="403" y="74"/>
                                      <a:pt x="405" y="73"/>
                                    </a:cubicBezTo>
                                    <a:cubicBezTo>
                                      <a:pt x="407" y="72"/>
                                      <a:pt x="415" y="72"/>
                                      <a:pt x="416" y="72"/>
                                    </a:cubicBezTo>
                                    <a:cubicBezTo>
                                      <a:pt x="416" y="70"/>
                                      <a:pt x="415" y="70"/>
                                      <a:pt x="415" y="68"/>
                                    </a:cubicBezTo>
                                    <a:cubicBezTo>
                                      <a:pt x="415" y="69"/>
                                      <a:pt x="416" y="68"/>
                                      <a:pt x="417" y="67"/>
                                    </a:cubicBezTo>
                                    <a:cubicBezTo>
                                      <a:pt x="416" y="67"/>
                                      <a:pt x="417" y="65"/>
                                      <a:pt x="417" y="64"/>
                                    </a:cubicBezTo>
                                    <a:cubicBezTo>
                                      <a:pt x="416" y="61"/>
                                      <a:pt x="412" y="61"/>
                                      <a:pt x="410" y="60"/>
                                    </a:cubicBezTo>
                                    <a:cubicBezTo>
                                      <a:pt x="407" y="64"/>
                                      <a:pt x="407" y="64"/>
                                      <a:pt x="407" y="64"/>
                                    </a:cubicBezTo>
                                    <a:cubicBezTo>
                                      <a:pt x="404" y="64"/>
                                      <a:pt x="405" y="60"/>
                                      <a:pt x="405" y="60"/>
                                    </a:cubicBezTo>
                                    <a:cubicBezTo>
                                      <a:pt x="405" y="60"/>
                                      <a:pt x="401" y="61"/>
                                      <a:pt x="402" y="62"/>
                                    </a:cubicBezTo>
                                    <a:cubicBezTo>
                                      <a:pt x="400" y="62"/>
                                      <a:pt x="400" y="62"/>
                                      <a:pt x="400" y="62"/>
                                    </a:cubicBezTo>
                                    <a:cubicBezTo>
                                      <a:pt x="402" y="66"/>
                                      <a:pt x="403" y="67"/>
                                      <a:pt x="404" y="71"/>
                                    </a:cubicBezTo>
                                    <a:cubicBezTo>
                                      <a:pt x="401" y="71"/>
                                      <a:pt x="400" y="71"/>
                                      <a:pt x="397" y="70"/>
                                    </a:cubicBezTo>
                                    <a:cubicBezTo>
                                      <a:pt x="396" y="67"/>
                                      <a:pt x="397" y="53"/>
                                      <a:pt x="395" y="54"/>
                                    </a:cubicBezTo>
                                    <a:cubicBezTo>
                                      <a:pt x="393" y="52"/>
                                      <a:pt x="392" y="51"/>
                                      <a:pt x="391" y="49"/>
                                    </a:cubicBezTo>
                                    <a:cubicBezTo>
                                      <a:pt x="391" y="49"/>
                                      <a:pt x="390" y="51"/>
                                      <a:pt x="389" y="50"/>
                                    </a:cubicBezTo>
                                    <a:cubicBezTo>
                                      <a:pt x="389" y="47"/>
                                      <a:pt x="389" y="47"/>
                                      <a:pt x="389" y="47"/>
                                    </a:cubicBezTo>
                                    <a:cubicBezTo>
                                      <a:pt x="382" y="47"/>
                                      <a:pt x="382" y="51"/>
                                      <a:pt x="380" y="53"/>
                                    </a:cubicBezTo>
                                    <a:cubicBezTo>
                                      <a:pt x="379" y="54"/>
                                      <a:pt x="376" y="54"/>
                                      <a:pt x="374" y="55"/>
                                    </a:cubicBezTo>
                                    <a:cubicBezTo>
                                      <a:pt x="374" y="55"/>
                                      <a:pt x="375" y="58"/>
                                      <a:pt x="374" y="59"/>
                                    </a:cubicBezTo>
                                    <a:cubicBezTo>
                                      <a:pt x="374" y="59"/>
                                      <a:pt x="371" y="60"/>
                                      <a:pt x="370" y="61"/>
                                    </a:cubicBezTo>
                                    <a:cubicBezTo>
                                      <a:pt x="370" y="64"/>
                                      <a:pt x="370" y="64"/>
                                      <a:pt x="370" y="64"/>
                                    </a:cubicBezTo>
                                    <a:cubicBezTo>
                                      <a:pt x="373" y="62"/>
                                      <a:pt x="375" y="64"/>
                                      <a:pt x="379" y="64"/>
                                    </a:cubicBezTo>
                                    <a:cubicBezTo>
                                      <a:pt x="378" y="68"/>
                                      <a:pt x="377" y="72"/>
                                      <a:pt x="375" y="76"/>
                                    </a:cubicBezTo>
                                    <a:cubicBezTo>
                                      <a:pt x="375" y="76"/>
                                      <a:pt x="373" y="80"/>
                                      <a:pt x="372" y="80"/>
                                    </a:cubicBezTo>
                                    <a:cubicBezTo>
                                      <a:pt x="372" y="82"/>
                                      <a:pt x="372" y="82"/>
                                      <a:pt x="372" y="82"/>
                                    </a:cubicBezTo>
                                    <a:cubicBezTo>
                                      <a:pt x="371" y="82"/>
                                      <a:pt x="371" y="82"/>
                                      <a:pt x="371" y="82"/>
                                    </a:cubicBezTo>
                                    <a:cubicBezTo>
                                      <a:pt x="371" y="80"/>
                                      <a:pt x="371" y="78"/>
                                      <a:pt x="371" y="77"/>
                                    </a:cubicBezTo>
                                    <a:cubicBezTo>
                                      <a:pt x="370" y="77"/>
                                      <a:pt x="368" y="76"/>
                                      <a:pt x="368" y="76"/>
                                    </a:cubicBezTo>
                                    <a:cubicBezTo>
                                      <a:pt x="367" y="78"/>
                                      <a:pt x="367" y="77"/>
                                      <a:pt x="365" y="77"/>
                                    </a:cubicBezTo>
                                    <a:cubicBezTo>
                                      <a:pt x="365" y="79"/>
                                      <a:pt x="365" y="82"/>
                                      <a:pt x="365" y="85"/>
                                    </a:cubicBezTo>
                                    <a:cubicBezTo>
                                      <a:pt x="363" y="85"/>
                                      <a:pt x="363" y="85"/>
                                      <a:pt x="363" y="85"/>
                                    </a:cubicBezTo>
                                    <a:cubicBezTo>
                                      <a:pt x="361" y="82"/>
                                      <a:pt x="361" y="80"/>
                                      <a:pt x="360" y="77"/>
                                    </a:cubicBezTo>
                                    <a:cubicBezTo>
                                      <a:pt x="359" y="75"/>
                                      <a:pt x="359" y="64"/>
                                      <a:pt x="359" y="65"/>
                                    </a:cubicBezTo>
                                    <a:cubicBezTo>
                                      <a:pt x="360" y="64"/>
                                      <a:pt x="359" y="62"/>
                                      <a:pt x="360" y="61"/>
                                    </a:cubicBezTo>
                                    <a:cubicBezTo>
                                      <a:pt x="360" y="60"/>
                                      <a:pt x="363" y="60"/>
                                      <a:pt x="363" y="60"/>
                                    </a:cubicBezTo>
                                    <a:cubicBezTo>
                                      <a:pt x="364" y="57"/>
                                      <a:pt x="361" y="58"/>
                                      <a:pt x="362" y="56"/>
                                    </a:cubicBezTo>
                                    <a:cubicBezTo>
                                      <a:pt x="361" y="56"/>
                                      <a:pt x="360" y="56"/>
                                      <a:pt x="359" y="56"/>
                                    </a:cubicBezTo>
                                    <a:cubicBezTo>
                                      <a:pt x="357" y="59"/>
                                      <a:pt x="356" y="59"/>
                                      <a:pt x="356" y="59"/>
                                    </a:cubicBezTo>
                                    <a:cubicBezTo>
                                      <a:pt x="355" y="61"/>
                                      <a:pt x="355" y="66"/>
                                      <a:pt x="355" y="67"/>
                                    </a:cubicBezTo>
                                    <a:cubicBezTo>
                                      <a:pt x="354" y="67"/>
                                      <a:pt x="353" y="68"/>
                                      <a:pt x="353" y="66"/>
                                    </a:cubicBezTo>
                                    <a:cubicBezTo>
                                      <a:pt x="353" y="66"/>
                                      <a:pt x="350" y="68"/>
                                      <a:pt x="349" y="68"/>
                                    </a:cubicBezTo>
                                    <a:cubicBezTo>
                                      <a:pt x="349" y="64"/>
                                      <a:pt x="349" y="61"/>
                                      <a:pt x="348" y="57"/>
                                    </a:cubicBezTo>
                                    <a:cubicBezTo>
                                      <a:pt x="349" y="56"/>
                                      <a:pt x="351" y="57"/>
                                      <a:pt x="352" y="56"/>
                                    </a:cubicBezTo>
                                    <a:cubicBezTo>
                                      <a:pt x="353" y="55"/>
                                      <a:pt x="353" y="53"/>
                                      <a:pt x="354" y="52"/>
                                    </a:cubicBezTo>
                                    <a:cubicBezTo>
                                      <a:pt x="351" y="53"/>
                                      <a:pt x="347" y="52"/>
                                      <a:pt x="345" y="54"/>
                                    </a:cubicBezTo>
                                    <a:cubicBezTo>
                                      <a:pt x="343" y="55"/>
                                      <a:pt x="342" y="59"/>
                                      <a:pt x="341" y="60"/>
                                    </a:cubicBezTo>
                                    <a:cubicBezTo>
                                      <a:pt x="335" y="64"/>
                                      <a:pt x="327" y="62"/>
                                      <a:pt x="322" y="61"/>
                                    </a:cubicBezTo>
                                    <a:cubicBezTo>
                                      <a:pt x="321" y="64"/>
                                      <a:pt x="321" y="64"/>
                                      <a:pt x="321" y="64"/>
                                    </a:cubicBezTo>
                                    <a:cubicBezTo>
                                      <a:pt x="321" y="65"/>
                                      <a:pt x="326" y="69"/>
                                      <a:pt x="322" y="67"/>
                                    </a:cubicBezTo>
                                    <a:cubicBezTo>
                                      <a:pt x="321" y="65"/>
                                      <a:pt x="321" y="65"/>
                                      <a:pt x="321" y="65"/>
                                    </a:cubicBezTo>
                                    <a:cubicBezTo>
                                      <a:pt x="319" y="64"/>
                                      <a:pt x="317" y="65"/>
                                      <a:pt x="315" y="64"/>
                                    </a:cubicBezTo>
                                    <a:cubicBezTo>
                                      <a:pt x="315" y="62"/>
                                      <a:pt x="315" y="62"/>
                                      <a:pt x="315" y="62"/>
                                    </a:cubicBezTo>
                                    <a:cubicBezTo>
                                      <a:pt x="315" y="61"/>
                                      <a:pt x="313" y="61"/>
                                      <a:pt x="312" y="61"/>
                                    </a:cubicBezTo>
                                    <a:cubicBezTo>
                                      <a:pt x="309" y="59"/>
                                      <a:pt x="308" y="54"/>
                                      <a:pt x="301" y="57"/>
                                    </a:cubicBezTo>
                                    <a:cubicBezTo>
                                      <a:pt x="299" y="62"/>
                                      <a:pt x="299" y="62"/>
                                      <a:pt x="299" y="62"/>
                                    </a:cubicBezTo>
                                    <a:cubicBezTo>
                                      <a:pt x="297" y="62"/>
                                      <a:pt x="297" y="62"/>
                                      <a:pt x="297" y="62"/>
                                    </a:cubicBezTo>
                                    <a:cubicBezTo>
                                      <a:pt x="297" y="59"/>
                                      <a:pt x="298" y="54"/>
                                      <a:pt x="298" y="50"/>
                                    </a:cubicBezTo>
                                    <a:cubicBezTo>
                                      <a:pt x="296" y="50"/>
                                      <a:pt x="296" y="51"/>
                                      <a:pt x="296" y="49"/>
                                    </a:cubicBezTo>
                                    <a:cubicBezTo>
                                      <a:pt x="295" y="50"/>
                                      <a:pt x="294" y="49"/>
                                      <a:pt x="293" y="50"/>
                                    </a:cubicBezTo>
                                    <a:cubicBezTo>
                                      <a:pt x="291" y="52"/>
                                      <a:pt x="291" y="57"/>
                                      <a:pt x="291" y="59"/>
                                    </a:cubicBezTo>
                                    <a:cubicBezTo>
                                      <a:pt x="290" y="58"/>
                                      <a:pt x="288" y="56"/>
                                      <a:pt x="288" y="56"/>
                                    </a:cubicBezTo>
                                    <a:cubicBezTo>
                                      <a:pt x="285" y="55"/>
                                      <a:pt x="284" y="58"/>
                                      <a:pt x="280" y="58"/>
                                    </a:cubicBezTo>
                                    <a:cubicBezTo>
                                      <a:pt x="280" y="58"/>
                                      <a:pt x="279" y="55"/>
                                      <a:pt x="278" y="55"/>
                                    </a:cubicBezTo>
                                    <a:cubicBezTo>
                                      <a:pt x="275" y="53"/>
                                      <a:pt x="273" y="54"/>
                                      <a:pt x="270" y="52"/>
                                    </a:cubicBezTo>
                                    <a:cubicBezTo>
                                      <a:pt x="269" y="52"/>
                                      <a:pt x="270" y="55"/>
                                      <a:pt x="271" y="56"/>
                                    </a:cubicBezTo>
                                    <a:cubicBezTo>
                                      <a:pt x="270" y="56"/>
                                      <a:pt x="269" y="55"/>
                                      <a:pt x="268" y="56"/>
                                    </a:cubicBezTo>
                                    <a:cubicBezTo>
                                      <a:pt x="267" y="56"/>
                                      <a:pt x="266" y="59"/>
                                      <a:pt x="265" y="60"/>
                                    </a:cubicBezTo>
                                    <a:cubicBezTo>
                                      <a:pt x="265" y="54"/>
                                      <a:pt x="263" y="49"/>
                                      <a:pt x="260" y="44"/>
                                    </a:cubicBezTo>
                                    <a:cubicBezTo>
                                      <a:pt x="257" y="49"/>
                                      <a:pt x="256" y="49"/>
                                      <a:pt x="252" y="51"/>
                                    </a:cubicBezTo>
                                    <a:cubicBezTo>
                                      <a:pt x="249" y="49"/>
                                      <a:pt x="249" y="48"/>
                                      <a:pt x="248" y="46"/>
                                    </a:cubicBezTo>
                                    <a:cubicBezTo>
                                      <a:pt x="248" y="45"/>
                                      <a:pt x="252" y="42"/>
                                      <a:pt x="252" y="40"/>
                                    </a:cubicBezTo>
                                    <a:cubicBezTo>
                                      <a:pt x="253" y="39"/>
                                      <a:pt x="252" y="39"/>
                                      <a:pt x="252" y="38"/>
                                    </a:cubicBezTo>
                                    <a:cubicBezTo>
                                      <a:pt x="250" y="38"/>
                                      <a:pt x="249" y="38"/>
                                      <a:pt x="248" y="39"/>
                                    </a:cubicBezTo>
                                    <a:cubicBezTo>
                                      <a:pt x="245" y="40"/>
                                      <a:pt x="244" y="45"/>
                                      <a:pt x="240" y="46"/>
                                    </a:cubicBezTo>
                                    <a:cubicBezTo>
                                      <a:pt x="238" y="47"/>
                                      <a:pt x="238" y="45"/>
                                      <a:pt x="236" y="45"/>
                                    </a:cubicBezTo>
                                    <a:cubicBezTo>
                                      <a:pt x="235" y="45"/>
                                      <a:pt x="234" y="47"/>
                                      <a:pt x="232" y="47"/>
                                    </a:cubicBezTo>
                                    <a:cubicBezTo>
                                      <a:pt x="232" y="45"/>
                                      <a:pt x="232" y="45"/>
                                      <a:pt x="232" y="45"/>
                                    </a:cubicBezTo>
                                    <a:cubicBezTo>
                                      <a:pt x="230" y="45"/>
                                      <a:pt x="231" y="47"/>
                                      <a:pt x="228" y="46"/>
                                    </a:cubicBezTo>
                                    <a:cubicBezTo>
                                      <a:pt x="227" y="44"/>
                                      <a:pt x="227" y="44"/>
                                      <a:pt x="227" y="44"/>
                                    </a:cubicBezTo>
                                    <a:cubicBezTo>
                                      <a:pt x="225" y="43"/>
                                      <a:pt x="226" y="46"/>
                                      <a:pt x="225" y="45"/>
                                    </a:cubicBezTo>
                                    <a:cubicBezTo>
                                      <a:pt x="224" y="43"/>
                                      <a:pt x="224" y="43"/>
                                      <a:pt x="224" y="43"/>
                                    </a:cubicBezTo>
                                    <a:cubicBezTo>
                                      <a:pt x="222" y="43"/>
                                      <a:pt x="220" y="44"/>
                                      <a:pt x="218" y="43"/>
                                    </a:cubicBezTo>
                                    <a:cubicBezTo>
                                      <a:pt x="217" y="43"/>
                                      <a:pt x="211" y="39"/>
                                      <a:pt x="210" y="39"/>
                                    </a:cubicBezTo>
                                    <a:cubicBezTo>
                                      <a:pt x="209" y="37"/>
                                      <a:pt x="211" y="34"/>
                                      <a:pt x="210" y="33"/>
                                    </a:cubicBezTo>
                                    <a:cubicBezTo>
                                      <a:pt x="200" y="25"/>
                                      <a:pt x="200" y="25"/>
                                      <a:pt x="200" y="25"/>
                                    </a:cubicBezTo>
                                    <a:cubicBezTo>
                                      <a:pt x="196" y="24"/>
                                      <a:pt x="193" y="25"/>
                                      <a:pt x="192" y="28"/>
                                    </a:cubicBezTo>
                                    <a:cubicBezTo>
                                      <a:pt x="192" y="30"/>
                                      <a:pt x="192" y="30"/>
                                      <a:pt x="192" y="30"/>
                                    </a:cubicBezTo>
                                    <a:cubicBezTo>
                                      <a:pt x="191" y="30"/>
                                      <a:pt x="188" y="29"/>
                                      <a:pt x="187" y="30"/>
                                    </a:cubicBezTo>
                                    <a:cubicBezTo>
                                      <a:pt x="186" y="28"/>
                                      <a:pt x="186" y="30"/>
                                      <a:pt x="185" y="29"/>
                                    </a:cubicBezTo>
                                    <a:cubicBezTo>
                                      <a:pt x="185" y="28"/>
                                      <a:pt x="186" y="26"/>
                                      <a:pt x="185" y="25"/>
                                    </a:cubicBezTo>
                                    <a:cubicBezTo>
                                      <a:pt x="183" y="23"/>
                                      <a:pt x="177" y="21"/>
                                      <a:pt x="176" y="19"/>
                                    </a:cubicBezTo>
                                    <a:cubicBezTo>
                                      <a:pt x="175" y="18"/>
                                      <a:pt x="174" y="15"/>
                                      <a:pt x="174" y="15"/>
                                    </a:cubicBezTo>
                                    <a:cubicBezTo>
                                      <a:pt x="173" y="15"/>
                                      <a:pt x="171" y="17"/>
                                      <a:pt x="171" y="17"/>
                                    </a:cubicBezTo>
                                    <a:cubicBezTo>
                                      <a:pt x="170" y="18"/>
                                      <a:pt x="168" y="17"/>
                                      <a:pt x="168" y="17"/>
                                    </a:cubicBezTo>
                                    <a:cubicBezTo>
                                      <a:pt x="168" y="17"/>
                                      <a:pt x="169" y="13"/>
                                      <a:pt x="169" y="12"/>
                                    </a:cubicBezTo>
                                    <a:cubicBezTo>
                                      <a:pt x="167" y="11"/>
                                      <a:pt x="167" y="13"/>
                                      <a:pt x="167" y="11"/>
                                    </a:cubicBezTo>
                                    <a:cubicBezTo>
                                      <a:pt x="165" y="11"/>
                                      <a:pt x="165" y="11"/>
                                      <a:pt x="165" y="11"/>
                                    </a:cubicBezTo>
                                    <a:cubicBezTo>
                                      <a:pt x="164" y="11"/>
                                      <a:pt x="165" y="14"/>
                                      <a:pt x="164" y="15"/>
                                    </a:cubicBezTo>
                                    <a:cubicBezTo>
                                      <a:pt x="161" y="15"/>
                                      <a:pt x="161" y="15"/>
                                      <a:pt x="161" y="15"/>
                                    </a:cubicBezTo>
                                    <a:cubicBezTo>
                                      <a:pt x="162" y="16"/>
                                      <a:pt x="161" y="16"/>
                                      <a:pt x="160" y="17"/>
                                    </a:cubicBezTo>
                                    <a:cubicBezTo>
                                      <a:pt x="161" y="17"/>
                                      <a:pt x="161" y="17"/>
                                      <a:pt x="161" y="17"/>
                                    </a:cubicBezTo>
                                    <a:cubicBezTo>
                                      <a:pt x="160" y="21"/>
                                      <a:pt x="164" y="19"/>
                                      <a:pt x="159" y="22"/>
                                    </a:cubicBezTo>
                                    <a:cubicBezTo>
                                      <a:pt x="158" y="20"/>
                                      <a:pt x="154" y="15"/>
                                      <a:pt x="154" y="13"/>
                                    </a:cubicBezTo>
                                    <a:cubicBezTo>
                                      <a:pt x="153" y="12"/>
                                      <a:pt x="154" y="10"/>
                                      <a:pt x="154" y="9"/>
                                    </a:cubicBezTo>
                                    <a:cubicBezTo>
                                      <a:pt x="153" y="8"/>
                                      <a:pt x="151" y="8"/>
                                      <a:pt x="151" y="8"/>
                                    </a:cubicBezTo>
                                    <a:cubicBezTo>
                                      <a:pt x="148" y="15"/>
                                      <a:pt x="149" y="14"/>
                                      <a:pt x="142" y="13"/>
                                    </a:cubicBezTo>
                                    <a:cubicBezTo>
                                      <a:pt x="141" y="14"/>
                                      <a:pt x="140" y="15"/>
                                      <a:pt x="139" y="16"/>
                                    </a:cubicBezTo>
                                    <a:cubicBezTo>
                                      <a:pt x="133" y="22"/>
                                      <a:pt x="141" y="19"/>
                                      <a:pt x="146" y="21"/>
                                    </a:cubicBezTo>
                                    <a:cubicBezTo>
                                      <a:pt x="149" y="26"/>
                                      <a:pt x="149" y="26"/>
                                      <a:pt x="149" y="26"/>
                                    </a:cubicBezTo>
                                    <a:cubicBezTo>
                                      <a:pt x="151" y="27"/>
                                      <a:pt x="153" y="26"/>
                                      <a:pt x="155" y="27"/>
                                    </a:cubicBezTo>
                                    <a:cubicBezTo>
                                      <a:pt x="154" y="30"/>
                                      <a:pt x="155" y="31"/>
                                      <a:pt x="154" y="33"/>
                                    </a:cubicBezTo>
                                    <a:cubicBezTo>
                                      <a:pt x="166" y="26"/>
                                      <a:pt x="171" y="27"/>
                                      <a:pt x="182" y="34"/>
                                    </a:cubicBezTo>
                                    <a:cubicBezTo>
                                      <a:pt x="181" y="35"/>
                                      <a:pt x="183" y="36"/>
                                      <a:pt x="183" y="36"/>
                                    </a:cubicBezTo>
                                    <a:cubicBezTo>
                                      <a:pt x="185" y="39"/>
                                      <a:pt x="182" y="40"/>
                                      <a:pt x="180" y="41"/>
                                    </a:cubicBezTo>
                                    <a:cubicBezTo>
                                      <a:pt x="179" y="42"/>
                                      <a:pt x="181" y="44"/>
                                      <a:pt x="181" y="44"/>
                                    </a:cubicBezTo>
                                    <a:cubicBezTo>
                                      <a:pt x="185" y="50"/>
                                      <a:pt x="182" y="52"/>
                                      <a:pt x="185" y="58"/>
                                    </a:cubicBezTo>
                                    <a:cubicBezTo>
                                      <a:pt x="186" y="59"/>
                                      <a:pt x="189" y="62"/>
                                      <a:pt x="190" y="64"/>
                                    </a:cubicBezTo>
                                    <a:cubicBezTo>
                                      <a:pt x="188" y="64"/>
                                      <a:pt x="185" y="64"/>
                                      <a:pt x="182" y="64"/>
                                    </a:cubicBezTo>
                                    <a:cubicBezTo>
                                      <a:pt x="182" y="62"/>
                                      <a:pt x="182" y="62"/>
                                      <a:pt x="182" y="62"/>
                                    </a:cubicBezTo>
                                    <a:cubicBezTo>
                                      <a:pt x="177" y="61"/>
                                      <a:pt x="176" y="68"/>
                                      <a:pt x="178" y="73"/>
                                    </a:cubicBezTo>
                                    <a:cubicBezTo>
                                      <a:pt x="178" y="73"/>
                                      <a:pt x="180" y="74"/>
                                      <a:pt x="178" y="74"/>
                                    </a:cubicBezTo>
                                    <a:cubicBezTo>
                                      <a:pt x="177" y="74"/>
                                      <a:pt x="176" y="79"/>
                                      <a:pt x="177" y="81"/>
                                    </a:cubicBezTo>
                                    <a:cubicBezTo>
                                      <a:pt x="177" y="81"/>
                                      <a:pt x="179" y="82"/>
                                      <a:pt x="178" y="83"/>
                                    </a:cubicBezTo>
                                    <a:cubicBezTo>
                                      <a:pt x="176" y="83"/>
                                      <a:pt x="176" y="83"/>
                                      <a:pt x="176" y="83"/>
                                    </a:cubicBezTo>
                                    <a:cubicBezTo>
                                      <a:pt x="176" y="83"/>
                                      <a:pt x="177" y="79"/>
                                      <a:pt x="175" y="79"/>
                                    </a:cubicBezTo>
                                    <a:cubicBezTo>
                                      <a:pt x="175" y="79"/>
                                      <a:pt x="176" y="74"/>
                                      <a:pt x="177" y="73"/>
                                    </a:cubicBezTo>
                                    <a:cubicBezTo>
                                      <a:pt x="175" y="72"/>
                                      <a:pt x="175" y="71"/>
                                      <a:pt x="175" y="69"/>
                                    </a:cubicBezTo>
                                    <a:cubicBezTo>
                                      <a:pt x="174" y="69"/>
                                      <a:pt x="172" y="69"/>
                                      <a:pt x="172" y="69"/>
                                    </a:cubicBezTo>
                                    <a:cubicBezTo>
                                      <a:pt x="171" y="72"/>
                                      <a:pt x="171" y="73"/>
                                      <a:pt x="171" y="75"/>
                                    </a:cubicBezTo>
                                    <a:cubicBezTo>
                                      <a:pt x="170" y="71"/>
                                      <a:pt x="169" y="70"/>
                                      <a:pt x="169" y="65"/>
                                    </a:cubicBezTo>
                                    <a:cubicBezTo>
                                      <a:pt x="167" y="65"/>
                                      <a:pt x="167" y="65"/>
                                      <a:pt x="167" y="65"/>
                                    </a:cubicBezTo>
                                    <a:cubicBezTo>
                                      <a:pt x="167" y="67"/>
                                      <a:pt x="166" y="67"/>
                                      <a:pt x="165" y="67"/>
                                    </a:cubicBezTo>
                                    <a:cubicBezTo>
                                      <a:pt x="167" y="67"/>
                                      <a:pt x="165" y="72"/>
                                      <a:pt x="165" y="72"/>
                                    </a:cubicBezTo>
                                    <a:cubicBezTo>
                                      <a:pt x="159" y="72"/>
                                      <a:pt x="156" y="73"/>
                                      <a:pt x="149" y="73"/>
                                    </a:cubicBezTo>
                                    <a:cubicBezTo>
                                      <a:pt x="148" y="72"/>
                                      <a:pt x="147" y="69"/>
                                      <a:pt x="146" y="68"/>
                                    </a:cubicBezTo>
                                    <a:cubicBezTo>
                                      <a:pt x="145" y="68"/>
                                      <a:pt x="144" y="69"/>
                                      <a:pt x="143" y="68"/>
                                    </a:cubicBezTo>
                                    <a:cubicBezTo>
                                      <a:pt x="141" y="69"/>
                                      <a:pt x="139" y="72"/>
                                      <a:pt x="137" y="73"/>
                                    </a:cubicBezTo>
                                    <a:cubicBezTo>
                                      <a:pt x="135" y="74"/>
                                      <a:pt x="131" y="74"/>
                                      <a:pt x="130" y="74"/>
                                    </a:cubicBezTo>
                                    <a:cubicBezTo>
                                      <a:pt x="130" y="72"/>
                                      <a:pt x="130" y="72"/>
                                      <a:pt x="130" y="72"/>
                                    </a:cubicBezTo>
                                    <a:cubicBezTo>
                                      <a:pt x="129" y="72"/>
                                      <a:pt x="115" y="62"/>
                                      <a:pt x="113" y="61"/>
                                    </a:cubicBezTo>
                                    <a:cubicBezTo>
                                      <a:pt x="113" y="61"/>
                                      <a:pt x="113" y="70"/>
                                      <a:pt x="113" y="71"/>
                                    </a:cubicBezTo>
                                    <a:cubicBezTo>
                                      <a:pt x="112" y="70"/>
                                      <a:pt x="110" y="70"/>
                                      <a:pt x="109" y="69"/>
                                    </a:cubicBezTo>
                                    <a:cubicBezTo>
                                      <a:pt x="109" y="69"/>
                                      <a:pt x="108" y="67"/>
                                      <a:pt x="108" y="66"/>
                                    </a:cubicBezTo>
                                    <a:cubicBezTo>
                                      <a:pt x="107" y="66"/>
                                      <a:pt x="105" y="65"/>
                                      <a:pt x="103" y="65"/>
                                    </a:cubicBezTo>
                                    <a:cubicBezTo>
                                      <a:pt x="102" y="65"/>
                                      <a:pt x="100" y="67"/>
                                      <a:pt x="100" y="67"/>
                                    </a:cubicBezTo>
                                    <a:cubicBezTo>
                                      <a:pt x="99" y="70"/>
                                      <a:pt x="99" y="72"/>
                                      <a:pt x="99" y="75"/>
                                    </a:cubicBezTo>
                                    <a:cubicBezTo>
                                      <a:pt x="91" y="75"/>
                                      <a:pt x="93" y="75"/>
                                      <a:pt x="89" y="80"/>
                                    </a:cubicBezTo>
                                    <a:cubicBezTo>
                                      <a:pt x="93" y="82"/>
                                      <a:pt x="95" y="83"/>
                                      <a:pt x="97" y="87"/>
                                    </a:cubicBezTo>
                                    <a:cubicBezTo>
                                      <a:pt x="100" y="90"/>
                                      <a:pt x="100" y="89"/>
                                      <a:pt x="95" y="89"/>
                                    </a:cubicBezTo>
                                    <a:cubicBezTo>
                                      <a:pt x="95" y="89"/>
                                      <a:pt x="97" y="95"/>
                                      <a:pt x="95" y="94"/>
                                    </a:cubicBezTo>
                                    <a:cubicBezTo>
                                      <a:pt x="94" y="94"/>
                                      <a:pt x="94" y="92"/>
                                      <a:pt x="93" y="91"/>
                                    </a:cubicBezTo>
                                    <a:cubicBezTo>
                                      <a:pt x="92" y="91"/>
                                      <a:pt x="87" y="90"/>
                                      <a:pt x="86" y="89"/>
                                    </a:cubicBezTo>
                                    <a:cubicBezTo>
                                      <a:pt x="86" y="85"/>
                                      <a:pt x="86" y="85"/>
                                      <a:pt x="86" y="85"/>
                                    </a:cubicBezTo>
                                    <a:cubicBezTo>
                                      <a:pt x="83" y="84"/>
                                      <a:pt x="83" y="84"/>
                                      <a:pt x="83" y="84"/>
                                    </a:cubicBezTo>
                                    <a:cubicBezTo>
                                      <a:pt x="82" y="84"/>
                                      <a:pt x="84" y="85"/>
                                      <a:pt x="84" y="85"/>
                                    </a:cubicBezTo>
                                    <a:cubicBezTo>
                                      <a:pt x="82" y="85"/>
                                      <a:pt x="82" y="85"/>
                                      <a:pt x="82" y="85"/>
                                    </a:cubicBezTo>
                                    <a:cubicBezTo>
                                      <a:pt x="79" y="83"/>
                                      <a:pt x="79" y="83"/>
                                      <a:pt x="79" y="83"/>
                                    </a:cubicBezTo>
                                    <a:cubicBezTo>
                                      <a:pt x="77" y="89"/>
                                      <a:pt x="74" y="92"/>
                                      <a:pt x="81" y="97"/>
                                    </a:cubicBezTo>
                                    <a:cubicBezTo>
                                      <a:pt x="75" y="97"/>
                                      <a:pt x="74" y="97"/>
                                      <a:pt x="69" y="93"/>
                                    </a:cubicBezTo>
                                    <a:cubicBezTo>
                                      <a:pt x="68" y="94"/>
                                      <a:pt x="68" y="96"/>
                                      <a:pt x="67" y="97"/>
                                    </a:cubicBezTo>
                                    <a:cubicBezTo>
                                      <a:pt x="64" y="97"/>
                                      <a:pt x="64" y="97"/>
                                      <a:pt x="64" y="97"/>
                                    </a:cubicBezTo>
                                    <a:cubicBezTo>
                                      <a:pt x="64" y="100"/>
                                      <a:pt x="64" y="102"/>
                                      <a:pt x="63" y="105"/>
                                    </a:cubicBezTo>
                                    <a:cubicBezTo>
                                      <a:pt x="61" y="105"/>
                                      <a:pt x="62" y="105"/>
                                      <a:pt x="58" y="105"/>
                                    </a:cubicBezTo>
                                    <a:cubicBezTo>
                                      <a:pt x="57" y="108"/>
                                      <a:pt x="53" y="118"/>
                                      <a:pt x="54" y="122"/>
                                    </a:cubicBezTo>
                                    <a:cubicBezTo>
                                      <a:pt x="55" y="123"/>
                                      <a:pt x="55" y="123"/>
                                      <a:pt x="55" y="123"/>
                                    </a:cubicBezTo>
                                    <a:cubicBezTo>
                                      <a:pt x="56" y="124"/>
                                      <a:pt x="56" y="127"/>
                                      <a:pt x="57" y="128"/>
                                    </a:cubicBezTo>
                                    <a:cubicBezTo>
                                      <a:pt x="58" y="128"/>
                                      <a:pt x="64" y="131"/>
                                      <a:pt x="64" y="131"/>
                                    </a:cubicBezTo>
                                    <a:cubicBezTo>
                                      <a:pt x="65" y="133"/>
                                      <a:pt x="64" y="135"/>
                                      <a:pt x="64" y="135"/>
                                    </a:cubicBezTo>
                                    <a:cubicBezTo>
                                      <a:pt x="65" y="137"/>
                                      <a:pt x="69" y="137"/>
                                      <a:pt x="69" y="138"/>
                                    </a:cubicBezTo>
                                    <a:cubicBezTo>
                                      <a:pt x="69" y="139"/>
                                      <a:pt x="68" y="141"/>
                                      <a:pt x="69" y="142"/>
                                    </a:cubicBezTo>
                                    <a:cubicBezTo>
                                      <a:pt x="68" y="142"/>
                                      <a:pt x="67" y="142"/>
                                      <a:pt x="66" y="142"/>
                                    </a:cubicBezTo>
                                    <a:cubicBezTo>
                                      <a:pt x="65" y="142"/>
                                      <a:pt x="66" y="140"/>
                                      <a:pt x="65" y="139"/>
                                    </a:cubicBezTo>
                                    <a:cubicBezTo>
                                      <a:pt x="64" y="139"/>
                                      <a:pt x="64" y="138"/>
                                      <a:pt x="63" y="137"/>
                                    </a:cubicBezTo>
                                    <a:cubicBezTo>
                                      <a:pt x="60" y="139"/>
                                      <a:pt x="59" y="139"/>
                                      <a:pt x="57" y="139"/>
                                    </a:cubicBezTo>
                                    <a:cubicBezTo>
                                      <a:pt x="57" y="140"/>
                                      <a:pt x="57" y="140"/>
                                      <a:pt x="57" y="140"/>
                                    </a:cubicBezTo>
                                    <a:cubicBezTo>
                                      <a:pt x="56" y="140"/>
                                      <a:pt x="54" y="140"/>
                                      <a:pt x="54" y="140"/>
                                    </a:cubicBezTo>
                                    <a:cubicBezTo>
                                      <a:pt x="53" y="141"/>
                                      <a:pt x="53" y="143"/>
                                      <a:pt x="53" y="143"/>
                                    </a:cubicBezTo>
                                    <a:cubicBezTo>
                                      <a:pt x="52" y="143"/>
                                      <a:pt x="49" y="143"/>
                                      <a:pt x="48" y="143"/>
                                    </a:cubicBezTo>
                                    <a:cubicBezTo>
                                      <a:pt x="47" y="141"/>
                                      <a:pt x="46" y="139"/>
                                      <a:pt x="45" y="137"/>
                                    </a:cubicBezTo>
                                    <a:cubicBezTo>
                                      <a:pt x="38" y="140"/>
                                      <a:pt x="33" y="142"/>
                                      <a:pt x="40" y="148"/>
                                    </a:cubicBezTo>
                                    <a:cubicBezTo>
                                      <a:pt x="33" y="155"/>
                                      <a:pt x="40" y="148"/>
                                      <a:pt x="37" y="158"/>
                                    </a:cubicBezTo>
                                    <a:cubicBezTo>
                                      <a:pt x="37" y="159"/>
                                      <a:pt x="27" y="164"/>
                                      <a:pt x="34" y="165"/>
                                    </a:cubicBezTo>
                                    <a:cubicBezTo>
                                      <a:pt x="35" y="168"/>
                                      <a:pt x="34" y="169"/>
                                      <a:pt x="35" y="171"/>
                                    </a:cubicBezTo>
                                    <a:cubicBezTo>
                                      <a:pt x="35" y="171"/>
                                      <a:pt x="33" y="172"/>
                                      <a:pt x="32" y="172"/>
                                    </a:cubicBezTo>
                                    <a:cubicBezTo>
                                      <a:pt x="32" y="170"/>
                                      <a:pt x="32" y="170"/>
                                      <a:pt x="32" y="170"/>
                                    </a:cubicBezTo>
                                    <a:cubicBezTo>
                                      <a:pt x="31" y="170"/>
                                      <a:pt x="29" y="170"/>
                                      <a:pt x="29" y="170"/>
                                    </a:cubicBezTo>
                                    <a:cubicBezTo>
                                      <a:pt x="28" y="173"/>
                                      <a:pt x="28" y="175"/>
                                      <a:pt x="28" y="178"/>
                                    </a:cubicBezTo>
                                    <a:cubicBezTo>
                                      <a:pt x="26" y="177"/>
                                      <a:pt x="26" y="177"/>
                                      <a:pt x="26" y="177"/>
                                    </a:cubicBezTo>
                                    <a:cubicBezTo>
                                      <a:pt x="25" y="175"/>
                                      <a:pt x="26" y="174"/>
                                      <a:pt x="26" y="172"/>
                                    </a:cubicBezTo>
                                    <a:cubicBezTo>
                                      <a:pt x="26" y="171"/>
                                      <a:pt x="23" y="170"/>
                                      <a:pt x="23" y="169"/>
                                    </a:cubicBezTo>
                                    <a:cubicBezTo>
                                      <a:pt x="20" y="177"/>
                                      <a:pt x="17" y="184"/>
                                      <a:pt x="13" y="191"/>
                                    </a:cubicBezTo>
                                    <a:cubicBezTo>
                                      <a:pt x="15" y="191"/>
                                      <a:pt x="22" y="192"/>
                                      <a:pt x="20" y="191"/>
                                    </a:cubicBezTo>
                                    <a:cubicBezTo>
                                      <a:pt x="22" y="192"/>
                                      <a:pt x="21" y="192"/>
                                      <a:pt x="21" y="194"/>
                                    </a:cubicBezTo>
                                    <a:cubicBezTo>
                                      <a:pt x="27" y="193"/>
                                      <a:pt x="26" y="194"/>
                                      <a:pt x="32" y="192"/>
                                    </a:cubicBezTo>
                                    <a:cubicBezTo>
                                      <a:pt x="32" y="194"/>
                                      <a:pt x="32" y="195"/>
                                      <a:pt x="32" y="197"/>
                                    </a:cubicBezTo>
                                    <a:cubicBezTo>
                                      <a:pt x="31" y="197"/>
                                      <a:pt x="27" y="196"/>
                                      <a:pt x="31" y="196"/>
                                    </a:cubicBezTo>
                                    <a:cubicBezTo>
                                      <a:pt x="33" y="196"/>
                                      <a:pt x="29" y="194"/>
                                      <a:pt x="29" y="194"/>
                                    </a:cubicBezTo>
                                    <a:cubicBezTo>
                                      <a:pt x="26" y="196"/>
                                      <a:pt x="24" y="198"/>
                                      <a:pt x="22" y="200"/>
                                    </a:cubicBezTo>
                                    <a:cubicBezTo>
                                      <a:pt x="22" y="200"/>
                                      <a:pt x="24" y="202"/>
                                      <a:pt x="24" y="203"/>
                                    </a:cubicBezTo>
                                    <a:cubicBezTo>
                                      <a:pt x="25" y="202"/>
                                      <a:pt x="26" y="202"/>
                                      <a:pt x="27" y="202"/>
                                    </a:cubicBezTo>
                                    <a:cubicBezTo>
                                      <a:pt x="28" y="200"/>
                                      <a:pt x="29" y="199"/>
                                      <a:pt x="30" y="198"/>
                                    </a:cubicBezTo>
                                    <a:cubicBezTo>
                                      <a:pt x="28" y="201"/>
                                      <a:pt x="28" y="202"/>
                                      <a:pt x="27" y="206"/>
                                    </a:cubicBezTo>
                                    <a:cubicBezTo>
                                      <a:pt x="29" y="206"/>
                                      <a:pt x="30" y="204"/>
                                      <a:pt x="31" y="205"/>
                                    </a:cubicBezTo>
                                    <a:cubicBezTo>
                                      <a:pt x="32" y="205"/>
                                      <a:pt x="28" y="210"/>
                                      <a:pt x="35" y="208"/>
                                    </a:cubicBezTo>
                                    <a:cubicBezTo>
                                      <a:pt x="37" y="207"/>
                                      <a:pt x="39" y="205"/>
                                      <a:pt x="41" y="204"/>
                                    </a:cubicBezTo>
                                    <a:cubicBezTo>
                                      <a:pt x="41" y="202"/>
                                      <a:pt x="41" y="202"/>
                                      <a:pt x="41" y="202"/>
                                    </a:cubicBezTo>
                                    <a:cubicBezTo>
                                      <a:pt x="43" y="201"/>
                                      <a:pt x="43" y="203"/>
                                      <a:pt x="45" y="203"/>
                                    </a:cubicBezTo>
                                    <a:cubicBezTo>
                                      <a:pt x="45" y="205"/>
                                      <a:pt x="45" y="205"/>
                                      <a:pt x="45" y="205"/>
                                    </a:cubicBezTo>
                                    <a:cubicBezTo>
                                      <a:pt x="41" y="207"/>
                                      <a:pt x="42" y="207"/>
                                      <a:pt x="39" y="210"/>
                                    </a:cubicBezTo>
                                    <a:cubicBezTo>
                                      <a:pt x="38" y="210"/>
                                      <a:pt x="38" y="209"/>
                                      <a:pt x="37" y="208"/>
                                    </a:cubicBezTo>
                                    <a:cubicBezTo>
                                      <a:pt x="35" y="208"/>
                                      <a:pt x="34" y="210"/>
                                      <a:pt x="33" y="209"/>
                                    </a:cubicBezTo>
                                    <a:cubicBezTo>
                                      <a:pt x="34" y="212"/>
                                      <a:pt x="35" y="214"/>
                                      <a:pt x="35" y="217"/>
                                    </a:cubicBezTo>
                                    <a:cubicBezTo>
                                      <a:pt x="35" y="217"/>
                                      <a:pt x="34" y="221"/>
                                      <a:pt x="34" y="223"/>
                                    </a:cubicBezTo>
                                    <a:cubicBezTo>
                                      <a:pt x="34" y="223"/>
                                      <a:pt x="37" y="226"/>
                                      <a:pt x="37" y="227"/>
                                    </a:cubicBezTo>
                                    <a:cubicBezTo>
                                      <a:pt x="37" y="228"/>
                                      <a:pt x="37" y="230"/>
                                      <a:pt x="37" y="231"/>
                                    </a:cubicBezTo>
                                    <a:cubicBezTo>
                                      <a:pt x="38" y="233"/>
                                      <a:pt x="47" y="239"/>
                                      <a:pt x="52" y="238"/>
                                    </a:cubicBezTo>
                                    <a:cubicBezTo>
                                      <a:pt x="54" y="236"/>
                                      <a:pt x="54" y="236"/>
                                      <a:pt x="54" y="236"/>
                                    </a:cubicBezTo>
                                    <a:cubicBezTo>
                                      <a:pt x="56" y="236"/>
                                      <a:pt x="61" y="237"/>
                                      <a:pt x="61" y="237"/>
                                    </a:cubicBezTo>
                                    <a:cubicBezTo>
                                      <a:pt x="59" y="237"/>
                                      <a:pt x="59" y="239"/>
                                      <a:pt x="57" y="239"/>
                                    </a:cubicBezTo>
                                    <a:cubicBezTo>
                                      <a:pt x="55" y="240"/>
                                      <a:pt x="42" y="240"/>
                                      <a:pt x="38" y="238"/>
                                    </a:cubicBezTo>
                                    <a:cubicBezTo>
                                      <a:pt x="32" y="236"/>
                                      <a:pt x="36" y="234"/>
                                      <a:pt x="34" y="232"/>
                                    </a:cubicBezTo>
                                    <a:cubicBezTo>
                                      <a:pt x="32" y="228"/>
                                      <a:pt x="29" y="229"/>
                                      <a:pt x="28" y="229"/>
                                    </a:cubicBezTo>
                                    <a:cubicBezTo>
                                      <a:pt x="27" y="228"/>
                                      <a:pt x="25" y="226"/>
                                      <a:pt x="24" y="226"/>
                                    </a:cubicBezTo>
                                    <a:cubicBezTo>
                                      <a:pt x="23" y="227"/>
                                      <a:pt x="23" y="229"/>
                                      <a:pt x="22" y="230"/>
                                    </a:cubicBezTo>
                                    <a:cubicBezTo>
                                      <a:pt x="22" y="228"/>
                                      <a:pt x="19" y="225"/>
                                      <a:pt x="23" y="225"/>
                                    </a:cubicBezTo>
                                    <a:cubicBezTo>
                                      <a:pt x="23" y="223"/>
                                      <a:pt x="23" y="223"/>
                                      <a:pt x="23" y="223"/>
                                    </a:cubicBezTo>
                                    <a:cubicBezTo>
                                      <a:pt x="21" y="223"/>
                                      <a:pt x="21" y="223"/>
                                      <a:pt x="21" y="223"/>
                                    </a:cubicBezTo>
                                    <a:cubicBezTo>
                                      <a:pt x="18" y="217"/>
                                      <a:pt x="18" y="217"/>
                                      <a:pt x="18" y="217"/>
                                    </a:cubicBezTo>
                                    <a:cubicBezTo>
                                      <a:pt x="11" y="218"/>
                                      <a:pt x="13" y="218"/>
                                      <a:pt x="8" y="213"/>
                                    </a:cubicBezTo>
                                    <a:cubicBezTo>
                                      <a:pt x="7" y="214"/>
                                      <a:pt x="4" y="216"/>
                                      <a:pt x="4" y="216"/>
                                    </a:cubicBezTo>
                                    <a:cubicBezTo>
                                      <a:pt x="1" y="217"/>
                                      <a:pt x="1" y="216"/>
                                      <a:pt x="0" y="215"/>
                                    </a:cubicBezTo>
                                    <a:cubicBezTo>
                                      <a:pt x="1" y="238"/>
                                      <a:pt x="14" y="579"/>
                                      <a:pt x="32" y="815"/>
                                    </a:cubicBezTo>
                                    <a:cubicBezTo>
                                      <a:pt x="213" y="809"/>
                                      <a:pt x="316" y="805"/>
                                      <a:pt x="488" y="805"/>
                                    </a:cubicBezTo>
                                    <a:close/>
                                  </a:path>
                                </a:pathLst>
                              </a:custGeom>
                              <a:grpFill/>
                              <a:ln w="9525">
                                <a:solidFill>
                                  <a:srgbClr val="FFFFFF"/>
                                </a:solidFill>
                                <a:round/>
                                <a:headEnd/>
                                <a:tailEnd/>
                              </a:ln>
                            </wps:spPr>
                            <wps:bodyPr vert="horz" wrap="square" lIns="91440" tIns="45720" rIns="91440" bIns="45720" numCol="1" anchor="t" anchorCtr="0" compatLnSpc="1">
                              <a:prstTxWarp prst="textNoShape">
                                <a:avLst/>
                              </a:prstTxWarp>
                            </wps:bodyPr>
                          </wps:wsp>
                          <wps:wsp>
                            <wps:cNvPr id="449873921" name="Freeform 43">
                              <a:extLst>
                                <a:ext uri="{FF2B5EF4-FFF2-40B4-BE49-F238E27FC236}">
                                  <a16:creationId xmlns:a16="http://schemas.microsoft.com/office/drawing/2014/main" id="{F34AF3F6-5232-25C3-29D7-88A510F7FCA6}"/>
                                </a:ext>
                              </a:extLst>
                            </wps:cNvPr>
                            <wps:cNvSpPr>
                              <a:spLocks noEditPoints="1"/>
                            </wps:cNvSpPr>
                            <wps:spPr bwMode="auto">
                              <a:xfrm>
                                <a:off x="1104016" y="425"/>
                                <a:ext cx="1927" cy="2839"/>
                              </a:xfrm>
                              <a:custGeom>
                                <a:avLst/>
                                <a:gdLst/>
                                <a:ahLst/>
                                <a:cxnLst>
                                  <a:cxn ang="0">
                                    <a:pos x="737" y="74"/>
                                  </a:cxn>
                                  <a:cxn ang="0">
                                    <a:pos x="712" y="98"/>
                                  </a:cxn>
                                  <a:cxn ang="0">
                                    <a:pos x="698" y="45"/>
                                  </a:cxn>
                                  <a:cxn ang="0">
                                    <a:pos x="656" y="8"/>
                                  </a:cxn>
                                  <a:cxn ang="0">
                                    <a:pos x="631" y="26"/>
                                  </a:cxn>
                                  <a:cxn ang="0">
                                    <a:pos x="613" y="24"/>
                                  </a:cxn>
                                  <a:cxn ang="0">
                                    <a:pos x="606" y="28"/>
                                  </a:cxn>
                                  <a:cxn ang="0">
                                    <a:pos x="591" y="48"/>
                                  </a:cxn>
                                  <a:cxn ang="0">
                                    <a:pos x="566" y="54"/>
                                  </a:cxn>
                                  <a:cxn ang="0">
                                    <a:pos x="586" y="93"/>
                                  </a:cxn>
                                  <a:cxn ang="0">
                                    <a:pos x="546" y="91"/>
                                  </a:cxn>
                                  <a:cxn ang="0">
                                    <a:pos x="531" y="105"/>
                                  </a:cxn>
                                  <a:cxn ang="0">
                                    <a:pos x="529" y="125"/>
                                  </a:cxn>
                                  <a:cxn ang="0">
                                    <a:pos x="520" y="143"/>
                                  </a:cxn>
                                  <a:cxn ang="0">
                                    <a:pos x="502" y="155"/>
                                  </a:cxn>
                                  <a:cxn ang="0">
                                    <a:pos x="494" y="163"/>
                                  </a:cxn>
                                  <a:cxn ang="0">
                                    <a:pos x="497" y="179"/>
                                  </a:cxn>
                                  <a:cxn ang="0">
                                    <a:pos x="491" y="221"/>
                                  </a:cxn>
                                  <a:cxn ang="0">
                                    <a:pos x="451" y="154"/>
                                  </a:cxn>
                                  <a:cxn ang="0">
                                    <a:pos x="419" y="205"/>
                                  </a:cxn>
                                  <a:cxn ang="0">
                                    <a:pos x="429" y="252"/>
                                  </a:cxn>
                                  <a:cxn ang="0">
                                    <a:pos x="395" y="284"/>
                                  </a:cxn>
                                  <a:cxn ang="0">
                                    <a:pos x="323" y="351"/>
                                  </a:cxn>
                                  <a:cxn ang="0">
                                    <a:pos x="272" y="360"/>
                                  </a:cxn>
                                  <a:cxn ang="0">
                                    <a:pos x="203" y="399"/>
                                  </a:cxn>
                                  <a:cxn ang="0">
                                    <a:pos x="159" y="391"/>
                                  </a:cxn>
                                  <a:cxn ang="0">
                                    <a:pos x="115" y="424"/>
                                  </a:cxn>
                                  <a:cxn ang="0">
                                    <a:pos x="69" y="460"/>
                                  </a:cxn>
                                  <a:cxn ang="0">
                                    <a:pos x="28" y="481"/>
                                  </a:cxn>
                                  <a:cxn ang="0">
                                    <a:pos x="19" y="578"/>
                                  </a:cxn>
                                  <a:cxn ang="0">
                                    <a:pos x="45" y="667"/>
                                  </a:cxn>
                                  <a:cxn ang="0">
                                    <a:pos x="38" y="701"/>
                                  </a:cxn>
                                  <a:cxn ang="0">
                                    <a:pos x="56" y="745"/>
                                  </a:cxn>
                                  <a:cxn ang="0">
                                    <a:pos x="33" y="738"/>
                                  </a:cxn>
                                  <a:cxn ang="0">
                                    <a:pos x="83" y="806"/>
                                  </a:cxn>
                                  <a:cxn ang="0">
                                    <a:pos x="144" y="910"/>
                                  </a:cxn>
                                  <a:cxn ang="0">
                                    <a:pos x="193" y="1019"/>
                                  </a:cxn>
                                  <a:cxn ang="0">
                                    <a:pos x="198" y="1063"/>
                                  </a:cxn>
                                  <a:cxn ang="0">
                                    <a:pos x="195" y="1168"/>
                                  </a:cxn>
                                  <a:cxn ang="0">
                                    <a:pos x="289" y="1199"/>
                                  </a:cxn>
                                  <a:cxn ang="0">
                                    <a:pos x="358" y="1189"/>
                                  </a:cxn>
                                  <a:cxn ang="0">
                                    <a:pos x="434" y="1140"/>
                                  </a:cxn>
                                  <a:cxn ang="0">
                                    <a:pos x="504" y="1127"/>
                                  </a:cxn>
                                  <a:cxn ang="0">
                                    <a:pos x="583" y="1109"/>
                                  </a:cxn>
                                  <a:cxn ang="0">
                                    <a:pos x="627" y="1040"/>
                                  </a:cxn>
                                  <a:cxn ang="0">
                                    <a:pos x="724" y="987"/>
                                  </a:cxn>
                                  <a:cxn ang="0">
                                    <a:pos x="816" y="951"/>
                                  </a:cxn>
                                  <a:cxn ang="0">
                                    <a:pos x="24" y="720"/>
                                  </a:cxn>
                                  <a:cxn ang="0">
                                    <a:pos x="4" y="665"/>
                                  </a:cxn>
                                  <a:cxn ang="0">
                                    <a:pos x="36" y="605"/>
                                  </a:cxn>
                                  <a:cxn ang="0">
                                    <a:pos x="27" y="583"/>
                                  </a:cxn>
                                  <a:cxn ang="0">
                                    <a:pos x="57" y="446"/>
                                  </a:cxn>
                                  <a:cxn ang="0">
                                    <a:pos x="147" y="400"/>
                                  </a:cxn>
                                  <a:cxn ang="0">
                                    <a:pos x="148" y="389"/>
                                  </a:cxn>
                                  <a:cxn ang="0">
                                    <a:pos x="158" y="378"/>
                                  </a:cxn>
                                  <a:cxn ang="0">
                                    <a:pos x="476" y="169"/>
                                  </a:cxn>
                                  <a:cxn ang="0">
                                    <a:pos x="535" y="147"/>
                                  </a:cxn>
                                  <a:cxn ang="0">
                                    <a:pos x="485" y="145"/>
                                  </a:cxn>
                                  <a:cxn ang="0">
                                    <a:pos x="707" y="100"/>
                                  </a:cxn>
                                  <a:cxn ang="0">
                                    <a:pos x="522" y="98"/>
                                  </a:cxn>
                                  <a:cxn ang="0">
                                    <a:pos x="709" y="77"/>
                                  </a:cxn>
                                  <a:cxn ang="0">
                                    <a:pos x="555" y="55"/>
                                  </a:cxn>
                                </a:cxnLst>
                                <a:rect l="0" t="0" r="r" b="b"/>
                                <a:pathLst>
                                  <a:path w="816" h="1202">
                                    <a:moveTo>
                                      <a:pt x="816" y="951"/>
                                    </a:moveTo>
                                    <a:cubicBezTo>
                                      <a:pt x="795" y="659"/>
                                      <a:pt x="795" y="659"/>
                                      <a:pt x="795" y="659"/>
                                    </a:cubicBezTo>
                                    <a:cubicBezTo>
                                      <a:pt x="777" y="424"/>
                                      <a:pt x="763" y="83"/>
                                      <a:pt x="762" y="59"/>
                                    </a:cubicBezTo>
                                    <a:cubicBezTo>
                                      <a:pt x="761" y="59"/>
                                      <a:pt x="761" y="58"/>
                                      <a:pt x="760" y="58"/>
                                    </a:cubicBezTo>
                                    <a:cubicBezTo>
                                      <a:pt x="754" y="57"/>
                                      <a:pt x="751" y="61"/>
                                      <a:pt x="744" y="60"/>
                                    </a:cubicBezTo>
                                    <a:cubicBezTo>
                                      <a:pt x="742" y="60"/>
                                      <a:pt x="741" y="58"/>
                                      <a:pt x="738" y="58"/>
                                    </a:cubicBezTo>
                                    <a:cubicBezTo>
                                      <a:pt x="735" y="61"/>
                                      <a:pt x="735" y="61"/>
                                      <a:pt x="735" y="61"/>
                                    </a:cubicBezTo>
                                    <a:cubicBezTo>
                                      <a:pt x="733" y="63"/>
                                      <a:pt x="724" y="64"/>
                                      <a:pt x="727" y="65"/>
                                    </a:cubicBezTo>
                                    <a:cubicBezTo>
                                      <a:pt x="728" y="67"/>
                                      <a:pt x="728" y="67"/>
                                      <a:pt x="728" y="67"/>
                                    </a:cubicBezTo>
                                    <a:cubicBezTo>
                                      <a:pt x="732" y="68"/>
                                      <a:pt x="734" y="68"/>
                                      <a:pt x="738" y="69"/>
                                    </a:cubicBezTo>
                                    <a:cubicBezTo>
                                      <a:pt x="738" y="71"/>
                                      <a:pt x="738" y="71"/>
                                      <a:pt x="738" y="71"/>
                                    </a:cubicBezTo>
                                    <a:cubicBezTo>
                                      <a:pt x="735" y="71"/>
                                      <a:pt x="738" y="69"/>
                                      <a:pt x="736" y="70"/>
                                    </a:cubicBezTo>
                                    <a:cubicBezTo>
                                      <a:pt x="736" y="70"/>
                                      <a:pt x="734" y="73"/>
                                      <a:pt x="736" y="72"/>
                                    </a:cubicBezTo>
                                    <a:cubicBezTo>
                                      <a:pt x="737" y="74"/>
                                      <a:pt x="737" y="74"/>
                                      <a:pt x="737" y="74"/>
                                    </a:cubicBezTo>
                                    <a:cubicBezTo>
                                      <a:pt x="736" y="73"/>
                                      <a:pt x="722" y="63"/>
                                      <a:pt x="725" y="69"/>
                                    </a:cubicBezTo>
                                    <a:cubicBezTo>
                                      <a:pt x="726" y="71"/>
                                      <a:pt x="730" y="72"/>
                                      <a:pt x="731" y="74"/>
                                    </a:cubicBezTo>
                                    <a:cubicBezTo>
                                      <a:pt x="730" y="74"/>
                                      <a:pt x="730" y="74"/>
                                      <a:pt x="727" y="74"/>
                                    </a:cubicBezTo>
                                    <a:cubicBezTo>
                                      <a:pt x="728" y="77"/>
                                      <a:pt x="728" y="77"/>
                                      <a:pt x="728" y="77"/>
                                    </a:cubicBezTo>
                                    <a:cubicBezTo>
                                      <a:pt x="726" y="77"/>
                                      <a:pt x="727" y="76"/>
                                      <a:pt x="726" y="75"/>
                                    </a:cubicBezTo>
                                    <a:cubicBezTo>
                                      <a:pt x="722" y="76"/>
                                      <a:pt x="722" y="76"/>
                                      <a:pt x="722" y="76"/>
                                    </a:cubicBezTo>
                                    <a:cubicBezTo>
                                      <a:pt x="722" y="75"/>
                                      <a:pt x="721" y="74"/>
                                      <a:pt x="721" y="74"/>
                                    </a:cubicBezTo>
                                    <a:cubicBezTo>
                                      <a:pt x="719" y="75"/>
                                      <a:pt x="718" y="76"/>
                                      <a:pt x="717" y="77"/>
                                    </a:cubicBezTo>
                                    <a:cubicBezTo>
                                      <a:pt x="719" y="81"/>
                                      <a:pt x="719" y="86"/>
                                      <a:pt x="721" y="89"/>
                                    </a:cubicBezTo>
                                    <a:cubicBezTo>
                                      <a:pt x="721" y="90"/>
                                      <a:pt x="725" y="98"/>
                                      <a:pt x="722" y="96"/>
                                    </a:cubicBezTo>
                                    <a:cubicBezTo>
                                      <a:pt x="720" y="94"/>
                                      <a:pt x="718" y="92"/>
                                      <a:pt x="717" y="90"/>
                                    </a:cubicBezTo>
                                    <a:cubicBezTo>
                                      <a:pt x="715" y="88"/>
                                      <a:pt x="714" y="87"/>
                                      <a:pt x="713" y="85"/>
                                    </a:cubicBezTo>
                                    <a:cubicBezTo>
                                      <a:pt x="712" y="85"/>
                                      <a:pt x="709" y="88"/>
                                      <a:pt x="712" y="88"/>
                                    </a:cubicBezTo>
                                    <a:cubicBezTo>
                                      <a:pt x="712" y="89"/>
                                      <a:pt x="712" y="98"/>
                                      <a:pt x="712" y="98"/>
                                    </a:cubicBezTo>
                                    <a:cubicBezTo>
                                      <a:pt x="712" y="97"/>
                                      <a:pt x="709" y="98"/>
                                      <a:pt x="709" y="98"/>
                                    </a:cubicBezTo>
                                    <a:cubicBezTo>
                                      <a:pt x="708" y="96"/>
                                      <a:pt x="711" y="97"/>
                                      <a:pt x="710" y="95"/>
                                    </a:cubicBezTo>
                                    <a:cubicBezTo>
                                      <a:pt x="710" y="94"/>
                                      <a:pt x="707" y="93"/>
                                      <a:pt x="706" y="92"/>
                                    </a:cubicBezTo>
                                    <a:cubicBezTo>
                                      <a:pt x="706" y="91"/>
                                      <a:pt x="707" y="89"/>
                                      <a:pt x="707" y="89"/>
                                    </a:cubicBezTo>
                                    <a:cubicBezTo>
                                      <a:pt x="702" y="87"/>
                                      <a:pt x="708" y="73"/>
                                      <a:pt x="705" y="71"/>
                                    </a:cubicBezTo>
                                    <a:cubicBezTo>
                                      <a:pt x="706" y="70"/>
                                      <a:pt x="709" y="69"/>
                                      <a:pt x="709" y="68"/>
                                    </a:cubicBezTo>
                                    <a:cubicBezTo>
                                      <a:pt x="710" y="66"/>
                                      <a:pt x="707" y="64"/>
                                      <a:pt x="708" y="61"/>
                                    </a:cubicBezTo>
                                    <a:cubicBezTo>
                                      <a:pt x="709" y="61"/>
                                      <a:pt x="709" y="61"/>
                                      <a:pt x="709" y="61"/>
                                    </a:cubicBezTo>
                                    <a:cubicBezTo>
                                      <a:pt x="710" y="60"/>
                                      <a:pt x="713" y="57"/>
                                      <a:pt x="714" y="55"/>
                                    </a:cubicBezTo>
                                    <a:cubicBezTo>
                                      <a:pt x="713" y="55"/>
                                      <a:pt x="710" y="54"/>
                                      <a:pt x="709" y="53"/>
                                    </a:cubicBezTo>
                                    <a:cubicBezTo>
                                      <a:pt x="708" y="52"/>
                                      <a:pt x="709" y="49"/>
                                      <a:pt x="707" y="48"/>
                                    </a:cubicBezTo>
                                    <a:cubicBezTo>
                                      <a:pt x="706" y="47"/>
                                      <a:pt x="704" y="48"/>
                                      <a:pt x="703" y="48"/>
                                    </a:cubicBezTo>
                                    <a:cubicBezTo>
                                      <a:pt x="703" y="46"/>
                                      <a:pt x="703" y="46"/>
                                      <a:pt x="703" y="46"/>
                                    </a:cubicBezTo>
                                    <a:cubicBezTo>
                                      <a:pt x="701" y="45"/>
                                      <a:pt x="699" y="46"/>
                                      <a:pt x="698" y="45"/>
                                    </a:cubicBezTo>
                                    <a:cubicBezTo>
                                      <a:pt x="697" y="45"/>
                                      <a:pt x="697" y="41"/>
                                      <a:pt x="697" y="41"/>
                                    </a:cubicBezTo>
                                    <a:cubicBezTo>
                                      <a:pt x="695" y="39"/>
                                      <a:pt x="692" y="39"/>
                                      <a:pt x="691" y="38"/>
                                    </a:cubicBezTo>
                                    <a:cubicBezTo>
                                      <a:pt x="690" y="38"/>
                                      <a:pt x="691" y="36"/>
                                      <a:pt x="691" y="35"/>
                                    </a:cubicBezTo>
                                    <a:cubicBezTo>
                                      <a:pt x="690" y="34"/>
                                      <a:pt x="687" y="32"/>
                                      <a:pt x="687" y="30"/>
                                    </a:cubicBezTo>
                                    <a:cubicBezTo>
                                      <a:pt x="687" y="29"/>
                                      <a:pt x="687" y="27"/>
                                      <a:pt x="687" y="27"/>
                                    </a:cubicBezTo>
                                    <a:cubicBezTo>
                                      <a:pt x="686" y="26"/>
                                      <a:pt x="684" y="26"/>
                                      <a:pt x="683" y="25"/>
                                    </a:cubicBezTo>
                                    <a:cubicBezTo>
                                      <a:pt x="682" y="22"/>
                                      <a:pt x="682" y="19"/>
                                      <a:pt x="680" y="17"/>
                                    </a:cubicBezTo>
                                    <a:cubicBezTo>
                                      <a:pt x="678" y="17"/>
                                      <a:pt x="678" y="17"/>
                                      <a:pt x="678" y="17"/>
                                    </a:cubicBezTo>
                                    <a:cubicBezTo>
                                      <a:pt x="678" y="17"/>
                                      <a:pt x="678" y="15"/>
                                      <a:pt x="677" y="15"/>
                                    </a:cubicBezTo>
                                    <a:cubicBezTo>
                                      <a:pt x="673" y="15"/>
                                      <a:pt x="673" y="15"/>
                                      <a:pt x="668" y="16"/>
                                    </a:cubicBezTo>
                                    <a:cubicBezTo>
                                      <a:pt x="667" y="15"/>
                                      <a:pt x="668" y="14"/>
                                      <a:pt x="667" y="13"/>
                                    </a:cubicBezTo>
                                    <a:cubicBezTo>
                                      <a:pt x="665" y="13"/>
                                      <a:pt x="663" y="14"/>
                                      <a:pt x="662" y="13"/>
                                    </a:cubicBezTo>
                                    <a:cubicBezTo>
                                      <a:pt x="661" y="12"/>
                                      <a:pt x="661" y="9"/>
                                      <a:pt x="659" y="8"/>
                                    </a:cubicBezTo>
                                    <a:cubicBezTo>
                                      <a:pt x="658" y="8"/>
                                      <a:pt x="657" y="9"/>
                                      <a:pt x="656" y="8"/>
                                    </a:cubicBezTo>
                                    <a:cubicBezTo>
                                      <a:pt x="657" y="5"/>
                                      <a:pt x="657" y="5"/>
                                      <a:pt x="657" y="5"/>
                                    </a:cubicBezTo>
                                    <a:cubicBezTo>
                                      <a:pt x="657" y="5"/>
                                      <a:pt x="655" y="6"/>
                                      <a:pt x="654" y="5"/>
                                    </a:cubicBezTo>
                                    <a:cubicBezTo>
                                      <a:pt x="654" y="5"/>
                                      <a:pt x="653" y="3"/>
                                      <a:pt x="652" y="3"/>
                                    </a:cubicBezTo>
                                    <a:cubicBezTo>
                                      <a:pt x="651" y="2"/>
                                      <a:pt x="650" y="3"/>
                                      <a:pt x="649" y="3"/>
                                    </a:cubicBezTo>
                                    <a:cubicBezTo>
                                      <a:pt x="647" y="2"/>
                                      <a:pt x="648" y="0"/>
                                      <a:pt x="646" y="1"/>
                                    </a:cubicBezTo>
                                    <a:cubicBezTo>
                                      <a:pt x="645" y="1"/>
                                      <a:pt x="642" y="4"/>
                                      <a:pt x="641" y="4"/>
                                    </a:cubicBezTo>
                                    <a:cubicBezTo>
                                      <a:pt x="640" y="5"/>
                                      <a:pt x="640" y="5"/>
                                      <a:pt x="638" y="5"/>
                                    </a:cubicBezTo>
                                    <a:cubicBezTo>
                                      <a:pt x="638" y="6"/>
                                      <a:pt x="638" y="8"/>
                                      <a:pt x="639" y="8"/>
                                    </a:cubicBezTo>
                                    <a:cubicBezTo>
                                      <a:pt x="641" y="10"/>
                                      <a:pt x="644" y="10"/>
                                      <a:pt x="648" y="11"/>
                                    </a:cubicBezTo>
                                    <a:cubicBezTo>
                                      <a:pt x="649" y="13"/>
                                      <a:pt x="649" y="13"/>
                                      <a:pt x="649" y="13"/>
                                    </a:cubicBezTo>
                                    <a:cubicBezTo>
                                      <a:pt x="645" y="12"/>
                                      <a:pt x="642" y="12"/>
                                      <a:pt x="639" y="11"/>
                                    </a:cubicBezTo>
                                    <a:cubicBezTo>
                                      <a:pt x="641" y="13"/>
                                      <a:pt x="637" y="24"/>
                                      <a:pt x="636" y="27"/>
                                    </a:cubicBezTo>
                                    <a:cubicBezTo>
                                      <a:pt x="635" y="26"/>
                                      <a:pt x="635" y="26"/>
                                      <a:pt x="633" y="26"/>
                                    </a:cubicBezTo>
                                    <a:cubicBezTo>
                                      <a:pt x="631" y="26"/>
                                      <a:pt x="631" y="26"/>
                                      <a:pt x="631" y="26"/>
                                    </a:cubicBezTo>
                                    <a:cubicBezTo>
                                      <a:pt x="631" y="26"/>
                                      <a:pt x="633" y="23"/>
                                      <a:pt x="632" y="23"/>
                                    </a:cubicBezTo>
                                    <a:cubicBezTo>
                                      <a:pt x="630" y="22"/>
                                      <a:pt x="630" y="24"/>
                                      <a:pt x="629" y="25"/>
                                    </a:cubicBezTo>
                                    <a:cubicBezTo>
                                      <a:pt x="629" y="24"/>
                                      <a:pt x="628" y="25"/>
                                      <a:pt x="627" y="26"/>
                                    </a:cubicBezTo>
                                    <a:cubicBezTo>
                                      <a:pt x="628" y="26"/>
                                      <a:pt x="628" y="21"/>
                                      <a:pt x="627" y="21"/>
                                    </a:cubicBezTo>
                                    <a:cubicBezTo>
                                      <a:pt x="626" y="21"/>
                                      <a:pt x="626" y="21"/>
                                      <a:pt x="626" y="21"/>
                                    </a:cubicBezTo>
                                    <a:cubicBezTo>
                                      <a:pt x="627" y="20"/>
                                      <a:pt x="631" y="14"/>
                                      <a:pt x="632" y="14"/>
                                    </a:cubicBezTo>
                                    <a:cubicBezTo>
                                      <a:pt x="633" y="14"/>
                                      <a:pt x="629" y="13"/>
                                      <a:pt x="628" y="13"/>
                                    </a:cubicBezTo>
                                    <a:cubicBezTo>
                                      <a:pt x="620" y="21"/>
                                      <a:pt x="620" y="21"/>
                                      <a:pt x="620" y="21"/>
                                    </a:cubicBezTo>
                                    <a:cubicBezTo>
                                      <a:pt x="619" y="22"/>
                                      <a:pt x="618" y="29"/>
                                      <a:pt x="619" y="30"/>
                                    </a:cubicBezTo>
                                    <a:cubicBezTo>
                                      <a:pt x="619" y="31"/>
                                      <a:pt x="618" y="34"/>
                                      <a:pt x="619" y="34"/>
                                    </a:cubicBezTo>
                                    <a:cubicBezTo>
                                      <a:pt x="618" y="34"/>
                                      <a:pt x="616" y="34"/>
                                      <a:pt x="615" y="34"/>
                                    </a:cubicBezTo>
                                    <a:cubicBezTo>
                                      <a:pt x="615" y="31"/>
                                      <a:pt x="614" y="30"/>
                                      <a:pt x="614" y="26"/>
                                    </a:cubicBezTo>
                                    <a:cubicBezTo>
                                      <a:pt x="613" y="25"/>
                                      <a:pt x="612" y="26"/>
                                      <a:pt x="611" y="25"/>
                                    </a:cubicBezTo>
                                    <a:cubicBezTo>
                                      <a:pt x="611" y="25"/>
                                      <a:pt x="612" y="22"/>
                                      <a:pt x="613" y="24"/>
                                    </a:cubicBezTo>
                                    <a:cubicBezTo>
                                      <a:pt x="613" y="22"/>
                                      <a:pt x="613" y="22"/>
                                      <a:pt x="613" y="22"/>
                                    </a:cubicBezTo>
                                    <a:cubicBezTo>
                                      <a:pt x="614" y="23"/>
                                      <a:pt x="615" y="20"/>
                                      <a:pt x="615" y="20"/>
                                    </a:cubicBezTo>
                                    <a:cubicBezTo>
                                      <a:pt x="614" y="19"/>
                                      <a:pt x="614" y="19"/>
                                      <a:pt x="613" y="19"/>
                                    </a:cubicBezTo>
                                    <a:cubicBezTo>
                                      <a:pt x="613" y="19"/>
                                      <a:pt x="613" y="18"/>
                                      <a:pt x="612" y="17"/>
                                    </a:cubicBezTo>
                                    <a:cubicBezTo>
                                      <a:pt x="609" y="12"/>
                                      <a:pt x="612" y="17"/>
                                      <a:pt x="609" y="17"/>
                                    </a:cubicBezTo>
                                    <a:cubicBezTo>
                                      <a:pt x="610" y="17"/>
                                      <a:pt x="607" y="15"/>
                                      <a:pt x="607" y="15"/>
                                    </a:cubicBezTo>
                                    <a:cubicBezTo>
                                      <a:pt x="607" y="16"/>
                                      <a:pt x="605" y="17"/>
                                      <a:pt x="605" y="19"/>
                                    </a:cubicBezTo>
                                    <a:cubicBezTo>
                                      <a:pt x="605" y="20"/>
                                      <a:pt x="605" y="20"/>
                                      <a:pt x="605" y="20"/>
                                    </a:cubicBezTo>
                                    <a:cubicBezTo>
                                      <a:pt x="607" y="20"/>
                                      <a:pt x="611" y="24"/>
                                      <a:pt x="606" y="23"/>
                                    </a:cubicBezTo>
                                    <a:cubicBezTo>
                                      <a:pt x="605" y="21"/>
                                      <a:pt x="605" y="21"/>
                                      <a:pt x="605" y="21"/>
                                    </a:cubicBezTo>
                                    <a:cubicBezTo>
                                      <a:pt x="604" y="21"/>
                                      <a:pt x="599" y="22"/>
                                      <a:pt x="602" y="23"/>
                                    </a:cubicBezTo>
                                    <a:cubicBezTo>
                                      <a:pt x="604" y="24"/>
                                      <a:pt x="603" y="26"/>
                                      <a:pt x="604" y="27"/>
                                    </a:cubicBezTo>
                                    <a:cubicBezTo>
                                      <a:pt x="605" y="27"/>
                                      <a:pt x="608" y="27"/>
                                      <a:pt x="609" y="27"/>
                                    </a:cubicBezTo>
                                    <a:cubicBezTo>
                                      <a:pt x="608" y="27"/>
                                      <a:pt x="609" y="29"/>
                                      <a:pt x="606" y="28"/>
                                    </a:cubicBezTo>
                                    <a:cubicBezTo>
                                      <a:pt x="607" y="31"/>
                                      <a:pt x="607" y="31"/>
                                      <a:pt x="607" y="31"/>
                                    </a:cubicBezTo>
                                    <a:cubicBezTo>
                                      <a:pt x="607" y="30"/>
                                      <a:pt x="606" y="33"/>
                                      <a:pt x="606" y="33"/>
                                    </a:cubicBezTo>
                                    <a:cubicBezTo>
                                      <a:pt x="607" y="36"/>
                                      <a:pt x="612" y="40"/>
                                      <a:pt x="607" y="42"/>
                                    </a:cubicBezTo>
                                    <a:cubicBezTo>
                                      <a:pt x="605" y="43"/>
                                      <a:pt x="607" y="39"/>
                                      <a:pt x="607" y="38"/>
                                    </a:cubicBezTo>
                                    <a:cubicBezTo>
                                      <a:pt x="605" y="39"/>
                                      <a:pt x="606" y="40"/>
                                      <a:pt x="604" y="42"/>
                                    </a:cubicBezTo>
                                    <a:cubicBezTo>
                                      <a:pt x="604" y="42"/>
                                      <a:pt x="608" y="42"/>
                                      <a:pt x="606" y="43"/>
                                    </a:cubicBezTo>
                                    <a:cubicBezTo>
                                      <a:pt x="604" y="41"/>
                                      <a:pt x="605" y="46"/>
                                      <a:pt x="604" y="46"/>
                                    </a:cubicBezTo>
                                    <a:cubicBezTo>
                                      <a:pt x="606" y="47"/>
                                      <a:pt x="607" y="48"/>
                                      <a:pt x="608" y="50"/>
                                    </a:cubicBezTo>
                                    <a:cubicBezTo>
                                      <a:pt x="600" y="50"/>
                                      <a:pt x="602" y="49"/>
                                      <a:pt x="601" y="57"/>
                                    </a:cubicBezTo>
                                    <a:cubicBezTo>
                                      <a:pt x="599" y="57"/>
                                      <a:pt x="599" y="56"/>
                                      <a:pt x="597" y="57"/>
                                    </a:cubicBezTo>
                                    <a:cubicBezTo>
                                      <a:pt x="596" y="57"/>
                                      <a:pt x="596" y="55"/>
                                      <a:pt x="595" y="54"/>
                                    </a:cubicBezTo>
                                    <a:cubicBezTo>
                                      <a:pt x="595" y="53"/>
                                      <a:pt x="595" y="52"/>
                                      <a:pt x="596" y="48"/>
                                    </a:cubicBezTo>
                                    <a:cubicBezTo>
                                      <a:pt x="594" y="47"/>
                                      <a:pt x="594" y="47"/>
                                      <a:pt x="594" y="47"/>
                                    </a:cubicBezTo>
                                    <a:cubicBezTo>
                                      <a:pt x="594" y="47"/>
                                      <a:pt x="593" y="48"/>
                                      <a:pt x="591" y="48"/>
                                    </a:cubicBezTo>
                                    <a:cubicBezTo>
                                      <a:pt x="593" y="47"/>
                                      <a:pt x="589" y="45"/>
                                      <a:pt x="589" y="45"/>
                                    </a:cubicBezTo>
                                    <a:cubicBezTo>
                                      <a:pt x="589" y="52"/>
                                      <a:pt x="589" y="56"/>
                                      <a:pt x="587" y="61"/>
                                    </a:cubicBezTo>
                                    <a:cubicBezTo>
                                      <a:pt x="585" y="61"/>
                                      <a:pt x="585" y="61"/>
                                      <a:pt x="585" y="61"/>
                                    </a:cubicBezTo>
                                    <a:cubicBezTo>
                                      <a:pt x="587" y="58"/>
                                      <a:pt x="589" y="48"/>
                                      <a:pt x="588" y="45"/>
                                    </a:cubicBezTo>
                                    <a:cubicBezTo>
                                      <a:pt x="587" y="43"/>
                                      <a:pt x="585" y="43"/>
                                      <a:pt x="583" y="42"/>
                                    </a:cubicBezTo>
                                    <a:cubicBezTo>
                                      <a:pt x="584" y="37"/>
                                      <a:pt x="584" y="35"/>
                                      <a:pt x="585" y="31"/>
                                    </a:cubicBezTo>
                                    <a:cubicBezTo>
                                      <a:pt x="584" y="31"/>
                                      <a:pt x="582" y="32"/>
                                      <a:pt x="580" y="31"/>
                                    </a:cubicBezTo>
                                    <a:cubicBezTo>
                                      <a:pt x="581" y="33"/>
                                      <a:pt x="582" y="51"/>
                                      <a:pt x="580" y="52"/>
                                    </a:cubicBezTo>
                                    <a:cubicBezTo>
                                      <a:pt x="578" y="51"/>
                                      <a:pt x="579" y="51"/>
                                      <a:pt x="578" y="50"/>
                                    </a:cubicBezTo>
                                    <a:cubicBezTo>
                                      <a:pt x="575" y="51"/>
                                      <a:pt x="574" y="50"/>
                                      <a:pt x="573" y="51"/>
                                    </a:cubicBezTo>
                                    <a:cubicBezTo>
                                      <a:pt x="573" y="53"/>
                                      <a:pt x="573" y="53"/>
                                      <a:pt x="573" y="53"/>
                                    </a:cubicBezTo>
                                    <a:cubicBezTo>
                                      <a:pt x="572" y="54"/>
                                      <a:pt x="570" y="53"/>
                                      <a:pt x="570" y="53"/>
                                    </a:cubicBezTo>
                                    <a:cubicBezTo>
                                      <a:pt x="570" y="55"/>
                                      <a:pt x="570" y="55"/>
                                      <a:pt x="570" y="55"/>
                                    </a:cubicBezTo>
                                    <a:cubicBezTo>
                                      <a:pt x="568" y="56"/>
                                      <a:pt x="568" y="54"/>
                                      <a:pt x="566" y="54"/>
                                    </a:cubicBezTo>
                                    <a:cubicBezTo>
                                      <a:pt x="565" y="55"/>
                                      <a:pt x="564" y="58"/>
                                      <a:pt x="563" y="58"/>
                                    </a:cubicBezTo>
                                    <a:cubicBezTo>
                                      <a:pt x="562" y="59"/>
                                      <a:pt x="562" y="57"/>
                                      <a:pt x="560" y="57"/>
                                    </a:cubicBezTo>
                                    <a:cubicBezTo>
                                      <a:pt x="560" y="57"/>
                                      <a:pt x="559" y="59"/>
                                      <a:pt x="558" y="59"/>
                                    </a:cubicBezTo>
                                    <a:cubicBezTo>
                                      <a:pt x="558" y="60"/>
                                      <a:pt x="558" y="63"/>
                                      <a:pt x="558" y="64"/>
                                    </a:cubicBezTo>
                                    <a:cubicBezTo>
                                      <a:pt x="556" y="64"/>
                                      <a:pt x="556" y="64"/>
                                      <a:pt x="556" y="64"/>
                                    </a:cubicBezTo>
                                    <a:cubicBezTo>
                                      <a:pt x="556" y="68"/>
                                      <a:pt x="562" y="78"/>
                                      <a:pt x="565" y="79"/>
                                    </a:cubicBezTo>
                                    <a:cubicBezTo>
                                      <a:pt x="566" y="80"/>
                                      <a:pt x="568" y="79"/>
                                      <a:pt x="569" y="79"/>
                                    </a:cubicBezTo>
                                    <a:cubicBezTo>
                                      <a:pt x="570" y="80"/>
                                      <a:pt x="569" y="83"/>
                                      <a:pt x="570" y="83"/>
                                    </a:cubicBezTo>
                                    <a:cubicBezTo>
                                      <a:pt x="570" y="84"/>
                                      <a:pt x="578" y="83"/>
                                      <a:pt x="580" y="85"/>
                                    </a:cubicBezTo>
                                    <a:cubicBezTo>
                                      <a:pt x="582" y="87"/>
                                      <a:pt x="580" y="88"/>
                                      <a:pt x="581" y="89"/>
                                    </a:cubicBezTo>
                                    <a:cubicBezTo>
                                      <a:pt x="583" y="90"/>
                                      <a:pt x="584" y="89"/>
                                      <a:pt x="586" y="90"/>
                                    </a:cubicBezTo>
                                    <a:cubicBezTo>
                                      <a:pt x="586" y="92"/>
                                      <a:pt x="586" y="94"/>
                                      <a:pt x="587" y="97"/>
                                    </a:cubicBezTo>
                                    <a:cubicBezTo>
                                      <a:pt x="585" y="97"/>
                                      <a:pt x="585" y="97"/>
                                      <a:pt x="585" y="97"/>
                                    </a:cubicBezTo>
                                    <a:cubicBezTo>
                                      <a:pt x="585" y="96"/>
                                      <a:pt x="586" y="94"/>
                                      <a:pt x="586" y="93"/>
                                    </a:cubicBezTo>
                                    <a:cubicBezTo>
                                      <a:pt x="584" y="92"/>
                                      <a:pt x="586" y="92"/>
                                      <a:pt x="585" y="91"/>
                                    </a:cubicBezTo>
                                    <a:cubicBezTo>
                                      <a:pt x="584" y="90"/>
                                      <a:pt x="582" y="91"/>
                                      <a:pt x="580" y="91"/>
                                    </a:cubicBezTo>
                                    <a:cubicBezTo>
                                      <a:pt x="578" y="90"/>
                                      <a:pt x="580" y="88"/>
                                      <a:pt x="574" y="87"/>
                                    </a:cubicBezTo>
                                    <a:cubicBezTo>
                                      <a:pt x="574" y="87"/>
                                      <a:pt x="568" y="88"/>
                                      <a:pt x="567" y="88"/>
                                    </a:cubicBezTo>
                                    <a:cubicBezTo>
                                      <a:pt x="565" y="88"/>
                                      <a:pt x="563" y="85"/>
                                      <a:pt x="562" y="84"/>
                                    </a:cubicBezTo>
                                    <a:cubicBezTo>
                                      <a:pt x="561" y="85"/>
                                      <a:pt x="560" y="86"/>
                                      <a:pt x="558" y="86"/>
                                    </a:cubicBezTo>
                                    <a:cubicBezTo>
                                      <a:pt x="558" y="86"/>
                                      <a:pt x="559" y="84"/>
                                      <a:pt x="556" y="84"/>
                                    </a:cubicBezTo>
                                    <a:cubicBezTo>
                                      <a:pt x="556" y="83"/>
                                      <a:pt x="557" y="81"/>
                                      <a:pt x="556" y="80"/>
                                    </a:cubicBezTo>
                                    <a:cubicBezTo>
                                      <a:pt x="555" y="81"/>
                                      <a:pt x="553" y="80"/>
                                      <a:pt x="552" y="81"/>
                                    </a:cubicBezTo>
                                    <a:cubicBezTo>
                                      <a:pt x="551" y="82"/>
                                      <a:pt x="552" y="85"/>
                                      <a:pt x="553" y="85"/>
                                    </a:cubicBezTo>
                                    <a:cubicBezTo>
                                      <a:pt x="550" y="86"/>
                                      <a:pt x="550" y="86"/>
                                      <a:pt x="547" y="86"/>
                                    </a:cubicBezTo>
                                    <a:cubicBezTo>
                                      <a:pt x="547" y="88"/>
                                      <a:pt x="547" y="88"/>
                                      <a:pt x="547" y="88"/>
                                    </a:cubicBezTo>
                                    <a:cubicBezTo>
                                      <a:pt x="545" y="88"/>
                                      <a:pt x="545" y="88"/>
                                      <a:pt x="545" y="88"/>
                                    </a:cubicBezTo>
                                    <a:cubicBezTo>
                                      <a:pt x="546" y="91"/>
                                      <a:pt x="546" y="91"/>
                                      <a:pt x="546" y="91"/>
                                    </a:cubicBezTo>
                                    <a:cubicBezTo>
                                      <a:pt x="548" y="91"/>
                                      <a:pt x="548" y="91"/>
                                      <a:pt x="548" y="91"/>
                                    </a:cubicBezTo>
                                    <a:cubicBezTo>
                                      <a:pt x="549" y="88"/>
                                      <a:pt x="549" y="88"/>
                                      <a:pt x="549" y="88"/>
                                    </a:cubicBezTo>
                                    <a:cubicBezTo>
                                      <a:pt x="551" y="88"/>
                                      <a:pt x="552" y="89"/>
                                      <a:pt x="554" y="89"/>
                                    </a:cubicBezTo>
                                    <a:cubicBezTo>
                                      <a:pt x="548" y="93"/>
                                      <a:pt x="544" y="96"/>
                                      <a:pt x="555" y="96"/>
                                    </a:cubicBezTo>
                                    <a:cubicBezTo>
                                      <a:pt x="556" y="97"/>
                                      <a:pt x="556" y="100"/>
                                      <a:pt x="556" y="102"/>
                                    </a:cubicBezTo>
                                    <a:cubicBezTo>
                                      <a:pt x="562" y="105"/>
                                      <a:pt x="562" y="105"/>
                                      <a:pt x="566" y="108"/>
                                    </a:cubicBezTo>
                                    <a:cubicBezTo>
                                      <a:pt x="562" y="106"/>
                                      <a:pt x="559" y="105"/>
                                      <a:pt x="554" y="103"/>
                                    </a:cubicBezTo>
                                    <a:cubicBezTo>
                                      <a:pt x="554" y="104"/>
                                      <a:pt x="554" y="106"/>
                                      <a:pt x="553" y="106"/>
                                    </a:cubicBezTo>
                                    <a:cubicBezTo>
                                      <a:pt x="552" y="107"/>
                                      <a:pt x="553" y="104"/>
                                      <a:pt x="551" y="105"/>
                                    </a:cubicBezTo>
                                    <a:cubicBezTo>
                                      <a:pt x="548" y="100"/>
                                      <a:pt x="549" y="99"/>
                                      <a:pt x="544" y="97"/>
                                    </a:cubicBezTo>
                                    <a:cubicBezTo>
                                      <a:pt x="541" y="95"/>
                                      <a:pt x="538" y="95"/>
                                      <a:pt x="536" y="94"/>
                                    </a:cubicBezTo>
                                    <a:cubicBezTo>
                                      <a:pt x="536" y="94"/>
                                      <a:pt x="536" y="96"/>
                                      <a:pt x="534" y="96"/>
                                    </a:cubicBezTo>
                                    <a:cubicBezTo>
                                      <a:pt x="532" y="92"/>
                                      <a:pt x="532" y="92"/>
                                      <a:pt x="532" y="92"/>
                                    </a:cubicBezTo>
                                    <a:cubicBezTo>
                                      <a:pt x="533" y="97"/>
                                      <a:pt x="532" y="102"/>
                                      <a:pt x="531" y="105"/>
                                    </a:cubicBezTo>
                                    <a:cubicBezTo>
                                      <a:pt x="529" y="105"/>
                                      <a:pt x="529" y="105"/>
                                      <a:pt x="529" y="105"/>
                                    </a:cubicBezTo>
                                    <a:cubicBezTo>
                                      <a:pt x="529" y="105"/>
                                      <a:pt x="528" y="108"/>
                                      <a:pt x="527" y="109"/>
                                    </a:cubicBezTo>
                                    <a:cubicBezTo>
                                      <a:pt x="525" y="108"/>
                                      <a:pt x="525" y="110"/>
                                      <a:pt x="524" y="110"/>
                                    </a:cubicBezTo>
                                    <a:cubicBezTo>
                                      <a:pt x="525" y="107"/>
                                      <a:pt x="525" y="107"/>
                                      <a:pt x="525" y="107"/>
                                    </a:cubicBezTo>
                                    <a:cubicBezTo>
                                      <a:pt x="516" y="105"/>
                                      <a:pt x="520" y="115"/>
                                      <a:pt x="519" y="116"/>
                                    </a:cubicBezTo>
                                    <a:cubicBezTo>
                                      <a:pt x="518" y="116"/>
                                      <a:pt x="516" y="116"/>
                                      <a:pt x="516" y="117"/>
                                    </a:cubicBezTo>
                                    <a:cubicBezTo>
                                      <a:pt x="516" y="119"/>
                                      <a:pt x="516" y="119"/>
                                      <a:pt x="516" y="119"/>
                                    </a:cubicBezTo>
                                    <a:cubicBezTo>
                                      <a:pt x="519" y="121"/>
                                      <a:pt x="517" y="123"/>
                                      <a:pt x="519" y="126"/>
                                    </a:cubicBezTo>
                                    <a:cubicBezTo>
                                      <a:pt x="520" y="128"/>
                                      <a:pt x="521" y="126"/>
                                      <a:pt x="522" y="126"/>
                                    </a:cubicBezTo>
                                    <a:cubicBezTo>
                                      <a:pt x="522" y="128"/>
                                      <a:pt x="522" y="129"/>
                                      <a:pt x="524" y="129"/>
                                    </a:cubicBezTo>
                                    <a:cubicBezTo>
                                      <a:pt x="523" y="131"/>
                                      <a:pt x="522" y="131"/>
                                      <a:pt x="523" y="133"/>
                                    </a:cubicBezTo>
                                    <a:cubicBezTo>
                                      <a:pt x="525" y="133"/>
                                      <a:pt x="525" y="133"/>
                                      <a:pt x="525" y="133"/>
                                    </a:cubicBezTo>
                                    <a:cubicBezTo>
                                      <a:pt x="525" y="130"/>
                                      <a:pt x="524" y="129"/>
                                      <a:pt x="526" y="126"/>
                                    </a:cubicBezTo>
                                    <a:cubicBezTo>
                                      <a:pt x="526" y="126"/>
                                      <a:pt x="528" y="125"/>
                                      <a:pt x="529" y="125"/>
                                    </a:cubicBezTo>
                                    <a:cubicBezTo>
                                      <a:pt x="529" y="123"/>
                                      <a:pt x="529" y="123"/>
                                      <a:pt x="529" y="123"/>
                                    </a:cubicBezTo>
                                    <a:cubicBezTo>
                                      <a:pt x="530" y="122"/>
                                      <a:pt x="532" y="122"/>
                                      <a:pt x="533" y="121"/>
                                    </a:cubicBezTo>
                                    <a:cubicBezTo>
                                      <a:pt x="534" y="119"/>
                                      <a:pt x="533" y="118"/>
                                      <a:pt x="534" y="116"/>
                                    </a:cubicBezTo>
                                    <a:cubicBezTo>
                                      <a:pt x="536" y="116"/>
                                      <a:pt x="536" y="116"/>
                                      <a:pt x="536" y="116"/>
                                    </a:cubicBezTo>
                                    <a:cubicBezTo>
                                      <a:pt x="538" y="116"/>
                                      <a:pt x="537" y="118"/>
                                      <a:pt x="538" y="120"/>
                                    </a:cubicBezTo>
                                    <a:cubicBezTo>
                                      <a:pt x="538" y="120"/>
                                      <a:pt x="534" y="120"/>
                                      <a:pt x="536" y="121"/>
                                    </a:cubicBezTo>
                                    <a:cubicBezTo>
                                      <a:pt x="536" y="121"/>
                                      <a:pt x="533" y="122"/>
                                      <a:pt x="532" y="123"/>
                                    </a:cubicBezTo>
                                    <a:cubicBezTo>
                                      <a:pt x="532" y="123"/>
                                      <a:pt x="533" y="125"/>
                                      <a:pt x="532" y="126"/>
                                    </a:cubicBezTo>
                                    <a:cubicBezTo>
                                      <a:pt x="532" y="127"/>
                                      <a:pt x="530" y="129"/>
                                      <a:pt x="529" y="129"/>
                                    </a:cubicBezTo>
                                    <a:cubicBezTo>
                                      <a:pt x="528" y="132"/>
                                      <a:pt x="529" y="135"/>
                                      <a:pt x="529" y="138"/>
                                    </a:cubicBezTo>
                                    <a:cubicBezTo>
                                      <a:pt x="526" y="138"/>
                                      <a:pt x="526" y="136"/>
                                      <a:pt x="525" y="136"/>
                                    </a:cubicBezTo>
                                    <a:cubicBezTo>
                                      <a:pt x="524" y="140"/>
                                      <a:pt x="524" y="140"/>
                                      <a:pt x="524" y="140"/>
                                    </a:cubicBezTo>
                                    <a:cubicBezTo>
                                      <a:pt x="524" y="140"/>
                                      <a:pt x="522" y="139"/>
                                      <a:pt x="521" y="139"/>
                                    </a:cubicBezTo>
                                    <a:cubicBezTo>
                                      <a:pt x="521" y="141"/>
                                      <a:pt x="519" y="140"/>
                                      <a:pt x="520" y="143"/>
                                    </a:cubicBezTo>
                                    <a:cubicBezTo>
                                      <a:pt x="520" y="145"/>
                                      <a:pt x="529" y="151"/>
                                      <a:pt x="531" y="151"/>
                                    </a:cubicBezTo>
                                    <a:cubicBezTo>
                                      <a:pt x="510" y="145"/>
                                      <a:pt x="525" y="156"/>
                                      <a:pt x="529" y="163"/>
                                    </a:cubicBezTo>
                                    <a:cubicBezTo>
                                      <a:pt x="528" y="162"/>
                                      <a:pt x="528" y="164"/>
                                      <a:pt x="526" y="163"/>
                                    </a:cubicBezTo>
                                    <a:cubicBezTo>
                                      <a:pt x="524" y="162"/>
                                      <a:pt x="522" y="159"/>
                                      <a:pt x="520" y="158"/>
                                    </a:cubicBezTo>
                                    <a:cubicBezTo>
                                      <a:pt x="519" y="158"/>
                                      <a:pt x="516" y="159"/>
                                      <a:pt x="517" y="159"/>
                                    </a:cubicBezTo>
                                    <a:cubicBezTo>
                                      <a:pt x="519" y="159"/>
                                      <a:pt x="520" y="165"/>
                                      <a:pt x="521" y="167"/>
                                    </a:cubicBezTo>
                                    <a:cubicBezTo>
                                      <a:pt x="520" y="166"/>
                                      <a:pt x="518" y="166"/>
                                      <a:pt x="518" y="165"/>
                                    </a:cubicBezTo>
                                    <a:cubicBezTo>
                                      <a:pt x="516" y="161"/>
                                      <a:pt x="517" y="161"/>
                                      <a:pt x="517" y="161"/>
                                    </a:cubicBezTo>
                                    <a:cubicBezTo>
                                      <a:pt x="517" y="161"/>
                                      <a:pt x="516" y="161"/>
                                      <a:pt x="513" y="160"/>
                                    </a:cubicBezTo>
                                    <a:cubicBezTo>
                                      <a:pt x="513" y="161"/>
                                      <a:pt x="512" y="162"/>
                                      <a:pt x="514" y="162"/>
                                    </a:cubicBezTo>
                                    <a:cubicBezTo>
                                      <a:pt x="514" y="166"/>
                                      <a:pt x="514" y="166"/>
                                      <a:pt x="514" y="166"/>
                                    </a:cubicBezTo>
                                    <a:cubicBezTo>
                                      <a:pt x="512" y="165"/>
                                      <a:pt x="512" y="165"/>
                                      <a:pt x="512" y="165"/>
                                    </a:cubicBezTo>
                                    <a:cubicBezTo>
                                      <a:pt x="512" y="164"/>
                                      <a:pt x="512" y="162"/>
                                      <a:pt x="512" y="161"/>
                                    </a:cubicBezTo>
                                    <a:cubicBezTo>
                                      <a:pt x="511" y="157"/>
                                      <a:pt x="506" y="156"/>
                                      <a:pt x="502" y="155"/>
                                    </a:cubicBezTo>
                                    <a:cubicBezTo>
                                      <a:pt x="502" y="155"/>
                                      <a:pt x="501" y="152"/>
                                      <a:pt x="503" y="153"/>
                                    </a:cubicBezTo>
                                    <a:cubicBezTo>
                                      <a:pt x="503" y="153"/>
                                      <a:pt x="503" y="151"/>
                                      <a:pt x="504" y="149"/>
                                    </a:cubicBezTo>
                                    <a:cubicBezTo>
                                      <a:pt x="505" y="152"/>
                                      <a:pt x="503" y="147"/>
                                      <a:pt x="503" y="147"/>
                                    </a:cubicBezTo>
                                    <a:cubicBezTo>
                                      <a:pt x="498" y="147"/>
                                      <a:pt x="500" y="145"/>
                                      <a:pt x="504" y="146"/>
                                    </a:cubicBezTo>
                                    <a:cubicBezTo>
                                      <a:pt x="504" y="146"/>
                                      <a:pt x="507" y="149"/>
                                      <a:pt x="505" y="146"/>
                                    </a:cubicBezTo>
                                    <a:cubicBezTo>
                                      <a:pt x="504" y="144"/>
                                      <a:pt x="502" y="144"/>
                                      <a:pt x="502" y="143"/>
                                    </a:cubicBezTo>
                                    <a:cubicBezTo>
                                      <a:pt x="502" y="143"/>
                                      <a:pt x="498" y="146"/>
                                      <a:pt x="500" y="146"/>
                                    </a:cubicBezTo>
                                    <a:cubicBezTo>
                                      <a:pt x="498" y="146"/>
                                      <a:pt x="497" y="145"/>
                                      <a:pt x="495" y="146"/>
                                    </a:cubicBezTo>
                                    <a:cubicBezTo>
                                      <a:pt x="494" y="146"/>
                                      <a:pt x="493" y="148"/>
                                      <a:pt x="492" y="149"/>
                                    </a:cubicBezTo>
                                    <a:cubicBezTo>
                                      <a:pt x="492" y="149"/>
                                      <a:pt x="492" y="157"/>
                                      <a:pt x="492" y="155"/>
                                    </a:cubicBezTo>
                                    <a:cubicBezTo>
                                      <a:pt x="493" y="155"/>
                                      <a:pt x="494" y="157"/>
                                      <a:pt x="490" y="156"/>
                                    </a:cubicBezTo>
                                    <a:cubicBezTo>
                                      <a:pt x="490" y="154"/>
                                      <a:pt x="490" y="154"/>
                                      <a:pt x="490" y="154"/>
                                    </a:cubicBezTo>
                                    <a:cubicBezTo>
                                      <a:pt x="488" y="154"/>
                                      <a:pt x="489" y="155"/>
                                      <a:pt x="486" y="154"/>
                                    </a:cubicBezTo>
                                    <a:cubicBezTo>
                                      <a:pt x="488" y="156"/>
                                      <a:pt x="492" y="162"/>
                                      <a:pt x="494" y="163"/>
                                    </a:cubicBezTo>
                                    <a:cubicBezTo>
                                      <a:pt x="497" y="164"/>
                                      <a:pt x="496" y="160"/>
                                      <a:pt x="493" y="158"/>
                                    </a:cubicBezTo>
                                    <a:cubicBezTo>
                                      <a:pt x="493" y="158"/>
                                      <a:pt x="494" y="157"/>
                                      <a:pt x="494" y="156"/>
                                    </a:cubicBezTo>
                                    <a:cubicBezTo>
                                      <a:pt x="494" y="157"/>
                                      <a:pt x="497" y="158"/>
                                      <a:pt x="497" y="158"/>
                                    </a:cubicBezTo>
                                    <a:cubicBezTo>
                                      <a:pt x="497" y="160"/>
                                      <a:pt x="496" y="163"/>
                                      <a:pt x="496" y="163"/>
                                    </a:cubicBezTo>
                                    <a:cubicBezTo>
                                      <a:pt x="495" y="164"/>
                                      <a:pt x="498" y="165"/>
                                      <a:pt x="494" y="167"/>
                                    </a:cubicBezTo>
                                    <a:cubicBezTo>
                                      <a:pt x="494" y="168"/>
                                      <a:pt x="494" y="168"/>
                                      <a:pt x="494" y="168"/>
                                    </a:cubicBezTo>
                                    <a:cubicBezTo>
                                      <a:pt x="492" y="167"/>
                                      <a:pt x="490" y="168"/>
                                      <a:pt x="488" y="168"/>
                                    </a:cubicBezTo>
                                    <a:cubicBezTo>
                                      <a:pt x="487" y="166"/>
                                      <a:pt x="489" y="165"/>
                                      <a:pt x="486" y="165"/>
                                    </a:cubicBezTo>
                                    <a:cubicBezTo>
                                      <a:pt x="483" y="164"/>
                                      <a:pt x="488" y="168"/>
                                      <a:pt x="485" y="168"/>
                                    </a:cubicBezTo>
                                    <a:cubicBezTo>
                                      <a:pt x="484" y="168"/>
                                      <a:pt x="483" y="167"/>
                                      <a:pt x="481" y="167"/>
                                    </a:cubicBezTo>
                                    <a:cubicBezTo>
                                      <a:pt x="481" y="169"/>
                                      <a:pt x="481" y="170"/>
                                      <a:pt x="481" y="172"/>
                                    </a:cubicBezTo>
                                    <a:cubicBezTo>
                                      <a:pt x="482" y="174"/>
                                      <a:pt x="490" y="181"/>
                                      <a:pt x="492" y="181"/>
                                    </a:cubicBezTo>
                                    <a:cubicBezTo>
                                      <a:pt x="494" y="181"/>
                                      <a:pt x="492" y="180"/>
                                      <a:pt x="495" y="180"/>
                                    </a:cubicBezTo>
                                    <a:cubicBezTo>
                                      <a:pt x="497" y="179"/>
                                      <a:pt x="497" y="179"/>
                                      <a:pt x="497" y="179"/>
                                    </a:cubicBezTo>
                                    <a:cubicBezTo>
                                      <a:pt x="497" y="181"/>
                                      <a:pt x="496" y="188"/>
                                      <a:pt x="496" y="188"/>
                                    </a:cubicBezTo>
                                    <a:cubicBezTo>
                                      <a:pt x="497" y="189"/>
                                      <a:pt x="497" y="191"/>
                                      <a:pt x="498" y="192"/>
                                    </a:cubicBezTo>
                                    <a:cubicBezTo>
                                      <a:pt x="499" y="193"/>
                                      <a:pt x="501" y="193"/>
                                      <a:pt x="502" y="194"/>
                                    </a:cubicBezTo>
                                    <a:cubicBezTo>
                                      <a:pt x="503" y="195"/>
                                      <a:pt x="504" y="197"/>
                                      <a:pt x="501" y="197"/>
                                    </a:cubicBezTo>
                                    <a:cubicBezTo>
                                      <a:pt x="497" y="196"/>
                                      <a:pt x="496" y="189"/>
                                      <a:pt x="493" y="189"/>
                                    </a:cubicBezTo>
                                    <a:cubicBezTo>
                                      <a:pt x="491" y="188"/>
                                      <a:pt x="490" y="194"/>
                                      <a:pt x="493" y="194"/>
                                    </a:cubicBezTo>
                                    <a:cubicBezTo>
                                      <a:pt x="493" y="194"/>
                                      <a:pt x="492" y="196"/>
                                      <a:pt x="491" y="195"/>
                                    </a:cubicBezTo>
                                    <a:cubicBezTo>
                                      <a:pt x="490" y="192"/>
                                      <a:pt x="489" y="188"/>
                                      <a:pt x="488" y="186"/>
                                    </a:cubicBezTo>
                                    <a:cubicBezTo>
                                      <a:pt x="487" y="186"/>
                                      <a:pt x="485" y="185"/>
                                      <a:pt x="483" y="184"/>
                                    </a:cubicBezTo>
                                    <a:cubicBezTo>
                                      <a:pt x="484" y="187"/>
                                      <a:pt x="482" y="189"/>
                                      <a:pt x="483" y="193"/>
                                    </a:cubicBezTo>
                                    <a:cubicBezTo>
                                      <a:pt x="485" y="198"/>
                                      <a:pt x="495" y="207"/>
                                      <a:pt x="500" y="210"/>
                                    </a:cubicBezTo>
                                    <a:cubicBezTo>
                                      <a:pt x="497" y="210"/>
                                      <a:pt x="495" y="210"/>
                                      <a:pt x="494" y="211"/>
                                    </a:cubicBezTo>
                                    <a:cubicBezTo>
                                      <a:pt x="492" y="212"/>
                                      <a:pt x="493" y="213"/>
                                      <a:pt x="492" y="215"/>
                                    </a:cubicBezTo>
                                    <a:cubicBezTo>
                                      <a:pt x="492" y="216"/>
                                      <a:pt x="491" y="219"/>
                                      <a:pt x="491" y="221"/>
                                    </a:cubicBezTo>
                                    <a:cubicBezTo>
                                      <a:pt x="492" y="225"/>
                                      <a:pt x="500" y="227"/>
                                      <a:pt x="502" y="229"/>
                                    </a:cubicBezTo>
                                    <a:cubicBezTo>
                                      <a:pt x="504" y="233"/>
                                      <a:pt x="501" y="236"/>
                                      <a:pt x="501" y="240"/>
                                    </a:cubicBezTo>
                                    <a:cubicBezTo>
                                      <a:pt x="501" y="241"/>
                                      <a:pt x="502" y="241"/>
                                      <a:pt x="503" y="242"/>
                                    </a:cubicBezTo>
                                    <a:cubicBezTo>
                                      <a:pt x="504" y="245"/>
                                      <a:pt x="502" y="249"/>
                                      <a:pt x="502" y="251"/>
                                    </a:cubicBezTo>
                                    <a:cubicBezTo>
                                      <a:pt x="499" y="236"/>
                                      <a:pt x="488" y="232"/>
                                      <a:pt x="481" y="222"/>
                                    </a:cubicBezTo>
                                    <a:cubicBezTo>
                                      <a:pt x="480" y="220"/>
                                      <a:pt x="480" y="217"/>
                                      <a:pt x="478" y="215"/>
                                    </a:cubicBezTo>
                                    <a:cubicBezTo>
                                      <a:pt x="477" y="215"/>
                                      <a:pt x="475" y="214"/>
                                      <a:pt x="475" y="214"/>
                                    </a:cubicBezTo>
                                    <a:cubicBezTo>
                                      <a:pt x="475" y="212"/>
                                      <a:pt x="475" y="212"/>
                                      <a:pt x="475" y="212"/>
                                    </a:cubicBezTo>
                                    <a:cubicBezTo>
                                      <a:pt x="474" y="211"/>
                                      <a:pt x="467" y="203"/>
                                      <a:pt x="465" y="201"/>
                                    </a:cubicBezTo>
                                    <a:cubicBezTo>
                                      <a:pt x="464" y="202"/>
                                      <a:pt x="463" y="203"/>
                                      <a:pt x="461" y="202"/>
                                    </a:cubicBezTo>
                                    <a:cubicBezTo>
                                      <a:pt x="462" y="193"/>
                                      <a:pt x="461" y="191"/>
                                      <a:pt x="457" y="184"/>
                                    </a:cubicBezTo>
                                    <a:cubicBezTo>
                                      <a:pt x="456" y="185"/>
                                      <a:pt x="455" y="186"/>
                                      <a:pt x="453" y="186"/>
                                    </a:cubicBezTo>
                                    <a:cubicBezTo>
                                      <a:pt x="457" y="174"/>
                                      <a:pt x="453" y="161"/>
                                      <a:pt x="452" y="151"/>
                                    </a:cubicBezTo>
                                    <a:cubicBezTo>
                                      <a:pt x="451" y="152"/>
                                      <a:pt x="451" y="154"/>
                                      <a:pt x="451" y="154"/>
                                    </a:cubicBezTo>
                                    <a:cubicBezTo>
                                      <a:pt x="448" y="155"/>
                                      <a:pt x="447" y="154"/>
                                      <a:pt x="445" y="155"/>
                                    </a:cubicBezTo>
                                    <a:cubicBezTo>
                                      <a:pt x="442" y="157"/>
                                      <a:pt x="443" y="160"/>
                                      <a:pt x="441" y="163"/>
                                    </a:cubicBezTo>
                                    <a:cubicBezTo>
                                      <a:pt x="439" y="163"/>
                                      <a:pt x="439" y="163"/>
                                      <a:pt x="439" y="163"/>
                                    </a:cubicBezTo>
                                    <a:cubicBezTo>
                                      <a:pt x="438" y="166"/>
                                      <a:pt x="438" y="167"/>
                                      <a:pt x="437" y="172"/>
                                    </a:cubicBezTo>
                                    <a:cubicBezTo>
                                      <a:pt x="438" y="172"/>
                                      <a:pt x="442" y="172"/>
                                      <a:pt x="440" y="171"/>
                                    </a:cubicBezTo>
                                    <a:cubicBezTo>
                                      <a:pt x="441" y="171"/>
                                      <a:pt x="442" y="171"/>
                                      <a:pt x="443" y="171"/>
                                    </a:cubicBezTo>
                                    <a:cubicBezTo>
                                      <a:pt x="443" y="173"/>
                                      <a:pt x="443" y="173"/>
                                      <a:pt x="443" y="173"/>
                                    </a:cubicBezTo>
                                    <a:cubicBezTo>
                                      <a:pt x="437" y="174"/>
                                      <a:pt x="438" y="174"/>
                                      <a:pt x="432" y="173"/>
                                    </a:cubicBezTo>
                                    <a:cubicBezTo>
                                      <a:pt x="431" y="173"/>
                                      <a:pt x="426" y="183"/>
                                      <a:pt x="429" y="184"/>
                                    </a:cubicBezTo>
                                    <a:cubicBezTo>
                                      <a:pt x="426" y="185"/>
                                      <a:pt x="422" y="186"/>
                                      <a:pt x="421" y="190"/>
                                    </a:cubicBezTo>
                                    <a:cubicBezTo>
                                      <a:pt x="421" y="191"/>
                                      <a:pt x="421" y="193"/>
                                      <a:pt x="421" y="194"/>
                                    </a:cubicBezTo>
                                    <a:cubicBezTo>
                                      <a:pt x="418" y="195"/>
                                      <a:pt x="418" y="195"/>
                                      <a:pt x="418" y="195"/>
                                    </a:cubicBezTo>
                                    <a:cubicBezTo>
                                      <a:pt x="419" y="201"/>
                                      <a:pt x="417" y="199"/>
                                      <a:pt x="423" y="203"/>
                                    </a:cubicBezTo>
                                    <a:cubicBezTo>
                                      <a:pt x="422" y="204"/>
                                      <a:pt x="420" y="205"/>
                                      <a:pt x="419" y="205"/>
                                    </a:cubicBezTo>
                                    <a:cubicBezTo>
                                      <a:pt x="419" y="207"/>
                                      <a:pt x="419" y="207"/>
                                      <a:pt x="419" y="207"/>
                                    </a:cubicBezTo>
                                    <a:cubicBezTo>
                                      <a:pt x="418" y="208"/>
                                      <a:pt x="417" y="206"/>
                                      <a:pt x="416" y="207"/>
                                    </a:cubicBezTo>
                                    <a:cubicBezTo>
                                      <a:pt x="416" y="206"/>
                                      <a:pt x="416" y="205"/>
                                      <a:pt x="415" y="204"/>
                                    </a:cubicBezTo>
                                    <a:cubicBezTo>
                                      <a:pt x="414" y="204"/>
                                      <a:pt x="412" y="205"/>
                                      <a:pt x="411" y="204"/>
                                    </a:cubicBezTo>
                                    <a:cubicBezTo>
                                      <a:pt x="410" y="209"/>
                                      <a:pt x="408" y="216"/>
                                      <a:pt x="409" y="222"/>
                                    </a:cubicBezTo>
                                    <a:cubicBezTo>
                                      <a:pt x="411" y="222"/>
                                      <a:pt x="411" y="222"/>
                                      <a:pt x="411" y="222"/>
                                    </a:cubicBezTo>
                                    <a:cubicBezTo>
                                      <a:pt x="413" y="226"/>
                                      <a:pt x="415" y="228"/>
                                      <a:pt x="417" y="232"/>
                                    </a:cubicBezTo>
                                    <a:cubicBezTo>
                                      <a:pt x="418" y="233"/>
                                      <a:pt x="418" y="236"/>
                                      <a:pt x="418" y="237"/>
                                    </a:cubicBezTo>
                                    <a:cubicBezTo>
                                      <a:pt x="420" y="236"/>
                                      <a:pt x="419" y="239"/>
                                      <a:pt x="421" y="239"/>
                                    </a:cubicBezTo>
                                    <a:cubicBezTo>
                                      <a:pt x="422" y="239"/>
                                      <a:pt x="424" y="234"/>
                                      <a:pt x="425" y="234"/>
                                    </a:cubicBezTo>
                                    <a:cubicBezTo>
                                      <a:pt x="427" y="234"/>
                                      <a:pt x="426" y="235"/>
                                      <a:pt x="428" y="235"/>
                                    </a:cubicBezTo>
                                    <a:cubicBezTo>
                                      <a:pt x="427" y="241"/>
                                      <a:pt x="428" y="246"/>
                                      <a:pt x="428" y="250"/>
                                    </a:cubicBezTo>
                                    <a:cubicBezTo>
                                      <a:pt x="430" y="249"/>
                                      <a:pt x="428" y="249"/>
                                      <a:pt x="431" y="249"/>
                                    </a:cubicBezTo>
                                    <a:cubicBezTo>
                                      <a:pt x="429" y="250"/>
                                      <a:pt x="429" y="251"/>
                                      <a:pt x="429" y="252"/>
                                    </a:cubicBezTo>
                                    <a:cubicBezTo>
                                      <a:pt x="426" y="252"/>
                                      <a:pt x="426" y="250"/>
                                      <a:pt x="423" y="251"/>
                                    </a:cubicBezTo>
                                    <a:cubicBezTo>
                                      <a:pt x="422" y="252"/>
                                      <a:pt x="422" y="254"/>
                                      <a:pt x="422" y="254"/>
                                    </a:cubicBezTo>
                                    <a:cubicBezTo>
                                      <a:pt x="421" y="255"/>
                                      <a:pt x="419" y="254"/>
                                      <a:pt x="418" y="255"/>
                                    </a:cubicBezTo>
                                    <a:cubicBezTo>
                                      <a:pt x="417" y="256"/>
                                      <a:pt x="418" y="258"/>
                                      <a:pt x="417" y="258"/>
                                    </a:cubicBezTo>
                                    <a:cubicBezTo>
                                      <a:pt x="416" y="259"/>
                                      <a:pt x="415" y="258"/>
                                      <a:pt x="414" y="258"/>
                                    </a:cubicBezTo>
                                    <a:cubicBezTo>
                                      <a:pt x="412" y="259"/>
                                      <a:pt x="411" y="265"/>
                                      <a:pt x="410" y="269"/>
                                    </a:cubicBezTo>
                                    <a:cubicBezTo>
                                      <a:pt x="410" y="269"/>
                                      <a:pt x="405" y="269"/>
                                      <a:pt x="406" y="269"/>
                                    </a:cubicBezTo>
                                    <a:cubicBezTo>
                                      <a:pt x="404" y="269"/>
                                      <a:pt x="404" y="269"/>
                                      <a:pt x="404" y="269"/>
                                    </a:cubicBezTo>
                                    <a:cubicBezTo>
                                      <a:pt x="404" y="270"/>
                                      <a:pt x="404" y="273"/>
                                      <a:pt x="404" y="273"/>
                                    </a:cubicBezTo>
                                    <a:cubicBezTo>
                                      <a:pt x="403" y="274"/>
                                      <a:pt x="402" y="274"/>
                                      <a:pt x="401" y="274"/>
                                    </a:cubicBezTo>
                                    <a:cubicBezTo>
                                      <a:pt x="401" y="276"/>
                                      <a:pt x="400" y="276"/>
                                      <a:pt x="399" y="276"/>
                                    </a:cubicBezTo>
                                    <a:cubicBezTo>
                                      <a:pt x="400" y="279"/>
                                      <a:pt x="400" y="280"/>
                                      <a:pt x="401" y="283"/>
                                    </a:cubicBezTo>
                                    <a:cubicBezTo>
                                      <a:pt x="399" y="283"/>
                                      <a:pt x="398" y="282"/>
                                      <a:pt x="397" y="282"/>
                                    </a:cubicBezTo>
                                    <a:cubicBezTo>
                                      <a:pt x="397" y="283"/>
                                      <a:pt x="395" y="284"/>
                                      <a:pt x="395" y="284"/>
                                    </a:cubicBezTo>
                                    <a:cubicBezTo>
                                      <a:pt x="395" y="285"/>
                                      <a:pt x="396" y="292"/>
                                      <a:pt x="395" y="296"/>
                                    </a:cubicBezTo>
                                    <a:cubicBezTo>
                                      <a:pt x="394" y="299"/>
                                      <a:pt x="391" y="304"/>
                                      <a:pt x="390" y="307"/>
                                    </a:cubicBezTo>
                                    <a:cubicBezTo>
                                      <a:pt x="390" y="308"/>
                                      <a:pt x="391" y="311"/>
                                      <a:pt x="390" y="312"/>
                                    </a:cubicBezTo>
                                    <a:cubicBezTo>
                                      <a:pt x="390" y="312"/>
                                      <a:pt x="385" y="315"/>
                                      <a:pt x="384" y="316"/>
                                    </a:cubicBezTo>
                                    <a:cubicBezTo>
                                      <a:pt x="382" y="317"/>
                                      <a:pt x="382" y="320"/>
                                      <a:pt x="381" y="321"/>
                                    </a:cubicBezTo>
                                    <a:cubicBezTo>
                                      <a:pt x="379" y="323"/>
                                      <a:pt x="376" y="323"/>
                                      <a:pt x="374" y="324"/>
                                    </a:cubicBezTo>
                                    <a:cubicBezTo>
                                      <a:pt x="373" y="325"/>
                                      <a:pt x="374" y="328"/>
                                      <a:pt x="373" y="329"/>
                                    </a:cubicBezTo>
                                    <a:cubicBezTo>
                                      <a:pt x="372" y="331"/>
                                      <a:pt x="363" y="335"/>
                                      <a:pt x="362" y="336"/>
                                    </a:cubicBezTo>
                                    <a:cubicBezTo>
                                      <a:pt x="362" y="338"/>
                                      <a:pt x="362" y="338"/>
                                      <a:pt x="362" y="338"/>
                                    </a:cubicBezTo>
                                    <a:cubicBezTo>
                                      <a:pt x="359" y="340"/>
                                      <a:pt x="353" y="340"/>
                                      <a:pt x="350" y="342"/>
                                    </a:cubicBezTo>
                                    <a:cubicBezTo>
                                      <a:pt x="348" y="342"/>
                                      <a:pt x="345" y="347"/>
                                      <a:pt x="343" y="347"/>
                                    </a:cubicBezTo>
                                    <a:cubicBezTo>
                                      <a:pt x="341" y="348"/>
                                      <a:pt x="341" y="346"/>
                                      <a:pt x="339" y="346"/>
                                    </a:cubicBezTo>
                                    <a:cubicBezTo>
                                      <a:pt x="335" y="347"/>
                                      <a:pt x="330" y="352"/>
                                      <a:pt x="326" y="352"/>
                                    </a:cubicBezTo>
                                    <a:cubicBezTo>
                                      <a:pt x="324" y="352"/>
                                      <a:pt x="324" y="351"/>
                                      <a:pt x="323" y="351"/>
                                    </a:cubicBezTo>
                                    <a:cubicBezTo>
                                      <a:pt x="321" y="352"/>
                                      <a:pt x="320" y="355"/>
                                      <a:pt x="318" y="355"/>
                                    </a:cubicBezTo>
                                    <a:cubicBezTo>
                                      <a:pt x="315" y="356"/>
                                      <a:pt x="313" y="353"/>
                                      <a:pt x="309" y="354"/>
                                    </a:cubicBezTo>
                                    <a:cubicBezTo>
                                      <a:pt x="308" y="356"/>
                                      <a:pt x="308" y="356"/>
                                      <a:pt x="308" y="356"/>
                                    </a:cubicBezTo>
                                    <a:cubicBezTo>
                                      <a:pt x="305" y="357"/>
                                      <a:pt x="303" y="356"/>
                                      <a:pt x="300" y="357"/>
                                    </a:cubicBezTo>
                                    <a:cubicBezTo>
                                      <a:pt x="298" y="360"/>
                                      <a:pt x="298" y="360"/>
                                      <a:pt x="298" y="360"/>
                                    </a:cubicBezTo>
                                    <a:cubicBezTo>
                                      <a:pt x="297" y="360"/>
                                      <a:pt x="295" y="360"/>
                                      <a:pt x="294" y="360"/>
                                    </a:cubicBezTo>
                                    <a:cubicBezTo>
                                      <a:pt x="294" y="360"/>
                                      <a:pt x="292" y="363"/>
                                      <a:pt x="291" y="363"/>
                                    </a:cubicBezTo>
                                    <a:cubicBezTo>
                                      <a:pt x="290" y="363"/>
                                      <a:pt x="287" y="363"/>
                                      <a:pt x="285" y="364"/>
                                    </a:cubicBezTo>
                                    <a:cubicBezTo>
                                      <a:pt x="284" y="364"/>
                                      <a:pt x="284" y="367"/>
                                      <a:pt x="284" y="368"/>
                                    </a:cubicBezTo>
                                    <a:cubicBezTo>
                                      <a:pt x="283" y="367"/>
                                      <a:pt x="281" y="368"/>
                                      <a:pt x="281" y="368"/>
                                    </a:cubicBezTo>
                                    <a:cubicBezTo>
                                      <a:pt x="280" y="366"/>
                                      <a:pt x="280" y="366"/>
                                      <a:pt x="279" y="365"/>
                                    </a:cubicBezTo>
                                    <a:cubicBezTo>
                                      <a:pt x="279" y="364"/>
                                      <a:pt x="279" y="364"/>
                                      <a:pt x="279" y="364"/>
                                    </a:cubicBezTo>
                                    <a:cubicBezTo>
                                      <a:pt x="277" y="364"/>
                                      <a:pt x="276" y="366"/>
                                      <a:pt x="274" y="365"/>
                                    </a:cubicBezTo>
                                    <a:cubicBezTo>
                                      <a:pt x="273" y="365"/>
                                      <a:pt x="273" y="361"/>
                                      <a:pt x="272" y="360"/>
                                    </a:cubicBezTo>
                                    <a:cubicBezTo>
                                      <a:pt x="271" y="359"/>
                                      <a:pt x="270" y="360"/>
                                      <a:pt x="268" y="359"/>
                                    </a:cubicBezTo>
                                    <a:cubicBezTo>
                                      <a:pt x="268" y="359"/>
                                      <a:pt x="268" y="362"/>
                                      <a:pt x="267" y="362"/>
                                    </a:cubicBezTo>
                                    <a:cubicBezTo>
                                      <a:pt x="265" y="363"/>
                                      <a:pt x="266" y="362"/>
                                      <a:pt x="264" y="361"/>
                                    </a:cubicBezTo>
                                    <a:cubicBezTo>
                                      <a:pt x="264" y="362"/>
                                      <a:pt x="265" y="364"/>
                                      <a:pt x="264" y="365"/>
                                    </a:cubicBezTo>
                                    <a:cubicBezTo>
                                      <a:pt x="264" y="366"/>
                                      <a:pt x="263" y="365"/>
                                      <a:pt x="262" y="366"/>
                                    </a:cubicBezTo>
                                    <a:cubicBezTo>
                                      <a:pt x="259" y="368"/>
                                      <a:pt x="258" y="372"/>
                                      <a:pt x="258" y="376"/>
                                    </a:cubicBezTo>
                                    <a:cubicBezTo>
                                      <a:pt x="252" y="377"/>
                                      <a:pt x="249" y="376"/>
                                      <a:pt x="240" y="378"/>
                                    </a:cubicBezTo>
                                    <a:cubicBezTo>
                                      <a:pt x="236" y="380"/>
                                      <a:pt x="236" y="380"/>
                                      <a:pt x="236" y="380"/>
                                    </a:cubicBezTo>
                                    <a:cubicBezTo>
                                      <a:pt x="234" y="380"/>
                                      <a:pt x="235" y="378"/>
                                      <a:pt x="233" y="379"/>
                                    </a:cubicBezTo>
                                    <a:cubicBezTo>
                                      <a:pt x="232" y="379"/>
                                      <a:pt x="229" y="381"/>
                                      <a:pt x="229" y="381"/>
                                    </a:cubicBezTo>
                                    <a:cubicBezTo>
                                      <a:pt x="227" y="382"/>
                                      <a:pt x="226" y="380"/>
                                      <a:pt x="225" y="380"/>
                                    </a:cubicBezTo>
                                    <a:cubicBezTo>
                                      <a:pt x="225" y="381"/>
                                      <a:pt x="216" y="388"/>
                                      <a:pt x="215" y="388"/>
                                    </a:cubicBezTo>
                                    <a:cubicBezTo>
                                      <a:pt x="214" y="390"/>
                                      <a:pt x="214" y="392"/>
                                      <a:pt x="213" y="394"/>
                                    </a:cubicBezTo>
                                    <a:cubicBezTo>
                                      <a:pt x="210" y="396"/>
                                      <a:pt x="206" y="397"/>
                                      <a:pt x="203" y="399"/>
                                    </a:cubicBezTo>
                                    <a:cubicBezTo>
                                      <a:pt x="201" y="402"/>
                                      <a:pt x="201" y="402"/>
                                      <a:pt x="201" y="402"/>
                                    </a:cubicBezTo>
                                    <a:cubicBezTo>
                                      <a:pt x="198" y="402"/>
                                      <a:pt x="199" y="399"/>
                                      <a:pt x="195" y="400"/>
                                    </a:cubicBezTo>
                                    <a:cubicBezTo>
                                      <a:pt x="195" y="400"/>
                                      <a:pt x="195" y="402"/>
                                      <a:pt x="194" y="403"/>
                                    </a:cubicBezTo>
                                    <a:cubicBezTo>
                                      <a:pt x="193" y="403"/>
                                      <a:pt x="191" y="402"/>
                                      <a:pt x="189" y="403"/>
                                    </a:cubicBezTo>
                                    <a:cubicBezTo>
                                      <a:pt x="188" y="404"/>
                                      <a:pt x="188" y="404"/>
                                      <a:pt x="188" y="404"/>
                                    </a:cubicBezTo>
                                    <a:cubicBezTo>
                                      <a:pt x="186" y="405"/>
                                      <a:pt x="184" y="404"/>
                                      <a:pt x="183" y="404"/>
                                    </a:cubicBezTo>
                                    <a:cubicBezTo>
                                      <a:pt x="181" y="406"/>
                                      <a:pt x="181" y="406"/>
                                      <a:pt x="181" y="406"/>
                                    </a:cubicBezTo>
                                    <a:cubicBezTo>
                                      <a:pt x="179" y="406"/>
                                      <a:pt x="179" y="406"/>
                                      <a:pt x="179" y="406"/>
                                    </a:cubicBezTo>
                                    <a:cubicBezTo>
                                      <a:pt x="178" y="403"/>
                                      <a:pt x="178" y="402"/>
                                      <a:pt x="177" y="399"/>
                                    </a:cubicBezTo>
                                    <a:cubicBezTo>
                                      <a:pt x="176" y="399"/>
                                      <a:pt x="173" y="402"/>
                                      <a:pt x="173" y="402"/>
                                    </a:cubicBezTo>
                                    <a:cubicBezTo>
                                      <a:pt x="171" y="402"/>
                                      <a:pt x="166" y="400"/>
                                      <a:pt x="165" y="400"/>
                                    </a:cubicBezTo>
                                    <a:cubicBezTo>
                                      <a:pt x="163" y="400"/>
                                      <a:pt x="160" y="401"/>
                                      <a:pt x="158" y="402"/>
                                    </a:cubicBezTo>
                                    <a:cubicBezTo>
                                      <a:pt x="158" y="400"/>
                                      <a:pt x="158" y="397"/>
                                      <a:pt x="160" y="397"/>
                                    </a:cubicBezTo>
                                    <a:cubicBezTo>
                                      <a:pt x="160" y="395"/>
                                      <a:pt x="160" y="391"/>
                                      <a:pt x="159" y="391"/>
                                    </a:cubicBezTo>
                                    <a:cubicBezTo>
                                      <a:pt x="158" y="392"/>
                                      <a:pt x="158" y="392"/>
                                      <a:pt x="158" y="392"/>
                                    </a:cubicBezTo>
                                    <a:cubicBezTo>
                                      <a:pt x="155" y="394"/>
                                      <a:pt x="155" y="397"/>
                                      <a:pt x="153" y="399"/>
                                    </a:cubicBezTo>
                                    <a:cubicBezTo>
                                      <a:pt x="152" y="400"/>
                                      <a:pt x="150" y="400"/>
                                      <a:pt x="148" y="401"/>
                                    </a:cubicBezTo>
                                    <a:cubicBezTo>
                                      <a:pt x="148" y="401"/>
                                      <a:pt x="147" y="403"/>
                                      <a:pt x="146" y="404"/>
                                    </a:cubicBezTo>
                                    <a:cubicBezTo>
                                      <a:pt x="146" y="404"/>
                                      <a:pt x="143" y="402"/>
                                      <a:pt x="141" y="404"/>
                                    </a:cubicBezTo>
                                    <a:cubicBezTo>
                                      <a:pt x="140" y="404"/>
                                      <a:pt x="137" y="410"/>
                                      <a:pt x="137" y="410"/>
                                    </a:cubicBezTo>
                                    <a:cubicBezTo>
                                      <a:pt x="136" y="411"/>
                                      <a:pt x="134" y="410"/>
                                      <a:pt x="133" y="410"/>
                                    </a:cubicBezTo>
                                    <a:cubicBezTo>
                                      <a:pt x="132" y="411"/>
                                      <a:pt x="130" y="415"/>
                                      <a:pt x="129" y="415"/>
                                    </a:cubicBezTo>
                                    <a:cubicBezTo>
                                      <a:pt x="128" y="415"/>
                                      <a:pt x="126" y="413"/>
                                      <a:pt x="125" y="415"/>
                                    </a:cubicBezTo>
                                    <a:cubicBezTo>
                                      <a:pt x="123" y="417"/>
                                      <a:pt x="126" y="418"/>
                                      <a:pt x="124" y="420"/>
                                    </a:cubicBezTo>
                                    <a:cubicBezTo>
                                      <a:pt x="123" y="420"/>
                                      <a:pt x="121" y="420"/>
                                      <a:pt x="120" y="420"/>
                                    </a:cubicBezTo>
                                    <a:cubicBezTo>
                                      <a:pt x="120" y="422"/>
                                      <a:pt x="120" y="422"/>
                                      <a:pt x="120" y="422"/>
                                    </a:cubicBezTo>
                                    <a:cubicBezTo>
                                      <a:pt x="118" y="423"/>
                                      <a:pt x="119" y="423"/>
                                      <a:pt x="118" y="425"/>
                                    </a:cubicBezTo>
                                    <a:cubicBezTo>
                                      <a:pt x="117" y="424"/>
                                      <a:pt x="115" y="424"/>
                                      <a:pt x="115" y="424"/>
                                    </a:cubicBezTo>
                                    <a:cubicBezTo>
                                      <a:pt x="115" y="423"/>
                                      <a:pt x="115" y="423"/>
                                      <a:pt x="115" y="423"/>
                                    </a:cubicBezTo>
                                    <a:cubicBezTo>
                                      <a:pt x="113" y="423"/>
                                      <a:pt x="114" y="424"/>
                                      <a:pt x="112" y="424"/>
                                    </a:cubicBezTo>
                                    <a:cubicBezTo>
                                      <a:pt x="111" y="426"/>
                                      <a:pt x="111" y="431"/>
                                      <a:pt x="109" y="432"/>
                                    </a:cubicBezTo>
                                    <a:cubicBezTo>
                                      <a:pt x="107" y="434"/>
                                      <a:pt x="102" y="435"/>
                                      <a:pt x="99" y="436"/>
                                    </a:cubicBezTo>
                                    <a:cubicBezTo>
                                      <a:pt x="98" y="437"/>
                                      <a:pt x="98" y="440"/>
                                      <a:pt x="97" y="440"/>
                                    </a:cubicBezTo>
                                    <a:cubicBezTo>
                                      <a:pt x="96" y="441"/>
                                      <a:pt x="94" y="439"/>
                                      <a:pt x="92" y="440"/>
                                    </a:cubicBezTo>
                                    <a:cubicBezTo>
                                      <a:pt x="91" y="441"/>
                                      <a:pt x="87" y="450"/>
                                      <a:pt x="86" y="451"/>
                                    </a:cubicBezTo>
                                    <a:cubicBezTo>
                                      <a:pt x="85" y="451"/>
                                      <a:pt x="83" y="450"/>
                                      <a:pt x="82" y="451"/>
                                    </a:cubicBezTo>
                                    <a:cubicBezTo>
                                      <a:pt x="81" y="451"/>
                                      <a:pt x="82" y="454"/>
                                      <a:pt x="81" y="454"/>
                                    </a:cubicBezTo>
                                    <a:cubicBezTo>
                                      <a:pt x="80" y="455"/>
                                      <a:pt x="77" y="454"/>
                                      <a:pt x="76" y="454"/>
                                    </a:cubicBezTo>
                                    <a:cubicBezTo>
                                      <a:pt x="75" y="457"/>
                                      <a:pt x="75" y="457"/>
                                      <a:pt x="75" y="457"/>
                                    </a:cubicBezTo>
                                    <a:cubicBezTo>
                                      <a:pt x="74" y="459"/>
                                      <a:pt x="73" y="457"/>
                                      <a:pt x="72" y="457"/>
                                    </a:cubicBezTo>
                                    <a:cubicBezTo>
                                      <a:pt x="72" y="458"/>
                                      <a:pt x="72" y="460"/>
                                      <a:pt x="71" y="460"/>
                                    </a:cubicBezTo>
                                    <a:cubicBezTo>
                                      <a:pt x="69" y="460"/>
                                      <a:pt x="69" y="460"/>
                                      <a:pt x="69" y="460"/>
                                    </a:cubicBezTo>
                                    <a:cubicBezTo>
                                      <a:pt x="68" y="461"/>
                                      <a:pt x="66" y="465"/>
                                      <a:pt x="65" y="466"/>
                                    </a:cubicBezTo>
                                    <a:cubicBezTo>
                                      <a:pt x="62" y="468"/>
                                      <a:pt x="60" y="467"/>
                                      <a:pt x="58" y="469"/>
                                    </a:cubicBezTo>
                                    <a:cubicBezTo>
                                      <a:pt x="56" y="470"/>
                                      <a:pt x="56" y="470"/>
                                      <a:pt x="56" y="470"/>
                                    </a:cubicBezTo>
                                    <a:cubicBezTo>
                                      <a:pt x="55" y="471"/>
                                      <a:pt x="56" y="474"/>
                                      <a:pt x="56" y="476"/>
                                    </a:cubicBezTo>
                                    <a:cubicBezTo>
                                      <a:pt x="55" y="480"/>
                                      <a:pt x="49" y="485"/>
                                      <a:pt x="48" y="491"/>
                                    </a:cubicBezTo>
                                    <a:cubicBezTo>
                                      <a:pt x="48" y="495"/>
                                      <a:pt x="51" y="495"/>
                                      <a:pt x="50" y="498"/>
                                    </a:cubicBezTo>
                                    <a:cubicBezTo>
                                      <a:pt x="42" y="509"/>
                                      <a:pt x="42" y="509"/>
                                      <a:pt x="42" y="509"/>
                                    </a:cubicBezTo>
                                    <a:cubicBezTo>
                                      <a:pt x="41" y="510"/>
                                      <a:pt x="39" y="509"/>
                                      <a:pt x="39" y="510"/>
                                    </a:cubicBezTo>
                                    <a:cubicBezTo>
                                      <a:pt x="38" y="511"/>
                                      <a:pt x="37" y="514"/>
                                      <a:pt x="37" y="515"/>
                                    </a:cubicBezTo>
                                    <a:cubicBezTo>
                                      <a:pt x="35" y="514"/>
                                      <a:pt x="35" y="514"/>
                                      <a:pt x="32" y="514"/>
                                    </a:cubicBezTo>
                                    <a:cubicBezTo>
                                      <a:pt x="34" y="509"/>
                                      <a:pt x="36" y="506"/>
                                      <a:pt x="33" y="500"/>
                                    </a:cubicBezTo>
                                    <a:cubicBezTo>
                                      <a:pt x="32" y="498"/>
                                      <a:pt x="29" y="496"/>
                                      <a:pt x="29" y="495"/>
                                    </a:cubicBezTo>
                                    <a:cubicBezTo>
                                      <a:pt x="29" y="492"/>
                                      <a:pt x="31" y="492"/>
                                      <a:pt x="31" y="491"/>
                                    </a:cubicBezTo>
                                    <a:cubicBezTo>
                                      <a:pt x="31" y="489"/>
                                      <a:pt x="29" y="484"/>
                                      <a:pt x="28" y="481"/>
                                    </a:cubicBezTo>
                                    <a:cubicBezTo>
                                      <a:pt x="26" y="483"/>
                                      <a:pt x="24" y="483"/>
                                      <a:pt x="21" y="484"/>
                                    </a:cubicBezTo>
                                    <a:cubicBezTo>
                                      <a:pt x="23" y="485"/>
                                      <a:pt x="23" y="488"/>
                                      <a:pt x="22" y="490"/>
                                    </a:cubicBezTo>
                                    <a:cubicBezTo>
                                      <a:pt x="22" y="490"/>
                                      <a:pt x="21" y="497"/>
                                      <a:pt x="20" y="500"/>
                                    </a:cubicBezTo>
                                    <a:cubicBezTo>
                                      <a:pt x="18" y="501"/>
                                      <a:pt x="18" y="501"/>
                                      <a:pt x="18" y="501"/>
                                    </a:cubicBezTo>
                                    <a:cubicBezTo>
                                      <a:pt x="16" y="507"/>
                                      <a:pt x="16" y="517"/>
                                      <a:pt x="17" y="523"/>
                                    </a:cubicBezTo>
                                    <a:cubicBezTo>
                                      <a:pt x="17" y="523"/>
                                      <a:pt x="17" y="524"/>
                                      <a:pt x="18" y="525"/>
                                    </a:cubicBezTo>
                                    <a:cubicBezTo>
                                      <a:pt x="19" y="528"/>
                                      <a:pt x="27" y="536"/>
                                      <a:pt x="27" y="537"/>
                                    </a:cubicBezTo>
                                    <a:cubicBezTo>
                                      <a:pt x="29" y="542"/>
                                      <a:pt x="25" y="543"/>
                                      <a:pt x="24" y="545"/>
                                    </a:cubicBezTo>
                                    <a:cubicBezTo>
                                      <a:pt x="23" y="550"/>
                                      <a:pt x="26" y="562"/>
                                      <a:pt x="28" y="564"/>
                                    </a:cubicBezTo>
                                    <a:cubicBezTo>
                                      <a:pt x="31" y="566"/>
                                      <a:pt x="25" y="570"/>
                                      <a:pt x="24" y="571"/>
                                    </a:cubicBezTo>
                                    <a:cubicBezTo>
                                      <a:pt x="24" y="571"/>
                                      <a:pt x="23" y="574"/>
                                      <a:pt x="21" y="574"/>
                                    </a:cubicBezTo>
                                    <a:cubicBezTo>
                                      <a:pt x="21" y="574"/>
                                      <a:pt x="21" y="574"/>
                                      <a:pt x="21" y="574"/>
                                    </a:cubicBezTo>
                                    <a:cubicBezTo>
                                      <a:pt x="20" y="575"/>
                                      <a:pt x="21" y="577"/>
                                      <a:pt x="21" y="578"/>
                                    </a:cubicBezTo>
                                    <a:cubicBezTo>
                                      <a:pt x="19" y="578"/>
                                      <a:pt x="19" y="578"/>
                                      <a:pt x="19" y="578"/>
                                    </a:cubicBezTo>
                                    <a:cubicBezTo>
                                      <a:pt x="18" y="580"/>
                                      <a:pt x="16" y="582"/>
                                      <a:pt x="16" y="583"/>
                                    </a:cubicBezTo>
                                    <a:cubicBezTo>
                                      <a:pt x="15" y="584"/>
                                      <a:pt x="17" y="589"/>
                                      <a:pt x="17" y="589"/>
                                    </a:cubicBezTo>
                                    <a:cubicBezTo>
                                      <a:pt x="16" y="589"/>
                                      <a:pt x="14" y="613"/>
                                      <a:pt x="14" y="617"/>
                                    </a:cubicBezTo>
                                    <a:cubicBezTo>
                                      <a:pt x="14" y="619"/>
                                      <a:pt x="17" y="625"/>
                                      <a:pt x="18" y="626"/>
                                    </a:cubicBezTo>
                                    <a:cubicBezTo>
                                      <a:pt x="18" y="628"/>
                                      <a:pt x="17" y="631"/>
                                      <a:pt x="18" y="632"/>
                                    </a:cubicBezTo>
                                    <a:cubicBezTo>
                                      <a:pt x="19" y="635"/>
                                      <a:pt x="22" y="633"/>
                                      <a:pt x="24" y="635"/>
                                    </a:cubicBezTo>
                                    <a:cubicBezTo>
                                      <a:pt x="25" y="635"/>
                                      <a:pt x="30" y="642"/>
                                      <a:pt x="30" y="642"/>
                                    </a:cubicBezTo>
                                    <a:cubicBezTo>
                                      <a:pt x="31" y="644"/>
                                      <a:pt x="31" y="646"/>
                                      <a:pt x="31" y="648"/>
                                    </a:cubicBezTo>
                                    <a:cubicBezTo>
                                      <a:pt x="34" y="649"/>
                                      <a:pt x="34" y="649"/>
                                      <a:pt x="34" y="649"/>
                                    </a:cubicBezTo>
                                    <a:cubicBezTo>
                                      <a:pt x="34" y="651"/>
                                      <a:pt x="33" y="650"/>
                                      <a:pt x="32" y="650"/>
                                    </a:cubicBezTo>
                                    <a:cubicBezTo>
                                      <a:pt x="32" y="651"/>
                                      <a:pt x="35" y="661"/>
                                      <a:pt x="35" y="661"/>
                                    </a:cubicBezTo>
                                    <a:cubicBezTo>
                                      <a:pt x="36" y="662"/>
                                      <a:pt x="39" y="661"/>
                                      <a:pt x="41" y="662"/>
                                    </a:cubicBezTo>
                                    <a:cubicBezTo>
                                      <a:pt x="41" y="662"/>
                                      <a:pt x="41" y="665"/>
                                      <a:pt x="42" y="666"/>
                                    </a:cubicBezTo>
                                    <a:cubicBezTo>
                                      <a:pt x="43" y="667"/>
                                      <a:pt x="44" y="666"/>
                                      <a:pt x="45" y="667"/>
                                    </a:cubicBezTo>
                                    <a:cubicBezTo>
                                      <a:pt x="48" y="668"/>
                                      <a:pt x="47" y="672"/>
                                      <a:pt x="49" y="675"/>
                                    </a:cubicBezTo>
                                    <a:cubicBezTo>
                                      <a:pt x="52" y="676"/>
                                      <a:pt x="52" y="676"/>
                                      <a:pt x="52" y="676"/>
                                    </a:cubicBezTo>
                                    <a:cubicBezTo>
                                      <a:pt x="54" y="677"/>
                                      <a:pt x="53" y="680"/>
                                      <a:pt x="54" y="681"/>
                                    </a:cubicBezTo>
                                    <a:cubicBezTo>
                                      <a:pt x="57" y="685"/>
                                      <a:pt x="61" y="689"/>
                                      <a:pt x="63" y="694"/>
                                    </a:cubicBezTo>
                                    <a:cubicBezTo>
                                      <a:pt x="64" y="695"/>
                                      <a:pt x="64" y="695"/>
                                      <a:pt x="64" y="695"/>
                                    </a:cubicBezTo>
                                    <a:cubicBezTo>
                                      <a:pt x="65" y="696"/>
                                      <a:pt x="67" y="696"/>
                                      <a:pt x="68" y="697"/>
                                    </a:cubicBezTo>
                                    <a:cubicBezTo>
                                      <a:pt x="70" y="703"/>
                                      <a:pt x="67" y="713"/>
                                      <a:pt x="69" y="720"/>
                                    </a:cubicBezTo>
                                    <a:cubicBezTo>
                                      <a:pt x="69" y="721"/>
                                      <a:pt x="69" y="724"/>
                                      <a:pt x="69" y="725"/>
                                    </a:cubicBezTo>
                                    <a:cubicBezTo>
                                      <a:pt x="59" y="733"/>
                                      <a:pt x="60" y="728"/>
                                      <a:pt x="55" y="718"/>
                                    </a:cubicBezTo>
                                    <a:cubicBezTo>
                                      <a:pt x="53" y="718"/>
                                      <a:pt x="53" y="718"/>
                                      <a:pt x="53" y="718"/>
                                    </a:cubicBezTo>
                                    <a:cubicBezTo>
                                      <a:pt x="50" y="726"/>
                                      <a:pt x="54" y="720"/>
                                      <a:pt x="47" y="724"/>
                                    </a:cubicBezTo>
                                    <a:cubicBezTo>
                                      <a:pt x="47" y="720"/>
                                      <a:pt x="47" y="710"/>
                                      <a:pt x="45" y="707"/>
                                    </a:cubicBezTo>
                                    <a:cubicBezTo>
                                      <a:pt x="45" y="707"/>
                                      <a:pt x="45" y="707"/>
                                      <a:pt x="45" y="707"/>
                                    </a:cubicBezTo>
                                    <a:cubicBezTo>
                                      <a:pt x="43" y="706"/>
                                      <a:pt x="40" y="701"/>
                                      <a:pt x="38" y="701"/>
                                    </a:cubicBezTo>
                                    <a:cubicBezTo>
                                      <a:pt x="37" y="701"/>
                                      <a:pt x="37" y="701"/>
                                      <a:pt x="37" y="701"/>
                                    </a:cubicBezTo>
                                    <a:cubicBezTo>
                                      <a:pt x="37" y="701"/>
                                      <a:pt x="37" y="699"/>
                                      <a:pt x="37" y="698"/>
                                    </a:cubicBezTo>
                                    <a:cubicBezTo>
                                      <a:pt x="35" y="698"/>
                                      <a:pt x="35" y="698"/>
                                      <a:pt x="35" y="698"/>
                                    </a:cubicBezTo>
                                    <a:cubicBezTo>
                                      <a:pt x="34" y="697"/>
                                      <a:pt x="34" y="694"/>
                                      <a:pt x="33" y="693"/>
                                    </a:cubicBezTo>
                                    <a:cubicBezTo>
                                      <a:pt x="33" y="693"/>
                                      <a:pt x="29" y="691"/>
                                      <a:pt x="28" y="691"/>
                                    </a:cubicBezTo>
                                    <a:cubicBezTo>
                                      <a:pt x="28" y="693"/>
                                      <a:pt x="27" y="692"/>
                                      <a:pt x="27" y="695"/>
                                    </a:cubicBezTo>
                                    <a:cubicBezTo>
                                      <a:pt x="27" y="698"/>
                                      <a:pt x="31" y="702"/>
                                      <a:pt x="32" y="704"/>
                                    </a:cubicBezTo>
                                    <a:cubicBezTo>
                                      <a:pt x="33" y="707"/>
                                      <a:pt x="33" y="711"/>
                                      <a:pt x="33" y="713"/>
                                    </a:cubicBezTo>
                                    <a:cubicBezTo>
                                      <a:pt x="33" y="713"/>
                                      <a:pt x="37" y="712"/>
                                      <a:pt x="37" y="713"/>
                                    </a:cubicBezTo>
                                    <a:cubicBezTo>
                                      <a:pt x="39" y="715"/>
                                      <a:pt x="38" y="719"/>
                                      <a:pt x="41" y="721"/>
                                    </a:cubicBezTo>
                                    <a:cubicBezTo>
                                      <a:pt x="48" y="726"/>
                                      <a:pt x="48" y="726"/>
                                      <a:pt x="48" y="726"/>
                                    </a:cubicBezTo>
                                    <a:cubicBezTo>
                                      <a:pt x="49" y="727"/>
                                      <a:pt x="52" y="726"/>
                                      <a:pt x="53" y="725"/>
                                    </a:cubicBezTo>
                                    <a:cubicBezTo>
                                      <a:pt x="54" y="727"/>
                                      <a:pt x="57" y="730"/>
                                      <a:pt x="58" y="732"/>
                                    </a:cubicBezTo>
                                    <a:cubicBezTo>
                                      <a:pt x="59" y="736"/>
                                      <a:pt x="57" y="743"/>
                                      <a:pt x="56" y="745"/>
                                    </a:cubicBezTo>
                                    <a:cubicBezTo>
                                      <a:pt x="56" y="746"/>
                                      <a:pt x="53" y="747"/>
                                      <a:pt x="52" y="747"/>
                                    </a:cubicBezTo>
                                    <a:cubicBezTo>
                                      <a:pt x="51" y="746"/>
                                      <a:pt x="50" y="744"/>
                                      <a:pt x="50" y="744"/>
                                    </a:cubicBezTo>
                                    <a:cubicBezTo>
                                      <a:pt x="49" y="744"/>
                                      <a:pt x="49" y="744"/>
                                      <a:pt x="49" y="744"/>
                                    </a:cubicBezTo>
                                    <a:cubicBezTo>
                                      <a:pt x="49" y="743"/>
                                      <a:pt x="46" y="740"/>
                                      <a:pt x="45" y="738"/>
                                    </a:cubicBezTo>
                                    <a:cubicBezTo>
                                      <a:pt x="43" y="738"/>
                                      <a:pt x="43" y="738"/>
                                      <a:pt x="43" y="738"/>
                                    </a:cubicBezTo>
                                    <a:cubicBezTo>
                                      <a:pt x="41" y="736"/>
                                      <a:pt x="41" y="734"/>
                                      <a:pt x="40" y="732"/>
                                    </a:cubicBezTo>
                                    <a:cubicBezTo>
                                      <a:pt x="38" y="732"/>
                                      <a:pt x="38" y="732"/>
                                      <a:pt x="38" y="732"/>
                                    </a:cubicBezTo>
                                    <a:cubicBezTo>
                                      <a:pt x="37" y="732"/>
                                      <a:pt x="34" y="728"/>
                                      <a:pt x="34" y="727"/>
                                    </a:cubicBezTo>
                                    <a:cubicBezTo>
                                      <a:pt x="34" y="728"/>
                                      <a:pt x="32" y="730"/>
                                      <a:pt x="34" y="731"/>
                                    </a:cubicBezTo>
                                    <a:cubicBezTo>
                                      <a:pt x="35" y="731"/>
                                      <a:pt x="36" y="734"/>
                                      <a:pt x="33" y="733"/>
                                    </a:cubicBezTo>
                                    <a:cubicBezTo>
                                      <a:pt x="33" y="733"/>
                                      <a:pt x="31" y="730"/>
                                      <a:pt x="30" y="730"/>
                                    </a:cubicBezTo>
                                    <a:cubicBezTo>
                                      <a:pt x="29" y="732"/>
                                      <a:pt x="30" y="732"/>
                                      <a:pt x="28" y="733"/>
                                    </a:cubicBezTo>
                                    <a:cubicBezTo>
                                      <a:pt x="28" y="735"/>
                                      <a:pt x="28" y="735"/>
                                      <a:pt x="28" y="735"/>
                                    </a:cubicBezTo>
                                    <a:cubicBezTo>
                                      <a:pt x="29" y="736"/>
                                      <a:pt x="32" y="737"/>
                                      <a:pt x="33" y="738"/>
                                    </a:cubicBezTo>
                                    <a:cubicBezTo>
                                      <a:pt x="34" y="739"/>
                                      <a:pt x="34" y="741"/>
                                      <a:pt x="35" y="742"/>
                                    </a:cubicBezTo>
                                    <a:cubicBezTo>
                                      <a:pt x="36" y="743"/>
                                      <a:pt x="38" y="741"/>
                                      <a:pt x="40" y="743"/>
                                    </a:cubicBezTo>
                                    <a:cubicBezTo>
                                      <a:pt x="41" y="743"/>
                                      <a:pt x="41" y="746"/>
                                      <a:pt x="42" y="747"/>
                                    </a:cubicBezTo>
                                    <a:cubicBezTo>
                                      <a:pt x="43" y="748"/>
                                      <a:pt x="45" y="748"/>
                                      <a:pt x="46" y="749"/>
                                    </a:cubicBezTo>
                                    <a:cubicBezTo>
                                      <a:pt x="48" y="750"/>
                                      <a:pt x="47" y="753"/>
                                      <a:pt x="48" y="754"/>
                                    </a:cubicBezTo>
                                    <a:cubicBezTo>
                                      <a:pt x="49" y="755"/>
                                      <a:pt x="52" y="757"/>
                                      <a:pt x="53" y="758"/>
                                    </a:cubicBezTo>
                                    <a:cubicBezTo>
                                      <a:pt x="56" y="761"/>
                                      <a:pt x="56" y="764"/>
                                      <a:pt x="58" y="769"/>
                                    </a:cubicBezTo>
                                    <a:cubicBezTo>
                                      <a:pt x="59" y="770"/>
                                      <a:pt x="62" y="771"/>
                                      <a:pt x="63" y="772"/>
                                    </a:cubicBezTo>
                                    <a:cubicBezTo>
                                      <a:pt x="63" y="773"/>
                                      <a:pt x="63" y="775"/>
                                      <a:pt x="64" y="776"/>
                                    </a:cubicBezTo>
                                    <a:cubicBezTo>
                                      <a:pt x="65" y="777"/>
                                      <a:pt x="66" y="777"/>
                                      <a:pt x="68" y="778"/>
                                    </a:cubicBezTo>
                                    <a:cubicBezTo>
                                      <a:pt x="68" y="779"/>
                                      <a:pt x="78" y="791"/>
                                      <a:pt x="78" y="792"/>
                                    </a:cubicBezTo>
                                    <a:cubicBezTo>
                                      <a:pt x="80" y="795"/>
                                      <a:pt x="79" y="799"/>
                                      <a:pt x="81" y="803"/>
                                    </a:cubicBezTo>
                                    <a:cubicBezTo>
                                      <a:pt x="82" y="803"/>
                                      <a:pt x="82" y="803"/>
                                      <a:pt x="82" y="803"/>
                                    </a:cubicBezTo>
                                    <a:cubicBezTo>
                                      <a:pt x="83" y="803"/>
                                      <a:pt x="83" y="805"/>
                                      <a:pt x="83" y="806"/>
                                    </a:cubicBezTo>
                                    <a:cubicBezTo>
                                      <a:pt x="85" y="806"/>
                                      <a:pt x="85" y="806"/>
                                      <a:pt x="85" y="806"/>
                                    </a:cubicBezTo>
                                    <a:cubicBezTo>
                                      <a:pt x="85" y="809"/>
                                      <a:pt x="80" y="813"/>
                                      <a:pt x="83" y="820"/>
                                    </a:cubicBezTo>
                                    <a:cubicBezTo>
                                      <a:pt x="84" y="820"/>
                                      <a:pt x="84" y="820"/>
                                      <a:pt x="84" y="820"/>
                                    </a:cubicBezTo>
                                    <a:cubicBezTo>
                                      <a:pt x="88" y="823"/>
                                      <a:pt x="91" y="833"/>
                                      <a:pt x="95" y="837"/>
                                    </a:cubicBezTo>
                                    <a:cubicBezTo>
                                      <a:pt x="98" y="839"/>
                                      <a:pt x="104" y="839"/>
                                      <a:pt x="106" y="842"/>
                                    </a:cubicBezTo>
                                    <a:cubicBezTo>
                                      <a:pt x="107" y="844"/>
                                      <a:pt x="106" y="845"/>
                                      <a:pt x="107" y="846"/>
                                    </a:cubicBezTo>
                                    <a:cubicBezTo>
                                      <a:pt x="109" y="847"/>
                                      <a:pt x="109" y="847"/>
                                      <a:pt x="109" y="847"/>
                                    </a:cubicBezTo>
                                    <a:cubicBezTo>
                                      <a:pt x="111" y="852"/>
                                      <a:pt x="109" y="859"/>
                                      <a:pt x="110" y="864"/>
                                    </a:cubicBezTo>
                                    <a:cubicBezTo>
                                      <a:pt x="112" y="865"/>
                                      <a:pt x="112" y="865"/>
                                      <a:pt x="112" y="865"/>
                                    </a:cubicBezTo>
                                    <a:cubicBezTo>
                                      <a:pt x="115" y="869"/>
                                      <a:pt x="116" y="868"/>
                                      <a:pt x="122" y="869"/>
                                    </a:cubicBezTo>
                                    <a:cubicBezTo>
                                      <a:pt x="125" y="876"/>
                                      <a:pt x="127" y="882"/>
                                      <a:pt x="131" y="886"/>
                                    </a:cubicBezTo>
                                    <a:cubicBezTo>
                                      <a:pt x="133" y="888"/>
                                      <a:pt x="137" y="889"/>
                                      <a:pt x="139" y="891"/>
                                    </a:cubicBezTo>
                                    <a:cubicBezTo>
                                      <a:pt x="139" y="897"/>
                                      <a:pt x="139" y="897"/>
                                      <a:pt x="139" y="897"/>
                                    </a:cubicBezTo>
                                    <a:cubicBezTo>
                                      <a:pt x="140" y="900"/>
                                      <a:pt x="144" y="907"/>
                                      <a:pt x="144" y="910"/>
                                    </a:cubicBezTo>
                                    <a:cubicBezTo>
                                      <a:pt x="145" y="913"/>
                                      <a:pt x="144" y="918"/>
                                      <a:pt x="144" y="921"/>
                                    </a:cubicBezTo>
                                    <a:cubicBezTo>
                                      <a:pt x="146" y="921"/>
                                      <a:pt x="146" y="921"/>
                                      <a:pt x="146" y="921"/>
                                    </a:cubicBezTo>
                                    <a:cubicBezTo>
                                      <a:pt x="147" y="922"/>
                                      <a:pt x="148" y="924"/>
                                      <a:pt x="148" y="925"/>
                                    </a:cubicBezTo>
                                    <a:cubicBezTo>
                                      <a:pt x="150" y="931"/>
                                      <a:pt x="149" y="936"/>
                                      <a:pt x="151" y="941"/>
                                    </a:cubicBezTo>
                                    <a:cubicBezTo>
                                      <a:pt x="152" y="945"/>
                                      <a:pt x="156" y="947"/>
                                      <a:pt x="157" y="950"/>
                                    </a:cubicBezTo>
                                    <a:cubicBezTo>
                                      <a:pt x="157" y="951"/>
                                      <a:pt x="157" y="952"/>
                                      <a:pt x="157" y="953"/>
                                    </a:cubicBezTo>
                                    <a:cubicBezTo>
                                      <a:pt x="157" y="955"/>
                                      <a:pt x="160" y="957"/>
                                      <a:pt x="161" y="959"/>
                                    </a:cubicBezTo>
                                    <a:cubicBezTo>
                                      <a:pt x="162" y="963"/>
                                      <a:pt x="162" y="967"/>
                                      <a:pt x="164" y="970"/>
                                    </a:cubicBezTo>
                                    <a:cubicBezTo>
                                      <a:pt x="166" y="973"/>
                                      <a:pt x="173" y="975"/>
                                      <a:pt x="175" y="979"/>
                                    </a:cubicBezTo>
                                    <a:cubicBezTo>
                                      <a:pt x="177" y="983"/>
                                      <a:pt x="175" y="988"/>
                                      <a:pt x="177" y="991"/>
                                    </a:cubicBezTo>
                                    <a:cubicBezTo>
                                      <a:pt x="178" y="993"/>
                                      <a:pt x="182" y="995"/>
                                      <a:pt x="184" y="997"/>
                                    </a:cubicBezTo>
                                    <a:cubicBezTo>
                                      <a:pt x="186" y="1000"/>
                                      <a:pt x="185" y="1004"/>
                                      <a:pt x="187" y="1008"/>
                                    </a:cubicBezTo>
                                    <a:cubicBezTo>
                                      <a:pt x="187" y="1010"/>
                                      <a:pt x="193" y="1012"/>
                                      <a:pt x="193" y="1014"/>
                                    </a:cubicBezTo>
                                    <a:cubicBezTo>
                                      <a:pt x="194" y="1015"/>
                                      <a:pt x="193" y="1017"/>
                                      <a:pt x="193" y="1019"/>
                                    </a:cubicBezTo>
                                    <a:cubicBezTo>
                                      <a:pt x="194" y="1023"/>
                                      <a:pt x="196" y="1027"/>
                                      <a:pt x="196" y="1034"/>
                                    </a:cubicBezTo>
                                    <a:cubicBezTo>
                                      <a:pt x="198" y="1033"/>
                                      <a:pt x="197" y="1033"/>
                                      <a:pt x="197" y="1030"/>
                                    </a:cubicBezTo>
                                    <a:cubicBezTo>
                                      <a:pt x="200" y="1032"/>
                                      <a:pt x="199" y="1028"/>
                                      <a:pt x="201" y="1029"/>
                                    </a:cubicBezTo>
                                    <a:cubicBezTo>
                                      <a:pt x="202" y="1029"/>
                                      <a:pt x="203" y="1032"/>
                                      <a:pt x="204" y="1033"/>
                                    </a:cubicBezTo>
                                    <a:cubicBezTo>
                                      <a:pt x="204" y="1035"/>
                                      <a:pt x="204" y="1035"/>
                                      <a:pt x="204" y="1035"/>
                                    </a:cubicBezTo>
                                    <a:cubicBezTo>
                                      <a:pt x="203" y="1034"/>
                                      <a:pt x="203" y="1034"/>
                                      <a:pt x="201" y="1034"/>
                                    </a:cubicBezTo>
                                    <a:cubicBezTo>
                                      <a:pt x="201" y="1037"/>
                                      <a:pt x="201" y="1037"/>
                                      <a:pt x="201" y="1037"/>
                                    </a:cubicBezTo>
                                    <a:cubicBezTo>
                                      <a:pt x="199" y="1038"/>
                                      <a:pt x="200" y="1035"/>
                                      <a:pt x="197" y="1036"/>
                                    </a:cubicBezTo>
                                    <a:cubicBezTo>
                                      <a:pt x="198" y="1039"/>
                                      <a:pt x="197" y="1042"/>
                                      <a:pt x="198" y="1046"/>
                                    </a:cubicBezTo>
                                    <a:cubicBezTo>
                                      <a:pt x="198" y="1046"/>
                                      <a:pt x="200" y="1046"/>
                                      <a:pt x="200" y="1047"/>
                                    </a:cubicBezTo>
                                    <a:cubicBezTo>
                                      <a:pt x="201" y="1047"/>
                                      <a:pt x="201" y="1047"/>
                                      <a:pt x="201" y="1047"/>
                                    </a:cubicBezTo>
                                    <a:cubicBezTo>
                                      <a:pt x="201" y="1050"/>
                                      <a:pt x="199" y="1053"/>
                                      <a:pt x="199" y="1056"/>
                                    </a:cubicBezTo>
                                    <a:cubicBezTo>
                                      <a:pt x="199" y="1057"/>
                                      <a:pt x="201" y="1057"/>
                                      <a:pt x="201" y="1060"/>
                                    </a:cubicBezTo>
                                    <a:cubicBezTo>
                                      <a:pt x="198" y="1063"/>
                                      <a:pt x="198" y="1063"/>
                                      <a:pt x="198" y="1063"/>
                                    </a:cubicBezTo>
                                    <a:cubicBezTo>
                                      <a:pt x="198" y="1065"/>
                                      <a:pt x="201" y="1068"/>
                                      <a:pt x="197" y="1068"/>
                                    </a:cubicBezTo>
                                    <a:cubicBezTo>
                                      <a:pt x="197" y="1070"/>
                                      <a:pt x="197" y="1070"/>
                                      <a:pt x="197" y="1070"/>
                                    </a:cubicBezTo>
                                    <a:cubicBezTo>
                                      <a:pt x="198" y="1071"/>
                                      <a:pt x="201" y="1072"/>
                                      <a:pt x="202" y="1073"/>
                                    </a:cubicBezTo>
                                    <a:cubicBezTo>
                                      <a:pt x="204" y="1076"/>
                                      <a:pt x="207" y="1088"/>
                                      <a:pt x="208" y="1091"/>
                                    </a:cubicBezTo>
                                    <a:cubicBezTo>
                                      <a:pt x="210" y="1101"/>
                                      <a:pt x="209" y="1118"/>
                                      <a:pt x="206" y="1126"/>
                                    </a:cubicBezTo>
                                    <a:cubicBezTo>
                                      <a:pt x="205" y="1128"/>
                                      <a:pt x="203" y="1129"/>
                                      <a:pt x="202" y="1130"/>
                                    </a:cubicBezTo>
                                    <a:cubicBezTo>
                                      <a:pt x="202" y="1131"/>
                                      <a:pt x="202" y="1133"/>
                                      <a:pt x="202" y="1134"/>
                                    </a:cubicBezTo>
                                    <a:cubicBezTo>
                                      <a:pt x="202" y="1135"/>
                                      <a:pt x="199" y="1137"/>
                                      <a:pt x="198" y="1138"/>
                                    </a:cubicBezTo>
                                    <a:cubicBezTo>
                                      <a:pt x="197" y="1139"/>
                                      <a:pt x="198" y="1141"/>
                                      <a:pt x="197" y="1143"/>
                                    </a:cubicBezTo>
                                    <a:cubicBezTo>
                                      <a:pt x="193" y="1141"/>
                                      <a:pt x="192" y="1140"/>
                                      <a:pt x="187" y="1139"/>
                                    </a:cubicBezTo>
                                    <a:cubicBezTo>
                                      <a:pt x="187" y="1141"/>
                                      <a:pt x="185" y="1140"/>
                                      <a:pt x="186" y="1143"/>
                                    </a:cubicBezTo>
                                    <a:cubicBezTo>
                                      <a:pt x="186" y="1144"/>
                                      <a:pt x="189" y="1145"/>
                                      <a:pt x="191" y="1145"/>
                                    </a:cubicBezTo>
                                    <a:cubicBezTo>
                                      <a:pt x="192" y="1148"/>
                                      <a:pt x="192" y="1149"/>
                                      <a:pt x="192" y="1152"/>
                                    </a:cubicBezTo>
                                    <a:cubicBezTo>
                                      <a:pt x="194" y="1158"/>
                                      <a:pt x="195" y="1162"/>
                                      <a:pt x="195" y="1168"/>
                                    </a:cubicBezTo>
                                    <a:cubicBezTo>
                                      <a:pt x="198" y="1169"/>
                                      <a:pt x="197" y="1167"/>
                                      <a:pt x="200" y="1168"/>
                                    </a:cubicBezTo>
                                    <a:cubicBezTo>
                                      <a:pt x="203" y="1171"/>
                                      <a:pt x="203" y="1171"/>
                                      <a:pt x="203" y="1171"/>
                                    </a:cubicBezTo>
                                    <a:cubicBezTo>
                                      <a:pt x="206" y="1173"/>
                                      <a:pt x="208" y="1171"/>
                                      <a:pt x="212" y="1172"/>
                                    </a:cubicBezTo>
                                    <a:cubicBezTo>
                                      <a:pt x="218" y="1176"/>
                                      <a:pt x="218" y="1176"/>
                                      <a:pt x="218" y="1176"/>
                                    </a:cubicBezTo>
                                    <a:cubicBezTo>
                                      <a:pt x="222" y="1177"/>
                                      <a:pt x="224" y="1176"/>
                                      <a:pt x="227" y="1177"/>
                                    </a:cubicBezTo>
                                    <a:cubicBezTo>
                                      <a:pt x="228" y="1177"/>
                                      <a:pt x="228" y="1180"/>
                                      <a:pt x="229" y="1180"/>
                                    </a:cubicBezTo>
                                    <a:cubicBezTo>
                                      <a:pt x="230" y="1180"/>
                                      <a:pt x="232" y="1179"/>
                                      <a:pt x="233" y="1180"/>
                                    </a:cubicBezTo>
                                    <a:cubicBezTo>
                                      <a:pt x="237" y="1183"/>
                                      <a:pt x="244" y="1193"/>
                                      <a:pt x="248" y="1195"/>
                                    </a:cubicBezTo>
                                    <a:cubicBezTo>
                                      <a:pt x="253" y="1197"/>
                                      <a:pt x="256" y="1195"/>
                                      <a:pt x="261" y="1195"/>
                                    </a:cubicBezTo>
                                    <a:cubicBezTo>
                                      <a:pt x="263" y="1195"/>
                                      <a:pt x="269" y="1197"/>
                                      <a:pt x="272" y="1197"/>
                                    </a:cubicBezTo>
                                    <a:cubicBezTo>
                                      <a:pt x="274" y="1197"/>
                                      <a:pt x="276" y="1196"/>
                                      <a:pt x="277" y="1196"/>
                                    </a:cubicBezTo>
                                    <a:cubicBezTo>
                                      <a:pt x="279" y="1197"/>
                                      <a:pt x="281" y="1200"/>
                                      <a:pt x="284" y="1202"/>
                                    </a:cubicBezTo>
                                    <a:cubicBezTo>
                                      <a:pt x="285" y="1202"/>
                                      <a:pt x="287" y="1202"/>
                                      <a:pt x="288" y="1202"/>
                                    </a:cubicBezTo>
                                    <a:cubicBezTo>
                                      <a:pt x="289" y="1202"/>
                                      <a:pt x="289" y="1200"/>
                                      <a:pt x="289" y="1199"/>
                                    </a:cubicBezTo>
                                    <a:cubicBezTo>
                                      <a:pt x="289" y="1199"/>
                                      <a:pt x="293" y="1199"/>
                                      <a:pt x="291" y="1200"/>
                                    </a:cubicBezTo>
                                    <a:cubicBezTo>
                                      <a:pt x="293" y="1201"/>
                                      <a:pt x="296" y="1202"/>
                                      <a:pt x="297" y="1202"/>
                                    </a:cubicBezTo>
                                    <a:cubicBezTo>
                                      <a:pt x="298" y="1202"/>
                                      <a:pt x="301" y="1199"/>
                                      <a:pt x="301" y="1199"/>
                                    </a:cubicBezTo>
                                    <a:cubicBezTo>
                                      <a:pt x="302" y="1199"/>
                                      <a:pt x="304" y="1200"/>
                                      <a:pt x="307" y="1200"/>
                                    </a:cubicBezTo>
                                    <a:cubicBezTo>
                                      <a:pt x="308" y="1200"/>
                                      <a:pt x="312" y="1197"/>
                                      <a:pt x="313" y="1197"/>
                                    </a:cubicBezTo>
                                    <a:cubicBezTo>
                                      <a:pt x="317" y="1197"/>
                                      <a:pt x="319" y="1200"/>
                                      <a:pt x="322" y="1200"/>
                                    </a:cubicBezTo>
                                    <a:cubicBezTo>
                                      <a:pt x="323" y="1200"/>
                                      <a:pt x="323" y="1198"/>
                                      <a:pt x="323" y="1197"/>
                                    </a:cubicBezTo>
                                    <a:cubicBezTo>
                                      <a:pt x="325" y="1197"/>
                                      <a:pt x="328" y="1198"/>
                                      <a:pt x="329" y="1198"/>
                                    </a:cubicBezTo>
                                    <a:cubicBezTo>
                                      <a:pt x="329" y="1198"/>
                                      <a:pt x="332" y="1195"/>
                                      <a:pt x="333" y="1195"/>
                                    </a:cubicBezTo>
                                    <a:cubicBezTo>
                                      <a:pt x="334" y="1195"/>
                                      <a:pt x="335" y="1198"/>
                                      <a:pt x="337" y="1197"/>
                                    </a:cubicBezTo>
                                    <a:cubicBezTo>
                                      <a:pt x="338" y="1197"/>
                                      <a:pt x="340" y="1194"/>
                                      <a:pt x="341" y="1193"/>
                                    </a:cubicBezTo>
                                    <a:cubicBezTo>
                                      <a:pt x="344" y="1192"/>
                                      <a:pt x="346" y="1194"/>
                                      <a:pt x="348" y="1192"/>
                                    </a:cubicBezTo>
                                    <a:cubicBezTo>
                                      <a:pt x="349" y="1192"/>
                                      <a:pt x="350" y="1189"/>
                                      <a:pt x="351" y="1189"/>
                                    </a:cubicBezTo>
                                    <a:cubicBezTo>
                                      <a:pt x="353" y="1188"/>
                                      <a:pt x="356" y="1190"/>
                                      <a:pt x="358" y="1189"/>
                                    </a:cubicBezTo>
                                    <a:cubicBezTo>
                                      <a:pt x="359" y="1188"/>
                                      <a:pt x="358" y="1184"/>
                                      <a:pt x="359" y="1183"/>
                                    </a:cubicBezTo>
                                    <a:cubicBezTo>
                                      <a:pt x="361" y="1181"/>
                                      <a:pt x="368" y="1180"/>
                                      <a:pt x="370" y="1178"/>
                                    </a:cubicBezTo>
                                    <a:cubicBezTo>
                                      <a:pt x="374" y="1175"/>
                                      <a:pt x="374" y="1169"/>
                                      <a:pt x="377" y="1164"/>
                                    </a:cubicBezTo>
                                    <a:cubicBezTo>
                                      <a:pt x="382" y="1164"/>
                                      <a:pt x="385" y="1164"/>
                                      <a:pt x="390" y="1163"/>
                                    </a:cubicBezTo>
                                    <a:cubicBezTo>
                                      <a:pt x="387" y="1163"/>
                                      <a:pt x="397" y="1164"/>
                                      <a:pt x="400" y="1163"/>
                                    </a:cubicBezTo>
                                    <a:cubicBezTo>
                                      <a:pt x="401" y="1160"/>
                                      <a:pt x="401" y="1160"/>
                                      <a:pt x="401" y="1160"/>
                                    </a:cubicBezTo>
                                    <a:cubicBezTo>
                                      <a:pt x="402" y="1159"/>
                                      <a:pt x="404" y="1159"/>
                                      <a:pt x="406" y="1158"/>
                                    </a:cubicBezTo>
                                    <a:cubicBezTo>
                                      <a:pt x="405" y="1156"/>
                                      <a:pt x="404" y="1156"/>
                                      <a:pt x="403" y="1155"/>
                                    </a:cubicBezTo>
                                    <a:cubicBezTo>
                                      <a:pt x="405" y="1151"/>
                                      <a:pt x="407" y="1147"/>
                                      <a:pt x="410" y="1144"/>
                                    </a:cubicBezTo>
                                    <a:cubicBezTo>
                                      <a:pt x="411" y="1144"/>
                                      <a:pt x="413" y="1145"/>
                                      <a:pt x="413" y="1144"/>
                                    </a:cubicBezTo>
                                    <a:cubicBezTo>
                                      <a:pt x="415" y="1144"/>
                                      <a:pt x="417" y="1141"/>
                                      <a:pt x="419" y="1141"/>
                                    </a:cubicBezTo>
                                    <a:cubicBezTo>
                                      <a:pt x="422" y="1140"/>
                                      <a:pt x="425" y="1142"/>
                                      <a:pt x="429" y="1141"/>
                                    </a:cubicBezTo>
                                    <a:cubicBezTo>
                                      <a:pt x="430" y="1139"/>
                                      <a:pt x="430" y="1139"/>
                                      <a:pt x="430" y="1139"/>
                                    </a:cubicBezTo>
                                    <a:cubicBezTo>
                                      <a:pt x="432" y="1138"/>
                                      <a:pt x="431" y="1140"/>
                                      <a:pt x="434" y="1140"/>
                                    </a:cubicBezTo>
                                    <a:cubicBezTo>
                                      <a:pt x="436" y="1138"/>
                                      <a:pt x="436" y="1138"/>
                                      <a:pt x="436" y="1138"/>
                                    </a:cubicBezTo>
                                    <a:cubicBezTo>
                                      <a:pt x="438" y="1137"/>
                                      <a:pt x="439" y="1139"/>
                                      <a:pt x="440" y="1139"/>
                                    </a:cubicBezTo>
                                    <a:cubicBezTo>
                                      <a:pt x="441" y="1139"/>
                                      <a:pt x="448" y="1134"/>
                                      <a:pt x="448" y="1134"/>
                                    </a:cubicBezTo>
                                    <a:cubicBezTo>
                                      <a:pt x="452" y="1133"/>
                                      <a:pt x="454" y="1134"/>
                                      <a:pt x="457" y="1132"/>
                                    </a:cubicBezTo>
                                    <a:cubicBezTo>
                                      <a:pt x="459" y="1131"/>
                                      <a:pt x="461" y="1127"/>
                                      <a:pt x="463" y="1127"/>
                                    </a:cubicBezTo>
                                    <a:cubicBezTo>
                                      <a:pt x="467" y="1127"/>
                                      <a:pt x="464" y="1129"/>
                                      <a:pt x="465" y="1130"/>
                                    </a:cubicBezTo>
                                    <a:cubicBezTo>
                                      <a:pt x="467" y="1130"/>
                                      <a:pt x="467" y="1130"/>
                                      <a:pt x="467" y="1130"/>
                                    </a:cubicBezTo>
                                    <a:cubicBezTo>
                                      <a:pt x="469" y="1129"/>
                                      <a:pt x="472" y="1126"/>
                                      <a:pt x="475" y="1125"/>
                                    </a:cubicBezTo>
                                    <a:cubicBezTo>
                                      <a:pt x="481" y="1125"/>
                                      <a:pt x="481" y="1128"/>
                                      <a:pt x="483" y="1128"/>
                                    </a:cubicBezTo>
                                    <a:cubicBezTo>
                                      <a:pt x="486" y="1129"/>
                                      <a:pt x="487" y="1128"/>
                                      <a:pt x="491" y="1128"/>
                                    </a:cubicBezTo>
                                    <a:cubicBezTo>
                                      <a:pt x="492" y="1125"/>
                                      <a:pt x="492" y="1125"/>
                                      <a:pt x="492" y="1125"/>
                                    </a:cubicBezTo>
                                    <a:cubicBezTo>
                                      <a:pt x="494" y="1125"/>
                                      <a:pt x="496" y="1126"/>
                                      <a:pt x="498" y="1125"/>
                                    </a:cubicBezTo>
                                    <a:cubicBezTo>
                                      <a:pt x="499" y="1127"/>
                                      <a:pt x="499" y="1127"/>
                                      <a:pt x="499" y="1127"/>
                                    </a:cubicBezTo>
                                    <a:cubicBezTo>
                                      <a:pt x="500" y="1128"/>
                                      <a:pt x="503" y="1126"/>
                                      <a:pt x="504" y="1127"/>
                                    </a:cubicBezTo>
                                    <a:cubicBezTo>
                                      <a:pt x="506" y="1136"/>
                                      <a:pt x="506" y="1136"/>
                                      <a:pt x="506" y="1136"/>
                                    </a:cubicBezTo>
                                    <a:cubicBezTo>
                                      <a:pt x="507" y="1135"/>
                                      <a:pt x="509" y="1136"/>
                                      <a:pt x="510" y="1136"/>
                                    </a:cubicBezTo>
                                    <a:cubicBezTo>
                                      <a:pt x="513" y="1135"/>
                                      <a:pt x="513" y="1129"/>
                                      <a:pt x="518" y="1129"/>
                                    </a:cubicBezTo>
                                    <a:cubicBezTo>
                                      <a:pt x="519" y="1129"/>
                                      <a:pt x="523" y="1132"/>
                                      <a:pt x="524" y="1132"/>
                                    </a:cubicBezTo>
                                    <a:cubicBezTo>
                                      <a:pt x="525" y="1132"/>
                                      <a:pt x="528" y="1128"/>
                                      <a:pt x="529" y="1127"/>
                                    </a:cubicBezTo>
                                    <a:cubicBezTo>
                                      <a:pt x="534" y="1126"/>
                                      <a:pt x="534" y="1128"/>
                                      <a:pt x="539" y="1127"/>
                                    </a:cubicBezTo>
                                    <a:cubicBezTo>
                                      <a:pt x="540" y="1127"/>
                                      <a:pt x="543" y="1124"/>
                                      <a:pt x="544" y="1124"/>
                                    </a:cubicBezTo>
                                    <a:cubicBezTo>
                                      <a:pt x="549" y="1124"/>
                                      <a:pt x="553" y="1130"/>
                                      <a:pt x="554" y="1130"/>
                                    </a:cubicBezTo>
                                    <a:cubicBezTo>
                                      <a:pt x="555" y="1130"/>
                                      <a:pt x="557" y="1130"/>
                                      <a:pt x="558" y="1130"/>
                                    </a:cubicBezTo>
                                    <a:cubicBezTo>
                                      <a:pt x="561" y="1129"/>
                                      <a:pt x="562" y="1126"/>
                                      <a:pt x="564" y="1123"/>
                                    </a:cubicBezTo>
                                    <a:cubicBezTo>
                                      <a:pt x="570" y="1124"/>
                                      <a:pt x="575" y="1125"/>
                                      <a:pt x="579" y="1122"/>
                                    </a:cubicBezTo>
                                    <a:cubicBezTo>
                                      <a:pt x="579" y="1120"/>
                                      <a:pt x="579" y="1120"/>
                                      <a:pt x="579" y="1120"/>
                                    </a:cubicBezTo>
                                    <a:cubicBezTo>
                                      <a:pt x="580" y="1120"/>
                                      <a:pt x="582" y="1118"/>
                                      <a:pt x="582" y="1118"/>
                                    </a:cubicBezTo>
                                    <a:cubicBezTo>
                                      <a:pt x="583" y="1117"/>
                                      <a:pt x="582" y="1112"/>
                                      <a:pt x="583" y="1109"/>
                                    </a:cubicBezTo>
                                    <a:cubicBezTo>
                                      <a:pt x="583" y="1108"/>
                                      <a:pt x="586" y="1106"/>
                                      <a:pt x="586" y="1105"/>
                                    </a:cubicBezTo>
                                    <a:cubicBezTo>
                                      <a:pt x="586" y="1104"/>
                                      <a:pt x="586" y="1102"/>
                                      <a:pt x="586" y="1101"/>
                                    </a:cubicBezTo>
                                    <a:cubicBezTo>
                                      <a:pt x="587" y="1100"/>
                                      <a:pt x="588" y="1101"/>
                                      <a:pt x="589" y="1100"/>
                                    </a:cubicBezTo>
                                    <a:cubicBezTo>
                                      <a:pt x="591" y="1099"/>
                                      <a:pt x="589" y="1098"/>
                                      <a:pt x="590" y="1095"/>
                                    </a:cubicBezTo>
                                    <a:cubicBezTo>
                                      <a:pt x="592" y="1095"/>
                                      <a:pt x="592" y="1095"/>
                                      <a:pt x="592" y="1095"/>
                                    </a:cubicBezTo>
                                    <a:cubicBezTo>
                                      <a:pt x="593" y="1090"/>
                                      <a:pt x="590" y="1088"/>
                                      <a:pt x="590" y="1085"/>
                                    </a:cubicBezTo>
                                    <a:cubicBezTo>
                                      <a:pt x="592" y="1084"/>
                                      <a:pt x="592" y="1084"/>
                                      <a:pt x="592" y="1084"/>
                                    </a:cubicBezTo>
                                    <a:cubicBezTo>
                                      <a:pt x="592" y="1083"/>
                                      <a:pt x="593" y="1079"/>
                                      <a:pt x="593" y="1079"/>
                                    </a:cubicBezTo>
                                    <a:cubicBezTo>
                                      <a:pt x="593" y="1077"/>
                                      <a:pt x="591" y="1074"/>
                                      <a:pt x="592" y="1071"/>
                                    </a:cubicBezTo>
                                    <a:cubicBezTo>
                                      <a:pt x="593" y="1065"/>
                                      <a:pt x="600" y="1052"/>
                                      <a:pt x="603" y="1048"/>
                                    </a:cubicBezTo>
                                    <a:cubicBezTo>
                                      <a:pt x="605" y="1048"/>
                                      <a:pt x="605" y="1048"/>
                                      <a:pt x="605" y="1048"/>
                                    </a:cubicBezTo>
                                    <a:cubicBezTo>
                                      <a:pt x="606" y="1048"/>
                                      <a:pt x="606" y="1046"/>
                                      <a:pt x="606" y="1046"/>
                                    </a:cubicBezTo>
                                    <a:cubicBezTo>
                                      <a:pt x="609" y="1043"/>
                                      <a:pt x="616" y="1039"/>
                                      <a:pt x="621" y="1039"/>
                                    </a:cubicBezTo>
                                    <a:cubicBezTo>
                                      <a:pt x="623" y="1039"/>
                                      <a:pt x="626" y="1040"/>
                                      <a:pt x="627" y="1040"/>
                                    </a:cubicBezTo>
                                    <a:cubicBezTo>
                                      <a:pt x="631" y="1039"/>
                                      <a:pt x="632" y="1032"/>
                                      <a:pt x="634" y="1029"/>
                                    </a:cubicBezTo>
                                    <a:cubicBezTo>
                                      <a:pt x="636" y="1027"/>
                                      <a:pt x="640" y="1027"/>
                                      <a:pt x="642" y="1025"/>
                                    </a:cubicBezTo>
                                    <a:cubicBezTo>
                                      <a:pt x="644" y="1024"/>
                                      <a:pt x="645" y="1020"/>
                                      <a:pt x="647" y="1019"/>
                                    </a:cubicBezTo>
                                    <a:cubicBezTo>
                                      <a:pt x="648" y="1017"/>
                                      <a:pt x="651" y="1017"/>
                                      <a:pt x="652" y="1016"/>
                                    </a:cubicBezTo>
                                    <a:cubicBezTo>
                                      <a:pt x="653" y="1015"/>
                                      <a:pt x="653" y="1013"/>
                                      <a:pt x="653" y="1013"/>
                                    </a:cubicBezTo>
                                    <a:cubicBezTo>
                                      <a:pt x="655" y="1012"/>
                                      <a:pt x="656" y="1013"/>
                                      <a:pt x="658" y="1012"/>
                                    </a:cubicBezTo>
                                    <a:cubicBezTo>
                                      <a:pt x="659" y="1011"/>
                                      <a:pt x="659" y="1009"/>
                                      <a:pt x="660" y="1008"/>
                                    </a:cubicBezTo>
                                    <a:cubicBezTo>
                                      <a:pt x="661" y="1007"/>
                                      <a:pt x="663" y="1008"/>
                                      <a:pt x="664" y="1007"/>
                                    </a:cubicBezTo>
                                    <a:cubicBezTo>
                                      <a:pt x="668" y="1004"/>
                                      <a:pt x="673" y="1000"/>
                                      <a:pt x="676" y="997"/>
                                    </a:cubicBezTo>
                                    <a:cubicBezTo>
                                      <a:pt x="677" y="996"/>
                                      <a:pt x="677" y="994"/>
                                      <a:pt x="677" y="994"/>
                                    </a:cubicBezTo>
                                    <a:cubicBezTo>
                                      <a:pt x="679" y="992"/>
                                      <a:pt x="681" y="993"/>
                                      <a:pt x="683" y="992"/>
                                    </a:cubicBezTo>
                                    <a:cubicBezTo>
                                      <a:pt x="684" y="991"/>
                                      <a:pt x="685" y="989"/>
                                      <a:pt x="686" y="989"/>
                                    </a:cubicBezTo>
                                    <a:cubicBezTo>
                                      <a:pt x="692" y="987"/>
                                      <a:pt x="696" y="989"/>
                                      <a:pt x="700" y="990"/>
                                    </a:cubicBezTo>
                                    <a:cubicBezTo>
                                      <a:pt x="708" y="991"/>
                                      <a:pt x="717" y="988"/>
                                      <a:pt x="724" y="987"/>
                                    </a:cubicBezTo>
                                    <a:cubicBezTo>
                                      <a:pt x="727" y="985"/>
                                      <a:pt x="727" y="985"/>
                                      <a:pt x="727" y="985"/>
                                    </a:cubicBezTo>
                                    <a:cubicBezTo>
                                      <a:pt x="729" y="985"/>
                                      <a:pt x="729" y="987"/>
                                      <a:pt x="732" y="987"/>
                                    </a:cubicBezTo>
                                    <a:cubicBezTo>
                                      <a:pt x="733" y="987"/>
                                      <a:pt x="737" y="984"/>
                                      <a:pt x="738" y="984"/>
                                    </a:cubicBezTo>
                                    <a:cubicBezTo>
                                      <a:pt x="747" y="981"/>
                                      <a:pt x="753" y="978"/>
                                      <a:pt x="762" y="974"/>
                                    </a:cubicBezTo>
                                    <a:cubicBezTo>
                                      <a:pt x="762" y="974"/>
                                      <a:pt x="764" y="972"/>
                                      <a:pt x="765" y="972"/>
                                    </a:cubicBezTo>
                                    <a:cubicBezTo>
                                      <a:pt x="768" y="971"/>
                                      <a:pt x="770" y="972"/>
                                      <a:pt x="773" y="971"/>
                                    </a:cubicBezTo>
                                    <a:cubicBezTo>
                                      <a:pt x="774" y="970"/>
                                      <a:pt x="777" y="968"/>
                                      <a:pt x="777" y="968"/>
                                    </a:cubicBezTo>
                                    <a:cubicBezTo>
                                      <a:pt x="780" y="967"/>
                                      <a:pt x="782" y="967"/>
                                      <a:pt x="785" y="966"/>
                                    </a:cubicBezTo>
                                    <a:cubicBezTo>
                                      <a:pt x="786" y="965"/>
                                      <a:pt x="788" y="963"/>
                                      <a:pt x="789" y="962"/>
                                    </a:cubicBezTo>
                                    <a:cubicBezTo>
                                      <a:pt x="792" y="961"/>
                                      <a:pt x="795" y="961"/>
                                      <a:pt x="797" y="959"/>
                                    </a:cubicBezTo>
                                    <a:cubicBezTo>
                                      <a:pt x="798" y="959"/>
                                      <a:pt x="799" y="957"/>
                                      <a:pt x="799" y="956"/>
                                    </a:cubicBezTo>
                                    <a:cubicBezTo>
                                      <a:pt x="801" y="955"/>
                                      <a:pt x="802" y="956"/>
                                      <a:pt x="804" y="955"/>
                                    </a:cubicBezTo>
                                    <a:cubicBezTo>
                                      <a:pt x="805" y="955"/>
                                      <a:pt x="807" y="952"/>
                                      <a:pt x="808" y="951"/>
                                    </a:cubicBezTo>
                                    <a:cubicBezTo>
                                      <a:pt x="810" y="950"/>
                                      <a:pt x="812" y="951"/>
                                      <a:pt x="816" y="951"/>
                                    </a:cubicBezTo>
                                    <a:close/>
                                    <a:moveTo>
                                      <a:pt x="36" y="732"/>
                                    </a:moveTo>
                                    <a:cubicBezTo>
                                      <a:pt x="37" y="733"/>
                                      <a:pt x="37" y="734"/>
                                      <a:pt x="35" y="734"/>
                                    </a:cubicBezTo>
                                    <a:cubicBezTo>
                                      <a:pt x="35" y="733"/>
                                      <a:pt x="34" y="732"/>
                                      <a:pt x="36" y="732"/>
                                    </a:cubicBezTo>
                                    <a:close/>
                                    <a:moveTo>
                                      <a:pt x="3" y="689"/>
                                    </a:moveTo>
                                    <a:cubicBezTo>
                                      <a:pt x="0" y="691"/>
                                      <a:pt x="5" y="697"/>
                                      <a:pt x="5" y="698"/>
                                    </a:cubicBezTo>
                                    <a:cubicBezTo>
                                      <a:pt x="6" y="700"/>
                                      <a:pt x="5" y="701"/>
                                      <a:pt x="6" y="703"/>
                                    </a:cubicBezTo>
                                    <a:cubicBezTo>
                                      <a:pt x="8" y="704"/>
                                      <a:pt x="8" y="704"/>
                                      <a:pt x="8" y="704"/>
                                    </a:cubicBezTo>
                                    <a:cubicBezTo>
                                      <a:pt x="8" y="706"/>
                                      <a:pt x="7" y="709"/>
                                      <a:pt x="8" y="712"/>
                                    </a:cubicBezTo>
                                    <a:cubicBezTo>
                                      <a:pt x="10" y="712"/>
                                      <a:pt x="10" y="712"/>
                                      <a:pt x="10" y="712"/>
                                    </a:cubicBezTo>
                                    <a:cubicBezTo>
                                      <a:pt x="10" y="712"/>
                                      <a:pt x="10" y="714"/>
                                      <a:pt x="11" y="715"/>
                                    </a:cubicBezTo>
                                    <a:cubicBezTo>
                                      <a:pt x="12" y="715"/>
                                      <a:pt x="13" y="715"/>
                                      <a:pt x="14" y="716"/>
                                    </a:cubicBezTo>
                                    <a:cubicBezTo>
                                      <a:pt x="16" y="718"/>
                                      <a:pt x="17" y="722"/>
                                      <a:pt x="21" y="723"/>
                                    </a:cubicBezTo>
                                    <a:cubicBezTo>
                                      <a:pt x="22" y="724"/>
                                      <a:pt x="23" y="723"/>
                                      <a:pt x="24" y="723"/>
                                    </a:cubicBezTo>
                                    <a:cubicBezTo>
                                      <a:pt x="24" y="722"/>
                                      <a:pt x="25" y="722"/>
                                      <a:pt x="24" y="720"/>
                                    </a:cubicBezTo>
                                    <a:cubicBezTo>
                                      <a:pt x="24" y="720"/>
                                      <a:pt x="22" y="719"/>
                                      <a:pt x="21" y="719"/>
                                    </a:cubicBezTo>
                                    <a:cubicBezTo>
                                      <a:pt x="20" y="717"/>
                                      <a:pt x="19" y="717"/>
                                      <a:pt x="18" y="716"/>
                                    </a:cubicBezTo>
                                    <a:cubicBezTo>
                                      <a:pt x="15" y="713"/>
                                      <a:pt x="13" y="707"/>
                                      <a:pt x="12" y="704"/>
                                    </a:cubicBezTo>
                                    <a:cubicBezTo>
                                      <a:pt x="11" y="702"/>
                                      <a:pt x="10" y="699"/>
                                      <a:pt x="9" y="696"/>
                                    </a:cubicBezTo>
                                    <a:cubicBezTo>
                                      <a:pt x="8" y="695"/>
                                      <a:pt x="6" y="694"/>
                                      <a:pt x="5" y="693"/>
                                    </a:cubicBezTo>
                                    <a:cubicBezTo>
                                      <a:pt x="5" y="692"/>
                                      <a:pt x="6" y="690"/>
                                      <a:pt x="5" y="689"/>
                                    </a:cubicBezTo>
                                    <a:cubicBezTo>
                                      <a:pt x="3" y="689"/>
                                      <a:pt x="3" y="689"/>
                                      <a:pt x="3" y="689"/>
                                    </a:cubicBezTo>
                                    <a:cubicBezTo>
                                      <a:pt x="3" y="689"/>
                                      <a:pt x="3" y="689"/>
                                      <a:pt x="3" y="689"/>
                                    </a:cubicBezTo>
                                    <a:close/>
                                    <a:moveTo>
                                      <a:pt x="4" y="665"/>
                                    </a:moveTo>
                                    <a:cubicBezTo>
                                      <a:pt x="4" y="669"/>
                                      <a:pt x="4" y="671"/>
                                      <a:pt x="4" y="676"/>
                                    </a:cubicBezTo>
                                    <a:cubicBezTo>
                                      <a:pt x="5" y="676"/>
                                      <a:pt x="6" y="680"/>
                                      <a:pt x="6" y="680"/>
                                    </a:cubicBezTo>
                                    <a:cubicBezTo>
                                      <a:pt x="6" y="666"/>
                                      <a:pt x="6" y="666"/>
                                      <a:pt x="6" y="666"/>
                                    </a:cubicBezTo>
                                    <a:cubicBezTo>
                                      <a:pt x="4" y="665"/>
                                      <a:pt x="4" y="665"/>
                                      <a:pt x="4" y="665"/>
                                    </a:cubicBezTo>
                                    <a:cubicBezTo>
                                      <a:pt x="4" y="665"/>
                                      <a:pt x="4" y="665"/>
                                      <a:pt x="4" y="665"/>
                                    </a:cubicBezTo>
                                    <a:close/>
                                    <a:moveTo>
                                      <a:pt x="4" y="657"/>
                                    </a:moveTo>
                                    <a:cubicBezTo>
                                      <a:pt x="5" y="662"/>
                                      <a:pt x="5" y="672"/>
                                      <a:pt x="6" y="657"/>
                                    </a:cubicBezTo>
                                    <a:cubicBezTo>
                                      <a:pt x="4" y="657"/>
                                      <a:pt x="4" y="657"/>
                                      <a:pt x="4" y="657"/>
                                    </a:cubicBezTo>
                                    <a:cubicBezTo>
                                      <a:pt x="4" y="657"/>
                                      <a:pt x="4" y="657"/>
                                      <a:pt x="4" y="657"/>
                                    </a:cubicBezTo>
                                    <a:close/>
                                    <a:moveTo>
                                      <a:pt x="31" y="576"/>
                                    </a:moveTo>
                                    <a:cubicBezTo>
                                      <a:pt x="32" y="578"/>
                                      <a:pt x="32" y="578"/>
                                      <a:pt x="33" y="580"/>
                                    </a:cubicBezTo>
                                    <a:cubicBezTo>
                                      <a:pt x="33" y="580"/>
                                      <a:pt x="34" y="582"/>
                                      <a:pt x="33" y="583"/>
                                    </a:cubicBezTo>
                                    <a:cubicBezTo>
                                      <a:pt x="31" y="584"/>
                                      <a:pt x="31" y="584"/>
                                      <a:pt x="31" y="584"/>
                                    </a:cubicBezTo>
                                    <a:cubicBezTo>
                                      <a:pt x="31" y="597"/>
                                      <a:pt x="31" y="597"/>
                                      <a:pt x="31" y="597"/>
                                    </a:cubicBezTo>
                                    <a:cubicBezTo>
                                      <a:pt x="31" y="597"/>
                                      <a:pt x="33" y="596"/>
                                      <a:pt x="33" y="594"/>
                                    </a:cubicBezTo>
                                    <a:cubicBezTo>
                                      <a:pt x="38" y="596"/>
                                      <a:pt x="39" y="596"/>
                                      <a:pt x="43" y="598"/>
                                    </a:cubicBezTo>
                                    <a:cubicBezTo>
                                      <a:pt x="43" y="599"/>
                                      <a:pt x="41" y="599"/>
                                      <a:pt x="41" y="600"/>
                                    </a:cubicBezTo>
                                    <a:cubicBezTo>
                                      <a:pt x="40" y="602"/>
                                      <a:pt x="40" y="603"/>
                                      <a:pt x="39" y="605"/>
                                    </a:cubicBezTo>
                                    <a:cubicBezTo>
                                      <a:pt x="36" y="605"/>
                                      <a:pt x="36" y="605"/>
                                      <a:pt x="36" y="605"/>
                                    </a:cubicBezTo>
                                    <a:cubicBezTo>
                                      <a:pt x="36" y="606"/>
                                      <a:pt x="37" y="608"/>
                                      <a:pt x="36" y="610"/>
                                    </a:cubicBezTo>
                                    <a:cubicBezTo>
                                      <a:pt x="36" y="609"/>
                                      <a:pt x="33" y="608"/>
                                      <a:pt x="33" y="609"/>
                                    </a:cubicBezTo>
                                    <a:cubicBezTo>
                                      <a:pt x="31" y="612"/>
                                      <a:pt x="34" y="615"/>
                                      <a:pt x="33" y="618"/>
                                    </a:cubicBezTo>
                                    <a:cubicBezTo>
                                      <a:pt x="32" y="620"/>
                                      <a:pt x="29" y="620"/>
                                      <a:pt x="28" y="621"/>
                                    </a:cubicBezTo>
                                    <a:cubicBezTo>
                                      <a:pt x="29" y="625"/>
                                      <a:pt x="29" y="628"/>
                                      <a:pt x="30" y="631"/>
                                    </a:cubicBezTo>
                                    <a:cubicBezTo>
                                      <a:pt x="29" y="630"/>
                                      <a:pt x="30" y="636"/>
                                      <a:pt x="30" y="636"/>
                                    </a:cubicBezTo>
                                    <a:cubicBezTo>
                                      <a:pt x="25" y="637"/>
                                      <a:pt x="25" y="629"/>
                                      <a:pt x="24" y="626"/>
                                    </a:cubicBezTo>
                                    <a:cubicBezTo>
                                      <a:pt x="22" y="625"/>
                                      <a:pt x="22" y="625"/>
                                      <a:pt x="22" y="625"/>
                                    </a:cubicBezTo>
                                    <a:cubicBezTo>
                                      <a:pt x="20" y="619"/>
                                      <a:pt x="22" y="614"/>
                                      <a:pt x="21" y="610"/>
                                    </a:cubicBezTo>
                                    <a:cubicBezTo>
                                      <a:pt x="21" y="608"/>
                                      <a:pt x="18" y="605"/>
                                      <a:pt x="19" y="602"/>
                                    </a:cubicBezTo>
                                    <a:cubicBezTo>
                                      <a:pt x="19" y="600"/>
                                      <a:pt x="24" y="598"/>
                                      <a:pt x="25" y="596"/>
                                    </a:cubicBezTo>
                                    <a:cubicBezTo>
                                      <a:pt x="26" y="594"/>
                                      <a:pt x="24" y="591"/>
                                      <a:pt x="25" y="588"/>
                                    </a:cubicBezTo>
                                    <a:cubicBezTo>
                                      <a:pt x="28" y="586"/>
                                      <a:pt x="28" y="586"/>
                                      <a:pt x="28" y="586"/>
                                    </a:cubicBezTo>
                                    <a:cubicBezTo>
                                      <a:pt x="28" y="584"/>
                                      <a:pt x="26" y="585"/>
                                      <a:pt x="27" y="583"/>
                                    </a:cubicBezTo>
                                    <a:cubicBezTo>
                                      <a:pt x="27" y="583"/>
                                      <a:pt x="30" y="577"/>
                                      <a:pt x="31" y="576"/>
                                    </a:cubicBezTo>
                                    <a:close/>
                                    <a:moveTo>
                                      <a:pt x="29" y="474"/>
                                    </a:moveTo>
                                    <a:cubicBezTo>
                                      <a:pt x="28" y="474"/>
                                      <a:pt x="28" y="477"/>
                                      <a:pt x="28" y="479"/>
                                    </a:cubicBezTo>
                                    <a:cubicBezTo>
                                      <a:pt x="29" y="478"/>
                                      <a:pt x="30" y="476"/>
                                      <a:pt x="31" y="474"/>
                                    </a:cubicBezTo>
                                    <a:cubicBezTo>
                                      <a:pt x="29" y="474"/>
                                      <a:pt x="29" y="474"/>
                                      <a:pt x="29" y="474"/>
                                    </a:cubicBezTo>
                                    <a:cubicBezTo>
                                      <a:pt x="29" y="474"/>
                                      <a:pt x="29" y="474"/>
                                      <a:pt x="29" y="474"/>
                                    </a:cubicBezTo>
                                    <a:close/>
                                    <a:moveTo>
                                      <a:pt x="32" y="468"/>
                                    </a:moveTo>
                                    <a:cubicBezTo>
                                      <a:pt x="32" y="470"/>
                                      <a:pt x="32" y="470"/>
                                      <a:pt x="32" y="470"/>
                                    </a:cubicBezTo>
                                    <a:cubicBezTo>
                                      <a:pt x="34" y="470"/>
                                      <a:pt x="34" y="470"/>
                                      <a:pt x="34" y="470"/>
                                    </a:cubicBezTo>
                                    <a:cubicBezTo>
                                      <a:pt x="33" y="469"/>
                                      <a:pt x="35" y="468"/>
                                      <a:pt x="32" y="468"/>
                                    </a:cubicBezTo>
                                    <a:close/>
                                    <a:moveTo>
                                      <a:pt x="56" y="464"/>
                                    </a:moveTo>
                                    <a:cubicBezTo>
                                      <a:pt x="57" y="465"/>
                                      <a:pt x="57" y="465"/>
                                      <a:pt x="57" y="465"/>
                                    </a:cubicBezTo>
                                    <a:cubicBezTo>
                                      <a:pt x="57" y="464"/>
                                      <a:pt x="58" y="464"/>
                                      <a:pt x="56" y="464"/>
                                    </a:cubicBezTo>
                                    <a:close/>
                                    <a:moveTo>
                                      <a:pt x="57" y="446"/>
                                    </a:moveTo>
                                    <a:cubicBezTo>
                                      <a:pt x="56" y="447"/>
                                      <a:pt x="56" y="448"/>
                                      <a:pt x="58" y="448"/>
                                    </a:cubicBezTo>
                                    <a:cubicBezTo>
                                      <a:pt x="58" y="448"/>
                                      <a:pt x="60" y="445"/>
                                      <a:pt x="57" y="446"/>
                                    </a:cubicBezTo>
                                    <a:close/>
                                    <a:moveTo>
                                      <a:pt x="84" y="406"/>
                                    </a:moveTo>
                                    <a:cubicBezTo>
                                      <a:pt x="83" y="409"/>
                                      <a:pt x="82" y="415"/>
                                      <a:pt x="82" y="417"/>
                                    </a:cubicBezTo>
                                    <a:cubicBezTo>
                                      <a:pt x="84" y="417"/>
                                      <a:pt x="84" y="417"/>
                                      <a:pt x="84" y="417"/>
                                    </a:cubicBezTo>
                                    <a:cubicBezTo>
                                      <a:pt x="84" y="417"/>
                                      <a:pt x="83" y="420"/>
                                      <a:pt x="83" y="418"/>
                                    </a:cubicBezTo>
                                    <a:cubicBezTo>
                                      <a:pt x="83" y="419"/>
                                      <a:pt x="83" y="421"/>
                                      <a:pt x="83" y="421"/>
                                    </a:cubicBezTo>
                                    <a:cubicBezTo>
                                      <a:pt x="84" y="419"/>
                                      <a:pt x="88" y="416"/>
                                      <a:pt x="88" y="411"/>
                                    </a:cubicBezTo>
                                    <a:cubicBezTo>
                                      <a:pt x="88" y="410"/>
                                      <a:pt x="84" y="407"/>
                                      <a:pt x="84" y="406"/>
                                    </a:cubicBezTo>
                                    <a:close/>
                                    <a:moveTo>
                                      <a:pt x="87" y="401"/>
                                    </a:moveTo>
                                    <a:cubicBezTo>
                                      <a:pt x="88" y="403"/>
                                      <a:pt x="88" y="403"/>
                                      <a:pt x="88" y="403"/>
                                    </a:cubicBezTo>
                                    <a:cubicBezTo>
                                      <a:pt x="87" y="402"/>
                                      <a:pt x="89" y="401"/>
                                      <a:pt x="87" y="401"/>
                                    </a:cubicBezTo>
                                    <a:close/>
                                    <a:moveTo>
                                      <a:pt x="148" y="397"/>
                                    </a:moveTo>
                                    <a:cubicBezTo>
                                      <a:pt x="148" y="397"/>
                                      <a:pt x="143" y="402"/>
                                      <a:pt x="147" y="400"/>
                                    </a:cubicBezTo>
                                    <a:cubicBezTo>
                                      <a:pt x="147" y="400"/>
                                      <a:pt x="151" y="396"/>
                                      <a:pt x="148" y="397"/>
                                    </a:cubicBezTo>
                                    <a:close/>
                                    <a:moveTo>
                                      <a:pt x="82" y="392"/>
                                    </a:moveTo>
                                    <a:cubicBezTo>
                                      <a:pt x="83" y="392"/>
                                      <a:pt x="83" y="395"/>
                                      <a:pt x="82" y="395"/>
                                    </a:cubicBezTo>
                                    <a:cubicBezTo>
                                      <a:pt x="85" y="396"/>
                                      <a:pt x="84" y="392"/>
                                      <a:pt x="82" y="392"/>
                                    </a:cubicBezTo>
                                    <a:close/>
                                    <a:moveTo>
                                      <a:pt x="80" y="392"/>
                                    </a:moveTo>
                                    <a:cubicBezTo>
                                      <a:pt x="79" y="392"/>
                                      <a:pt x="79" y="393"/>
                                      <a:pt x="81" y="393"/>
                                    </a:cubicBezTo>
                                    <a:cubicBezTo>
                                      <a:pt x="81" y="392"/>
                                      <a:pt x="82" y="391"/>
                                      <a:pt x="80" y="392"/>
                                    </a:cubicBezTo>
                                    <a:close/>
                                    <a:moveTo>
                                      <a:pt x="155" y="390"/>
                                    </a:moveTo>
                                    <a:cubicBezTo>
                                      <a:pt x="155" y="392"/>
                                      <a:pt x="155" y="392"/>
                                      <a:pt x="155" y="392"/>
                                    </a:cubicBezTo>
                                    <a:cubicBezTo>
                                      <a:pt x="157" y="392"/>
                                      <a:pt x="157" y="392"/>
                                      <a:pt x="157" y="392"/>
                                    </a:cubicBezTo>
                                    <a:cubicBezTo>
                                      <a:pt x="155" y="391"/>
                                      <a:pt x="158" y="390"/>
                                      <a:pt x="155" y="390"/>
                                    </a:cubicBezTo>
                                    <a:close/>
                                    <a:moveTo>
                                      <a:pt x="146" y="388"/>
                                    </a:moveTo>
                                    <a:cubicBezTo>
                                      <a:pt x="146" y="391"/>
                                      <a:pt x="146" y="391"/>
                                      <a:pt x="146" y="391"/>
                                    </a:cubicBezTo>
                                    <a:cubicBezTo>
                                      <a:pt x="148" y="391"/>
                                      <a:pt x="147" y="389"/>
                                      <a:pt x="148" y="389"/>
                                    </a:cubicBezTo>
                                    <a:cubicBezTo>
                                      <a:pt x="149" y="389"/>
                                      <a:pt x="149" y="390"/>
                                      <a:pt x="150" y="390"/>
                                    </a:cubicBezTo>
                                    <a:cubicBezTo>
                                      <a:pt x="155" y="389"/>
                                      <a:pt x="149" y="389"/>
                                      <a:pt x="146" y="388"/>
                                    </a:cubicBezTo>
                                    <a:close/>
                                    <a:moveTo>
                                      <a:pt x="159" y="384"/>
                                    </a:moveTo>
                                    <a:cubicBezTo>
                                      <a:pt x="159" y="387"/>
                                      <a:pt x="159" y="387"/>
                                      <a:pt x="159" y="387"/>
                                    </a:cubicBezTo>
                                    <a:cubicBezTo>
                                      <a:pt x="157" y="386"/>
                                      <a:pt x="156" y="386"/>
                                      <a:pt x="158" y="386"/>
                                    </a:cubicBezTo>
                                    <a:cubicBezTo>
                                      <a:pt x="160" y="385"/>
                                      <a:pt x="156" y="385"/>
                                      <a:pt x="156" y="385"/>
                                    </a:cubicBezTo>
                                    <a:cubicBezTo>
                                      <a:pt x="156" y="386"/>
                                      <a:pt x="155" y="387"/>
                                      <a:pt x="157" y="387"/>
                                    </a:cubicBezTo>
                                    <a:cubicBezTo>
                                      <a:pt x="157" y="387"/>
                                      <a:pt x="156" y="388"/>
                                      <a:pt x="156" y="389"/>
                                    </a:cubicBezTo>
                                    <a:cubicBezTo>
                                      <a:pt x="159" y="389"/>
                                      <a:pt x="160" y="388"/>
                                      <a:pt x="162" y="389"/>
                                    </a:cubicBezTo>
                                    <a:cubicBezTo>
                                      <a:pt x="161" y="388"/>
                                      <a:pt x="159" y="385"/>
                                      <a:pt x="161" y="386"/>
                                    </a:cubicBezTo>
                                    <a:cubicBezTo>
                                      <a:pt x="161" y="384"/>
                                      <a:pt x="161" y="384"/>
                                      <a:pt x="161" y="384"/>
                                    </a:cubicBezTo>
                                    <a:cubicBezTo>
                                      <a:pt x="159" y="384"/>
                                      <a:pt x="159" y="384"/>
                                      <a:pt x="159" y="384"/>
                                    </a:cubicBezTo>
                                    <a:cubicBezTo>
                                      <a:pt x="159" y="384"/>
                                      <a:pt x="159" y="384"/>
                                      <a:pt x="159" y="384"/>
                                    </a:cubicBezTo>
                                    <a:close/>
                                    <a:moveTo>
                                      <a:pt x="158" y="378"/>
                                    </a:moveTo>
                                    <a:cubicBezTo>
                                      <a:pt x="159" y="381"/>
                                      <a:pt x="159" y="381"/>
                                      <a:pt x="159" y="381"/>
                                    </a:cubicBezTo>
                                    <a:cubicBezTo>
                                      <a:pt x="165" y="382"/>
                                      <a:pt x="161" y="380"/>
                                      <a:pt x="158" y="378"/>
                                    </a:cubicBezTo>
                                    <a:close/>
                                    <a:moveTo>
                                      <a:pt x="244" y="355"/>
                                    </a:moveTo>
                                    <a:cubicBezTo>
                                      <a:pt x="244" y="355"/>
                                      <a:pt x="243" y="359"/>
                                      <a:pt x="243" y="360"/>
                                    </a:cubicBezTo>
                                    <a:cubicBezTo>
                                      <a:pt x="245" y="360"/>
                                      <a:pt x="247" y="360"/>
                                      <a:pt x="248" y="360"/>
                                    </a:cubicBezTo>
                                    <a:cubicBezTo>
                                      <a:pt x="247" y="359"/>
                                      <a:pt x="248" y="358"/>
                                      <a:pt x="246" y="358"/>
                                    </a:cubicBezTo>
                                    <a:cubicBezTo>
                                      <a:pt x="246" y="358"/>
                                      <a:pt x="247" y="356"/>
                                      <a:pt x="248" y="355"/>
                                    </a:cubicBezTo>
                                    <a:cubicBezTo>
                                      <a:pt x="247" y="355"/>
                                      <a:pt x="245" y="355"/>
                                      <a:pt x="244" y="355"/>
                                    </a:cubicBezTo>
                                    <a:close/>
                                    <a:moveTo>
                                      <a:pt x="505" y="189"/>
                                    </a:moveTo>
                                    <a:cubicBezTo>
                                      <a:pt x="506" y="189"/>
                                      <a:pt x="507" y="192"/>
                                      <a:pt x="505" y="191"/>
                                    </a:cubicBezTo>
                                    <a:cubicBezTo>
                                      <a:pt x="505" y="191"/>
                                      <a:pt x="502" y="188"/>
                                      <a:pt x="505" y="189"/>
                                    </a:cubicBezTo>
                                    <a:close/>
                                    <a:moveTo>
                                      <a:pt x="475" y="164"/>
                                    </a:moveTo>
                                    <a:cubicBezTo>
                                      <a:pt x="476" y="165"/>
                                      <a:pt x="474" y="166"/>
                                      <a:pt x="474" y="166"/>
                                    </a:cubicBezTo>
                                    <a:cubicBezTo>
                                      <a:pt x="474" y="166"/>
                                      <a:pt x="475" y="169"/>
                                      <a:pt x="476" y="169"/>
                                    </a:cubicBezTo>
                                    <a:cubicBezTo>
                                      <a:pt x="477" y="169"/>
                                      <a:pt x="477" y="164"/>
                                      <a:pt x="475" y="164"/>
                                    </a:cubicBezTo>
                                    <a:close/>
                                    <a:moveTo>
                                      <a:pt x="483" y="157"/>
                                    </a:moveTo>
                                    <a:cubicBezTo>
                                      <a:pt x="484" y="158"/>
                                      <a:pt x="483" y="159"/>
                                      <a:pt x="482" y="159"/>
                                    </a:cubicBezTo>
                                    <a:cubicBezTo>
                                      <a:pt x="489" y="165"/>
                                      <a:pt x="489" y="165"/>
                                      <a:pt x="489" y="165"/>
                                    </a:cubicBezTo>
                                    <a:cubicBezTo>
                                      <a:pt x="489" y="167"/>
                                      <a:pt x="489" y="167"/>
                                      <a:pt x="489" y="167"/>
                                    </a:cubicBezTo>
                                    <a:cubicBezTo>
                                      <a:pt x="494" y="169"/>
                                      <a:pt x="493" y="165"/>
                                      <a:pt x="491" y="164"/>
                                    </a:cubicBezTo>
                                    <a:cubicBezTo>
                                      <a:pt x="489" y="162"/>
                                      <a:pt x="486" y="159"/>
                                      <a:pt x="483" y="157"/>
                                    </a:cubicBezTo>
                                    <a:close/>
                                    <a:moveTo>
                                      <a:pt x="481" y="155"/>
                                    </a:moveTo>
                                    <a:cubicBezTo>
                                      <a:pt x="481" y="156"/>
                                      <a:pt x="477" y="160"/>
                                      <a:pt x="481" y="158"/>
                                    </a:cubicBezTo>
                                    <a:cubicBezTo>
                                      <a:pt x="482" y="158"/>
                                      <a:pt x="485" y="154"/>
                                      <a:pt x="481" y="155"/>
                                    </a:cubicBezTo>
                                    <a:close/>
                                    <a:moveTo>
                                      <a:pt x="450" y="151"/>
                                    </a:moveTo>
                                    <a:cubicBezTo>
                                      <a:pt x="450" y="151"/>
                                      <a:pt x="448" y="154"/>
                                      <a:pt x="450" y="153"/>
                                    </a:cubicBezTo>
                                    <a:cubicBezTo>
                                      <a:pt x="450" y="153"/>
                                      <a:pt x="452" y="149"/>
                                      <a:pt x="450" y="151"/>
                                    </a:cubicBezTo>
                                    <a:close/>
                                    <a:moveTo>
                                      <a:pt x="535" y="147"/>
                                    </a:moveTo>
                                    <a:cubicBezTo>
                                      <a:pt x="541" y="145"/>
                                      <a:pt x="549" y="149"/>
                                      <a:pt x="543" y="151"/>
                                    </a:cubicBezTo>
                                    <a:cubicBezTo>
                                      <a:pt x="539" y="152"/>
                                      <a:pt x="525" y="149"/>
                                      <a:pt x="535" y="147"/>
                                    </a:cubicBezTo>
                                    <a:close/>
                                    <a:moveTo>
                                      <a:pt x="478" y="146"/>
                                    </a:moveTo>
                                    <a:cubicBezTo>
                                      <a:pt x="478" y="146"/>
                                      <a:pt x="481" y="147"/>
                                      <a:pt x="481" y="148"/>
                                    </a:cubicBezTo>
                                    <a:cubicBezTo>
                                      <a:pt x="481" y="146"/>
                                      <a:pt x="481" y="146"/>
                                      <a:pt x="481" y="146"/>
                                    </a:cubicBezTo>
                                    <a:cubicBezTo>
                                      <a:pt x="481" y="145"/>
                                      <a:pt x="478" y="146"/>
                                      <a:pt x="478" y="146"/>
                                    </a:cubicBezTo>
                                    <a:close/>
                                    <a:moveTo>
                                      <a:pt x="485" y="145"/>
                                    </a:moveTo>
                                    <a:cubicBezTo>
                                      <a:pt x="485" y="145"/>
                                      <a:pt x="498" y="149"/>
                                      <a:pt x="490" y="149"/>
                                    </a:cubicBezTo>
                                    <a:cubicBezTo>
                                      <a:pt x="490" y="149"/>
                                      <a:pt x="489" y="147"/>
                                      <a:pt x="488" y="148"/>
                                    </a:cubicBezTo>
                                    <a:cubicBezTo>
                                      <a:pt x="489" y="151"/>
                                      <a:pt x="489" y="151"/>
                                      <a:pt x="489" y="151"/>
                                    </a:cubicBezTo>
                                    <a:cubicBezTo>
                                      <a:pt x="489" y="151"/>
                                      <a:pt x="487" y="151"/>
                                      <a:pt x="486" y="151"/>
                                    </a:cubicBezTo>
                                    <a:cubicBezTo>
                                      <a:pt x="486" y="149"/>
                                      <a:pt x="484" y="148"/>
                                      <a:pt x="483" y="148"/>
                                    </a:cubicBezTo>
                                    <a:cubicBezTo>
                                      <a:pt x="483" y="148"/>
                                      <a:pt x="484" y="143"/>
                                      <a:pt x="485" y="146"/>
                                    </a:cubicBezTo>
                                    <a:cubicBezTo>
                                      <a:pt x="485" y="145"/>
                                      <a:pt x="485" y="145"/>
                                      <a:pt x="485" y="145"/>
                                    </a:cubicBezTo>
                                    <a:cubicBezTo>
                                      <a:pt x="485" y="145"/>
                                      <a:pt x="485" y="145"/>
                                      <a:pt x="485" y="145"/>
                                    </a:cubicBezTo>
                                    <a:close/>
                                    <a:moveTo>
                                      <a:pt x="554" y="142"/>
                                    </a:moveTo>
                                    <a:cubicBezTo>
                                      <a:pt x="556" y="141"/>
                                      <a:pt x="555" y="144"/>
                                      <a:pt x="554" y="146"/>
                                    </a:cubicBezTo>
                                    <a:cubicBezTo>
                                      <a:pt x="553" y="146"/>
                                      <a:pt x="542" y="148"/>
                                      <a:pt x="547" y="147"/>
                                    </a:cubicBezTo>
                                    <a:cubicBezTo>
                                      <a:pt x="547" y="147"/>
                                      <a:pt x="550" y="146"/>
                                      <a:pt x="551" y="146"/>
                                    </a:cubicBezTo>
                                    <a:cubicBezTo>
                                      <a:pt x="551" y="145"/>
                                      <a:pt x="553" y="142"/>
                                      <a:pt x="554" y="142"/>
                                    </a:cubicBezTo>
                                    <a:close/>
                                    <a:moveTo>
                                      <a:pt x="480" y="142"/>
                                    </a:moveTo>
                                    <a:cubicBezTo>
                                      <a:pt x="480" y="144"/>
                                      <a:pt x="480" y="144"/>
                                      <a:pt x="480" y="144"/>
                                    </a:cubicBezTo>
                                    <a:cubicBezTo>
                                      <a:pt x="481" y="144"/>
                                      <a:pt x="481" y="144"/>
                                      <a:pt x="481" y="144"/>
                                    </a:cubicBezTo>
                                    <a:cubicBezTo>
                                      <a:pt x="480" y="143"/>
                                      <a:pt x="483" y="142"/>
                                      <a:pt x="480" y="142"/>
                                    </a:cubicBezTo>
                                    <a:close/>
                                    <a:moveTo>
                                      <a:pt x="486" y="140"/>
                                    </a:moveTo>
                                    <a:cubicBezTo>
                                      <a:pt x="483" y="140"/>
                                      <a:pt x="487" y="142"/>
                                      <a:pt x="488" y="142"/>
                                    </a:cubicBezTo>
                                    <a:cubicBezTo>
                                      <a:pt x="487" y="141"/>
                                      <a:pt x="489" y="139"/>
                                      <a:pt x="486" y="140"/>
                                    </a:cubicBezTo>
                                    <a:close/>
                                    <a:moveTo>
                                      <a:pt x="707" y="100"/>
                                    </a:moveTo>
                                    <a:cubicBezTo>
                                      <a:pt x="706" y="101"/>
                                      <a:pt x="705" y="103"/>
                                      <a:pt x="704" y="104"/>
                                    </a:cubicBezTo>
                                    <a:cubicBezTo>
                                      <a:pt x="701" y="103"/>
                                      <a:pt x="701" y="103"/>
                                      <a:pt x="701" y="103"/>
                                    </a:cubicBezTo>
                                    <a:cubicBezTo>
                                      <a:pt x="700" y="107"/>
                                      <a:pt x="700" y="107"/>
                                      <a:pt x="700" y="107"/>
                                    </a:cubicBezTo>
                                    <a:cubicBezTo>
                                      <a:pt x="696" y="109"/>
                                      <a:pt x="696" y="104"/>
                                      <a:pt x="698" y="102"/>
                                    </a:cubicBezTo>
                                    <a:cubicBezTo>
                                      <a:pt x="701" y="101"/>
                                      <a:pt x="705" y="100"/>
                                      <a:pt x="707" y="100"/>
                                    </a:cubicBezTo>
                                    <a:close/>
                                    <a:moveTo>
                                      <a:pt x="724" y="97"/>
                                    </a:moveTo>
                                    <a:cubicBezTo>
                                      <a:pt x="727" y="97"/>
                                      <a:pt x="727" y="97"/>
                                      <a:pt x="729" y="98"/>
                                    </a:cubicBezTo>
                                    <a:cubicBezTo>
                                      <a:pt x="729" y="99"/>
                                      <a:pt x="730" y="100"/>
                                      <a:pt x="728" y="100"/>
                                    </a:cubicBezTo>
                                    <a:cubicBezTo>
                                      <a:pt x="728" y="99"/>
                                      <a:pt x="722" y="96"/>
                                      <a:pt x="724" y="97"/>
                                    </a:cubicBezTo>
                                    <a:close/>
                                    <a:moveTo>
                                      <a:pt x="524" y="95"/>
                                    </a:moveTo>
                                    <a:cubicBezTo>
                                      <a:pt x="522" y="98"/>
                                      <a:pt x="522" y="98"/>
                                      <a:pt x="522" y="98"/>
                                    </a:cubicBezTo>
                                    <a:cubicBezTo>
                                      <a:pt x="523" y="97"/>
                                      <a:pt x="519" y="96"/>
                                      <a:pt x="519" y="96"/>
                                    </a:cubicBezTo>
                                    <a:cubicBezTo>
                                      <a:pt x="518" y="96"/>
                                      <a:pt x="518" y="98"/>
                                      <a:pt x="517" y="99"/>
                                    </a:cubicBezTo>
                                    <a:cubicBezTo>
                                      <a:pt x="519" y="99"/>
                                      <a:pt x="520" y="98"/>
                                      <a:pt x="522" y="98"/>
                                    </a:cubicBezTo>
                                    <a:cubicBezTo>
                                      <a:pt x="522" y="99"/>
                                      <a:pt x="523" y="99"/>
                                      <a:pt x="524" y="100"/>
                                    </a:cubicBezTo>
                                    <a:cubicBezTo>
                                      <a:pt x="523" y="101"/>
                                      <a:pt x="523" y="102"/>
                                      <a:pt x="523" y="102"/>
                                    </a:cubicBezTo>
                                    <a:cubicBezTo>
                                      <a:pt x="529" y="99"/>
                                      <a:pt x="528" y="102"/>
                                      <a:pt x="527" y="95"/>
                                    </a:cubicBezTo>
                                    <a:cubicBezTo>
                                      <a:pt x="526" y="95"/>
                                      <a:pt x="524" y="95"/>
                                      <a:pt x="524" y="95"/>
                                    </a:cubicBezTo>
                                    <a:close/>
                                    <a:moveTo>
                                      <a:pt x="517" y="93"/>
                                    </a:moveTo>
                                    <a:cubicBezTo>
                                      <a:pt x="516" y="95"/>
                                      <a:pt x="516" y="95"/>
                                      <a:pt x="516" y="95"/>
                                    </a:cubicBezTo>
                                    <a:cubicBezTo>
                                      <a:pt x="519" y="95"/>
                                      <a:pt x="520" y="93"/>
                                      <a:pt x="517" y="93"/>
                                    </a:cubicBezTo>
                                    <a:close/>
                                    <a:moveTo>
                                      <a:pt x="543" y="91"/>
                                    </a:moveTo>
                                    <a:cubicBezTo>
                                      <a:pt x="542" y="94"/>
                                      <a:pt x="542" y="94"/>
                                      <a:pt x="542" y="94"/>
                                    </a:cubicBezTo>
                                    <a:cubicBezTo>
                                      <a:pt x="545" y="93"/>
                                      <a:pt x="546" y="91"/>
                                      <a:pt x="543" y="91"/>
                                    </a:cubicBezTo>
                                    <a:close/>
                                    <a:moveTo>
                                      <a:pt x="709" y="77"/>
                                    </a:moveTo>
                                    <a:cubicBezTo>
                                      <a:pt x="711" y="82"/>
                                      <a:pt x="709" y="82"/>
                                      <a:pt x="714" y="83"/>
                                    </a:cubicBezTo>
                                    <a:cubicBezTo>
                                      <a:pt x="716" y="84"/>
                                      <a:pt x="715" y="80"/>
                                      <a:pt x="714" y="78"/>
                                    </a:cubicBezTo>
                                    <a:cubicBezTo>
                                      <a:pt x="712" y="77"/>
                                      <a:pt x="711" y="78"/>
                                      <a:pt x="709" y="77"/>
                                    </a:cubicBezTo>
                                    <a:close/>
                                    <a:moveTo>
                                      <a:pt x="723" y="69"/>
                                    </a:moveTo>
                                    <a:cubicBezTo>
                                      <a:pt x="724" y="73"/>
                                      <a:pt x="724" y="73"/>
                                      <a:pt x="724" y="73"/>
                                    </a:cubicBezTo>
                                    <a:cubicBezTo>
                                      <a:pt x="726" y="72"/>
                                      <a:pt x="728" y="73"/>
                                      <a:pt x="726" y="71"/>
                                    </a:cubicBezTo>
                                    <a:cubicBezTo>
                                      <a:pt x="726" y="70"/>
                                      <a:pt x="724" y="69"/>
                                      <a:pt x="723" y="69"/>
                                    </a:cubicBezTo>
                                    <a:close/>
                                    <a:moveTo>
                                      <a:pt x="722" y="63"/>
                                    </a:moveTo>
                                    <a:cubicBezTo>
                                      <a:pt x="722" y="65"/>
                                      <a:pt x="722" y="65"/>
                                      <a:pt x="722" y="65"/>
                                    </a:cubicBezTo>
                                    <a:cubicBezTo>
                                      <a:pt x="727" y="66"/>
                                      <a:pt x="725" y="63"/>
                                      <a:pt x="722" y="63"/>
                                    </a:cubicBezTo>
                                    <a:close/>
                                    <a:moveTo>
                                      <a:pt x="713" y="58"/>
                                    </a:moveTo>
                                    <a:cubicBezTo>
                                      <a:pt x="714" y="60"/>
                                      <a:pt x="714" y="60"/>
                                      <a:pt x="714" y="60"/>
                                    </a:cubicBezTo>
                                    <a:cubicBezTo>
                                      <a:pt x="713" y="59"/>
                                      <a:pt x="715" y="58"/>
                                      <a:pt x="713" y="58"/>
                                    </a:cubicBezTo>
                                    <a:close/>
                                    <a:moveTo>
                                      <a:pt x="553" y="50"/>
                                    </a:moveTo>
                                    <a:cubicBezTo>
                                      <a:pt x="552" y="52"/>
                                      <a:pt x="552" y="52"/>
                                      <a:pt x="552" y="52"/>
                                    </a:cubicBezTo>
                                    <a:cubicBezTo>
                                      <a:pt x="552" y="53"/>
                                      <a:pt x="552" y="56"/>
                                      <a:pt x="552" y="56"/>
                                    </a:cubicBezTo>
                                    <a:cubicBezTo>
                                      <a:pt x="553" y="56"/>
                                      <a:pt x="555" y="55"/>
                                      <a:pt x="555" y="55"/>
                                    </a:cubicBezTo>
                                    <a:cubicBezTo>
                                      <a:pt x="555" y="54"/>
                                      <a:pt x="555" y="52"/>
                                      <a:pt x="555" y="51"/>
                                    </a:cubicBezTo>
                                    <a:cubicBezTo>
                                      <a:pt x="553" y="50"/>
                                      <a:pt x="553" y="50"/>
                                      <a:pt x="553" y="50"/>
                                    </a:cubicBezTo>
                                    <a:cubicBezTo>
                                      <a:pt x="553" y="50"/>
                                      <a:pt x="553" y="50"/>
                                      <a:pt x="553" y="50"/>
                                    </a:cubicBezTo>
                                    <a:close/>
                                    <a:moveTo>
                                      <a:pt x="604" y="34"/>
                                    </a:moveTo>
                                    <a:cubicBezTo>
                                      <a:pt x="603" y="35"/>
                                      <a:pt x="605" y="38"/>
                                      <a:pt x="605" y="38"/>
                                    </a:cubicBezTo>
                                    <a:cubicBezTo>
                                      <a:pt x="605" y="38"/>
                                      <a:pt x="608" y="33"/>
                                      <a:pt x="604" y="34"/>
                                    </a:cubicBezTo>
                                    <a:close/>
                                    <a:moveTo>
                                      <a:pt x="631" y="10"/>
                                    </a:moveTo>
                                    <a:cubicBezTo>
                                      <a:pt x="632" y="10"/>
                                      <a:pt x="629" y="12"/>
                                      <a:pt x="629" y="12"/>
                                    </a:cubicBezTo>
                                    <a:cubicBezTo>
                                      <a:pt x="633" y="11"/>
                                      <a:pt x="634" y="10"/>
                                      <a:pt x="631" y="10"/>
                                    </a:cubicBezTo>
                                    <a:close/>
                                  </a:path>
                                </a:pathLst>
                              </a:custGeom>
                              <a:solidFill>
                                <a:srgbClr val="B4B5DB">
                                  <a:lumMod val="60000"/>
                                  <a:lumOff val="40000"/>
                                </a:srgbClr>
                              </a:solidFill>
                              <a:ln w="9525">
                                <a:solidFill>
                                  <a:srgbClr val="FFFFFF"/>
                                </a:solidFill>
                                <a:round/>
                                <a:headEnd/>
                                <a:tailEnd/>
                              </a:ln>
                            </wps:spPr>
                            <wps:bodyPr vert="horz" wrap="square" lIns="91440" tIns="45720" rIns="91440" bIns="45720" numCol="1" anchor="t" anchorCtr="0" compatLnSpc="1">
                              <a:prstTxWarp prst="textNoShape">
                                <a:avLst/>
                              </a:prstTxWarp>
                            </wps:bodyPr>
                          </wps:wsp>
                          <wps:wsp>
                            <wps:cNvPr id="1626424285" name="Freeform 44">
                              <a:extLst>
                                <a:ext uri="{FF2B5EF4-FFF2-40B4-BE49-F238E27FC236}">
                                  <a16:creationId xmlns:a16="http://schemas.microsoft.com/office/drawing/2014/main" id="{CE060015-7731-BEF2-8EC9-576814EB374A}"/>
                                </a:ext>
                              </a:extLst>
                            </wps:cNvPr>
                            <wps:cNvSpPr>
                              <a:spLocks noEditPoints="1"/>
                            </wps:cNvSpPr>
                            <wps:spPr bwMode="auto">
                              <a:xfrm>
                                <a:off x="1107304" y="2945"/>
                                <a:ext cx="982" cy="700"/>
                              </a:xfrm>
                              <a:custGeom>
                                <a:avLst/>
                                <a:gdLst/>
                                <a:ahLst/>
                                <a:cxnLst>
                                  <a:cxn ang="0">
                                    <a:pos x="0" y="244"/>
                                  </a:cxn>
                                  <a:cxn ang="0">
                                    <a:pos x="17" y="254"/>
                                  </a:cxn>
                                  <a:cxn ang="0">
                                    <a:pos x="27" y="246"/>
                                  </a:cxn>
                                  <a:cxn ang="0">
                                    <a:pos x="42" y="253"/>
                                  </a:cxn>
                                  <a:cxn ang="0">
                                    <a:pos x="60" y="254"/>
                                  </a:cxn>
                                  <a:cxn ang="0">
                                    <a:pos x="89" y="264"/>
                                  </a:cxn>
                                  <a:cxn ang="0">
                                    <a:pos x="117" y="266"/>
                                  </a:cxn>
                                  <a:cxn ang="0">
                                    <a:pos x="132" y="254"/>
                                  </a:cxn>
                                  <a:cxn ang="0">
                                    <a:pos x="148" y="242"/>
                                  </a:cxn>
                                  <a:cxn ang="0">
                                    <a:pos x="157" y="245"/>
                                  </a:cxn>
                                  <a:cxn ang="0">
                                    <a:pos x="156" y="237"/>
                                  </a:cxn>
                                  <a:cxn ang="0">
                                    <a:pos x="151" y="235"/>
                                  </a:cxn>
                                  <a:cxn ang="0">
                                    <a:pos x="152" y="229"/>
                                  </a:cxn>
                                  <a:cxn ang="0">
                                    <a:pos x="160" y="222"/>
                                  </a:cxn>
                                  <a:cxn ang="0">
                                    <a:pos x="178" y="213"/>
                                  </a:cxn>
                                  <a:cxn ang="0">
                                    <a:pos x="185" y="209"/>
                                  </a:cxn>
                                  <a:cxn ang="0">
                                    <a:pos x="190" y="235"/>
                                  </a:cxn>
                                  <a:cxn ang="0">
                                    <a:pos x="173" y="248"/>
                                  </a:cxn>
                                  <a:cxn ang="0">
                                    <a:pos x="197" y="251"/>
                                  </a:cxn>
                                  <a:cxn ang="0">
                                    <a:pos x="214" y="248"/>
                                  </a:cxn>
                                  <a:cxn ang="0">
                                    <a:pos x="223" y="270"/>
                                  </a:cxn>
                                  <a:cxn ang="0">
                                    <a:pos x="241" y="281"/>
                                  </a:cxn>
                                  <a:cxn ang="0">
                                    <a:pos x="264" y="296"/>
                                  </a:cxn>
                                  <a:cxn ang="0">
                                    <a:pos x="266" y="279"/>
                                  </a:cxn>
                                  <a:cxn ang="0">
                                    <a:pos x="262" y="268"/>
                                  </a:cxn>
                                  <a:cxn ang="0">
                                    <a:pos x="293" y="258"/>
                                  </a:cxn>
                                  <a:cxn ang="0">
                                    <a:pos x="306" y="254"/>
                                  </a:cxn>
                                  <a:cxn ang="0">
                                    <a:pos x="328" y="237"/>
                                  </a:cxn>
                                  <a:cxn ang="0">
                                    <a:pos x="338" y="228"/>
                                  </a:cxn>
                                  <a:cxn ang="0">
                                    <a:pos x="354" y="226"/>
                                  </a:cxn>
                                  <a:cxn ang="0">
                                    <a:pos x="376" y="226"/>
                                  </a:cxn>
                                  <a:cxn ang="0">
                                    <a:pos x="391" y="225"/>
                                  </a:cxn>
                                  <a:cxn ang="0">
                                    <a:pos x="405" y="215"/>
                                  </a:cxn>
                                  <a:cxn ang="0">
                                    <a:pos x="412" y="215"/>
                                  </a:cxn>
                                  <a:cxn ang="0">
                                    <a:pos x="321" y="164"/>
                                  </a:cxn>
                                  <a:cxn ang="0">
                                    <a:pos x="310" y="146"/>
                                  </a:cxn>
                                  <a:cxn ang="0">
                                    <a:pos x="289" y="120"/>
                                  </a:cxn>
                                  <a:cxn ang="0">
                                    <a:pos x="256" y="123"/>
                                  </a:cxn>
                                  <a:cxn ang="0">
                                    <a:pos x="220" y="111"/>
                                  </a:cxn>
                                  <a:cxn ang="0">
                                    <a:pos x="196" y="120"/>
                                  </a:cxn>
                                  <a:cxn ang="0">
                                    <a:pos x="160" y="109"/>
                                  </a:cxn>
                                  <a:cxn ang="0">
                                    <a:pos x="118" y="76"/>
                                  </a:cxn>
                                  <a:cxn ang="0">
                                    <a:pos x="97" y="49"/>
                                  </a:cxn>
                                  <a:cxn ang="0">
                                    <a:pos x="66" y="44"/>
                                  </a:cxn>
                                  <a:cxn ang="0">
                                    <a:pos x="49" y="14"/>
                                  </a:cxn>
                                  <a:cxn ang="0">
                                    <a:pos x="14" y="3"/>
                                  </a:cxn>
                                  <a:cxn ang="0">
                                    <a:pos x="273" y="273"/>
                                  </a:cxn>
                                  <a:cxn ang="0">
                                    <a:pos x="202" y="245"/>
                                  </a:cxn>
                                  <a:cxn ang="0">
                                    <a:pos x="206" y="250"/>
                                  </a:cxn>
                                  <a:cxn ang="0">
                                    <a:pos x="202" y="245"/>
                                  </a:cxn>
                                </a:cxnLst>
                                <a:rect l="0" t="0" r="r" b="b"/>
                                <a:pathLst>
                                  <a:path w="416" h="296">
                                    <a:moveTo>
                                      <a:pt x="4" y="0"/>
                                    </a:moveTo>
                                    <a:cubicBezTo>
                                      <a:pt x="3" y="1"/>
                                      <a:pt x="3" y="1"/>
                                      <a:pt x="3" y="1"/>
                                    </a:cubicBezTo>
                                    <a:cubicBezTo>
                                      <a:pt x="0" y="244"/>
                                      <a:pt x="0" y="244"/>
                                      <a:pt x="0" y="244"/>
                                    </a:cubicBezTo>
                                    <a:cubicBezTo>
                                      <a:pt x="1" y="244"/>
                                      <a:pt x="2" y="244"/>
                                      <a:pt x="3" y="245"/>
                                    </a:cubicBezTo>
                                    <a:cubicBezTo>
                                      <a:pt x="6" y="246"/>
                                      <a:pt x="8" y="252"/>
                                      <a:pt x="11" y="253"/>
                                    </a:cubicBezTo>
                                    <a:cubicBezTo>
                                      <a:pt x="13" y="254"/>
                                      <a:pt x="16" y="254"/>
                                      <a:pt x="17" y="254"/>
                                    </a:cubicBezTo>
                                    <a:cubicBezTo>
                                      <a:pt x="20" y="254"/>
                                      <a:pt x="18" y="252"/>
                                      <a:pt x="16" y="249"/>
                                    </a:cubicBezTo>
                                    <a:cubicBezTo>
                                      <a:pt x="18" y="249"/>
                                      <a:pt x="19" y="248"/>
                                      <a:pt x="21" y="247"/>
                                    </a:cubicBezTo>
                                    <a:cubicBezTo>
                                      <a:pt x="23" y="247"/>
                                      <a:pt x="23" y="245"/>
                                      <a:pt x="27" y="246"/>
                                    </a:cubicBezTo>
                                    <a:cubicBezTo>
                                      <a:pt x="27" y="246"/>
                                      <a:pt x="29" y="248"/>
                                      <a:pt x="30" y="248"/>
                                    </a:cubicBezTo>
                                    <a:cubicBezTo>
                                      <a:pt x="32" y="249"/>
                                      <a:pt x="34" y="248"/>
                                      <a:pt x="36" y="249"/>
                                    </a:cubicBezTo>
                                    <a:cubicBezTo>
                                      <a:pt x="38" y="250"/>
                                      <a:pt x="41" y="253"/>
                                      <a:pt x="42" y="253"/>
                                    </a:cubicBezTo>
                                    <a:cubicBezTo>
                                      <a:pt x="47" y="254"/>
                                      <a:pt x="49" y="251"/>
                                      <a:pt x="51" y="251"/>
                                    </a:cubicBezTo>
                                    <a:cubicBezTo>
                                      <a:pt x="54" y="251"/>
                                      <a:pt x="58" y="251"/>
                                      <a:pt x="59" y="252"/>
                                    </a:cubicBezTo>
                                    <a:cubicBezTo>
                                      <a:pt x="60" y="254"/>
                                      <a:pt x="60" y="254"/>
                                      <a:pt x="60" y="254"/>
                                    </a:cubicBezTo>
                                    <a:cubicBezTo>
                                      <a:pt x="64" y="255"/>
                                      <a:pt x="65" y="252"/>
                                      <a:pt x="69" y="253"/>
                                    </a:cubicBezTo>
                                    <a:cubicBezTo>
                                      <a:pt x="73" y="254"/>
                                      <a:pt x="79" y="261"/>
                                      <a:pt x="82" y="263"/>
                                    </a:cubicBezTo>
                                    <a:cubicBezTo>
                                      <a:pt x="85" y="264"/>
                                      <a:pt x="87" y="263"/>
                                      <a:pt x="89" y="264"/>
                                    </a:cubicBezTo>
                                    <a:cubicBezTo>
                                      <a:pt x="92" y="265"/>
                                      <a:pt x="93" y="270"/>
                                      <a:pt x="96" y="271"/>
                                    </a:cubicBezTo>
                                    <a:cubicBezTo>
                                      <a:pt x="100" y="274"/>
                                      <a:pt x="103" y="273"/>
                                      <a:pt x="106" y="276"/>
                                    </a:cubicBezTo>
                                    <a:cubicBezTo>
                                      <a:pt x="112" y="273"/>
                                      <a:pt x="113" y="268"/>
                                      <a:pt x="117" y="266"/>
                                    </a:cubicBezTo>
                                    <a:cubicBezTo>
                                      <a:pt x="118" y="265"/>
                                      <a:pt x="120" y="266"/>
                                      <a:pt x="122" y="266"/>
                                    </a:cubicBezTo>
                                    <a:cubicBezTo>
                                      <a:pt x="122" y="265"/>
                                      <a:pt x="127" y="261"/>
                                      <a:pt x="128" y="261"/>
                                    </a:cubicBezTo>
                                    <a:cubicBezTo>
                                      <a:pt x="129" y="259"/>
                                      <a:pt x="130" y="256"/>
                                      <a:pt x="132" y="254"/>
                                    </a:cubicBezTo>
                                    <a:cubicBezTo>
                                      <a:pt x="137" y="251"/>
                                      <a:pt x="146" y="249"/>
                                      <a:pt x="151" y="246"/>
                                    </a:cubicBezTo>
                                    <a:cubicBezTo>
                                      <a:pt x="150" y="245"/>
                                      <a:pt x="149" y="244"/>
                                      <a:pt x="148" y="244"/>
                                    </a:cubicBezTo>
                                    <a:cubicBezTo>
                                      <a:pt x="148" y="242"/>
                                      <a:pt x="148" y="242"/>
                                      <a:pt x="148" y="242"/>
                                    </a:cubicBezTo>
                                    <a:cubicBezTo>
                                      <a:pt x="149" y="242"/>
                                      <a:pt x="150" y="242"/>
                                      <a:pt x="152" y="242"/>
                                    </a:cubicBezTo>
                                    <a:cubicBezTo>
                                      <a:pt x="152" y="242"/>
                                      <a:pt x="154" y="244"/>
                                      <a:pt x="154" y="245"/>
                                    </a:cubicBezTo>
                                    <a:cubicBezTo>
                                      <a:pt x="156" y="245"/>
                                      <a:pt x="156" y="244"/>
                                      <a:pt x="157" y="245"/>
                                    </a:cubicBezTo>
                                    <a:cubicBezTo>
                                      <a:pt x="158" y="243"/>
                                      <a:pt x="159" y="241"/>
                                      <a:pt x="160" y="240"/>
                                    </a:cubicBezTo>
                                    <a:cubicBezTo>
                                      <a:pt x="164" y="242"/>
                                      <a:pt x="161" y="235"/>
                                      <a:pt x="160" y="234"/>
                                    </a:cubicBezTo>
                                    <a:cubicBezTo>
                                      <a:pt x="159" y="235"/>
                                      <a:pt x="157" y="236"/>
                                      <a:pt x="156" y="237"/>
                                    </a:cubicBezTo>
                                    <a:cubicBezTo>
                                      <a:pt x="156" y="238"/>
                                      <a:pt x="156" y="238"/>
                                      <a:pt x="156" y="238"/>
                                    </a:cubicBezTo>
                                    <a:cubicBezTo>
                                      <a:pt x="155" y="238"/>
                                      <a:pt x="153" y="237"/>
                                      <a:pt x="153" y="238"/>
                                    </a:cubicBezTo>
                                    <a:cubicBezTo>
                                      <a:pt x="152" y="236"/>
                                      <a:pt x="153" y="236"/>
                                      <a:pt x="151" y="235"/>
                                    </a:cubicBezTo>
                                    <a:cubicBezTo>
                                      <a:pt x="149" y="234"/>
                                      <a:pt x="148" y="234"/>
                                      <a:pt x="145" y="234"/>
                                    </a:cubicBezTo>
                                    <a:cubicBezTo>
                                      <a:pt x="145" y="233"/>
                                      <a:pt x="146" y="229"/>
                                      <a:pt x="146" y="229"/>
                                    </a:cubicBezTo>
                                    <a:cubicBezTo>
                                      <a:pt x="148" y="229"/>
                                      <a:pt x="150" y="230"/>
                                      <a:pt x="152" y="229"/>
                                    </a:cubicBezTo>
                                    <a:cubicBezTo>
                                      <a:pt x="153" y="227"/>
                                      <a:pt x="153" y="227"/>
                                      <a:pt x="153" y="227"/>
                                    </a:cubicBezTo>
                                    <a:cubicBezTo>
                                      <a:pt x="155" y="226"/>
                                      <a:pt x="156" y="227"/>
                                      <a:pt x="158" y="226"/>
                                    </a:cubicBezTo>
                                    <a:cubicBezTo>
                                      <a:pt x="159" y="226"/>
                                      <a:pt x="159" y="223"/>
                                      <a:pt x="160" y="222"/>
                                    </a:cubicBezTo>
                                    <a:cubicBezTo>
                                      <a:pt x="161" y="222"/>
                                      <a:pt x="162" y="223"/>
                                      <a:pt x="163" y="222"/>
                                    </a:cubicBezTo>
                                    <a:cubicBezTo>
                                      <a:pt x="165" y="222"/>
                                      <a:pt x="167" y="217"/>
                                      <a:pt x="169" y="216"/>
                                    </a:cubicBezTo>
                                    <a:cubicBezTo>
                                      <a:pt x="172" y="214"/>
                                      <a:pt x="176" y="214"/>
                                      <a:pt x="178" y="213"/>
                                    </a:cubicBezTo>
                                    <a:cubicBezTo>
                                      <a:pt x="179" y="213"/>
                                      <a:pt x="178" y="209"/>
                                      <a:pt x="178" y="209"/>
                                    </a:cubicBezTo>
                                    <a:cubicBezTo>
                                      <a:pt x="179" y="209"/>
                                      <a:pt x="185" y="209"/>
                                      <a:pt x="183" y="210"/>
                                    </a:cubicBezTo>
                                    <a:cubicBezTo>
                                      <a:pt x="184" y="210"/>
                                      <a:pt x="184" y="209"/>
                                      <a:pt x="185" y="209"/>
                                    </a:cubicBezTo>
                                    <a:cubicBezTo>
                                      <a:pt x="188" y="210"/>
                                      <a:pt x="188" y="215"/>
                                      <a:pt x="189" y="219"/>
                                    </a:cubicBezTo>
                                    <a:cubicBezTo>
                                      <a:pt x="191" y="219"/>
                                      <a:pt x="191" y="219"/>
                                      <a:pt x="191" y="219"/>
                                    </a:cubicBezTo>
                                    <a:cubicBezTo>
                                      <a:pt x="192" y="224"/>
                                      <a:pt x="193" y="230"/>
                                      <a:pt x="190" y="235"/>
                                    </a:cubicBezTo>
                                    <a:cubicBezTo>
                                      <a:pt x="189" y="237"/>
                                      <a:pt x="185" y="238"/>
                                      <a:pt x="184" y="240"/>
                                    </a:cubicBezTo>
                                    <a:cubicBezTo>
                                      <a:pt x="184" y="240"/>
                                      <a:pt x="184" y="242"/>
                                      <a:pt x="184" y="243"/>
                                    </a:cubicBezTo>
                                    <a:cubicBezTo>
                                      <a:pt x="183" y="247"/>
                                      <a:pt x="178" y="247"/>
                                      <a:pt x="173" y="248"/>
                                    </a:cubicBezTo>
                                    <a:cubicBezTo>
                                      <a:pt x="176" y="252"/>
                                      <a:pt x="176" y="257"/>
                                      <a:pt x="183" y="256"/>
                                    </a:cubicBezTo>
                                    <a:cubicBezTo>
                                      <a:pt x="186" y="256"/>
                                      <a:pt x="188" y="252"/>
                                      <a:pt x="190" y="251"/>
                                    </a:cubicBezTo>
                                    <a:cubicBezTo>
                                      <a:pt x="192" y="251"/>
                                      <a:pt x="195" y="252"/>
                                      <a:pt x="197" y="251"/>
                                    </a:cubicBezTo>
                                    <a:cubicBezTo>
                                      <a:pt x="196" y="249"/>
                                      <a:pt x="197" y="250"/>
                                      <a:pt x="195" y="249"/>
                                    </a:cubicBezTo>
                                    <a:cubicBezTo>
                                      <a:pt x="199" y="238"/>
                                      <a:pt x="200" y="238"/>
                                      <a:pt x="213" y="242"/>
                                    </a:cubicBezTo>
                                    <a:cubicBezTo>
                                      <a:pt x="213" y="244"/>
                                      <a:pt x="214" y="247"/>
                                      <a:pt x="214" y="248"/>
                                    </a:cubicBezTo>
                                    <a:cubicBezTo>
                                      <a:pt x="210" y="252"/>
                                      <a:pt x="204" y="256"/>
                                      <a:pt x="209" y="262"/>
                                    </a:cubicBezTo>
                                    <a:cubicBezTo>
                                      <a:pt x="211" y="262"/>
                                      <a:pt x="211" y="262"/>
                                      <a:pt x="211" y="262"/>
                                    </a:cubicBezTo>
                                    <a:cubicBezTo>
                                      <a:pt x="215" y="263"/>
                                      <a:pt x="216" y="271"/>
                                      <a:pt x="223" y="270"/>
                                    </a:cubicBezTo>
                                    <a:cubicBezTo>
                                      <a:pt x="226" y="270"/>
                                      <a:pt x="227" y="267"/>
                                      <a:pt x="232" y="268"/>
                                    </a:cubicBezTo>
                                    <a:cubicBezTo>
                                      <a:pt x="233" y="268"/>
                                      <a:pt x="235" y="270"/>
                                      <a:pt x="235" y="270"/>
                                    </a:cubicBezTo>
                                    <a:cubicBezTo>
                                      <a:pt x="227" y="268"/>
                                      <a:pt x="239" y="279"/>
                                      <a:pt x="241" y="281"/>
                                    </a:cubicBezTo>
                                    <a:cubicBezTo>
                                      <a:pt x="242" y="280"/>
                                      <a:pt x="243" y="281"/>
                                      <a:pt x="244" y="281"/>
                                    </a:cubicBezTo>
                                    <a:cubicBezTo>
                                      <a:pt x="244" y="281"/>
                                      <a:pt x="245" y="278"/>
                                      <a:pt x="246" y="278"/>
                                    </a:cubicBezTo>
                                    <a:cubicBezTo>
                                      <a:pt x="257" y="274"/>
                                      <a:pt x="260" y="288"/>
                                      <a:pt x="264" y="296"/>
                                    </a:cubicBezTo>
                                    <a:cubicBezTo>
                                      <a:pt x="264" y="296"/>
                                      <a:pt x="267" y="294"/>
                                      <a:pt x="267" y="293"/>
                                    </a:cubicBezTo>
                                    <a:cubicBezTo>
                                      <a:pt x="268" y="290"/>
                                      <a:pt x="268" y="285"/>
                                      <a:pt x="268" y="280"/>
                                    </a:cubicBezTo>
                                    <a:cubicBezTo>
                                      <a:pt x="266" y="279"/>
                                      <a:pt x="266" y="279"/>
                                      <a:pt x="266" y="279"/>
                                    </a:cubicBezTo>
                                    <a:cubicBezTo>
                                      <a:pt x="264" y="280"/>
                                      <a:pt x="264" y="282"/>
                                      <a:pt x="262" y="283"/>
                                    </a:cubicBezTo>
                                    <a:cubicBezTo>
                                      <a:pt x="259" y="275"/>
                                      <a:pt x="257" y="278"/>
                                      <a:pt x="259" y="270"/>
                                    </a:cubicBezTo>
                                    <a:cubicBezTo>
                                      <a:pt x="260" y="269"/>
                                      <a:pt x="262" y="268"/>
                                      <a:pt x="262" y="268"/>
                                    </a:cubicBezTo>
                                    <a:cubicBezTo>
                                      <a:pt x="267" y="266"/>
                                      <a:pt x="271" y="269"/>
                                      <a:pt x="277" y="268"/>
                                    </a:cubicBezTo>
                                    <a:cubicBezTo>
                                      <a:pt x="278" y="266"/>
                                      <a:pt x="278" y="266"/>
                                      <a:pt x="278" y="266"/>
                                    </a:cubicBezTo>
                                    <a:cubicBezTo>
                                      <a:pt x="286" y="263"/>
                                      <a:pt x="288" y="262"/>
                                      <a:pt x="293" y="258"/>
                                    </a:cubicBezTo>
                                    <a:cubicBezTo>
                                      <a:pt x="294" y="258"/>
                                      <a:pt x="296" y="258"/>
                                      <a:pt x="298" y="258"/>
                                    </a:cubicBezTo>
                                    <a:cubicBezTo>
                                      <a:pt x="299" y="260"/>
                                      <a:pt x="297" y="260"/>
                                      <a:pt x="300" y="261"/>
                                    </a:cubicBezTo>
                                    <a:cubicBezTo>
                                      <a:pt x="302" y="259"/>
                                      <a:pt x="304" y="256"/>
                                      <a:pt x="306" y="254"/>
                                    </a:cubicBezTo>
                                    <a:cubicBezTo>
                                      <a:pt x="309" y="252"/>
                                      <a:pt x="314" y="251"/>
                                      <a:pt x="317" y="248"/>
                                    </a:cubicBezTo>
                                    <a:cubicBezTo>
                                      <a:pt x="320" y="246"/>
                                      <a:pt x="323" y="239"/>
                                      <a:pt x="325" y="238"/>
                                    </a:cubicBezTo>
                                    <a:cubicBezTo>
                                      <a:pt x="326" y="237"/>
                                      <a:pt x="328" y="238"/>
                                      <a:pt x="328" y="237"/>
                                    </a:cubicBezTo>
                                    <a:cubicBezTo>
                                      <a:pt x="329" y="236"/>
                                      <a:pt x="328" y="234"/>
                                      <a:pt x="327" y="233"/>
                                    </a:cubicBezTo>
                                    <a:cubicBezTo>
                                      <a:pt x="329" y="231"/>
                                      <a:pt x="334" y="226"/>
                                      <a:pt x="336" y="225"/>
                                    </a:cubicBezTo>
                                    <a:cubicBezTo>
                                      <a:pt x="338" y="225"/>
                                      <a:pt x="337" y="227"/>
                                      <a:pt x="338" y="228"/>
                                    </a:cubicBezTo>
                                    <a:cubicBezTo>
                                      <a:pt x="341" y="228"/>
                                      <a:pt x="348" y="229"/>
                                      <a:pt x="350" y="228"/>
                                    </a:cubicBezTo>
                                    <a:cubicBezTo>
                                      <a:pt x="350" y="228"/>
                                      <a:pt x="349" y="225"/>
                                      <a:pt x="350" y="224"/>
                                    </a:cubicBezTo>
                                    <a:cubicBezTo>
                                      <a:pt x="355" y="223"/>
                                      <a:pt x="354" y="226"/>
                                      <a:pt x="354" y="226"/>
                                    </a:cubicBezTo>
                                    <a:cubicBezTo>
                                      <a:pt x="357" y="227"/>
                                      <a:pt x="365" y="227"/>
                                      <a:pt x="368" y="226"/>
                                    </a:cubicBezTo>
                                    <a:cubicBezTo>
                                      <a:pt x="369" y="226"/>
                                      <a:pt x="368" y="224"/>
                                      <a:pt x="371" y="224"/>
                                    </a:cubicBezTo>
                                    <a:cubicBezTo>
                                      <a:pt x="372" y="224"/>
                                      <a:pt x="373" y="227"/>
                                      <a:pt x="376" y="226"/>
                                    </a:cubicBezTo>
                                    <a:cubicBezTo>
                                      <a:pt x="378" y="226"/>
                                      <a:pt x="378" y="223"/>
                                      <a:pt x="379" y="222"/>
                                    </a:cubicBezTo>
                                    <a:cubicBezTo>
                                      <a:pt x="380" y="222"/>
                                      <a:pt x="382" y="222"/>
                                      <a:pt x="383" y="221"/>
                                    </a:cubicBezTo>
                                    <a:cubicBezTo>
                                      <a:pt x="386" y="223"/>
                                      <a:pt x="385" y="226"/>
                                      <a:pt x="391" y="225"/>
                                    </a:cubicBezTo>
                                    <a:cubicBezTo>
                                      <a:pt x="391" y="225"/>
                                      <a:pt x="392" y="223"/>
                                      <a:pt x="393" y="222"/>
                                    </a:cubicBezTo>
                                    <a:cubicBezTo>
                                      <a:pt x="398" y="221"/>
                                      <a:pt x="399" y="223"/>
                                      <a:pt x="403" y="220"/>
                                    </a:cubicBezTo>
                                    <a:cubicBezTo>
                                      <a:pt x="407" y="217"/>
                                      <a:pt x="405" y="215"/>
                                      <a:pt x="405" y="215"/>
                                    </a:cubicBezTo>
                                    <a:cubicBezTo>
                                      <a:pt x="405" y="212"/>
                                      <a:pt x="405" y="212"/>
                                      <a:pt x="405" y="212"/>
                                    </a:cubicBezTo>
                                    <a:cubicBezTo>
                                      <a:pt x="405" y="212"/>
                                      <a:pt x="412" y="213"/>
                                      <a:pt x="409" y="214"/>
                                    </a:cubicBezTo>
                                    <a:cubicBezTo>
                                      <a:pt x="410" y="214"/>
                                      <a:pt x="411" y="214"/>
                                      <a:pt x="412" y="215"/>
                                    </a:cubicBezTo>
                                    <a:cubicBezTo>
                                      <a:pt x="413" y="215"/>
                                      <a:pt x="414" y="216"/>
                                      <a:pt x="416" y="217"/>
                                    </a:cubicBezTo>
                                    <a:cubicBezTo>
                                      <a:pt x="416" y="213"/>
                                      <a:pt x="416" y="213"/>
                                      <a:pt x="416" y="213"/>
                                    </a:cubicBezTo>
                                    <a:cubicBezTo>
                                      <a:pt x="321" y="164"/>
                                      <a:pt x="321" y="164"/>
                                      <a:pt x="321" y="164"/>
                                    </a:cubicBezTo>
                                    <a:cubicBezTo>
                                      <a:pt x="321" y="164"/>
                                      <a:pt x="318" y="169"/>
                                      <a:pt x="316" y="165"/>
                                    </a:cubicBezTo>
                                    <a:cubicBezTo>
                                      <a:pt x="315" y="164"/>
                                      <a:pt x="317" y="162"/>
                                      <a:pt x="316" y="158"/>
                                    </a:cubicBezTo>
                                    <a:cubicBezTo>
                                      <a:pt x="314" y="154"/>
                                      <a:pt x="310" y="147"/>
                                      <a:pt x="310" y="146"/>
                                    </a:cubicBezTo>
                                    <a:cubicBezTo>
                                      <a:pt x="308" y="137"/>
                                      <a:pt x="321" y="139"/>
                                      <a:pt x="320" y="129"/>
                                    </a:cubicBezTo>
                                    <a:cubicBezTo>
                                      <a:pt x="319" y="121"/>
                                      <a:pt x="310" y="113"/>
                                      <a:pt x="303" y="113"/>
                                    </a:cubicBezTo>
                                    <a:cubicBezTo>
                                      <a:pt x="297" y="113"/>
                                      <a:pt x="295" y="118"/>
                                      <a:pt x="289" y="120"/>
                                    </a:cubicBezTo>
                                    <a:cubicBezTo>
                                      <a:pt x="286" y="120"/>
                                      <a:pt x="283" y="118"/>
                                      <a:pt x="281" y="121"/>
                                    </a:cubicBezTo>
                                    <a:cubicBezTo>
                                      <a:pt x="277" y="125"/>
                                      <a:pt x="283" y="133"/>
                                      <a:pt x="272" y="129"/>
                                    </a:cubicBezTo>
                                    <a:cubicBezTo>
                                      <a:pt x="258" y="125"/>
                                      <a:pt x="264" y="124"/>
                                      <a:pt x="256" y="123"/>
                                    </a:cubicBezTo>
                                    <a:cubicBezTo>
                                      <a:pt x="252" y="122"/>
                                      <a:pt x="251" y="121"/>
                                      <a:pt x="248" y="120"/>
                                    </a:cubicBezTo>
                                    <a:cubicBezTo>
                                      <a:pt x="243" y="119"/>
                                      <a:pt x="240" y="118"/>
                                      <a:pt x="235" y="116"/>
                                    </a:cubicBezTo>
                                    <a:cubicBezTo>
                                      <a:pt x="229" y="114"/>
                                      <a:pt x="226" y="111"/>
                                      <a:pt x="220" y="111"/>
                                    </a:cubicBezTo>
                                    <a:cubicBezTo>
                                      <a:pt x="216" y="110"/>
                                      <a:pt x="223" y="113"/>
                                      <a:pt x="211" y="111"/>
                                    </a:cubicBezTo>
                                    <a:cubicBezTo>
                                      <a:pt x="207" y="111"/>
                                      <a:pt x="196" y="109"/>
                                      <a:pt x="198" y="112"/>
                                    </a:cubicBezTo>
                                    <a:cubicBezTo>
                                      <a:pt x="199" y="112"/>
                                      <a:pt x="196" y="118"/>
                                      <a:pt x="196" y="120"/>
                                    </a:cubicBezTo>
                                    <a:cubicBezTo>
                                      <a:pt x="191" y="119"/>
                                      <a:pt x="195" y="125"/>
                                      <a:pt x="190" y="124"/>
                                    </a:cubicBezTo>
                                    <a:cubicBezTo>
                                      <a:pt x="185" y="122"/>
                                      <a:pt x="181" y="120"/>
                                      <a:pt x="181" y="120"/>
                                    </a:cubicBezTo>
                                    <a:cubicBezTo>
                                      <a:pt x="175" y="121"/>
                                      <a:pt x="168" y="114"/>
                                      <a:pt x="160" y="109"/>
                                    </a:cubicBezTo>
                                    <a:cubicBezTo>
                                      <a:pt x="156" y="106"/>
                                      <a:pt x="153" y="104"/>
                                      <a:pt x="149" y="101"/>
                                    </a:cubicBezTo>
                                    <a:cubicBezTo>
                                      <a:pt x="143" y="96"/>
                                      <a:pt x="141" y="91"/>
                                      <a:pt x="135" y="86"/>
                                    </a:cubicBezTo>
                                    <a:cubicBezTo>
                                      <a:pt x="129" y="81"/>
                                      <a:pt x="121" y="76"/>
                                      <a:pt x="118" y="76"/>
                                    </a:cubicBezTo>
                                    <a:cubicBezTo>
                                      <a:pt x="115" y="75"/>
                                      <a:pt x="113" y="74"/>
                                      <a:pt x="111" y="71"/>
                                    </a:cubicBezTo>
                                    <a:cubicBezTo>
                                      <a:pt x="107" y="66"/>
                                      <a:pt x="113" y="61"/>
                                      <a:pt x="109" y="56"/>
                                    </a:cubicBezTo>
                                    <a:cubicBezTo>
                                      <a:pt x="106" y="51"/>
                                      <a:pt x="102" y="51"/>
                                      <a:pt x="97" y="49"/>
                                    </a:cubicBezTo>
                                    <a:cubicBezTo>
                                      <a:pt x="92" y="47"/>
                                      <a:pt x="90" y="43"/>
                                      <a:pt x="85" y="44"/>
                                    </a:cubicBezTo>
                                    <a:cubicBezTo>
                                      <a:pt x="82" y="45"/>
                                      <a:pt x="81" y="49"/>
                                      <a:pt x="78" y="50"/>
                                    </a:cubicBezTo>
                                    <a:cubicBezTo>
                                      <a:pt x="73" y="51"/>
                                      <a:pt x="69" y="48"/>
                                      <a:pt x="66" y="44"/>
                                    </a:cubicBezTo>
                                    <a:cubicBezTo>
                                      <a:pt x="63" y="41"/>
                                      <a:pt x="63" y="39"/>
                                      <a:pt x="62" y="35"/>
                                    </a:cubicBezTo>
                                    <a:cubicBezTo>
                                      <a:pt x="60" y="31"/>
                                      <a:pt x="62" y="27"/>
                                      <a:pt x="59" y="22"/>
                                    </a:cubicBezTo>
                                    <a:cubicBezTo>
                                      <a:pt x="56" y="18"/>
                                      <a:pt x="53" y="17"/>
                                      <a:pt x="49" y="14"/>
                                    </a:cubicBezTo>
                                    <a:cubicBezTo>
                                      <a:pt x="45" y="11"/>
                                      <a:pt x="43" y="9"/>
                                      <a:pt x="39" y="8"/>
                                    </a:cubicBezTo>
                                    <a:cubicBezTo>
                                      <a:pt x="34" y="6"/>
                                      <a:pt x="30" y="9"/>
                                      <a:pt x="24" y="8"/>
                                    </a:cubicBezTo>
                                    <a:cubicBezTo>
                                      <a:pt x="20" y="7"/>
                                      <a:pt x="14" y="3"/>
                                      <a:pt x="14" y="3"/>
                                    </a:cubicBezTo>
                                    <a:cubicBezTo>
                                      <a:pt x="4" y="0"/>
                                      <a:pt x="4" y="0"/>
                                      <a:pt x="4" y="0"/>
                                    </a:cubicBezTo>
                                    <a:cubicBezTo>
                                      <a:pt x="4" y="0"/>
                                      <a:pt x="4" y="0"/>
                                      <a:pt x="4" y="0"/>
                                    </a:cubicBezTo>
                                    <a:close/>
                                    <a:moveTo>
                                      <a:pt x="273" y="273"/>
                                    </a:moveTo>
                                    <a:cubicBezTo>
                                      <a:pt x="273" y="276"/>
                                      <a:pt x="273" y="276"/>
                                      <a:pt x="273" y="276"/>
                                    </a:cubicBezTo>
                                    <a:cubicBezTo>
                                      <a:pt x="277" y="277"/>
                                      <a:pt x="276" y="274"/>
                                      <a:pt x="273" y="273"/>
                                    </a:cubicBezTo>
                                    <a:close/>
                                    <a:moveTo>
                                      <a:pt x="202" y="245"/>
                                    </a:moveTo>
                                    <a:cubicBezTo>
                                      <a:pt x="201" y="245"/>
                                      <a:pt x="199" y="246"/>
                                      <a:pt x="201" y="247"/>
                                    </a:cubicBezTo>
                                    <a:cubicBezTo>
                                      <a:pt x="202" y="250"/>
                                      <a:pt x="202" y="250"/>
                                      <a:pt x="202" y="250"/>
                                    </a:cubicBezTo>
                                    <a:cubicBezTo>
                                      <a:pt x="206" y="250"/>
                                      <a:pt x="206" y="250"/>
                                      <a:pt x="206" y="250"/>
                                    </a:cubicBezTo>
                                    <a:cubicBezTo>
                                      <a:pt x="207" y="248"/>
                                      <a:pt x="206" y="250"/>
                                      <a:pt x="208" y="248"/>
                                    </a:cubicBezTo>
                                    <a:cubicBezTo>
                                      <a:pt x="207" y="246"/>
                                      <a:pt x="207" y="246"/>
                                      <a:pt x="207" y="246"/>
                                    </a:cubicBezTo>
                                    <a:cubicBezTo>
                                      <a:pt x="204" y="245"/>
                                      <a:pt x="204" y="245"/>
                                      <a:pt x="202" y="245"/>
                                    </a:cubicBezTo>
                                    <a:close/>
                                  </a:path>
                                </a:pathLst>
                              </a:custGeom>
                              <a:solidFill>
                                <a:srgbClr val="B4B5DB">
                                  <a:lumMod val="60000"/>
                                  <a:lumOff val="40000"/>
                                </a:srgbClr>
                              </a:solidFill>
                              <a:ln w="9525">
                                <a:solidFill>
                                  <a:srgbClr val="FFFFFF"/>
                                </a:solidFill>
                                <a:round/>
                                <a:headEnd/>
                                <a:tailEnd/>
                              </a:ln>
                            </wps:spPr>
                            <wps:bodyPr vert="horz" wrap="square" lIns="91440" tIns="45720" rIns="91440" bIns="45720" numCol="1" anchor="t" anchorCtr="0" compatLnSpc="1">
                              <a:prstTxWarp prst="textNoShape">
                                <a:avLst/>
                              </a:prstTxWarp>
                            </wps:bodyPr>
                          </wps:wsp>
                          <wps:wsp>
                            <wps:cNvPr id="1094898853" name="Freeform 46">
                              <a:extLst>
                                <a:ext uri="{FF2B5EF4-FFF2-40B4-BE49-F238E27FC236}">
                                  <a16:creationId xmlns:a16="http://schemas.microsoft.com/office/drawing/2014/main" id="{0D9D811C-7D69-5B87-B7A6-1FEA869CF7DA}"/>
                                </a:ext>
                              </a:extLst>
                            </wps:cNvPr>
                            <wps:cNvSpPr>
                              <a:spLocks noEditPoints="1"/>
                            </wps:cNvSpPr>
                            <wps:spPr bwMode="auto">
                              <a:xfrm>
                                <a:off x="1106947" y="0"/>
                                <a:ext cx="1840" cy="2393"/>
                              </a:xfrm>
                              <a:custGeom>
                                <a:avLst/>
                                <a:gdLst/>
                                <a:ahLst/>
                                <a:cxnLst>
                                  <a:cxn ang="0">
                                    <a:pos x="72" y="327"/>
                                  </a:cxn>
                                  <a:cxn ang="0">
                                    <a:pos x="214" y="0"/>
                                  </a:cxn>
                                  <a:cxn ang="0">
                                    <a:pos x="648" y="635"/>
                                  </a:cxn>
                                  <a:cxn ang="0">
                                    <a:pos x="673" y="706"/>
                                  </a:cxn>
                                  <a:cxn ang="0">
                                    <a:pos x="672" y="699"/>
                                  </a:cxn>
                                  <a:cxn ang="0">
                                    <a:pos x="436" y="428"/>
                                  </a:cxn>
                                  <a:cxn ang="0">
                                    <a:pos x="770" y="777"/>
                                  </a:cxn>
                                  <a:cxn ang="0">
                                    <a:pos x="761" y="820"/>
                                  </a:cxn>
                                  <a:cxn ang="0">
                                    <a:pos x="770" y="771"/>
                                  </a:cxn>
                                  <a:cxn ang="0">
                                    <a:pos x="763" y="904"/>
                                  </a:cxn>
                                  <a:cxn ang="0">
                                    <a:pos x="772" y="919"/>
                                  </a:cxn>
                                  <a:cxn ang="0">
                                    <a:pos x="771" y="900"/>
                                  </a:cxn>
                                  <a:cxn ang="0">
                                    <a:pos x="777" y="932"/>
                                  </a:cxn>
                                  <a:cxn ang="0">
                                    <a:pos x="772" y="937"/>
                                  </a:cxn>
                                  <a:cxn ang="0">
                                    <a:pos x="775" y="964"/>
                                  </a:cxn>
                                  <a:cxn ang="0">
                                    <a:pos x="756" y="914"/>
                                  </a:cxn>
                                  <a:cxn ang="0">
                                    <a:pos x="759" y="852"/>
                                  </a:cxn>
                                  <a:cxn ang="0">
                                    <a:pos x="750" y="809"/>
                                  </a:cxn>
                                  <a:cxn ang="0">
                                    <a:pos x="730" y="772"/>
                                  </a:cxn>
                                  <a:cxn ang="0">
                                    <a:pos x="710" y="738"/>
                                  </a:cxn>
                                  <a:cxn ang="0">
                                    <a:pos x="683" y="722"/>
                                  </a:cxn>
                                  <a:cxn ang="0">
                                    <a:pos x="650" y="698"/>
                                  </a:cxn>
                                  <a:cxn ang="0">
                                    <a:pos x="656" y="682"/>
                                  </a:cxn>
                                  <a:cxn ang="0">
                                    <a:pos x="645" y="637"/>
                                  </a:cxn>
                                  <a:cxn ang="0">
                                    <a:pos x="643" y="647"/>
                                  </a:cxn>
                                  <a:cxn ang="0">
                                    <a:pos x="611" y="634"/>
                                  </a:cxn>
                                  <a:cxn ang="0">
                                    <a:pos x="601" y="650"/>
                                  </a:cxn>
                                  <a:cxn ang="0">
                                    <a:pos x="597" y="626"/>
                                  </a:cxn>
                                  <a:cxn ang="0">
                                    <a:pos x="578" y="572"/>
                                  </a:cxn>
                                  <a:cxn ang="0">
                                    <a:pos x="562" y="553"/>
                                  </a:cxn>
                                  <a:cxn ang="0">
                                    <a:pos x="564" y="531"/>
                                  </a:cxn>
                                  <a:cxn ang="0">
                                    <a:pos x="530" y="508"/>
                                  </a:cxn>
                                  <a:cxn ang="0">
                                    <a:pos x="500" y="493"/>
                                  </a:cxn>
                                  <a:cxn ang="0">
                                    <a:pos x="448" y="466"/>
                                  </a:cxn>
                                  <a:cxn ang="0">
                                    <a:pos x="428" y="432"/>
                                  </a:cxn>
                                  <a:cxn ang="0">
                                    <a:pos x="425" y="403"/>
                                  </a:cxn>
                                  <a:cxn ang="0">
                                    <a:pos x="416" y="361"/>
                                  </a:cxn>
                                  <a:cxn ang="0">
                                    <a:pos x="394" y="331"/>
                                  </a:cxn>
                                  <a:cxn ang="0">
                                    <a:pos x="383" y="283"/>
                                  </a:cxn>
                                  <a:cxn ang="0">
                                    <a:pos x="383" y="242"/>
                                  </a:cxn>
                                  <a:cxn ang="0">
                                    <a:pos x="341" y="199"/>
                                  </a:cxn>
                                  <a:cxn ang="0">
                                    <a:pos x="298" y="197"/>
                                  </a:cxn>
                                  <a:cxn ang="0">
                                    <a:pos x="290" y="153"/>
                                  </a:cxn>
                                  <a:cxn ang="0">
                                    <a:pos x="270" y="94"/>
                                  </a:cxn>
                                  <a:cxn ang="0">
                                    <a:pos x="251" y="66"/>
                                  </a:cxn>
                                  <a:cxn ang="0">
                                    <a:pos x="237" y="20"/>
                                  </a:cxn>
                                  <a:cxn ang="0">
                                    <a:pos x="232" y="8"/>
                                  </a:cxn>
                                  <a:cxn ang="0">
                                    <a:pos x="207" y="73"/>
                                  </a:cxn>
                                  <a:cxn ang="0">
                                    <a:pos x="197" y="87"/>
                                  </a:cxn>
                                  <a:cxn ang="0">
                                    <a:pos x="203" y="110"/>
                                  </a:cxn>
                                  <a:cxn ang="0">
                                    <a:pos x="191" y="142"/>
                                  </a:cxn>
                                  <a:cxn ang="0">
                                    <a:pos x="186" y="195"/>
                                  </a:cxn>
                                  <a:cxn ang="0">
                                    <a:pos x="181" y="262"/>
                                  </a:cxn>
                                  <a:cxn ang="0">
                                    <a:pos x="167" y="308"/>
                                  </a:cxn>
                                  <a:cxn ang="0">
                                    <a:pos x="149" y="369"/>
                                  </a:cxn>
                                  <a:cxn ang="0">
                                    <a:pos x="140" y="382"/>
                                  </a:cxn>
                                  <a:cxn ang="0">
                                    <a:pos x="89" y="386"/>
                                  </a:cxn>
                                  <a:cxn ang="0">
                                    <a:pos x="61" y="362"/>
                                  </a:cxn>
                                  <a:cxn ang="0">
                                    <a:pos x="10" y="333"/>
                                  </a:cxn>
                                  <a:cxn ang="0">
                                    <a:pos x="530" y="996"/>
                                  </a:cxn>
                                  <a:cxn ang="0">
                                    <a:pos x="644" y="1011"/>
                                  </a:cxn>
                                  <a:cxn ang="0">
                                    <a:pos x="752" y="976"/>
                                  </a:cxn>
                                </a:cxnLst>
                                <a:rect l="0" t="0" r="r" b="b"/>
                                <a:pathLst>
                                  <a:path w="779" h="1013">
                                    <a:moveTo>
                                      <a:pt x="77" y="321"/>
                                    </a:moveTo>
                                    <a:cubicBezTo>
                                      <a:pt x="75" y="323"/>
                                      <a:pt x="75" y="323"/>
                                      <a:pt x="75" y="323"/>
                                    </a:cubicBezTo>
                                    <a:cubicBezTo>
                                      <a:pt x="73" y="323"/>
                                      <a:pt x="72" y="322"/>
                                      <a:pt x="70" y="323"/>
                                    </a:cubicBezTo>
                                    <a:cubicBezTo>
                                      <a:pt x="70" y="324"/>
                                      <a:pt x="70" y="324"/>
                                      <a:pt x="70" y="324"/>
                                    </a:cubicBezTo>
                                    <a:cubicBezTo>
                                      <a:pt x="67" y="325"/>
                                      <a:pt x="64" y="330"/>
                                      <a:pt x="61" y="332"/>
                                    </a:cubicBezTo>
                                    <a:cubicBezTo>
                                      <a:pt x="62" y="333"/>
                                      <a:pt x="65" y="337"/>
                                      <a:pt x="68" y="336"/>
                                    </a:cubicBezTo>
                                    <a:cubicBezTo>
                                      <a:pt x="69" y="334"/>
                                      <a:pt x="69" y="334"/>
                                      <a:pt x="69" y="334"/>
                                    </a:cubicBezTo>
                                    <a:cubicBezTo>
                                      <a:pt x="68" y="335"/>
                                      <a:pt x="72" y="331"/>
                                      <a:pt x="73" y="331"/>
                                    </a:cubicBezTo>
                                    <a:cubicBezTo>
                                      <a:pt x="73" y="329"/>
                                      <a:pt x="72" y="328"/>
                                      <a:pt x="72" y="327"/>
                                    </a:cubicBezTo>
                                    <a:cubicBezTo>
                                      <a:pt x="74" y="327"/>
                                      <a:pt x="75" y="326"/>
                                      <a:pt x="76" y="326"/>
                                    </a:cubicBezTo>
                                    <a:cubicBezTo>
                                      <a:pt x="77" y="328"/>
                                      <a:pt x="77" y="328"/>
                                      <a:pt x="77" y="328"/>
                                    </a:cubicBezTo>
                                    <a:cubicBezTo>
                                      <a:pt x="79" y="327"/>
                                      <a:pt x="81" y="327"/>
                                      <a:pt x="85" y="327"/>
                                    </a:cubicBezTo>
                                    <a:cubicBezTo>
                                      <a:pt x="84" y="326"/>
                                      <a:pt x="85" y="323"/>
                                      <a:pt x="85" y="323"/>
                                    </a:cubicBezTo>
                                    <a:cubicBezTo>
                                      <a:pt x="82" y="322"/>
                                      <a:pt x="80" y="321"/>
                                      <a:pt x="77" y="321"/>
                                    </a:cubicBezTo>
                                    <a:close/>
                                    <a:moveTo>
                                      <a:pt x="184" y="249"/>
                                    </a:moveTo>
                                    <a:cubicBezTo>
                                      <a:pt x="182" y="249"/>
                                      <a:pt x="180" y="252"/>
                                      <a:pt x="185" y="252"/>
                                    </a:cubicBezTo>
                                    <a:cubicBezTo>
                                      <a:pt x="185" y="252"/>
                                      <a:pt x="187" y="248"/>
                                      <a:pt x="184" y="249"/>
                                    </a:cubicBezTo>
                                    <a:close/>
                                    <a:moveTo>
                                      <a:pt x="214" y="0"/>
                                    </a:moveTo>
                                    <a:cubicBezTo>
                                      <a:pt x="210" y="6"/>
                                      <a:pt x="211" y="3"/>
                                      <a:pt x="213" y="9"/>
                                    </a:cubicBezTo>
                                    <a:cubicBezTo>
                                      <a:pt x="214" y="9"/>
                                      <a:pt x="216" y="8"/>
                                      <a:pt x="216" y="9"/>
                                    </a:cubicBezTo>
                                    <a:cubicBezTo>
                                      <a:pt x="220" y="4"/>
                                      <a:pt x="220" y="4"/>
                                      <a:pt x="220" y="4"/>
                                    </a:cubicBezTo>
                                    <a:cubicBezTo>
                                      <a:pt x="219" y="3"/>
                                      <a:pt x="217" y="3"/>
                                      <a:pt x="217" y="1"/>
                                    </a:cubicBezTo>
                                    <a:cubicBezTo>
                                      <a:pt x="217" y="0"/>
                                      <a:pt x="217" y="0"/>
                                      <a:pt x="217" y="0"/>
                                    </a:cubicBezTo>
                                    <a:cubicBezTo>
                                      <a:pt x="216" y="0"/>
                                      <a:pt x="215" y="1"/>
                                      <a:pt x="214" y="0"/>
                                    </a:cubicBezTo>
                                    <a:close/>
                                    <a:moveTo>
                                      <a:pt x="646" y="633"/>
                                    </a:moveTo>
                                    <a:cubicBezTo>
                                      <a:pt x="646" y="635"/>
                                      <a:pt x="646" y="635"/>
                                      <a:pt x="646" y="635"/>
                                    </a:cubicBezTo>
                                    <a:cubicBezTo>
                                      <a:pt x="648" y="635"/>
                                      <a:pt x="648" y="635"/>
                                      <a:pt x="648" y="635"/>
                                    </a:cubicBezTo>
                                    <a:cubicBezTo>
                                      <a:pt x="647" y="634"/>
                                      <a:pt x="649" y="633"/>
                                      <a:pt x="646" y="633"/>
                                    </a:cubicBezTo>
                                    <a:close/>
                                    <a:moveTo>
                                      <a:pt x="556" y="532"/>
                                    </a:moveTo>
                                    <a:cubicBezTo>
                                      <a:pt x="560" y="532"/>
                                      <a:pt x="557" y="535"/>
                                      <a:pt x="557" y="535"/>
                                    </a:cubicBezTo>
                                    <a:cubicBezTo>
                                      <a:pt x="556" y="535"/>
                                      <a:pt x="553" y="533"/>
                                      <a:pt x="556" y="532"/>
                                    </a:cubicBezTo>
                                    <a:close/>
                                    <a:moveTo>
                                      <a:pt x="665" y="697"/>
                                    </a:moveTo>
                                    <a:cubicBezTo>
                                      <a:pt x="666" y="699"/>
                                      <a:pt x="662" y="698"/>
                                      <a:pt x="664" y="699"/>
                                    </a:cubicBezTo>
                                    <a:cubicBezTo>
                                      <a:pt x="665" y="700"/>
                                      <a:pt x="666" y="700"/>
                                      <a:pt x="668" y="701"/>
                                    </a:cubicBezTo>
                                    <a:cubicBezTo>
                                      <a:pt x="668" y="702"/>
                                      <a:pt x="667" y="705"/>
                                      <a:pt x="668" y="705"/>
                                    </a:cubicBezTo>
                                    <a:cubicBezTo>
                                      <a:pt x="669" y="706"/>
                                      <a:pt x="671" y="705"/>
                                      <a:pt x="673" y="706"/>
                                    </a:cubicBezTo>
                                    <a:cubicBezTo>
                                      <a:pt x="674" y="707"/>
                                      <a:pt x="674" y="709"/>
                                      <a:pt x="675" y="711"/>
                                    </a:cubicBezTo>
                                    <a:cubicBezTo>
                                      <a:pt x="676" y="711"/>
                                      <a:pt x="677" y="709"/>
                                      <a:pt x="679" y="711"/>
                                    </a:cubicBezTo>
                                    <a:cubicBezTo>
                                      <a:pt x="679" y="713"/>
                                      <a:pt x="679" y="713"/>
                                      <a:pt x="679" y="713"/>
                                    </a:cubicBezTo>
                                    <a:cubicBezTo>
                                      <a:pt x="679" y="713"/>
                                      <a:pt x="678" y="714"/>
                                      <a:pt x="677" y="714"/>
                                    </a:cubicBezTo>
                                    <a:cubicBezTo>
                                      <a:pt x="677" y="714"/>
                                      <a:pt x="679" y="715"/>
                                      <a:pt x="680" y="716"/>
                                    </a:cubicBezTo>
                                    <a:cubicBezTo>
                                      <a:pt x="682" y="711"/>
                                      <a:pt x="682" y="711"/>
                                      <a:pt x="682" y="711"/>
                                    </a:cubicBezTo>
                                    <a:cubicBezTo>
                                      <a:pt x="676" y="705"/>
                                      <a:pt x="679" y="707"/>
                                      <a:pt x="678" y="701"/>
                                    </a:cubicBezTo>
                                    <a:cubicBezTo>
                                      <a:pt x="676" y="701"/>
                                      <a:pt x="677" y="703"/>
                                      <a:pt x="674" y="702"/>
                                    </a:cubicBezTo>
                                    <a:cubicBezTo>
                                      <a:pt x="674" y="702"/>
                                      <a:pt x="673" y="699"/>
                                      <a:pt x="672" y="699"/>
                                    </a:cubicBezTo>
                                    <a:cubicBezTo>
                                      <a:pt x="669" y="698"/>
                                      <a:pt x="668" y="698"/>
                                      <a:pt x="665" y="697"/>
                                    </a:cubicBezTo>
                                    <a:close/>
                                    <a:moveTo>
                                      <a:pt x="445" y="437"/>
                                    </a:moveTo>
                                    <a:cubicBezTo>
                                      <a:pt x="447" y="439"/>
                                      <a:pt x="447" y="439"/>
                                      <a:pt x="447" y="439"/>
                                    </a:cubicBezTo>
                                    <a:cubicBezTo>
                                      <a:pt x="447" y="439"/>
                                      <a:pt x="449" y="437"/>
                                      <a:pt x="445" y="437"/>
                                    </a:cubicBezTo>
                                    <a:close/>
                                    <a:moveTo>
                                      <a:pt x="426" y="419"/>
                                    </a:moveTo>
                                    <a:cubicBezTo>
                                      <a:pt x="426" y="419"/>
                                      <a:pt x="426" y="421"/>
                                      <a:pt x="427" y="422"/>
                                    </a:cubicBezTo>
                                    <a:cubicBezTo>
                                      <a:pt x="428" y="423"/>
                                      <a:pt x="431" y="424"/>
                                      <a:pt x="433" y="425"/>
                                    </a:cubicBezTo>
                                    <a:cubicBezTo>
                                      <a:pt x="433" y="426"/>
                                      <a:pt x="433" y="429"/>
                                      <a:pt x="433" y="430"/>
                                    </a:cubicBezTo>
                                    <a:cubicBezTo>
                                      <a:pt x="434" y="430"/>
                                      <a:pt x="436" y="428"/>
                                      <a:pt x="436" y="428"/>
                                    </a:cubicBezTo>
                                    <a:cubicBezTo>
                                      <a:pt x="433" y="421"/>
                                      <a:pt x="434" y="421"/>
                                      <a:pt x="426" y="419"/>
                                    </a:cubicBezTo>
                                    <a:close/>
                                    <a:moveTo>
                                      <a:pt x="74" y="349"/>
                                    </a:moveTo>
                                    <a:cubicBezTo>
                                      <a:pt x="74" y="350"/>
                                      <a:pt x="68" y="356"/>
                                      <a:pt x="74" y="355"/>
                                    </a:cubicBezTo>
                                    <a:cubicBezTo>
                                      <a:pt x="75" y="355"/>
                                      <a:pt x="75" y="354"/>
                                      <a:pt x="77" y="354"/>
                                    </a:cubicBezTo>
                                    <a:cubicBezTo>
                                      <a:pt x="77" y="352"/>
                                      <a:pt x="77" y="350"/>
                                      <a:pt x="78" y="349"/>
                                    </a:cubicBezTo>
                                    <a:cubicBezTo>
                                      <a:pt x="77" y="349"/>
                                      <a:pt x="75" y="349"/>
                                      <a:pt x="74" y="349"/>
                                    </a:cubicBezTo>
                                    <a:close/>
                                    <a:moveTo>
                                      <a:pt x="770" y="771"/>
                                    </a:moveTo>
                                    <a:cubicBezTo>
                                      <a:pt x="770" y="772"/>
                                      <a:pt x="769" y="775"/>
                                      <a:pt x="768" y="775"/>
                                    </a:cubicBezTo>
                                    <a:cubicBezTo>
                                      <a:pt x="770" y="777"/>
                                      <a:pt x="770" y="777"/>
                                      <a:pt x="770" y="777"/>
                                    </a:cubicBezTo>
                                    <a:cubicBezTo>
                                      <a:pt x="771" y="780"/>
                                      <a:pt x="770" y="786"/>
                                      <a:pt x="769" y="788"/>
                                    </a:cubicBezTo>
                                    <a:cubicBezTo>
                                      <a:pt x="768" y="790"/>
                                      <a:pt x="763" y="795"/>
                                      <a:pt x="761" y="796"/>
                                    </a:cubicBezTo>
                                    <a:cubicBezTo>
                                      <a:pt x="760" y="796"/>
                                      <a:pt x="760" y="796"/>
                                      <a:pt x="760" y="796"/>
                                    </a:cubicBezTo>
                                    <a:cubicBezTo>
                                      <a:pt x="761" y="797"/>
                                      <a:pt x="762" y="798"/>
                                      <a:pt x="763" y="799"/>
                                    </a:cubicBezTo>
                                    <a:cubicBezTo>
                                      <a:pt x="762" y="801"/>
                                      <a:pt x="761" y="801"/>
                                      <a:pt x="760" y="802"/>
                                    </a:cubicBezTo>
                                    <a:cubicBezTo>
                                      <a:pt x="761" y="802"/>
                                      <a:pt x="757" y="813"/>
                                      <a:pt x="756" y="817"/>
                                    </a:cubicBezTo>
                                    <a:cubicBezTo>
                                      <a:pt x="756" y="822"/>
                                      <a:pt x="757" y="823"/>
                                      <a:pt x="759" y="829"/>
                                    </a:cubicBezTo>
                                    <a:cubicBezTo>
                                      <a:pt x="761" y="830"/>
                                      <a:pt x="761" y="828"/>
                                      <a:pt x="761" y="828"/>
                                    </a:cubicBezTo>
                                    <a:cubicBezTo>
                                      <a:pt x="761" y="828"/>
                                      <a:pt x="761" y="822"/>
                                      <a:pt x="761" y="820"/>
                                    </a:cubicBezTo>
                                    <a:cubicBezTo>
                                      <a:pt x="762" y="818"/>
                                      <a:pt x="762" y="818"/>
                                      <a:pt x="762" y="817"/>
                                    </a:cubicBezTo>
                                    <a:cubicBezTo>
                                      <a:pt x="762" y="814"/>
                                      <a:pt x="763" y="812"/>
                                      <a:pt x="764" y="810"/>
                                    </a:cubicBezTo>
                                    <a:cubicBezTo>
                                      <a:pt x="765" y="807"/>
                                      <a:pt x="765" y="806"/>
                                      <a:pt x="766" y="804"/>
                                    </a:cubicBezTo>
                                    <a:cubicBezTo>
                                      <a:pt x="770" y="799"/>
                                      <a:pt x="770" y="799"/>
                                      <a:pt x="770" y="799"/>
                                    </a:cubicBezTo>
                                    <a:cubicBezTo>
                                      <a:pt x="772" y="798"/>
                                      <a:pt x="771" y="795"/>
                                      <a:pt x="772" y="793"/>
                                    </a:cubicBezTo>
                                    <a:cubicBezTo>
                                      <a:pt x="773" y="792"/>
                                      <a:pt x="777" y="789"/>
                                      <a:pt x="778" y="788"/>
                                    </a:cubicBezTo>
                                    <a:cubicBezTo>
                                      <a:pt x="779" y="786"/>
                                      <a:pt x="778" y="784"/>
                                      <a:pt x="778" y="783"/>
                                    </a:cubicBezTo>
                                    <a:cubicBezTo>
                                      <a:pt x="772" y="778"/>
                                      <a:pt x="776" y="782"/>
                                      <a:pt x="773" y="773"/>
                                    </a:cubicBezTo>
                                    <a:cubicBezTo>
                                      <a:pt x="770" y="771"/>
                                      <a:pt x="770" y="771"/>
                                      <a:pt x="770" y="771"/>
                                    </a:cubicBezTo>
                                    <a:cubicBezTo>
                                      <a:pt x="770" y="771"/>
                                      <a:pt x="770" y="771"/>
                                      <a:pt x="770" y="771"/>
                                    </a:cubicBezTo>
                                    <a:close/>
                                    <a:moveTo>
                                      <a:pt x="762" y="892"/>
                                    </a:moveTo>
                                    <a:cubicBezTo>
                                      <a:pt x="760" y="894"/>
                                      <a:pt x="760" y="894"/>
                                      <a:pt x="760" y="894"/>
                                    </a:cubicBezTo>
                                    <a:cubicBezTo>
                                      <a:pt x="758" y="895"/>
                                      <a:pt x="758" y="895"/>
                                      <a:pt x="758" y="895"/>
                                    </a:cubicBezTo>
                                    <a:cubicBezTo>
                                      <a:pt x="759" y="897"/>
                                      <a:pt x="759" y="897"/>
                                      <a:pt x="759" y="897"/>
                                    </a:cubicBezTo>
                                    <a:cubicBezTo>
                                      <a:pt x="759" y="898"/>
                                      <a:pt x="759" y="898"/>
                                      <a:pt x="759" y="898"/>
                                    </a:cubicBezTo>
                                    <a:cubicBezTo>
                                      <a:pt x="759" y="900"/>
                                      <a:pt x="759" y="900"/>
                                      <a:pt x="759" y="900"/>
                                    </a:cubicBezTo>
                                    <a:cubicBezTo>
                                      <a:pt x="761" y="901"/>
                                      <a:pt x="761" y="901"/>
                                      <a:pt x="761" y="901"/>
                                    </a:cubicBezTo>
                                    <a:cubicBezTo>
                                      <a:pt x="763" y="904"/>
                                      <a:pt x="763" y="904"/>
                                      <a:pt x="763" y="904"/>
                                    </a:cubicBezTo>
                                    <a:cubicBezTo>
                                      <a:pt x="762" y="900"/>
                                      <a:pt x="762" y="900"/>
                                      <a:pt x="762" y="900"/>
                                    </a:cubicBezTo>
                                    <a:cubicBezTo>
                                      <a:pt x="762" y="897"/>
                                      <a:pt x="762" y="897"/>
                                      <a:pt x="762" y="897"/>
                                    </a:cubicBezTo>
                                    <a:cubicBezTo>
                                      <a:pt x="762" y="892"/>
                                      <a:pt x="762" y="892"/>
                                      <a:pt x="762" y="892"/>
                                    </a:cubicBezTo>
                                    <a:cubicBezTo>
                                      <a:pt x="762" y="892"/>
                                      <a:pt x="762" y="892"/>
                                      <a:pt x="762" y="892"/>
                                    </a:cubicBezTo>
                                    <a:close/>
                                    <a:moveTo>
                                      <a:pt x="771" y="900"/>
                                    </a:moveTo>
                                    <a:cubicBezTo>
                                      <a:pt x="772" y="905"/>
                                      <a:pt x="772" y="905"/>
                                      <a:pt x="772" y="905"/>
                                    </a:cubicBezTo>
                                    <a:cubicBezTo>
                                      <a:pt x="771" y="907"/>
                                      <a:pt x="771" y="907"/>
                                      <a:pt x="771" y="907"/>
                                    </a:cubicBezTo>
                                    <a:cubicBezTo>
                                      <a:pt x="773" y="914"/>
                                      <a:pt x="773" y="914"/>
                                      <a:pt x="773" y="914"/>
                                    </a:cubicBezTo>
                                    <a:cubicBezTo>
                                      <a:pt x="772" y="919"/>
                                      <a:pt x="772" y="919"/>
                                      <a:pt x="772" y="919"/>
                                    </a:cubicBezTo>
                                    <a:cubicBezTo>
                                      <a:pt x="774" y="919"/>
                                      <a:pt x="774" y="919"/>
                                      <a:pt x="774" y="919"/>
                                    </a:cubicBezTo>
                                    <a:cubicBezTo>
                                      <a:pt x="775" y="914"/>
                                      <a:pt x="775" y="914"/>
                                      <a:pt x="775" y="914"/>
                                    </a:cubicBezTo>
                                    <a:cubicBezTo>
                                      <a:pt x="775" y="910"/>
                                      <a:pt x="775" y="910"/>
                                      <a:pt x="775" y="910"/>
                                    </a:cubicBezTo>
                                    <a:cubicBezTo>
                                      <a:pt x="775" y="907"/>
                                      <a:pt x="775" y="907"/>
                                      <a:pt x="775" y="907"/>
                                    </a:cubicBezTo>
                                    <a:cubicBezTo>
                                      <a:pt x="775" y="904"/>
                                      <a:pt x="775" y="904"/>
                                      <a:pt x="775" y="904"/>
                                    </a:cubicBezTo>
                                    <a:cubicBezTo>
                                      <a:pt x="776" y="900"/>
                                      <a:pt x="776" y="900"/>
                                      <a:pt x="776" y="900"/>
                                    </a:cubicBezTo>
                                    <a:cubicBezTo>
                                      <a:pt x="773" y="900"/>
                                      <a:pt x="773" y="900"/>
                                      <a:pt x="773" y="900"/>
                                    </a:cubicBezTo>
                                    <a:cubicBezTo>
                                      <a:pt x="771" y="900"/>
                                      <a:pt x="771" y="900"/>
                                      <a:pt x="771" y="900"/>
                                    </a:cubicBezTo>
                                    <a:cubicBezTo>
                                      <a:pt x="771" y="900"/>
                                      <a:pt x="771" y="900"/>
                                      <a:pt x="771" y="900"/>
                                    </a:cubicBezTo>
                                    <a:close/>
                                    <a:moveTo>
                                      <a:pt x="774" y="923"/>
                                    </a:moveTo>
                                    <a:cubicBezTo>
                                      <a:pt x="774" y="928"/>
                                      <a:pt x="774" y="928"/>
                                      <a:pt x="774" y="928"/>
                                    </a:cubicBezTo>
                                    <a:cubicBezTo>
                                      <a:pt x="772" y="929"/>
                                      <a:pt x="772" y="929"/>
                                      <a:pt x="772" y="929"/>
                                    </a:cubicBezTo>
                                    <a:cubicBezTo>
                                      <a:pt x="774" y="933"/>
                                      <a:pt x="774" y="933"/>
                                      <a:pt x="774" y="933"/>
                                    </a:cubicBezTo>
                                    <a:cubicBezTo>
                                      <a:pt x="774" y="936"/>
                                      <a:pt x="774" y="936"/>
                                      <a:pt x="774" y="936"/>
                                    </a:cubicBezTo>
                                    <a:cubicBezTo>
                                      <a:pt x="773" y="944"/>
                                      <a:pt x="773" y="944"/>
                                      <a:pt x="773" y="944"/>
                                    </a:cubicBezTo>
                                    <a:cubicBezTo>
                                      <a:pt x="775" y="944"/>
                                      <a:pt x="775" y="944"/>
                                      <a:pt x="775" y="944"/>
                                    </a:cubicBezTo>
                                    <a:cubicBezTo>
                                      <a:pt x="776" y="937"/>
                                      <a:pt x="776" y="937"/>
                                      <a:pt x="776" y="937"/>
                                    </a:cubicBezTo>
                                    <a:cubicBezTo>
                                      <a:pt x="777" y="932"/>
                                      <a:pt x="777" y="932"/>
                                      <a:pt x="777" y="932"/>
                                    </a:cubicBezTo>
                                    <a:cubicBezTo>
                                      <a:pt x="778" y="929"/>
                                      <a:pt x="778" y="929"/>
                                      <a:pt x="778" y="929"/>
                                    </a:cubicBezTo>
                                    <a:cubicBezTo>
                                      <a:pt x="779" y="926"/>
                                      <a:pt x="779" y="926"/>
                                      <a:pt x="779" y="926"/>
                                    </a:cubicBezTo>
                                    <a:cubicBezTo>
                                      <a:pt x="778" y="924"/>
                                      <a:pt x="778" y="924"/>
                                      <a:pt x="778" y="924"/>
                                    </a:cubicBezTo>
                                    <a:cubicBezTo>
                                      <a:pt x="774" y="923"/>
                                      <a:pt x="774" y="923"/>
                                      <a:pt x="774" y="923"/>
                                    </a:cubicBezTo>
                                    <a:cubicBezTo>
                                      <a:pt x="774" y="923"/>
                                      <a:pt x="774" y="923"/>
                                      <a:pt x="774" y="923"/>
                                    </a:cubicBezTo>
                                    <a:close/>
                                    <a:moveTo>
                                      <a:pt x="770" y="937"/>
                                    </a:moveTo>
                                    <a:cubicBezTo>
                                      <a:pt x="771" y="941"/>
                                      <a:pt x="771" y="941"/>
                                      <a:pt x="771" y="941"/>
                                    </a:cubicBezTo>
                                    <a:cubicBezTo>
                                      <a:pt x="772" y="940"/>
                                      <a:pt x="772" y="940"/>
                                      <a:pt x="772" y="940"/>
                                    </a:cubicBezTo>
                                    <a:cubicBezTo>
                                      <a:pt x="772" y="937"/>
                                      <a:pt x="772" y="937"/>
                                      <a:pt x="772" y="937"/>
                                    </a:cubicBezTo>
                                    <a:cubicBezTo>
                                      <a:pt x="770" y="937"/>
                                      <a:pt x="770" y="937"/>
                                      <a:pt x="770" y="937"/>
                                    </a:cubicBezTo>
                                    <a:cubicBezTo>
                                      <a:pt x="770" y="937"/>
                                      <a:pt x="770" y="937"/>
                                      <a:pt x="770" y="937"/>
                                    </a:cubicBezTo>
                                    <a:close/>
                                    <a:moveTo>
                                      <a:pt x="774" y="947"/>
                                    </a:moveTo>
                                    <a:cubicBezTo>
                                      <a:pt x="774" y="948"/>
                                      <a:pt x="775" y="952"/>
                                      <a:pt x="775" y="952"/>
                                    </a:cubicBezTo>
                                    <a:cubicBezTo>
                                      <a:pt x="775" y="956"/>
                                      <a:pt x="775" y="956"/>
                                      <a:pt x="775" y="956"/>
                                    </a:cubicBezTo>
                                    <a:cubicBezTo>
                                      <a:pt x="776" y="956"/>
                                      <a:pt x="776" y="956"/>
                                      <a:pt x="776" y="956"/>
                                    </a:cubicBezTo>
                                    <a:cubicBezTo>
                                      <a:pt x="775" y="953"/>
                                      <a:pt x="775" y="953"/>
                                      <a:pt x="775" y="953"/>
                                    </a:cubicBezTo>
                                    <a:cubicBezTo>
                                      <a:pt x="775" y="953"/>
                                      <a:pt x="775" y="947"/>
                                      <a:pt x="774" y="947"/>
                                    </a:cubicBezTo>
                                    <a:close/>
                                    <a:moveTo>
                                      <a:pt x="775" y="964"/>
                                    </a:moveTo>
                                    <a:cubicBezTo>
                                      <a:pt x="774" y="962"/>
                                      <a:pt x="773" y="956"/>
                                      <a:pt x="773" y="950"/>
                                    </a:cubicBezTo>
                                    <a:cubicBezTo>
                                      <a:pt x="772" y="947"/>
                                      <a:pt x="771" y="950"/>
                                      <a:pt x="770" y="947"/>
                                    </a:cubicBezTo>
                                    <a:cubicBezTo>
                                      <a:pt x="770" y="945"/>
                                      <a:pt x="771" y="943"/>
                                      <a:pt x="767" y="944"/>
                                    </a:cubicBezTo>
                                    <a:cubicBezTo>
                                      <a:pt x="767" y="944"/>
                                      <a:pt x="768" y="938"/>
                                      <a:pt x="767" y="937"/>
                                    </a:cubicBezTo>
                                    <a:cubicBezTo>
                                      <a:pt x="766" y="933"/>
                                      <a:pt x="768" y="930"/>
                                      <a:pt x="766" y="927"/>
                                    </a:cubicBezTo>
                                    <a:cubicBezTo>
                                      <a:pt x="765" y="926"/>
                                      <a:pt x="759" y="925"/>
                                      <a:pt x="759" y="924"/>
                                    </a:cubicBezTo>
                                    <a:cubicBezTo>
                                      <a:pt x="759" y="924"/>
                                      <a:pt x="759" y="918"/>
                                      <a:pt x="759" y="919"/>
                                    </a:cubicBezTo>
                                    <a:cubicBezTo>
                                      <a:pt x="758" y="919"/>
                                      <a:pt x="756" y="918"/>
                                      <a:pt x="755" y="917"/>
                                    </a:cubicBezTo>
                                    <a:cubicBezTo>
                                      <a:pt x="755" y="916"/>
                                      <a:pt x="756" y="915"/>
                                      <a:pt x="756" y="914"/>
                                    </a:cubicBezTo>
                                    <a:cubicBezTo>
                                      <a:pt x="757" y="915"/>
                                      <a:pt x="757" y="913"/>
                                      <a:pt x="758" y="912"/>
                                    </a:cubicBezTo>
                                    <a:cubicBezTo>
                                      <a:pt x="753" y="914"/>
                                      <a:pt x="757" y="906"/>
                                      <a:pt x="758" y="906"/>
                                    </a:cubicBezTo>
                                    <a:cubicBezTo>
                                      <a:pt x="760" y="904"/>
                                      <a:pt x="756" y="898"/>
                                      <a:pt x="756" y="898"/>
                                    </a:cubicBezTo>
                                    <a:cubicBezTo>
                                      <a:pt x="756" y="896"/>
                                      <a:pt x="757" y="894"/>
                                      <a:pt x="758" y="893"/>
                                    </a:cubicBezTo>
                                    <a:cubicBezTo>
                                      <a:pt x="759" y="891"/>
                                      <a:pt x="759" y="891"/>
                                      <a:pt x="759" y="891"/>
                                    </a:cubicBezTo>
                                    <a:cubicBezTo>
                                      <a:pt x="760" y="889"/>
                                      <a:pt x="760" y="887"/>
                                      <a:pt x="761" y="886"/>
                                    </a:cubicBezTo>
                                    <a:cubicBezTo>
                                      <a:pt x="760" y="885"/>
                                      <a:pt x="758" y="884"/>
                                      <a:pt x="758" y="884"/>
                                    </a:cubicBezTo>
                                    <a:cubicBezTo>
                                      <a:pt x="758" y="881"/>
                                      <a:pt x="760" y="878"/>
                                      <a:pt x="761" y="876"/>
                                    </a:cubicBezTo>
                                    <a:cubicBezTo>
                                      <a:pt x="762" y="867"/>
                                      <a:pt x="758" y="860"/>
                                      <a:pt x="759" y="852"/>
                                    </a:cubicBezTo>
                                    <a:cubicBezTo>
                                      <a:pt x="759" y="848"/>
                                      <a:pt x="761" y="841"/>
                                      <a:pt x="764" y="837"/>
                                    </a:cubicBezTo>
                                    <a:cubicBezTo>
                                      <a:pt x="761" y="837"/>
                                      <a:pt x="761" y="833"/>
                                      <a:pt x="760" y="833"/>
                                    </a:cubicBezTo>
                                    <a:cubicBezTo>
                                      <a:pt x="759" y="832"/>
                                      <a:pt x="759" y="840"/>
                                      <a:pt x="758" y="839"/>
                                    </a:cubicBezTo>
                                    <a:cubicBezTo>
                                      <a:pt x="757" y="839"/>
                                      <a:pt x="757" y="835"/>
                                      <a:pt x="756" y="835"/>
                                    </a:cubicBezTo>
                                    <a:cubicBezTo>
                                      <a:pt x="754" y="827"/>
                                      <a:pt x="753" y="820"/>
                                      <a:pt x="752" y="812"/>
                                    </a:cubicBezTo>
                                    <a:cubicBezTo>
                                      <a:pt x="754" y="811"/>
                                      <a:pt x="754" y="813"/>
                                      <a:pt x="754" y="811"/>
                                    </a:cubicBezTo>
                                    <a:cubicBezTo>
                                      <a:pt x="751" y="811"/>
                                      <a:pt x="750" y="811"/>
                                      <a:pt x="747" y="811"/>
                                    </a:cubicBezTo>
                                    <a:cubicBezTo>
                                      <a:pt x="747" y="809"/>
                                      <a:pt x="747" y="809"/>
                                      <a:pt x="747" y="809"/>
                                    </a:cubicBezTo>
                                    <a:cubicBezTo>
                                      <a:pt x="748" y="808"/>
                                      <a:pt x="750" y="809"/>
                                      <a:pt x="750" y="809"/>
                                    </a:cubicBezTo>
                                    <a:cubicBezTo>
                                      <a:pt x="751" y="807"/>
                                      <a:pt x="752" y="806"/>
                                      <a:pt x="753" y="805"/>
                                    </a:cubicBezTo>
                                    <a:cubicBezTo>
                                      <a:pt x="752" y="803"/>
                                      <a:pt x="752" y="802"/>
                                      <a:pt x="752" y="800"/>
                                    </a:cubicBezTo>
                                    <a:cubicBezTo>
                                      <a:pt x="751" y="800"/>
                                      <a:pt x="746" y="799"/>
                                      <a:pt x="744" y="798"/>
                                    </a:cubicBezTo>
                                    <a:cubicBezTo>
                                      <a:pt x="743" y="798"/>
                                      <a:pt x="744" y="796"/>
                                      <a:pt x="743" y="795"/>
                                    </a:cubicBezTo>
                                    <a:cubicBezTo>
                                      <a:pt x="742" y="794"/>
                                      <a:pt x="741" y="795"/>
                                      <a:pt x="740" y="794"/>
                                    </a:cubicBezTo>
                                    <a:cubicBezTo>
                                      <a:pt x="740" y="792"/>
                                      <a:pt x="742" y="792"/>
                                      <a:pt x="742" y="789"/>
                                    </a:cubicBezTo>
                                    <a:cubicBezTo>
                                      <a:pt x="741" y="788"/>
                                      <a:pt x="738" y="785"/>
                                      <a:pt x="738" y="784"/>
                                    </a:cubicBezTo>
                                    <a:cubicBezTo>
                                      <a:pt x="736" y="780"/>
                                      <a:pt x="736" y="775"/>
                                      <a:pt x="736" y="771"/>
                                    </a:cubicBezTo>
                                    <a:cubicBezTo>
                                      <a:pt x="735" y="771"/>
                                      <a:pt x="730" y="772"/>
                                      <a:pt x="730" y="772"/>
                                    </a:cubicBezTo>
                                    <a:cubicBezTo>
                                      <a:pt x="732" y="767"/>
                                      <a:pt x="732" y="767"/>
                                      <a:pt x="732" y="767"/>
                                    </a:cubicBezTo>
                                    <a:cubicBezTo>
                                      <a:pt x="730" y="766"/>
                                      <a:pt x="729" y="765"/>
                                      <a:pt x="729" y="765"/>
                                    </a:cubicBezTo>
                                    <a:cubicBezTo>
                                      <a:pt x="726" y="764"/>
                                      <a:pt x="726" y="767"/>
                                      <a:pt x="723" y="765"/>
                                    </a:cubicBezTo>
                                    <a:cubicBezTo>
                                      <a:pt x="721" y="760"/>
                                      <a:pt x="721" y="760"/>
                                      <a:pt x="721" y="760"/>
                                    </a:cubicBezTo>
                                    <a:cubicBezTo>
                                      <a:pt x="721" y="759"/>
                                      <a:pt x="719" y="760"/>
                                      <a:pt x="718" y="760"/>
                                    </a:cubicBezTo>
                                    <a:cubicBezTo>
                                      <a:pt x="718" y="759"/>
                                      <a:pt x="718" y="759"/>
                                      <a:pt x="718" y="759"/>
                                    </a:cubicBezTo>
                                    <a:cubicBezTo>
                                      <a:pt x="716" y="758"/>
                                      <a:pt x="714" y="757"/>
                                      <a:pt x="712" y="756"/>
                                    </a:cubicBezTo>
                                    <a:cubicBezTo>
                                      <a:pt x="712" y="753"/>
                                      <a:pt x="712" y="755"/>
                                      <a:pt x="714" y="754"/>
                                    </a:cubicBezTo>
                                    <a:cubicBezTo>
                                      <a:pt x="713" y="752"/>
                                      <a:pt x="712" y="740"/>
                                      <a:pt x="710" y="738"/>
                                    </a:cubicBezTo>
                                    <a:cubicBezTo>
                                      <a:pt x="710" y="737"/>
                                      <a:pt x="702" y="735"/>
                                      <a:pt x="701" y="735"/>
                                    </a:cubicBezTo>
                                    <a:cubicBezTo>
                                      <a:pt x="700" y="729"/>
                                      <a:pt x="700" y="729"/>
                                      <a:pt x="700" y="729"/>
                                    </a:cubicBezTo>
                                    <a:cubicBezTo>
                                      <a:pt x="699" y="729"/>
                                      <a:pt x="697" y="730"/>
                                      <a:pt x="697" y="730"/>
                                    </a:cubicBezTo>
                                    <a:cubicBezTo>
                                      <a:pt x="696" y="731"/>
                                      <a:pt x="695" y="733"/>
                                      <a:pt x="694" y="734"/>
                                    </a:cubicBezTo>
                                    <a:cubicBezTo>
                                      <a:pt x="696" y="735"/>
                                      <a:pt x="693" y="735"/>
                                      <a:pt x="693" y="735"/>
                                    </a:cubicBezTo>
                                    <a:cubicBezTo>
                                      <a:pt x="695" y="736"/>
                                      <a:pt x="692" y="736"/>
                                      <a:pt x="692" y="736"/>
                                    </a:cubicBezTo>
                                    <a:cubicBezTo>
                                      <a:pt x="691" y="736"/>
                                      <a:pt x="690" y="733"/>
                                      <a:pt x="690" y="733"/>
                                    </a:cubicBezTo>
                                    <a:cubicBezTo>
                                      <a:pt x="689" y="733"/>
                                      <a:pt x="686" y="733"/>
                                      <a:pt x="686" y="733"/>
                                    </a:cubicBezTo>
                                    <a:cubicBezTo>
                                      <a:pt x="684" y="730"/>
                                      <a:pt x="685" y="725"/>
                                      <a:pt x="683" y="722"/>
                                    </a:cubicBezTo>
                                    <a:cubicBezTo>
                                      <a:pt x="681" y="722"/>
                                      <a:pt x="681" y="722"/>
                                      <a:pt x="681" y="722"/>
                                    </a:cubicBezTo>
                                    <a:cubicBezTo>
                                      <a:pt x="680" y="722"/>
                                      <a:pt x="680" y="721"/>
                                      <a:pt x="680" y="719"/>
                                    </a:cubicBezTo>
                                    <a:cubicBezTo>
                                      <a:pt x="679" y="719"/>
                                      <a:pt x="675" y="720"/>
                                      <a:pt x="674" y="719"/>
                                    </a:cubicBezTo>
                                    <a:cubicBezTo>
                                      <a:pt x="673" y="719"/>
                                      <a:pt x="673" y="715"/>
                                      <a:pt x="672" y="714"/>
                                    </a:cubicBezTo>
                                    <a:cubicBezTo>
                                      <a:pt x="672" y="713"/>
                                      <a:pt x="670" y="713"/>
                                      <a:pt x="670" y="713"/>
                                    </a:cubicBezTo>
                                    <a:cubicBezTo>
                                      <a:pt x="668" y="712"/>
                                      <a:pt x="668" y="708"/>
                                      <a:pt x="668" y="706"/>
                                    </a:cubicBezTo>
                                    <a:cubicBezTo>
                                      <a:pt x="663" y="705"/>
                                      <a:pt x="657" y="703"/>
                                      <a:pt x="649" y="702"/>
                                    </a:cubicBezTo>
                                    <a:cubicBezTo>
                                      <a:pt x="649" y="702"/>
                                      <a:pt x="649" y="699"/>
                                      <a:pt x="648" y="698"/>
                                    </a:cubicBezTo>
                                    <a:cubicBezTo>
                                      <a:pt x="650" y="698"/>
                                      <a:pt x="650" y="698"/>
                                      <a:pt x="650" y="698"/>
                                    </a:cubicBezTo>
                                    <a:cubicBezTo>
                                      <a:pt x="652" y="699"/>
                                      <a:pt x="652" y="700"/>
                                      <a:pt x="652" y="701"/>
                                    </a:cubicBezTo>
                                    <a:cubicBezTo>
                                      <a:pt x="653" y="701"/>
                                      <a:pt x="654" y="702"/>
                                      <a:pt x="654" y="702"/>
                                    </a:cubicBezTo>
                                    <a:cubicBezTo>
                                      <a:pt x="655" y="701"/>
                                      <a:pt x="655" y="700"/>
                                      <a:pt x="656" y="699"/>
                                    </a:cubicBezTo>
                                    <a:cubicBezTo>
                                      <a:pt x="658" y="698"/>
                                      <a:pt x="659" y="699"/>
                                      <a:pt x="661" y="698"/>
                                    </a:cubicBezTo>
                                    <a:cubicBezTo>
                                      <a:pt x="659" y="695"/>
                                      <a:pt x="659" y="693"/>
                                      <a:pt x="658" y="690"/>
                                    </a:cubicBezTo>
                                    <a:cubicBezTo>
                                      <a:pt x="656" y="690"/>
                                      <a:pt x="656" y="690"/>
                                      <a:pt x="656" y="690"/>
                                    </a:cubicBezTo>
                                    <a:cubicBezTo>
                                      <a:pt x="656" y="688"/>
                                      <a:pt x="656" y="688"/>
                                      <a:pt x="656" y="688"/>
                                    </a:cubicBezTo>
                                    <a:cubicBezTo>
                                      <a:pt x="658" y="688"/>
                                      <a:pt x="659" y="688"/>
                                      <a:pt x="661" y="688"/>
                                    </a:cubicBezTo>
                                    <a:cubicBezTo>
                                      <a:pt x="659" y="685"/>
                                      <a:pt x="658" y="684"/>
                                      <a:pt x="656" y="682"/>
                                    </a:cubicBezTo>
                                    <a:cubicBezTo>
                                      <a:pt x="658" y="674"/>
                                      <a:pt x="658" y="672"/>
                                      <a:pt x="654" y="667"/>
                                    </a:cubicBezTo>
                                    <a:cubicBezTo>
                                      <a:pt x="655" y="666"/>
                                      <a:pt x="657" y="667"/>
                                      <a:pt x="658" y="666"/>
                                    </a:cubicBezTo>
                                    <a:cubicBezTo>
                                      <a:pt x="659" y="665"/>
                                      <a:pt x="660" y="654"/>
                                      <a:pt x="661" y="652"/>
                                    </a:cubicBezTo>
                                    <a:cubicBezTo>
                                      <a:pt x="660" y="652"/>
                                      <a:pt x="659" y="650"/>
                                      <a:pt x="659" y="650"/>
                                    </a:cubicBezTo>
                                    <a:cubicBezTo>
                                      <a:pt x="658" y="650"/>
                                      <a:pt x="657" y="651"/>
                                      <a:pt x="656" y="651"/>
                                    </a:cubicBezTo>
                                    <a:cubicBezTo>
                                      <a:pt x="653" y="645"/>
                                      <a:pt x="653" y="647"/>
                                      <a:pt x="655" y="640"/>
                                    </a:cubicBezTo>
                                    <a:cubicBezTo>
                                      <a:pt x="653" y="639"/>
                                      <a:pt x="653" y="640"/>
                                      <a:pt x="650" y="641"/>
                                    </a:cubicBezTo>
                                    <a:cubicBezTo>
                                      <a:pt x="650" y="640"/>
                                      <a:pt x="649" y="637"/>
                                      <a:pt x="648" y="637"/>
                                    </a:cubicBezTo>
                                    <a:cubicBezTo>
                                      <a:pt x="647" y="636"/>
                                      <a:pt x="645" y="637"/>
                                      <a:pt x="645" y="637"/>
                                    </a:cubicBezTo>
                                    <a:cubicBezTo>
                                      <a:pt x="645" y="638"/>
                                      <a:pt x="644" y="642"/>
                                      <a:pt x="645" y="643"/>
                                    </a:cubicBezTo>
                                    <a:cubicBezTo>
                                      <a:pt x="648" y="643"/>
                                      <a:pt x="648" y="643"/>
                                      <a:pt x="648" y="643"/>
                                    </a:cubicBezTo>
                                    <a:cubicBezTo>
                                      <a:pt x="648" y="643"/>
                                      <a:pt x="650" y="648"/>
                                      <a:pt x="648" y="646"/>
                                    </a:cubicBezTo>
                                    <a:cubicBezTo>
                                      <a:pt x="649" y="648"/>
                                      <a:pt x="649" y="649"/>
                                      <a:pt x="649" y="650"/>
                                    </a:cubicBezTo>
                                    <a:cubicBezTo>
                                      <a:pt x="652" y="650"/>
                                      <a:pt x="652" y="650"/>
                                      <a:pt x="652" y="650"/>
                                    </a:cubicBezTo>
                                    <a:cubicBezTo>
                                      <a:pt x="652" y="651"/>
                                      <a:pt x="652" y="653"/>
                                      <a:pt x="652" y="654"/>
                                    </a:cubicBezTo>
                                    <a:cubicBezTo>
                                      <a:pt x="650" y="653"/>
                                      <a:pt x="647" y="653"/>
                                      <a:pt x="646" y="651"/>
                                    </a:cubicBezTo>
                                    <a:cubicBezTo>
                                      <a:pt x="646" y="651"/>
                                      <a:pt x="646" y="648"/>
                                      <a:pt x="645" y="647"/>
                                    </a:cubicBezTo>
                                    <a:cubicBezTo>
                                      <a:pt x="645" y="647"/>
                                      <a:pt x="643" y="648"/>
                                      <a:pt x="643" y="647"/>
                                    </a:cubicBezTo>
                                    <a:cubicBezTo>
                                      <a:pt x="642" y="647"/>
                                      <a:pt x="638" y="644"/>
                                      <a:pt x="637" y="644"/>
                                    </a:cubicBezTo>
                                    <a:cubicBezTo>
                                      <a:pt x="636" y="643"/>
                                      <a:pt x="635" y="639"/>
                                      <a:pt x="634" y="639"/>
                                    </a:cubicBezTo>
                                    <a:cubicBezTo>
                                      <a:pt x="631" y="637"/>
                                      <a:pt x="628" y="639"/>
                                      <a:pt x="625" y="638"/>
                                    </a:cubicBezTo>
                                    <a:cubicBezTo>
                                      <a:pt x="624" y="637"/>
                                      <a:pt x="623" y="632"/>
                                      <a:pt x="622" y="631"/>
                                    </a:cubicBezTo>
                                    <a:cubicBezTo>
                                      <a:pt x="622" y="630"/>
                                      <a:pt x="620" y="631"/>
                                      <a:pt x="620" y="630"/>
                                    </a:cubicBezTo>
                                    <a:cubicBezTo>
                                      <a:pt x="619" y="629"/>
                                      <a:pt x="620" y="628"/>
                                      <a:pt x="620" y="627"/>
                                    </a:cubicBezTo>
                                    <a:cubicBezTo>
                                      <a:pt x="619" y="627"/>
                                      <a:pt x="616" y="628"/>
                                      <a:pt x="616" y="627"/>
                                    </a:cubicBezTo>
                                    <a:cubicBezTo>
                                      <a:pt x="615" y="628"/>
                                      <a:pt x="614" y="632"/>
                                      <a:pt x="614" y="633"/>
                                    </a:cubicBezTo>
                                    <a:cubicBezTo>
                                      <a:pt x="611" y="634"/>
                                      <a:pt x="611" y="634"/>
                                      <a:pt x="611" y="634"/>
                                    </a:cubicBezTo>
                                    <a:cubicBezTo>
                                      <a:pt x="611" y="636"/>
                                      <a:pt x="610" y="641"/>
                                      <a:pt x="610" y="645"/>
                                    </a:cubicBezTo>
                                    <a:cubicBezTo>
                                      <a:pt x="610" y="645"/>
                                      <a:pt x="612" y="645"/>
                                      <a:pt x="612" y="646"/>
                                    </a:cubicBezTo>
                                    <a:cubicBezTo>
                                      <a:pt x="616" y="654"/>
                                      <a:pt x="616" y="654"/>
                                      <a:pt x="616" y="654"/>
                                    </a:cubicBezTo>
                                    <a:cubicBezTo>
                                      <a:pt x="618" y="656"/>
                                      <a:pt x="614" y="653"/>
                                      <a:pt x="614" y="653"/>
                                    </a:cubicBezTo>
                                    <a:cubicBezTo>
                                      <a:pt x="610" y="651"/>
                                      <a:pt x="610" y="650"/>
                                      <a:pt x="608" y="646"/>
                                    </a:cubicBezTo>
                                    <a:cubicBezTo>
                                      <a:pt x="607" y="646"/>
                                      <a:pt x="607" y="646"/>
                                      <a:pt x="607" y="646"/>
                                    </a:cubicBezTo>
                                    <a:cubicBezTo>
                                      <a:pt x="609" y="645"/>
                                      <a:pt x="602" y="646"/>
                                      <a:pt x="604" y="646"/>
                                    </a:cubicBezTo>
                                    <a:cubicBezTo>
                                      <a:pt x="603" y="647"/>
                                      <a:pt x="602" y="647"/>
                                      <a:pt x="600" y="647"/>
                                    </a:cubicBezTo>
                                    <a:cubicBezTo>
                                      <a:pt x="600" y="648"/>
                                      <a:pt x="602" y="650"/>
                                      <a:pt x="601" y="650"/>
                                    </a:cubicBezTo>
                                    <a:cubicBezTo>
                                      <a:pt x="600" y="651"/>
                                      <a:pt x="599" y="650"/>
                                      <a:pt x="597" y="651"/>
                                    </a:cubicBezTo>
                                    <a:cubicBezTo>
                                      <a:pt x="598" y="650"/>
                                      <a:pt x="597" y="648"/>
                                      <a:pt x="597" y="646"/>
                                    </a:cubicBezTo>
                                    <a:cubicBezTo>
                                      <a:pt x="598" y="646"/>
                                      <a:pt x="600" y="645"/>
                                      <a:pt x="600" y="645"/>
                                    </a:cubicBezTo>
                                    <a:cubicBezTo>
                                      <a:pt x="600" y="644"/>
                                      <a:pt x="600" y="639"/>
                                      <a:pt x="599" y="641"/>
                                    </a:cubicBezTo>
                                    <a:cubicBezTo>
                                      <a:pt x="599" y="641"/>
                                      <a:pt x="597" y="641"/>
                                      <a:pt x="596" y="641"/>
                                    </a:cubicBezTo>
                                    <a:cubicBezTo>
                                      <a:pt x="597" y="639"/>
                                      <a:pt x="596" y="640"/>
                                      <a:pt x="598" y="638"/>
                                    </a:cubicBezTo>
                                    <a:cubicBezTo>
                                      <a:pt x="598" y="636"/>
                                      <a:pt x="598" y="636"/>
                                      <a:pt x="598" y="636"/>
                                    </a:cubicBezTo>
                                    <a:cubicBezTo>
                                      <a:pt x="596" y="636"/>
                                      <a:pt x="597" y="636"/>
                                      <a:pt x="596" y="637"/>
                                    </a:cubicBezTo>
                                    <a:cubicBezTo>
                                      <a:pt x="596" y="633"/>
                                      <a:pt x="597" y="629"/>
                                      <a:pt x="597" y="626"/>
                                    </a:cubicBezTo>
                                    <a:cubicBezTo>
                                      <a:pt x="596" y="626"/>
                                      <a:pt x="594" y="625"/>
                                      <a:pt x="594" y="624"/>
                                    </a:cubicBezTo>
                                    <a:cubicBezTo>
                                      <a:pt x="593" y="623"/>
                                      <a:pt x="594" y="622"/>
                                      <a:pt x="594" y="621"/>
                                    </a:cubicBezTo>
                                    <a:cubicBezTo>
                                      <a:pt x="593" y="618"/>
                                      <a:pt x="589" y="614"/>
                                      <a:pt x="589" y="611"/>
                                    </a:cubicBezTo>
                                    <a:cubicBezTo>
                                      <a:pt x="588" y="604"/>
                                      <a:pt x="592" y="605"/>
                                      <a:pt x="592" y="604"/>
                                    </a:cubicBezTo>
                                    <a:cubicBezTo>
                                      <a:pt x="592" y="602"/>
                                      <a:pt x="591" y="597"/>
                                      <a:pt x="591" y="594"/>
                                    </a:cubicBezTo>
                                    <a:cubicBezTo>
                                      <a:pt x="582" y="589"/>
                                      <a:pt x="582" y="591"/>
                                      <a:pt x="585" y="583"/>
                                    </a:cubicBezTo>
                                    <a:cubicBezTo>
                                      <a:pt x="583" y="583"/>
                                      <a:pt x="584" y="582"/>
                                      <a:pt x="584" y="581"/>
                                    </a:cubicBezTo>
                                    <a:cubicBezTo>
                                      <a:pt x="581" y="582"/>
                                      <a:pt x="581" y="582"/>
                                      <a:pt x="579" y="583"/>
                                    </a:cubicBezTo>
                                    <a:cubicBezTo>
                                      <a:pt x="578" y="579"/>
                                      <a:pt x="577" y="575"/>
                                      <a:pt x="578" y="572"/>
                                    </a:cubicBezTo>
                                    <a:cubicBezTo>
                                      <a:pt x="580" y="571"/>
                                      <a:pt x="580" y="571"/>
                                      <a:pt x="580" y="571"/>
                                    </a:cubicBezTo>
                                    <a:cubicBezTo>
                                      <a:pt x="581" y="568"/>
                                      <a:pt x="580" y="566"/>
                                      <a:pt x="580" y="564"/>
                                    </a:cubicBezTo>
                                    <a:cubicBezTo>
                                      <a:pt x="578" y="564"/>
                                      <a:pt x="576" y="565"/>
                                      <a:pt x="574" y="565"/>
                                    </a:cubicBezTo>
                                    <a:cubicBezTo>
                                      <a:pt x="573" y="563"/>
                                      <a:pt x="573" y="563"/>
                                      <a:pt x="573" y="563"/>
                                    </a:cubicBezTo>
                                    <a:cubicBezTo>
                                      <a:pt x="573" y="562"/>
                                      <a:pt x="570" y="561"/>
                                      <a:pt x="570" y="561"/>
                                    </a:cubicBezTo>
                                    <a:cubicBezTo>
                                      <a:pt x="570" y="561"/>
                                      <a:pt x="570" y="557"/>
                                      <a:pt x="571" y="559"/>
                                    </a:cubicBezTo>
                                    <a:cubicBezTo>
                                      <a:pt x="571" y="557"/>
                                      <a:pt x="571" y="557"/>
                                      <a:pt x="571" y="557"/>
                                    </a:cubicBezTo>
                                    <a:cubicBezTo>
                                      <a:pt x="570" y="556"/>
                                      <a:pt x="563" y="556"/>
                                      <a:pt x="562" y="555"/>
                                    </a:cubicBezTo>
                                    <a:cubicBezTo>
                                      <a:pt x="562" y="553"/>
                                      <a:pt x="562" y="553"/>
                                      <a:pt x="562" y="553"/>
                                    </a:cubicBezTo>
                                    <a:cubicBezTo>
                                      <a:pt x="559" y="551"/>
                                      <a:pt x="560" y="551"/>
                                      <a:pt x="559" y="548"/>
                                    </a:cubicBezTo>
                                    <a:cubicBezTo>
                                      <a:pt x="557" y="547"/>
                                      <a:pt x="556" y="548"/>
                                      <a:pt x="554" y="547"/>
                                    </a:cubicBezTo>
                                    <a:cubicBezTo>
                                      <a:pt x="557" y="545"/>
                                      <a:pt x="553" y="540"/>
                                      <a:pt x="556" y="537"/>
                                    </a:cubicBezTo>
                                    <a:cubicBezTo>
                                      <a:pt x="557" y="537"/>
                                      <a:pt x="559" y="537"/>
                                      <a:pt x="560" y="537"/>
                                    </a:cubicBezTo>
                                    <a:cubicBezTo>
                                      <a:pt x="561" y="537"/>
                                      <a:pt x="564" y="541"/>
                                      <a:pt x="565" y="541"/>
                                    </a:cubicBezTo>
                                    <a:cubicBezTo>
                                      <a:pt x="566" y="541"/>
                                      <a:pt x="568" y="541"/>
                                      <a:pt x="568" y="541"/>
                                    </a:cubicBezTo>
                                    <a:cubicBezTo>
                                      <a:pt x="568" y="541"/>
                                      <a:pt x="568" y="538"/>
                                      <a:pt x="568" y="537"/>
                                    </a:cubicBezTo>
                                    <a:cubicBezTo>
                                      <a:pt x="567" y="536"/>
                                      <a:pt x="565" y="536"/>
                                      <a:pt x="565" y="535"/>
                                    </a:cubicBezTo>
                                    <a:cubicBezTo>
                                      <a:pt x="564" y="534"/>
                                      <a:pt x="564" y="532"/>
                                      <a:pt x="564" y="531"/>
                                    </a:cubicBezTo>
                                    <a:cubicBezTo>
                                      <a:pt x="562" y="528"/>
                                      <a:pt x="557" y="526"/>
                                      <a:pt x="554" y="524"/>
                                    </a:cubicBezTo>
                                    <a:cubicBezTo>
                                      <a:pt x="552" y="522"/>
                                      <a:pt x="552" y="522"/>
                                      <a:pt x="552" y="522"/>
                                    </a:cubicBezTo>
                                    <a:cubicBezTo>
                                      <a:pt x="552" y="521"/>
                                      <a:pt x="553" y="520"/>
                                      <a:pt x="552" y="519"/>
                                    </a:cubicBezTo>
                                    <a:cubicBezTo>
                                      <a:pt x="552" y="519"/>
                                      <a:pt x="552" y="517"/>
                                      <a:pt x="551" y="517"/>
                                    </a:cubicBezTo>
                                    <a:cubicBezTo>
                                      <a:pt x="550" y="517"/>
                                      <a:pt x="548" y="517"/>
                                      <a:pt x="547" y="517"/>
                                    </a:cubicBezTo>
                                    <a:cubicBezTo>
                                      <a:pt x="547" y="517"/>
                                      <a:pt x="545" y="521"/>
                                      <a:pt x="548" y="520"/>
                                    </a:cubicBezTo>
                                    <a:cubicBezTo>
                                      <a:pt x="547" y="521"/>
                                      <a:pt x="546" y="522"/>
                                      <a:pt x="547" y="523"/>
                                    </a:cubicBezTo>
                                    <a:cubicBezTo>
                                      <a:pt x="545" y="522"/>
                                      <a:pt x="543" y="523"/>
                                      <a:pt x="542" y="523"/>
                                    </a:cubicBezTo>
                                    <a:cubicBezTo>
                                      <a:pt x="538" y="521"/>
                                      <a:pt x="535" y="510"/>
                                      <a:pt x="530" y="508"/>
                                    </a:cubicBezTo>
                                    <a:cubicBezTo>
                                      <a:pt x="526" y="507"/>
                                      <a:pt x="522" y="509"/>
                                      <a:pt x="518" y="507"/>
                                    </a:cubicBezTo>
                                    <a:cubicBezTo>
                                      <a:pt x="514" y="505"/>
                                      <a:pt x="517" y="498"/>
                                      <a:pt x="515" y="497"/>
                                    </a:cubicBezTo>
                                    <a:cubicBezTo>
                                      <a:pt x="515" y="497"/>
                                      <a:pt x="511" y="498"/>
                                      <a:pt x="511" y="499"/>
                                    </a:cubicBezTo>
                                    <a:cubicBezTo>
                                      <a:pt x="511" y="499"/>
                                      <a:pt x="512" y="504"/>
                                      <a:pt x="512" y="502"/>
                                    </a:cubicBezTo>
                                    <a:cubicBezTo>
                                      <a:pt x="512" y="504"/>
                                      <a:pt x="512" y="504"/>
                                      <a:pt x="512" y="504"/>
                                    </a:cubicBezTo>
                                    <a:cubicBezTo>
                                      <a:pt x="512" y="504"/>
                                      <a:pt x="507" y="505"/>
                                      <a:pt x="506" y="504"/>
                                    </a:cubicBezTo>
                                    <a:cubicBezTo>
                                      <a:pt x="505" y="504"/>
                                      <a:pt x="505" y="500"/>
                                      <a:pt x="503" y="500"/>
                                    </a:cubicBezTo>
                                    <a:cubicBezTo>
                                      <a:pt x="502" y="499"/>
                                      <a:pt x="499" y="498"/>
                                      <a:pt x="498" y="498"/>
                                    </a:cubicBezTo>
                                    <a:cubicBezTo>
                                      <a:pt x="502" y="494"/>
                                      <a:pt x="498" y="496"/>
                                      <a:pt x="500" y="493"/>
                                    </a:cubicBezTo>
                                    <a:cubicBezTo>
                                      <a:pt x="498" y="493"/>
                                      <a:pt x="495" y="493"/>
                                      <a:pt x="493" y="493"/>
                                    </a:cubicBezTo>
                                    <a:cubicBezTo>
                                      <a:pt x="498" y="488"/>
                                      <a:pt x="498" y="488"/>
                                      <a:pt x="495" y="482"/>
                                    </a:cubicBezTo>
                                    <a:cubicBezTo>
                                      <a:pt x="486" y="485"/>
                                      <a:pt x="484" y="483"/>
                                      <a:pt x="476" y="485"/>
                                    </a:cubicBezTo>
                                    <a:cubicBezTo>
                                      <a:pt x="473" y="480"/>
                                      <a:pt x="472" y="478"/>
                                      <a:pt x="473" y="472"/>
                                    </a:cubicBezTo>
                                    <a:cubicBezTo>
                                      <a:pt x="469" y="473"/>
                                      <a:pt x="467" y="473"/>
                                      <a:pt x="463" y="473"/>
                                    </a:cubicBezTo>
                                    <a:cubicBezTo>
                                      <a:pt x="463" y="471"/>
                                      <a:pt x="463" y="471"/>
                                      <a:pt x="463" y="471"/>
                                    </a:cubicBezTo>
                                    <a:cubicBezTo>
                                      <a:pt x="459" y="470"/>
                                      <a:pt x="456" y="470"/>
                                      <a:pt x="452" y="469"/>
                                    </a:cubicBezTo>
                                    <a:cubicBezTo>
                                      <a:pt x="452" y="467"/>
                                      <a:pt x="452" y="467"/>
                                      <a:pt x="452" y="467"/>
                                    </a:cubicBezTo>
                                    <a:cubicBezTo>
                                      <a:pt x="451" y="466"/>
                                      <a:pt x="449" y="467"/>
                                      <a:pt x="448" y="466"/>
                                    </a:cubicBezTo>
                                    <a:cubicBezTo>
                                      <a:pt x="448" y="464"/>
                                      <a:pt x="448" y="464"/>
                                      <a:pt x="448" y="464"/>
                                    </a:cubicBezTo>
                                    <a:cubicBezTo>
                                      <a:pt x="447" y="463"/>
                                      <a:pt x="442" y="459"/>
                                      <a:pt x="441" y="458"/>
                                    </a:cubicBezTo>
                                    <a:cubicBezTo>
                                      <a:pt x="440" y="458"/>
                                      <a:pt x="440" y="458"/>
                                      <a:pt x="440" y="458"/>
                                    </a:cubicBezTo>
                                    <a:cubicBezTo>
                                      <a:pt x="440" y="458"/>
                                      <a:pt x="436" y="457"/>
                                      <a:pt x="434" y="456"/>
                                    </a:cubicBezTo>
                                    <a:cubicBezTo>
                                      <a:pt x="434" y="449"/>
                                      <a:pt x="434" y="443"/>
                                      <a:pt x="433" y="437"/>
                                    </a:cubicBezTo>
                                    <a:cubicBezTo>
                                      <a:pt x="436" y="436"/>
                                      <a:pt x="435" y="438"/>
                                      <a:pt x="436" y="435"/>
                                    </a:cubicBezTo>
                                    <a:cubicBezTo>
                                      <a:pt x="434" y="435"/>
                                      <a:pt x="436" y="437"/>
                                      <a:pt x="434" y="436"/>
                                    </a:cubicBezTo>
                                    <a:cubicBezTo>
                                      <a:pt x="434" y="435"/>
                                      <a:pt x="434" y="435"/>
                                      <a:pt x="434" y="435"/>
                                    </a:cubicBezTo>
                                    <a:cubicBezTo>
                                      <a:pt x="433" y="434"/>
                                      <a:pt x="430" y="433"/>
                                      <a:pt x="428" y="432"/>
                                    </a:cubicBezTo>
                                    <a:cubicBezTo>
                                      <a:pt x="428" y="431"/>
                                      <a:pt x="428" y="431"/>
                                      <a:pt x="428" y="431"/>
                                    </a:cubicBezTo>
                                    <a:cubicBezTo>
                                      <a:pt x="428" y="431"/>
                                      <a:pt x="426" y="432"/>
                                      <a:pt x="426" y="431"/>
                                    </a:cubicBezTo>
                                    <a:cubicBezTo>
                                      <a:pt x="427" y="424"/>
                                      <a:pt x="425" y="429"/>
                                      <a:pt x="423" y="424"/>
                                    </a:cubicBezTo>
                                    <a:cubicBezTo>
                                      <a:pt x="422" y="422"/>
                                      <a:pt x="423" y="421"/>
                                      <a:pt x="422" y="419"/>
                                    </a:cubicBezTo>
                                    <a:cubicBezTo>
                                      <a:pt x="420" y="419"/>
                                      <a:pt x="420" y="419"/>
                                      <a:pt x="420" y="419"/>
                                    </a:cubicBezTo>
                                    <a:cubicBezTo>
                                      <a:pt x="420" y="418"/>
                                      <a:pt x="419" y="416"/>
                                      <a:pt x="419" y="416"/>
                                    </a:cubicBezTo>
                                    <a:cubicBezTo>
                                      <a:pt x="418" y="411"/>
                                      <a:pt x="422" y="410"/>
                                      <a:pt x="423" y="407"/>
                                    </a:cubicBezTo>
                                    <a:cubicBezTo>
                                      <a:pt x="423" y="406"/>
                                      <a:pt x="422" y="405"/>
                                      <a:pt x="423" y="404"/>
                                    </a:cubicBezTo>
                                    <a:cubicBezTo>
                                      <a:pt x="425" y="403"/>
                                      <a:pt x="425" y="403"/>
                                      <a:pt x="425" y="403"/>
                                    </a:cubicBezTo>
                                    <a:cubicBezTo>
                                      <a:pt x="425" y="401"/>
                                      <a:pt x="423" y="401"/>
                                      <a:pt x="424" y="399"/>
                                    </a:cubicBezTo>
                                    <a:cubicBezTo>
                                      <a:pt x="424" y="399"/>
                                      <a:pt x="425" y="398"/>
                                      <a:pt x="426" y="398"/>
                                    </a:cubicBezTo>
                                    <a:cubicBezTo>
                                      <a:pt x="427" y="398"/>
                                      <a:pt x="423" y="394"/>
                                      <a:pt x="424" y="392"/>
                                    </a:cubicBezTo>
                                    <a:cubicBezTo>
                                      <a:pt x="424" y="391"/>
                                      <a:pt x="426" y="390"/>
                                      <a:pt x="426" y="389"/>
                                    </a:cubicBezTo>
                                    <a:cubicBezTo>
                                      <a:pt x="425" y="388"/>
                                      <a:pt x="422" y="386"/>
                                      <a:pt x="422" y="385"/>
                                    </a:cubicBezTo>
                                    <a:cubicBezTo>
                                      <a:pt x="421" y="382"/>
                                      <a:pt x="423" y="381"/>
                                      <a:pt x="423" y="378"/>
                                    </a:cubicBezTo>
                                    <a:cubicBezTo>
                                      <a:pt x="422" y="376"/>
                                      <a:pt x="419" y="367"/>
                                      <a:pt x="418" y="366"/>
                                    </a:cubicBezTo>
                                    <a:cubicBezTo>
                                      <a:pt x="416" y="365"/>
                                      <a:pt x="416" y="365"/>
                                      <a:pt x="416" y="365"/>
                                    </a:cubicBezTo>
                                    <a:cubicBezTo>
                                      <a:pt x="416" y="364"/>
                                      <a:pt x="416" y="362"/>
                                      <a:pt x="416" y="361"/>
                                    </a:cubicBezTo>
                                    <a:cubicBezTo>
                                      <a:pt x="416" y="359"/>
                                      <a:pt x="413" y="356"/>
                                      <a:pt x="413" y="355"/>
                                    </a:cubicBezTo>
                                    <a:cubicBezTo>
                                      <a:pt x="413" y="352"/>
                                      <a:pt x="414" y="348"/>
                                      <a:pt x="414" y="344"/>
                                    </a:cubicBezTo>
                                    <a:cubicBezTo>
                                      <a:pt x="413" y="345"/>
                                      <a:pt x="410" y="344"/>
                                      <a:pt x="409" y="344"/>
                                    </a:cubicBezTo>
                                    <a:cubicBezTo>
                                      <a:pt x="408" y="344"/>
                                      <a:pt x="408" y="347"/>
                                      <a:pt x="407" y="349"/>
                                    </a:cubicBezTo>
                                    <a:cubicBezTo>
                                      <a:pt x="407" y="349"/>
                                      <a:pt x="404" y="346"/>
                                      <a:pt x="405" y="346"/>
                                    </a:cubicBezTo>
                                    <a:cubicBezTo>
                                      <a:pt x="405" y="346"/>
                                      <a:pt x="405" y="341"/>
                                      <a:pt x="405" y="339"/>
                                    </a:cubicBezTo>
                                    <a:cubicBezTo>
                                      <a:pt x="405" y="339"/>
                                      <a:pt x="399" y="339"/>
                                      <a:pt x="398" y="338"/>
                                    </a:cubicBezTo>
                                    <a:cubicBezTo>
                                      <a:pt x="397" y="338"/>
                                      <a:pt x="397" y="334"/>
                                      <a:pt x="397" y="333"/>
                                    </a:cubicBezTo>
                                    <a:cubicBezTo>
                                      <a:pt x="396" y="333"/>
                                      <a:pt x="394" y="332"/>
                                      <a:pt x="394" y="331"/>
                                    </a:cubicBezTo>
                                    <a:cubicBezTo>
                                      <a:pt x="393" y="329"/>
                                      <a:pt x="394" y="327"/>
                                      <a:pt x="393" y="326"/>
                                    </a:cubicBezTo>
                                    <a:cubicBezTo>
                                      <a:pt x="393" y="326"/>
                                      <a:pt x="388" y="322"/>
                                      <a:pt x="387" y="322"/>
                                    </a:cubicBezTo>
                                    <a:cubicBezTo>
                                      <a:pt x="388" y="320"/>
                                      <a:pt x="388" y="318"/>
                                      <a:pt x="389" y="315"/>
                                    </a:cubicBezTo>
                                    <a:cubicBezTo>
                                      <a:pt x="388" y="315"/>
                                      <a:pt x="387" y="315"/>
                                      <a:pt x="387" y="313"/>
                                    </a:cubicBezTo>
                                    <a:cubicBezTo>
                                      <a:pt x="389" y="313"/>
                                      <a:pt x="389" y="313"/>
                                      <a:pt x="391" y="312"/>
                                    </a:cubicBezTo>
                                    <a:cubicBezTo>
                                      <a:pt x="390" y="308"/>
                                      <a:pt x="390" y="305"/>
                                      <a:pt x="391" y="300"/>
                                    </a:cubicBezTo>
                                    <a:cubicBezTo>
                                      <a:pt x="390" y="299"/>
                                      <a:pt x="389" y="297"/>
                                      <a:pt x="389" y="296"/>
                                    </a:cubicBezTo>
                                    <a:cubicBezTo>
                                      <a:pt x="388" y="296"/>
                                      <a:pt x="385" y="296"/>
                                      <a:pt x="384" y="296"/>
                                    </a:cubicBezTo>
                                    <a:cubicBezTo>
                                      <a:pt x="385" y="291"/>
                                      <a:pt x="385" y="288"/>
                                      <a:pt x="383" y="283"/>
                                    </a:cubicBezTo>
                                    <a:cubicBezTo>
                                      <a:pt x="381" y="283"/>
                                      <a:pt x="381" y="283"/>
                                      <a:pt x="381" y="283"/>
                                    </a:cubicBezTo>
                                    <a:cubicBezTo>
                                      <a:pt x="381" y="280"/>
                                      <a:pt x="382" y="280"/>
                                      <a:pt x="383" y="279"/>
                                    </a:cubicBezTo>
                                    <a:cubicBezTo>
                                      <a:pt x="384" y="278"/>
                                      <a:pt x="378" y="271"/>
                                      <a:pt x="378" y="271"/>
                                    </a:cubicBezTo>
                                    <a:cubicBezTo>
                                      <a:pt x="380" y="268"/>
                                      <a:pt x="382" y="265"/>
                                      <a:pt x="384" y="261"/>
                                    </a:cubicBezTo>
                                    <a:cubicBezTo>
                                      <a:pt x="384" y="259"/>
                                      <a:pt x="384" y="259"/>
                                      <a:pt x="384" y="259"/>
                                    </a:cubicBezTo>
                                    <a:cubicBezTo>
                                      <a:pt x="381" y="258"/>
                                      <a:pt x="379" y="254"/>
                                      <a:pt x="381" y="249"/>
                                    </a:cubicBezTo>
                                    <a:cubicBezTo>
                                      <a:pt x="382" y="248"/>
                                      <a:pt x="385" y="247"/>
                                      <a:pt x="385" y="246"/>
                                    </a:cubicBezTo>
                                    <a:cubicBezTo>
                                      <a:pt x="386" y="245"/>
                                      <a:pt x="385" y="244"/>
                                      <a:pt x="385" y="242"/>
                                    </a:cubicBezTo>
                                    <a:cubicBezTo>
                                      <a:pt x="383" y="242"/>
                                      <a:pt x="383" y="242"/>
                                      <a:pt x="383" y="242"/>
                                    </a:cubicBezTo>
                                    <a:cubicBezTo>
                                      <a:pt x="381" y="241"/>
                                      <a:pt x="379" y="236"/>
                                      <a:pt x="379" y="234"/>
                                    </a:cubicBezTo>
                                    <a:cubicBezTo>
                                      <a:pt x="376" y="233"/>
                                      <a:pt x="367" y="232"/>
                                      <a:pt x="366" y="230"/>
                                    </a:cubicBezTo>
                                    <a:cubicBezTo>
                                      <a:pt x="365" y="228"/>
                                      <a:pt x="366" y="225"/>
                                      <a:pt x="365" y="223"/>
                                    </a:cubicBezTo>
                                    <a:cubicBezTo>
                                      <a:pt x="365" y="223"/>
                                      <a:pt x="363" y="223"/>
                                      <a:pt x="362" y="223"/>
                                    </a:cubicBezTo>
                                    <a:cubicBezTo>
                                      <a:pt x="361" y="223"/>
                                      <a:pt x="352" y="216"/>
                                      <a:pt x="352" y="215"/>
                                    </a:cubicBezTo>
                                    <a:cubicBezTo>
                                      <a:pt x="351" y="214"/>
                                      <a:pt x="352" y="211"/>
                                      <a:pt x="352" y="210"/>
                                    </a:cubicBezTo>
                                    <a:cubicBezTo>
                                      <a:pt x="352" y="209"/>
                                      <a:pt x="349" y="210"/>
                                      <a:pt x="349" y="210"/>
                                    </a:cubicBezTo>
                                    <a:cubicBezTo>
                                      <a:pt x="347" y="204"/>
                                      <a:pt x="347" y="202"/>
                                      <a:pt x="344" y="198"/>
                                    </a:cubicBezTo>
                                    <a:cubicBezTo>
                                      <a:pt x="344" y="198"/>
                                      <a:pt x="341" y="198"/>
                                      <a:pt x="341" y="199"/>
                                    </a:cubicBezTo>
                                    <a:cubicBezTo>
                                      <a:pt x="340" y="201"/>
                                      <a:pt x="341" y="203"/>
                                      <a:pt x="340" y="204"/>
                                    </a:cubicBezTo>
                                    <a:cubicBezTo>
                                      <a:pt x="336" y="207"/>
                                      <a:pt x="330" y="206"/>
                                      <a:pt x="327" y="204"/>
                                    </a:cubicBezTo>
                                    <a:cubicBezTo>
                                      <a:pt x="326" y="208"/>
                                      <a:pt x="327" y="209"/>
                                      <a:pt x="327" y="212"/>
                                    </a:cubicBezTo>
                                    <a:cubicBezTo>
                                      <a:pt x="325" y="213"/>
                                      <a:pt x="323" y="212"/>
                                      <a:pt x="322" y="212"/>
                                    </a:cubicBezTo>
                                    <a:cubicBezTo>
                                      <a:pt x="321" y="213"/>
                                      <a:pt x="321" y="216"/>
                                      <a:pt x="320" y="216"/>
                                    </a:cubicBezTo>
                                    <a:cubicBezTo>
                                      <a:pt x="313" y="219"/>
                                      <a:pt x="304" y="216"/>
                                      <a:pt x="302" y="212"/>
                                    </a:cubicBezTo>
                                    <a:cubicBezTo>
                                      <a:pt x="300" y="210"/>
                                      <a:pt x="301" y="207"/>
                                      <a:pt x="300" y="204"/>
                                    </a:cubicBezTo>
                                    <a:cubicBezTo>
                                      <a:pt x="300" y="203"/>
                                      <a:pt x="297" y="201"/>
                                      <a:pt x="297" y="201"/>
                                    </a:cubicBezTo>
                                    <a:cubicBezTo>
                                      <a:pt x="297" y="200"/>
                                      <a:pt x="298" y="199"/>
                                      <a:pt x="298" y="197"/>
                                    </a:cubicBezTo>
                                    <a:cubicBezTo>
                                      <a:pt x="297" y="194"/>
                                      <a:pt x="294" y="191"/>
                                      <a:pt x="293" y="187"/>
                                    </a:cubicBezTo>
                                    <a:cubicBezTo>
                                      <a:pt x="293" y="186"/>
                                      <a:pt x="294" y="184"/>
                                      <a:pt x="293" y="183"/>
                                    </a:cubicBezTo>
                                    <a:cubicBezTo>
                                      <a:pt x="292" y="181"/>
                                      <a:pt x="289" y="180"/>
                                      <a:pt x="288" y="179"/>
                                    </a:cubicBezTo>
                                    <a:cubicBezTo>
                                      <a:pt x="288" y="170"/>
                                      <a:pt x="288" y="170"/>
                                      <a:pt x="288" y="170"/>
                                    </a:cubicBezTo>
                                    <a:cubicBezTo>
                                      <a:pt x="292" y="169"/>
                                      <a:pt x="292" y="169"/>
                                      <a:pt x="292" y="169"/>
                                    </a:cubicBezTo>
                                    <a:cubicBezTo>
                                      <a:pt x="292" y="167"/>
                                      <a:pt x="292" y="167"/>
                                      <a:pt x="292" y="167"/>
                                    </a:cubicBezTo>
                                    <a:cubicBezTo>
                                      <a:pt x="293" y="168"/>
                                      <a:pt x="293" y="167"/>
                                      <a:pt x="293" y="166"/>
                                    </a:cubicBezTo>
                                    <a:cubicBezTo>
                                      <a:pt x="293" y="165"/>
                                      <a:pt x="294" y="157"/>
                                      <a:pt x="293" y="155"/>
                                    </a:cubicBezTo>
                                    <a:cubicBezTo>
                                      <a:pt x="293" y="154"/>
                                      <a:pt x="290" y="153"/>
                                      <a:pt x="290" y="153"/>
                                    </a:cubicBezTo>
                                    <a:cubicBezTo>
                                      <a:pt x="288" y="147"/>
                                      <a:pt x="290" y="128"/>
                                      <a:pt x="290" y="122"/>
                                    </a:cubicBezTo>
                                    <a:cubicBezTo>
                                      <a:pt x="277" y="125"/>
                                      <a:pt x="280" y="122"/>
                                      <a:pt x="282" y="112"/>
                                    </a:cubicBezTo>
                                    <a:cubicBezTo>
                                      <a:pt x="284" y="112"/>
                                      <a:pt x="284" y="112"/>
                                      <a:pt x="284" y="112"/>
                                    </a:cubicBezTo>
                                    <a:cubicBezTo>
                                      <a:pt x="285" y="111"/>
                                      <a:pt x="284" y="109"/>
                                      <a:pt x="284" y="108"/>
                                    </a:cubicBezTo>
                                    <a:cubicBezTo>
                                      <a:pt x="283" y="107"/>
                                      <a:pt x="282" y="108"/>
                                      <a:pt x="281" y="108"/>
                                    </a:cubicBezTo>
                                    <a:cubicBezTo>
                                      <a:pt x="281" y="106"/>
                                      <a:pt x="281" y="106"/>
                                      <a:pt x="281" y="106"/>
                                    </a:cubicBezTo>
                                    <a:cubicBezTo>
                                      <a:pt x="280" y="105"/>
                                      <a:pt x="276" y="103"/>
                                      <a:pt x="276" y="102"/>
                                    </a:cubicBezTo>
                                    <a:cubicBezTo>
                                      <a:pt x="274" y="99"/>
                                      <a:pt x="276" y="97"/>
                                      <a:pt x="273" y="95"/>
                                    </a:cubicBezTo>
                                    <a:cubicBezTo>
                                      <a:pt x="272" y="95"/>
                                      <a:pt x="271" y="95"/>
                                      <a:pt x="270" y="94"/>
                                    </a:cubicBezTo>
                                    <a:cubicBezTo>
                                      <a:pt x="272" y="93"/>
                                      <a:pt x="268" y="93"/>
                                      <a:pt x="268" y="93"/>
                                    </a:cubicBezTo>
                                    <a:cubicBezTo>
                                      <a:pt x="268" y="94"/>
                                      <a:pt x="268" y="96"/>
                                      <a:pt x="267" y="96"/>
                                    </a:cubicBezTo>
                                    <a:cubicBezTo>
                                      <a:pt x="266" y="97"/>
                                      <a:pt x="266" y="94"/>
                                      <a:pt x="264" y="95"/>
                                    </a:cubicBezTo>
                                    <a:cubicBezTo>
                                      <a:pt x="264" y="92"/>
                                      <a:pt x="263" y="87"/>
                                      <a:pt x="262" y="83"/>
                                    </a:cubicBezTo>
                                    <a:cubicBezTo>
                                      <a:pt x="265" y="81"/>
                                      <a:pt x="271" y="79"/>
                                      <a:pt x="272" y="76"/>
                                    </a:cubicBezTo>
                                    <a:cubicBezTo>
                                      <a:pt x="272" y="75"/>
                                      <a:pt x="271" y="74"/>
                                      <a:pt x="272" y="73"/>
                                    </a:cubicBezTo>
                                    <a:cubicBezTo>
                                      <a:pt x="271" y="72"/>
                                      <a:pt x="271" y="75"/>
                                      <a:pt x="269" y="74"/>
                                    </a:cubicBezTo>
                                    <a:cubicBezTo>
                                      <a:pt x="267" y="70"/>
                                      <a:pt x="267" y="70"/>
                                      <a:pt x="267" y="70"/>
                                    </a:cubicBezTo>
                                    <a:cubicBezTo>
                                      <a:pt x="260" y="71"/>
                                      <a:pt x="257" y="70"/>
                                      <a:pt x="251" y="66"/>
                                    </a:cubicBezTo>
                                    <a:cubicBezTo>
                                      <a:pt x="252" y="59"/>
                                      <a:pt x="250" y="54"/>
                                      <a:pt x="251" y="45"/>
                                    </a:cubicBezTo>
                                    <a:cubicBezTo>
                                      <a:pt x="251" y="45"/>
                                      <a:pt x="252" y="42"/>
                                      <a:pt x="252" y="40"/>
                                    </a:cubicBezTo>
                                    <a:cubicBezTo>
                                      <a:pt x="252" y="39"/>
                                      <a:pt x="250" y="39"/>
                                      <a:pt x="249" y="39"/>
                                    </a:cubicBezTo>
                                    <a:cubicBezTo>
                                      <a:pt x="249" y="35"/>
                                      <a:pt x="249" y="34"/>
                                      <a:pt x="250" y="30"/>
                                    </a:cubicBezTo>
                                    <a:cubicBezTo>
                                      <a:pt x="247" y="29"/>
                                      <a:pt x="247" y="29"/>
                                      <a:pt x="247" y="29"/>
                                    </a:cubicBezTo>
                                    <a:cubicBezTo>
                                      <a:pt x="246" y="28"/>
                                      <a:pt x="248" y="26"/>
                                      <a:pt x="247" y="25"/>
                                    </a:cubicBezTo>
                                    <a:cubicBezTo>
                                      <a:pt x="246" y="24"/>
                                      <a:pt x="243" y="24"/>
                                      <a:pt x="242" y="23"/>
                                    </a:cubicBezTo>
                                    <a:cubicBezTo>
                                      <a:pt x="241" y="23"/>
                                      <a:pt x="239" y="18"/>
                                      <a:pt x="238" y="18"/>
                                    </a:cubicBezTo>
                                    <a:cubicBezTo>
                                      <a:pt x="237" y="20"/>
                                      <a:pt x="237" y="20"/>
                                      <a:pt x="237" y="20"/>
                                    </a:cubicBezTo>
                                    <a:cubicBezTo>
                                      <a:pt x="236" y="21"/>
                                      <a:pt x="235" y="20"/>
                                      <a:pt x="233" y="21"/>
                                    </a:cubicBezTo>
                                    <a:cubicBezTo>
                                      <a:pt x="233" y="20"/>
                                      <a:pt x="234" y="19"/>
                                      <a:pt x="234" y="17"/>
                                    </a:cubicBezTo>
                                    <a:cubicBezTo>
                                      <a:pt x="233" y="17"/>
                                      <a:pt x="233" y="14"/>
                                      <a:pt x="233" y="14"/>
                                    </a:cubicBezTo>
                                    <a:cubicBezTo>
                                      <a:pt x="235" y="13"/>
                                      <a:pt x="238" y="12"/>
                                      <a:pt x="240" y="11"/>
                                    </a:cubicBezTo>
                                    <a:cubicBezTo>
                                      <a:pt x="240" y="8"/>
                                      <a:pt x="240" y="6"/>
                                      <a:pt x="240" y="4"/>
                                    </a:cubicBezTo>
                                    <a:cubicBezTo>
                                      <a:pt x="238" y="3"/>
                                      <a:pt x="238" y="3"/>
                                      <a:pt x="238" y="3"/>
                                    </a:cubicBezTo>
                                    <a:cubicBezTo>
                                      <a:pt x="238" y="3"/>
                                      <a:pt x="237" y="5"/>
                                      <a:pt x="236" y="5"/>
                                    </a:cubicBezTo>
                                    <a:cubicBezTo>
                                      <a:pt x="235" y="6"/>
                                      <a:pt x="232" y="5"/>
                                      <a:pt x="232" y="5"/>
                                    </a:cubicBezTo>
                                    <a:cubicBezTo>
                                      <a:pt x="231" y="5"/>
                                      <a:pt x="232" y="8"/>
                                      <a:pt x="232" y="8"/>
                                    </a:cubicBezTo>
                                    <a:cubicBezTo>
                                      <a:pt x="231" y="9"/>
                                      <a:pt x="228" y="9"/>
                                      <a:pt x="228" y="11"/>
                                    </a:cubicBezTo>
                                    <a:cubicBezTo>
                                      <a:pt x="226" y="13"/>
                                      <a:pt x="228" y="15"/>
                                      <a:pt x="226" y="17"/>
                                    </a:cubicBezTo>
                                    <a:cubicBezTo>
                                      <a:pt x="224" y="18"/>
                                      <a:pt x="219" y="17"/>
                                      <a:pt x="216" y="18"/>
                                    </a:cubicBezTo>
                                    <a:cubicBezTo>
                                      <a:pt x="214" y="19"/>
                                      <a:pt x="212" y="22"/>
                                      <a:pt x="209" y="23"/>
                                    </a:cubicBezTo>
                                    <a:cubicBezTo>
                                      <a:pt x="210" y="29"/>
                                      <a:pt x="211" y="34"/>
                                      <a:pt x="209" y="39"/>
                                    </a:cubicBezTo>
                                    <a:cubicBezTo>
                                      <a:pt x="209" y="39"/>
                                      <a:pt x="208" y="39"/>
                                      <a:pt x="208" y="40"/>
                                    </a:cubicBezTo>
                                    <a:cubicBezTo>
                                      <a:pt x="209" y="46"/>
                                      <a:pt x="209" y="48"/>
                                      <a:pt x="209" y="55"/>
                                    </a:cubicBezTo>
                                    <a:cubicBezTo>
                                      <a:pt x="211" y="57"/>
                                      <a:pt x="208" y="54"/>
                                      <a:pt x="209" y="56"/>
                                    </a:cubicBezTo>
                                    <a:cubicBezTo>
                                      <a:pt x="207" y="62"/>
                                      <a:pt x="206" y="65"/>
                                      <a:pt x="207" y="73"/>
                                    </a:cubicBezTo>
                                    <a:cubicBezTo>
                                      <a:pt x="209" y="73"/>
                                      <a:pt x="209" y="73"/>
                                      <a:pt x="209" y="73"/>
                                    </a:cubicBezTo>
                                    <a:cubicBezTo>
                                      <a:pt x="210" y="74"/>
                                      <a:pt x="209" y="76"/>
                                      <a:pt x="209" y="77"/>
                                    </a:cubicBezTo>
                                    <a:cubicBezTo>
                                      <a:pt x="208" y="78"/>
                                      <a:pt x="209" y="77"/>
                                      <a:pt x="209" y="79"/>
                                    </a:cubicBezTo>
                                    <a:cubicBezTo>
                                      <a:pt x="206" y="79"/>
                                      <a:pt x="207" y="78"/>
                                      <a:pt x="205" y="79"/>
                                    </a:cubicBezTo>
                                    <a:cubicBezTo>
                                      <a:pt x="206" y="81"/>
                                      <a:pt x="202" y="76"/>
                                      <a:pt x="202" y="76"/>
                                    </a:cubicBezTo>
                                    <a:cubicBezTo>
                                      <a:pt x="202" y="76"/>
                                      <a:pt x="204" y="69"/>
                                      <a:pt x="202" y="70"/>
                                    </a:cubicBezTo>
                                    <a:cubicBezTo>
                                      <a:pt x="201" y="71"/>
                                      <a:pt x="201" y="71"/>
                                      <a:pt x="201" y="71"/>
                                    </a:cubicBezTo>
                                    <a:cubicBezTo>
                                      <a:pt x="198" y="73"/>
                                      <a:pt x="196" y="82"/>
                                      <a:pt x="194" y="87"/>
                                    </a:cubicBezTo>
                                    <a:cubicBezTo>
                                      <a:pt x="195" y="87"/>
                                      <a:pt x="196" y="87"/>
                                      <a:pt x="197" y="87"/>
                                    </a:cubicBezTo>
                                    <a:cubicBezTo>
                                      <a:pt x="197" y="87"/>
                                      <a:pt x="198" y="89"/>
                                      <a:pt x="198" y="90"/>
                                    </a:cubicBezTo>
                                    <a:cubicBezTo>
                                      <a:pt x="197" y="90"/>
                                      <a:pt x="195" y="89"/>
                                      <a:pt x="194" y="90"/>
                                    </a:cubicBezTo>
                                    <a:cubicBezTo>
                                      <a:pt x="189" y="91"/>
                                      <a:pt x="191" y="98"/>
                                      <a:pt x="189" y="102"/>
                                    </a:cubicBezTo>
                                    <a:cubicBezTo>
                                      <a:pt x="189" y="103"/>
                                      <a:pt x="186" y="104"/>
                                      <a:pt x="185" y="105"/>
                                    </a:cubicBezTo>
                                    <a:cubicBezTo>
                                      <a:pt x="185" y="107"/>
                                      <a:pt x="185" y="107"/>
                                      <a:pt x="185" y="107"/>
                                    </a:cubicBezTo>
                                    <a:cubicBezTo>
                                      <a:pt x="188" y="107"/>
                                      <a:pt x="187" y="106"/>
                                      <a:pt x="188" y="106"/>
                                    </a:cubicBezTo>
                                    <a:cubicBezTo>
                                      <a:pt x="190" y="106"/>
                                      <a:pt x="193" y="110"/>
                                      <a:pt x="194" y="111"/>
                                    </a:cubicBezTo>
                                    <a:cubicBezTo>
                                      <a:pt x="195" y="111"/>
                                      <a:pt x="198" y="109"/>
                                      <a:pt x="198" y="109"/>
                                    </a:cubicBezTo>
                                    <a:cubicBezTo>
                                      <a:pt x="201" y="108"/>
                                      <a:pt x="200" y="110"/>
                                      <a:pt x="203" y="110"/>
                                    </a:cubicBezTo>
                                    <a:cubicBezTo>
                                      <a:pt x="202" y="110"/>
                                      <a:pt x="200" y="112"/>
                                      <a:pt x="199" y="113"/>
                                    </a:cubicBezTo>
                                    <a:cubicBezTo>
                                      <a:pt x="194" y="116"/>
                                      <a:pt x="201" y="115"/>
                                      <a:pt x="201" y="115"/>
                                    </a:cubicBezTo>
                                    <a:cubicBezTo>
                                      <a:pt x="201" y="113"/>
                                      <a:pt x="199" y="126"/>
                                      <a:pt x="199" y="128"/>
                                    </a:cubicBezTo>
                                    <a:cubicBezTo>
                                      <a:pt x="198" y="125"/>
                                      <a:pt x="198" y="123"/>
                                      <a:pt x="197" y="121"/>
                                    </a:cubicBezTo>
                                    <a:cubicBezTo>
                                      <a:pt x="196" y="122"/>
                                      <a:pt x="195" y="121"/>
                                      <a:pt x="194" y="121"/>
                                    </a:cubicBezTo>
                                    <a:cubicBezTo>
                                      <a:pt x="186" y="132"/>
                                      <a:pt x="186" y="132"/>
                                      <a:pt x="186" y="132"/>
                                    </a:cubicBezTo>
                                    <a:cubicBezTo>
                                      <a:pt x="186" y="133"/>
                                      <a:pt x="186" y="137"/>
                                      <a:pt x="186" y="138"/>
                                    </a:cubicBezTo>
                                    <a:cubicBezTo>
                                      <a:pt x="190" y="138"/>
                                      <a:pt x="190" y="138"/>
                                      <a:pt x="190" y="138"/>
                                    </a:cubicBezTo>
                                    <a:cubicBezTo>
                                      <a:pt x="191" y="139"/>
                                      <a:pt x="191" y="142"/>
                                      <a:pt x="191" y="142"/>
                                    </a:cubicBezTo>
                                    <a:cubicBezTo>
                                      <a:pt x="193" y="142"/>
                                      <a:pt x="193" y="142"/>
                                      <a:pt x="193" y="142"/>
                                    </a:cubicBezTo>
                                    <a:cubicBezTo>
                                      <a:pt x="193" y="143"/>
                                      <a:pt x="193" y="146"/>
                                      <a:pt x="193" y="146"/>
                                    </a:cubicBezTo>
                                    <a:cubicBezTo>
                                      <a:pt x="191" y="147"/>
                                      <a:pt x="193" y="150"/>
                                      <a:pt x="191" y="152"/>
                                    </a:cubicBezTo>
                                    <a:cubicBezTo>
                                      <a:pt x="187" y="152"/>
                                      <a:pt x="187" y="152"/>
                                      <a:pt x="187" y="152"/>
                                    </a:cubicBezTo>
                                    <a:cubicBezTo>
                                      <a:pt x="186" y="156"/>
                                      <a:pt x="187" y="159"/>
                                      <a:pt x="185" y="163"/>
                                    </a:cubicBezTo>
                                    <a:cubicBezTo>
                                      <a:pt x="185" y="164"/>
                                      <a:pt x="183" y="166"/>
                                      <a:pt x="183" y="166"/>
                                    </a:cubicBezTo>
                                    <a:cubicBezTo>
                                      <a:pt x="182" y="169"/>
                                      <a:pt x="180" y="179"/>
                                      <a:pt x="181" y="183"/>
                                    </a:cubicBezTo>
                                    <a:cubicBezTo>
                                      <a:pt x="181" y="184"/>
                                      <a:pt x="184" y="187"/>
                                      <a:pt x="185" y="188"/>
                                    </a:cubicBezTo>
                                    <a:cubicBezTo>
                                      <a:pt x="185" y="190"/>
                                      <a:pt x="186" y="195"/>
                                      <a:pt x="186" y="195"/>
                                    </a:cubicBezTo>
                                    <a:cubicBezTo>
                                      <a:pt x="186" y="195"/>
                                      <a:pt x="184" y="204"/>
                                      <a:pt x="184" y="205"/>
                                    </a:cubicBezTo>
                                    <a:cubicBezTo>
                                      <a:pt x="182" y="209"/>
                                      <a:pt x="179" y="212"/>
                                      <a:pt x="180" y="217"/>
                                    </a:cubicBezTo>
                                    <a:cubicBezTo>
                                      <a:pt x="180" y="218"/>
                                      <a:pt x="182" y="221"/>
                                      <a:pt x="183" y="222"/>
                                    </a:cubicBezTo>
                                    <a:cubicBezTo>
                                      <a:pt x="183" y="225"/>
                                      <a:pt x="182" y="230"/>
                                      <a:pt x="183" y="233"/>
                                    </a:cubicBezTo>
                                    <a:cubicBezTo>
                                      <a:pt x="186" y="235"/>
                                      <a:pt x="186" y="235"/>
                                      <a:pt x="186" y="235"/>
                                    </a:cubicBezTo>
                                    <a:cubicBezTo>
                                      <a:pt x="187" y="237"/>
                                      <a:pt x="186" y="240"/>
                                      <a:pt x="185" y="240"/>
                                    </a:cubicBezTo>
                                    <a:cubicBezTo>
                                      <a:pt x="185" y="248"/>
                                      <a:pt x="189" y="250"/>
                                      <a:pt x="192" y="252"/>
                                    </a:cubicBezTo>
                                    <a:cubicBezTo>
                                      <a:pt x="190" y="252"/>
                                      <a:pt x="188" y="252"/>
                                      <a:pt x="186" y="252"/>
                                    </a:cubicBezTo>
                                    <a:cubicBezTo>
                                      <a:pt x="185" y="255"/>
                                      <a:pt x="183" y="259"/>
                                      <a:pt x="181" y="262"/>
                                    </a:cubicBezTo>
                                    <a:cubicBezTo>
                                      <a:pt x="181" y="263"/>
                                      <a:pt x="179" y="263"/>
                                      <a:pt x="179" y="263"/>
                                    </a:cubicBezTo>
                                    <a:cubicBezTo>
                                      <a:pt x="178" y="265"/>
                                      <a:pt x="176" y="279"/>
                                      <a:pt x="176" y="280"/>
                                    </a:cubicBezTo>
                                    <a:cubicBezTo>
                                      <a:pt x="175" y="280"/>
                                      <a:pt x="177" y="282"/>
                                      <a:pt x="177" y="283"/>
                                    </a:cubicBezTo>
                                    <a:cubicBezTo>
                                      <a:pt x="175" y="283"/>
                                      <a:pt x="175" y="283"/>
                                      <a:pt x="175" y="283"/>
                                    </a:cubicBezTo>
                                    <a:cubicBezTo>
                                      <a:pt x="175" y="284"/>
                                      <a:pt x="175" y="286"/>
                                      <a:pt x="175" y="286"/>
                                    </a:cubicBezTo>
                                    <a:cubicBezTo>
                                      <a:pt x="177" y="288"/>
                                      <a:pt x="178" y="289"/>
                                      <a:pt x="177" y="294"/>
                                    </a:cubicBezTo>
                                    <a:cubicBezTo>
                                      <a:pt x="176" y="296"/>
                                      <a:pt x="172" y="298"/>
                                      <a:pt x="171" y="300"/>
                                    </a:cubicBezTo>
                                    <a:cubicBezTo>
                                      <a:pt x="170" y="302"/>
                                      <a:pt x="171" y="303"/>
                                      <a:pt x="170" y="306"/>
                                    </a:cubicBezTo>
                                    <a:cubicBezTo>
                                      <a:pt x="167" y="308"/>
                                      <a:pt x="167" y="308"/>
                                      <a:pt x="167" y="308"/>
                                    </a:cubicBezTo>
                                    <a:cubicBezTo>
                                      <a:pt x="168" y="311"/>
                                      <a:pt x="168" y="311"/>
                                      <a:pt x="168" y="311"/>
                                    </a:cubicBezTo>
                                    <a:cubicBezTo>
                                      <a:pt x="168" y="313"/>
                                      <a:pt x="169" y="319"/>
                                      <a:pt x="168" y="321"/>
                                    </a:cubicBezTo>
                                    <a:cubicBezTo>
                                      <a:pt x="165" y="322"/>
                                      <a:pt x="165" y="322"/>
                                      <a:pt x="165" y="322"/>
                                    </a:cubicBezTo>
                                    <a:cubicBezTo>
                                      <a:pt x="164" y="323"/>
                                      <a:pt x="165" y="325"/>
                                      <a:pt x="164" y="327"/>
                                    </a:cubicBezTo>
                                    <a:cubicBezTo>
                                      <a:pt x="163" y="327"/>
                                      <a:pt x="163" y="327"/>
                                      <a:pt x="163" y="327"/>
                                    </a:cubicBezTo>
                                    <a:cubicBezTo>
                                      <a:pt x="163" y="328"/>
                                      <a:pt x="164" y="330"/>
                                      <a:pt x="163" y="331"/>
                                    </a:cubicBezTo>
                                    <a:cubicBezTo>
                                      <a:pt x="163" y="333"/>
                                      <a:pt x="161" y="332"/>
                                      <a:pt x="160" y="333"/>
                                    </a:cubicBezTo>
                                    <a:cubicBezTo>
                                      <a:pt x="157" y="335"/>
                                      <a:pt x="153" y="342"/>
                                      <a:pt x="151" y="345"/>
                                    </a:cubicBezTo>
                                    <a:cubicBezTo>
                                      <a:pt x="153" y="346"/>
                                      <a:pt x="149" y="368"/>
                                      <a:pt x="149" y="369"/>
                                    </a:cubicBezTo>
                                    <a:cubicBezTo>
                                      <a:pt x="150" y="370"/>
                                      <a:pt x="150" y="370"/>
                                      <a:pt x="151" y="371"/>
                                    </a:cubicBezTo>
                                    <a:cubicBezTo>
                                      <a:pt x="151" y="371"/>
                                      <a:pt x="151" y="374"/>
                                      <a:pt x="151" y="375"/>
                                    </a:cubicBezTo>
                                    <a:cubicBezTo>
                                      <a:pt x="151" y="375"/>
                                      <a:pt x="147" y="374"/>
                                      <a:pt x="149" y="373"/>
                                    </a:cubicBezTo>
                                    <a:cubicBezTo>
                                      <a:pt x="149" y="373"/>
                                      <a:pt x="146" y="372"/>
                                      <a:pt x="147" y="373"/>
                                    </a:cubicBezTo>
                                    <a:cubicBezTo>
                                      <a:pt x="146" y="374"/>
                                      <a:pt x="144" y="373"/>
                                      <a:pt x="143" y="374"/>
                                    </a:cubicBezTo>
                                    <a:cubicBezTo>
                                      <a:pt x="143" y="374"/>
                                      <a:pt x="143" y="376"/>
                                      <a:pt x="143" y="377"/>
                                    </a:cubicBezTo>
                                    <a:cubicBezTo>
                                      <a:pt x="141" y="377"/>
                                      <a:pt x="141" y="377"/>
                                      <a:pt x="140" y="378"/>
                                    </a:cubicBezTo>
                                    <a:cubicBezTo>
                                      <a:pt x="140" y="378"/>
                                      <a:pt x="139" y="378"/>
                                      <a:pt x="138" y="379"/>
                                    </a:cubicBezTo>
                                    <a:cubicBezTo>
                                      <a:pt x="139" y="379"/>
                                      <a:pt x="140" y="381"/>
                                      <a:pt x="140" y="382"/>
                                    </a:cubicBezTo>
                                    <a:cubicBezTo>
                                      <a:pt x="138" y="382"/>
                                      <a:pt x="138" y="380"/>
                                      <a:pt x="134" y="380"/>
                                    </a:cubicBezTo>
                                    <a:cubicBezTo>
                                      <a:pt x="132" y="381"/>
                                      <a:pt x="130" y="385"/>
                                      <a:pt x="128" y="385"/>
                                    </a:cubicBezTo>
                                    <a:cubicBezTo>
                                      <a:pt x="127" y="385"/>
                                      <a:pt x="123" y="384"/>
                                      <a:pt x="121" y="384"/>
                                    </a:cubicBezTo>
                                    <a:cubicBezTo>
                                      <a:pt x="117" y="385"/>
                                      <a:pt x="108" y="387"/>
                                      <a:pt x="104" y="386"/>
                                    </a:cubicBezTo>
                                    <a:cubicBezTo>
                                      <a:pt x="103" y="386"/>
                                      <a:pt x="100" y="381"/>
                                      <a:pt x="101" y="382"/>
                                    </a:cubicBezTo>
                                    <a:cubicBezTo>
                                      <a:pt x="101" y="380"/>
                                      <a:pt x="101" y="380"/>
                                      <a:pt x="101" y="380"/>
                                    </a:cubicBezTo>
                                    <a:cubicBezTo>
                                      <a:pt x="99" y="379"/>
                                      <a:pt x="97" y="380"/>
                                      <a:pt x="93" y="380"/>
                                    </a:cubicBezTo>
                                    <a:cubicBezTo>
                                      <a:pt x="91" y="386"/>
                                      <a:pt x="91" y="386"/>
                                      <a:pt x="91" y="386"/>
                                    </a:cubicBezTo>
                                    <a:cubicBezTo>
                                      <a:pt x="89" y="386"/>
                                      <a:pt x="89" y="386"/>
                                      <a:pt x="89" y="386"/>
                                    </a:cubicBezTo>
                                    <a:cubicBezTo>
                                      <a:pt x="91" y="385"/>
                                      <a:pt x="88" y="385"/>
                                      <a:pt x="88" y="385"/>
                                    </a:cubicBezTo>
                                    <a:cubicBezTo>
                                      <a:pt x="88" y="386"/>
                                      <a:pt x="86" y="389"/>
                                      <a:pt x="86" y="389"/>
                                    </a:cubicBezTo>
                                    <a:cubicBezTo>
                                      <a:pt x="84" y="389"/>
                                      <a:pt x="84" y="389"/>
                                      <a:pt x="84" y="389"/>
                                    </a:cubicBezTo>
                                    <a:cubicBezTo>
                                      <a:pt x="84" y="385"/>
                                      <a:pt x="85" y="384"/>
                                      <a:pt x="86" y="380"/>
                                    </a:cubicBezTo>
                                    <a:cubicBezTo>
                                      <a:pt x="83" y="379"/>
                                      <a:pt x="80" y="379"/>
                                      <a:pt x="78" y="377"/>
                                    </a:cubicBezTo>
                                    <a:cubicBezTo>
                                      <a:pt x="77" y="375"/>
                                      <a:pt x="78" y="373"/>
                                      <a:pt x="74" y="371"/>
                                    </a:cubicBezTo>
                                    <a:cubicBezTo>
                                      <a:pt x="74" y="370"/>
                                      <a:pt x="74" y="370"/>
                                      <a:pt x="74" y="370"/>
                                    </a:cubicBezTo>
                                    <a:cubicBezTo>
                                      <a:pt x="72" y="369"/>
                                      <a:pt x="71" y="371"/>
                                      <a:pt x="69" y="371"/>
                                    </a:cubicBezTo>
                                    <a:cubicBezTo>
                                      <a:pt x="64" y="370"/>
                                      <a:pt x="63" y="366"/>
                                      <a:pt x="61" y="362"/>
                                    </a:cubicBezTo>
                                    <a:cubicBezTo>
                                      <a:pt x="60" y="362"/>
                                      <a:pt x="58" y="361"/>
                                      <a:pt x="58" y="359"/>
                                    </a:cubicBezTo>
                                    <a:cubicBezTo>
                                      <a:pt x="57" y="357"/>
                                      <a:pt x="59" y="352"/>
                                      <a:pt x="59" y="352"/>
                                    </a:cubicBezTo>
                                    <a:cubicBezTo>
                                      <a:pt x="58" y="349"/>
                                      <a:pt x="53" y="349"/>
                                      <a:pt x="52" y="347"/>
                                    </a:cubicBezTo>
                                    <a:cubicBezTo>
                                      <a:pt x="52" y="345"/>
                                      <a:pt x="52" y="345"/>
                                      <a:pt x="52" y="345"/>
                                    </a:cubicBezTo>
                                    <a:cubicBezTo>
                                      <a:pt x="48" y="343"/>
                                      <a:pt x="48" y="346"/>
                                      <a:pt x="44" y="345"/>
                                    </a:cubicBezTo>
                                    <a:cubicBezTo>
                                      <a:pt x="41" y="344"/>
                                      <a:pt x="37" y="340"/>
                                      <a:pt x="33" y="339"/>
                                    </a:cubicBezTo>
                                    <a:cubicBezTo>
                                      <a:pt x="27" y="338"/>
                                      <a:pt x="26" y="341"/>
                                      <a:pt x="21" y="339"/>
                                    </a:cubicBezTo>
                                    <a:cubicBezTo>
                                      <a:pt x="18" y="338"/>
                                      <a:pt x="16" y="334"/>
                                      <a:pt x="15" y="331"/>
                                    </a:cubicBezTo>
                                    <a:cubicBezTo>
                                      <a:pt x="12" y="332"/>
                                      <a:pt x="11" y="333"/>
                                      <a:pt x="10" y="333"/>
                                    </a:cubicBezTo>
                                    <a:cubicBezTo>
                                      <a:pt x="4" y="329"/>
                                      <a:pt x="4" y="329"/>
                                      <a:pt x="4" y="329"/>
                                    </a:cubicBezTo>
                                    <a:cubicBezTo>
                                      <a:pt x="4" y="330"/>
                                      <a:pt x="4" y="330"/>
                                      <a:pt x="4" y="330"/>
                                    </a:cubicBezTo>
                                    <a:cubicBezTo>
                                      <a:pt x="0" y="558"/>
                                      <a:pt x="9" y="829"/>
                                      <a:pt x="9" y="829"/>
                                    </a:cubicBezTo>
                                    <a:cubicBezTo>
                                      <a:pt x="9" y="830"/>
                                      <a:pt x="9" y="830"/>
                                      <a:pt x="9" y="830"/>
                                    </a:cubicBezTo>
                                    <a:cubicBezTo>
                                      <a:pt x="10" y="830"/>
                                      <a:pt x="10" y="830"/>
                                      <a:pt x="10" y="830"/>
                                    </a:cubicBezTo>
                                    <a:cubicBezTo>
                                      <a:pt x="59" y="829"/>
                                      <a:pt x="95" y="828"/>
                                      <a:pt x="152" y="827"/>
                                    </a:cubicBezTo>
                                    <a:cubicBezTo>
                                      <a:pt x="153" y="827"/>
                                      <a:pt x="153" y="827"/>
                                      <a:pt x="153" y="827"/>
                                    </a:cubicBezTo>
                                    <a:cubicBezTo>
                                      <a:pt x="154" y="993"/>
                                      <a:pt x="154" y="993"/>
                                      <a:pt x="154" y="993"/>
                                    </a:cubicBezTo>
                                    <a:cubicBezTo>
                                      <a:pt x="530" y="996"/>
                                      <a:pt x="530" y="996"/>
                                      <a:pt x="530" y="996"/>
                                    </a:cubicBezTo>
                                    <a:cubicBezTo>
                                      <a:pt x="536" y="987"/>
                                      <a:pt x="536" y="987"/>
                                      <a:pt x="536" y="987"/>
                                    </a:cubicBezTo>
                                    <a:cubicBezTo>
                                      <a:pt x="536" y="987"/>
                                      <a:pt x="549" y="982"/>
                                      <a:pt x="556" y="977"/>
                                    </a:cubicBezTo>
                                    <a:cubicBezTo>
                                      <a:pt x="567" y="970"/>
                                      <a:pt x="566" y="978"/>
                                      <a:pt x="573" y="978"/>
                                    </a:cubicBezTo>
                                    <a:cubicBezTo>
                                      <a:pt x="581" y="978"/>
                                      <a:pt x="587" y="971"/>
                                      <a:pt x="593" y="976"/>
                                    </a:cubicBezTo>
                                    <a:cubicBezTo>
                                      <a:pt x="594" y="978"/>
                                      <a:pt x="595" y="978"/>
                                      <a:pt x="596" y="980"/>
                                    </a:cubicBezTo>
                                    <a:cubicBezTo>
                                      <a:pt x="599" y="986"/>
                                      <a:pt x="609" y="981"/>
                                      <a:pt x="616" y="984"/>
                                    </a:cubicBezTo>
                                    <a:cubicBezTo>
                                      <a:pt x="621" y="986"/>
                                      <a:pt x="623" y="989"/>
                                      <a:pt x="627" y="991"/>
                                    </a:cubicBezTo>
                                    <a:cubicBezTo>
                                      <a:pt x="631" y="994"/>
                                      <a:pt x="633" y="995"/>
                                      <a:pt x="639" y="997"/>
                                    </a:cubicBezTo>
                                    <a:cubicBezTo>
                                      <a:pt x="647" y="999"/>
                                      <a:pt x="641" y="1009"/>
                                      <a:pt x="644" y="1011"/>
                                    </a:cubicBezTo>
                                    <a:cubicBezTo>
                                      <a:pt x="649" y="1013"/>
                                      <a:pt x="654" y="1011"/>
                                      <a:pt x="659" y="1003"/>
                                    </a:cubicBezTo>
                                    <a:cubicBezTo>
                                      <a:pt x="664" y="997"/>
                                      <a:pt x="663" y="994"/>
                                      <a:pt x="669" y="991"/>
                                    </a:cubicBezTo>
                                    <a:cubicBezTo>
                                      <a:pt x="671" y="990"/>
                                      <a:pt x="673" y="993"/>
                                      <a:pt x="675" y="993"/>
                                    </a:cubicBezTo>
                                    <a:cubicBezTo>
                                      <a:pt x="679" y="994"/>
                                      <a:pt x="681" y="992"/>
                                      <a:pt x="685" y="991"/>
                                    </a:cubicBezTo>
                                    <a:cubicBezTo>
                                      <a:pt x="691" y="990"/>
                                      <a:pt x="699" y="997"/>
                                      <a:pt x="701" y="988"/>
                                    </a:cubicBezTo>
                                    <a:cubicBezTo>
                                      <a:pt x="702" y="985"/>
                                      <a:pt x="700" y="982"/>
                                      <a:pt x="704" y="980"/>
                                    </a:cubicBezTo>
                                    <a:cubicBezTo>
                                      <a:pt x="709" y="979"/>
                                      <a:pt x="716" y="979"/>
                                      <a:pt x="721" y="975"/>
                                    </a:cubicBezTo>
                                    <a:cubicBezTo>
                                      <a:pt x="727" y="970"/>
                                      <a:pt x="727" y="977"/>
                                      <a:pt x="732" y="977"/>
                                    </a:cubicBezTo>
                                    <a:cubicBezTo>
                                      <a:pt x="742" y="976"/>
                                      <a:pt x="749" y="979"/>
                                      <a:pt x="752" y="976"/>
                                    </a:cubicBezTo>
                                    <a:cubicBezTo>
                                      <a:pt x="755" y="973"/>
                                      <a:pt x="761" y="972"/>
                                      <a:pt x="761" y="972"/>
                                    </a:cubicBezTo>
                                    <a:cubicBezTo>
                                      <a:pt x="775" y="964"/>
                                      <a:pt x="775" y="964"/>
                                      <a:pt x="775" y="964"/>
                                    </a:cubicBezTo>
                                    <a:cubicBezTo>
                                      <a:pt x="775" y="964"/>
                                      <a:pt x="775" y="964"/>
                                      <a:pt x="775" y="964"/>
                                    </a:cubicBezTo>
                                    <a:close/>
                                  </a:path>
                                </a:pathLst>
                              </a:custGeom>
                              <a:solidFill>
                                <a:srgbClr val="B4B5DB">
                                  <a:lumMod val="60000"/>
                                  <a:lumOff val="40000"/>
                                </a:srgbClr>
                              </a:solidFill>
                              <a:ln w="9525">
                                <a:solidFill>
                                  <a:srgbClr val="FFFFFF"/>
                                </a:solidFill>
                                <a:round/>
                                <a:headEnd/>
                                <a:tailEnd/>
                              </a:ln>
                            </wps:spPr>
                            <wps:bodyPr vert="horz" wrap="square" lIns="91440" tIns="45720" rIns="91440" bIns="45720" numCol="1" anchor="t" anchorCtr="0" compatLnSpc="1">
                              <a:prstTxWarp prst="textNoShape">
                                <a:avLst/>
                              </a:prstTxWarp>
                            </wps:bodyPr>
                          </wps:wsp>
                          <wps:wsp>
                            <wps:cNvPr id="96797631" name="Freeform 47">
                              <a:extLst>
                                <a:ext uri="{FF2B5EF4-FFF2-40B4-BE49-F238E27FC236}">
                                  <a16:creationId xmlns:a16="http://schemas.microsoft.com/office/drawing/2014/main" id="{F7B4603D-F640-C97F-E464-60C83FE7170D}"/>
                                </a:ext>
                              </a:extLst>
                            </wps:cNvPr>
                            <wps:cNvSpPr>
                              <a:spLocks noEditPoints="1"/>
                            </wps:cNvSpPr>
                            <wps:spPr bwMode="auto">
                              <a:xfrm>
                                <a:off x="1105893" y="1953"/>
                                <a:ext cx="1420" cy="1566"/>
                              </a:xfrm>
                              <a:custGeom>
                                <a:avLst/>
                                <a:gdLst/>
                                <a:ahLst/>
                                <a:cxnLst>
                                  <a:cxn ang="0">
                                    <a:pos x="598" y="0"/>
                                  </a:cxn>
                                  <a:cxn ang="0">
                                    <a:pos x="29" y="302"/>
                                  </a:cxn>
                                  <a:cxn ang="0">
                                    <a:pos x="89" y="295"/>
                                  </a:cxn>
                                  <a:cxn ang="0">
                                    <a:pos x="140" y="289"/>
                                  </a:cxn>
                                  <a:cxn ang="0">
                                    <a:pos x="159" y="296"/>
                                  </a:cxn>
                                  <a:cxn ang="0">
                                    <a:pos x="193" y="318"/>
                                  </a:cxn>
                                  <a:cxn ang="0">
                                    <a:pos x="232" y="320"/>
                                  </a:cxn>
                                  <a:cxn ang="0">
                                    <a:pos x="249" y="322"/>
                                  </a:cxn>
                                  <a:cxn ang="0">
                                    <a:pos x="277" y="337"/>
                                  </a:cxn>
                                  <a:cxn ang="0">
                                    <a:pos x="270" y="359"/>
                                  </a:cxn>
                                  <a:cxn ang="0">
                                    <a:pos x="287" y="365"/>
                                  </a:cxn>
                                  <a:cxn ang="0">
                                    <a:pos x="298" y="375"/>
                                  </a:cxn>
                                  <a:cxn ang="0">
                                    <a:pos x="313" y="390"/>
                                  </a:cxn>
                                  <a:cxn ang="0">
                                    <a:pos x="332" y="443"/>
                                  </a:cxn>
                                  <a:cxn ang="0">
                                    <a:pos x="330" y="470"/>
                                  </a:cxn>
                                  <a:cxn ang="0">
                                    <a:pos x="326" y="471"/>
                                  </a:cxn>
                                  <a:cxn ang="0">
                                    <a:pos x="364" y="495"/>
                                  </a:cxn>
                                  <a:cxn ang="0">
                                    <a:pos x="359" y="488"/>
                                  </a:cxn>
                                  <a:cxn ang="0">
                                    <a:pos x="361" y="475"/>
                                  </a:cxn>
                                  <a:cxn ang="0">
                                    <a:pos x="364" y="461"/>
                                  </a:cxn>
                                  <a:cxn ang="0">
                                    <a:pos x="407" y="425"/>
                                  </a:cxn>
                                  <a:cxn ang="0">
                                    <a:pos x="428" y="399"/>
                                  </a:cxn>
                                  <a:cxn ang="0">
                                    <a:pos x="441" y="379"/>
                                  </a:cxn>
                                  <a:cxn ang="0">
                                    <a:pos x="438" y="355"/>
                                  </a:cxn>
                                  <a:cxn ang="0">
                                    <a:pos x="451" y="376"/>
                                  </a:cxn>
                                  <a:cxn ang="0">
                                    <a:pos x="447" y="391"/>
                                  </a:cxn>
                                  <a:cxn ang="0">
                                    <a:pos x="454" y="411"/>
                                  </a:cxn>
                                  <a:cxn ang="0">
                                    <a:pos x="443" y="423"/>
                                  </a:cxn>
                                  <a:cxn ang="0">
                                    <a:pos x="439" y="437"/>
                                  </a:cxn>
                                  <a:cxn ang="0">
                                    <a:pos x="436" y="459"/>
                                  </a:cxn>
                                  <a:cxn ang="0">
                                    <a:pos x="410" y="495"/>
                                  </a:cxn>
                                  <a:cxn ang="0">
                                    <a:pos x="413" y="504"/>
                                  </a:cxn>
                                  <a:cxn ang="0">
                                    <a:pos x="439" y="496"/>
                                  </a:cxn>
                                  <a:cxn ang="0">
                                    <a:pos x="451" y="483"/>
                                  </a:cxn>
                                  <a:cxn ang="0">
                                    <a:pos x="459" y="448"/>
                                  </a:cxn>
                                  <a:cxn ang="0">
                                    <a:pos x="480" y="454"/>
                                  </a:cxn>
                                  <a:cxn ang="0">
                                    <a:pos x="488" y="474"/>
                                  </a:cxn>
                                  <a:cxn ang="0">
                                    <a:pos x="487" y="486"/>
                                  </a:cxn>
                                  <a:cxn ang="0">
                                    <a:pos x="478" y="517"/>
                                  </a:cxn>
                                  <a:cxn ang="0">
                                    <a:pos x="495" y="524"/>
                                  </a:cxn>
                                  <a:cxn ang="0">
                                    <a:pos x="509" y="515"/>
                                  </a:cxn>
                                  <a:cxn ang="0">
                                    <a:pos x="522" y="503"/>
                                  </a:cxn>
                                  <a:cxn ang="0">
                                    <a:pos x="526" y="516"/>
                                  </a:cxn>
                                  <a:cxn ang="0">
                                    <a:pos x="528" y="527"/>
                                  </a:cxn>
                                  <a:cxn ang="0">
                                    <a:pos x="539" y="546"/>
                                  </a:cxn>
                                  <a:cxn ang="0">
                                    <a:pos x="546" y="603"/>
                                  </a:cxn>
                                  <a:cxn ang="0">
                                    <a:pos x="557" y="634"/>
                                  </a:cxn>
                                  <a:cxn ang="0">
                                    <a:pos x="580" y="660"/>
                                  </a:cxn>
                                  <a:cxn ang="0">
                                    <a:pos x="426" y="525"/>
                                  </a:cxn>
                                  <a:cxn ang="0">
                                    <a:pos x="392" y="544"/>
                                  </a:cxn>
                                  <a:cxn ang="0">
                                    <a:pos x="411" y="552"/>
                                  </a:cxn>
                                  <a:cxn ang="0">
                                    <a:pos x="428" y="547"/>
                                  </a:cxn>
                                  <a:cxn ang="0">
                                    <a:pos x="444" y="546"/>
                                  </a:cxn>
                                  <a:cxn ang="0">
                                    <a:pos x="464" y="532"/>
                                  </a:cxn>
                                  <a:cxn ang="0">
                                    <a:pos x="449" y="533"/>
                                  </a:cxn>
                                  <a:cxn ang="0">
                                    <a:pos x="516" y="523"/>
                                  </a:cxn>
                                </a:cxnLst>
                                <a:rect l="0" t="0" r="r" b="b"/>
                                <a:pathLst>
                                  <a:path w="601" h="663">
                                    <a:moveTo>
                                      <a:pt x="598" y="663"/>
                                    </a:moveTo>
                                    <a:cubicBezTo>
                                      <a:pt x="601" y="419"/>
                                      <a:pt x="601" y="419"/>
                                      <a:pt x="601" y="419"/>
                                    </a:cubicBezTo>
                                    <a:cubicBezTo>
                                      <a:pt x="600" y="166"/>
                                      <a:pt x="600" y="166"/>
                                      <a:pt x="600" y="166"/>
                                    </a:cubicBezTo>
                                    <a:cubicBezTo>
                                      <a:pt x="599" y="0"/>
                                      <a:pt x="599" y="0"/>
                                      <a:pt x="599" y="0"/>
                                    </a:cubicBezTo>
                                    <a:cubicBezTo>
                                      <a:pt x="598" y="0"/>
                                      <a:pt x="598" y="0"/>
                                      <a:pt x="598" y="0"/>
                                    </a:cubicBezTo>
                                    <a:cubicBezTo>
                                      <a:pt x="540" y="1"/>
                                      <a:pt x="504" y="2"/>
                                      <a:pt x="456" y="3"/>
                                    </a:cubicBezTo>
                                    <a:cubicBezTo>
                                      <a:pt x="455" y="3"/>
                                      <a:pt x="455" y="3"/>
                                      <a:pt x="455" y="3"/>
                                    </a:cubicBezTo>
                                    <a:cubicBezTo>
                                      <a:pt x="284" y="3"/>
                                      <a:pt x="180" y="7"/>
                                      <a:pt x="0" y="13"/>
                                    </a:cubicBezTo>
                                    <a:cubicBezTo>
                                      <a:pt x="22" y="303"/>
                                      <a:pt x="22" y="303"/>
                                      <a:pt x="22" y="303"/>
                                    </a:cubicBezTo>
                                    <a:cubicBezTo>
                                      <a:pt x="27" y="303"/>
                                      <a:pt x="29" y="302"/>
                                      <a:pt x="29" y="302"/>
                                    </a:cubicBezTo>
                                    <a:cubicBezTo>
                                      <a:pt x="32" y="300"/>
                                      <a:pt x="34" y="299"/>
                                      <a:pt x="38" y="298"/>
                                    </a:cubicBezTo>
                                    <a:cubicBezTo>
                                      <a:pt x="44" y="296"/>
                                      <a:pt x="51" y="298"/>
                                      <a:pt x="58" y="298"/>
                                    </a:cubicBezTo>
                                    <a:cubicBezTo>
                                      <a:pt x="62" y="296"/>
                                      <a:pt x="62" y="296"/>
                                      <a:pt x="62" y="296"/>
                                    </a:cubicBezTo>
                                    <a:cubicBezTo>
                                      <a:pt x="66" y="295"/>
                                      <a:pt x="72" y="297"/>
                                      <a:pt x="74" y="297"/>
                                    </a:cubicBezTo>
                                    <a:cubicBezTo>
                                      <a:pt x="79" y="297"/>
                                      <a:pt x="85" y="295"/>
                                      <a:pt x="89" y="295"/>
                                    </a:cubicBezTo>
                                    <a:cubicBezTo>
                                      <a:pt x="96" y="294"/>
                                      <a:pt x="105" y="296"/>
                                      <a:pt x="111" y="296"/>
                                    </a:cubicBezTo>
                                    <a:cubicBezTo>
                                      <a:pt x="114" y="296"/>
                                      <a:pt x="123" y="294"/>
                                      <a:pt x="126" y="293"/>
                                    </a:cubicBezTo>
                                    <a:cubicBezTo>
                                      <a:pt x="128" y="292"/>
                                      <a:pt x="126" y="290"/>
                                      <a:pt x="127" y="289"/>
                                    </a:cubicBezTo>
                                    <a:cubicBezTo>
                                      <a:pt x="128" y="288"/>
                                      <a:pt x="129" y="289"/>
                                      <a:pt x="130" y="288"/>
                                    </a:cubicBezTo>
                                    <a:cubicBezTo>
                                      <a:pt x="136" y="286"/>
                                      <a:pt x="134" y="289"/>
                                      <a:pt x="140" y="289"/>
                                    </a:cubicBezTo>
                                    <a:cubicBezTo>
                                      <a:pt x="142" y="289"/>
                                      <a:pt x="139" y="287"/>
                                      <a:pt x="142" y="288"/>
                                    </a:cubicBezTo>
                                    <a:cubicBezTo>
                                      <a:pt x="143" y="288"/>
                                      <a:pt x="148" y="290"/>
                                      <a:pt x="149" y="291"/>
                                    </a:cubicBezTo>
                                    <a:cubicBezTo>
                                      <a:pt x="150" y="291"/>
                                      <a:pt x="150" y="293"/>
                                      <a:pt x="150" y="293"/>
                                    </a:cubicBezTo>
                                    <a:cubicBezTo>
                                      <a:pt x="151" y="293"/>
                                      <a:pt x="153" y="293"/>
                                      <a:pt x="154" y="293"/>
                                    </a:cubicBezTo>
                                    <a:cubicBezTo>
                                      <a:pt x="155" y="293"/>
                                      <a:pt x="158" y="295"/>
                                      <a:pt x="159" y="296"/>
                                    </a:cubicBezTo>
                                    <a:cubicBezTo>
                                      <a:pt x="165" y="297"/>
                                      <a:pt x="168" y="297"/>
                                      <a:pt x="172" y="300"/>
                                    </a:cubicBezTo>
                                    <a:cubicBezTo>
                                      <a:pt x="175" y="301"/>
                                      <a:pt x="178" y="305"/>
                                      <a:pt x="180" y="306"/>
                                    </a:cubicBezTo>
                                    <a:cubicBezTo>
                                      <a:pt x="182" y="308"/>
                                      <a:pt x="190" y="310"/>
                                      <a:pt x="191" y="311"/>
                                    </a:cubicBezTo>
                                    <a:cubicBezTo>
                                      <a:pt x="191" y="312"/>
                                      <a:pt x="190" y="315"/>
                                      <a:pt x="191" y="316"/>
                                    </a:cubicBezTo>
                                    <a:cubicBezTo>
                                      <a:pt x="191" y="316"/>
                                      <a:pt x="192" y="317"/>
                                      <a:pt x="193" y="318"/>
                                    </a:cubicBezTo>
                                    <a:cubicBezTo>
                                      <a:pt x="198" y="317"/>
                                      <a:pt x="202" y="318"/>
                                      <a:pt x="208" y="316"/>
                                    </a:cubicBezTo>
                                    <a:cubicBezTo>
                                      <a:pt x="208" y="314"/>
                                      <a:pt x="208" y="314"/>
                                      <a:pt x="208" y="314"/>
                                    </a:cubicBezTo>
                                    <a:cubicBezTo>
                                      <a:pt x="211" y="314"/>
                                      <a:pt x="216" y="312"/>
                                      <a:pt x="220" y="313"/>
                                    </a:cubicBezTo>
                                    <a:cubicBezTo>
                                      <a:pt x="223" y="314"/>
                                      <a:pt x="225" y="318"/>
                                      <a:pt x="227" y="320"/>
                                    </a:cubicBezTo>
                                    <a:cubicBezTo>
                                      <a:pt x="229" y="321"/>
                                      <a:pt x="231" y="319"/>
                                      <a:pt x="232" y="320"/>
                                    </a:cubicBezTo>
                                    <a:cubicBezTo>
                                      <a:pt x="233" y="320"/>
                                      <a:pt x="235" y="323"/>
                                      <a:pt x="236" y="324"/>
                                    </a:cubicBezTo>
                                    <a:cubicBezTo>
                                      <a:pt x="236" y="323"/>
                                      <a:pt x="238" y="322"/>
                                      <a:pt x="239" y="322"/>
                                    </a:cubicBezTo>
                                    <a:cubicBezTo>
                                      <a:pt x="241" y="325"/>
                                      <a:pt x="241" y="325"/>
                                      <a:pt x="241" y="325"/>
                                    </a:cubicBezTo>
                                    <a:cubicBezTo>
                                      <a:pt x="244" y="324"/>
                                      <a:pt x="246" y="321"/>
                                      <a:pt x="247" y="319"/>
                                    </a:cubicBezTo>
                                    <a:cubicBezTo>
                                      <a:pt x="249" y="322"/>
                                      <a:pt x="249" y="322"/>
                                      <a:pt x="249" y="322"/>
                                    </a:cubicBezTo>
                                    <a:cubicBezTo>
                                      <a:pt x="252" y="322"/>
                                      <a:pt x="252" y="320"/>
                                      <a:pt x="255" y="321"/>
                                    </a:cubicBezTo>
                                    <a:cubicBezTo>
                                      <a:pt x="256" y="321"/>
                                      <a:pt x="256" y="323"/>
                                      <a:pt x="257" y="324"/>
                                    </a:cubicBezTo>
                                    <a:cubicBezTo>
                                      <a:pt x="258" y="325"/>
                                      <a:pt x="260" y="324"/>
                                      <a:pt x="262" y="326"/>
                                    </a:cubicBezTo>
                                    <a:cubicBezTo>
                                      <a:pt x="264" y="328"/>
                                      <a:pt x="264" y="332"/>
                                      <a:pt x="267" y="335"/>
                                    </a:cubicBezTo>
                                    <a:cubicBezTo>
                                      <a:pt x="274" y="334"/>
                                      <a:pt x="272" y="335"/>
                                      <a:pt x="277" y="337"/>
                                    </a:cubicBezTo>
                                    <a:cubicBezTo>
                                      <a:pt x="277" y="342"/>
                                      <a:pt x="278" y="349"/>
                                      <a:pt x="275" y="353"/>
                                    </a:cubicBezTo>
                                    <a:cubicBezTo>
                                      <a:pt x="275" y="354"/>
                                      <a:pt x="272" y="355"/>
                                      <a:pt x="271" y="355"/>
                                    </a:cubicBezTo>
                                    <a:cubicBezTo>
                                      <a:pt x="271" y="354"/>
                                      <a:pt x="272" y="352"/>
                                      <a:pt x="270" y="351"/>
                                    </a:cubicBezTo>
                                    <a:cubicBezTo>
                                      <a:pt x="270" y="351"/>
                                      <a:pt x="268" y="352"/>
                                      <a:pt x="267" y="351"/>
                                    </a:cubicBezTo>
                                    <a:cubicBezTo>
                                      <a:pt x="270" y="359"/>
                                      <a:pt x="270" y="359"/>
                                      <a:pt x="270" y="359"/>
                                    </a:cubicBezTo>
                                    <a:cubicBezTo>
                                      <a:pt x="272" y="360"/>
                                      <a:pt x="274" y="359"/>
                                      <a:pt x="275" y="360"/>
                                    </a:cubicBezTo>
                                    <a:cubicBezTo>
                                      <a:pt x="275" y="367"/>
                                      <a:pt x="275" y="367"/>
                                      <a:pt x="275" y="367"/>
                                    </a:cubicBezTo>
                                    <a:cubicBezTo>
                                      <a:pt x="277" y="368"/>
                                      <a:pt x="282" y="368"/>
                                      <a:pt x="284" y="369"/>
                                    </a:cubicBezTo>
                                    <a:cubicBezTo>
                                      <a:pt x="284" y="367"/>
                                      <a:pt x="285" y="367"/>
                                      <a:pt x="285" y="366"/>
                                    </a:cubicBezTo>
                                    <a:cubicBezTo>
                                      <a:pt x="285" y="366"/>
                                      <a:pt x="286" y="366"/>
                                      <a:pt x="287" y="365"/>
                                    </a:cubicBezTo>
                                    <a:cubicBezTo>
                                      <a:pt x="287" y="367"/>
                                      <a:pt x="288" y="371"/>
                                      <a:pt x="290" y="372"/>
                                    </a:cubicBezTo>
                                    <a:cubicBezTo>
                                      <a:pt x="291" y="373"/>
                                      <a:pt x="292" y="372"/>
                                      <a:pt x="293" y="373"/>
                                    </a:cubicBezTo>
                                    <a:cubicBezTo>
                                      <a:pt x="294" y="373"/>
                                      <a:pt x="295" y="377"/>
                                      <a:pt x="295" y="377"/>
                                    </a:cubicBezTo>
                                    <a:cubicBezTo>
                                      <a:pt x="296" y="378"/>
                                      <a:pt x="298" y="377"/>
                                      <a:pt x="298" y="377"/>
                                    </a:cubicBezTo>
                                    <a:cubicBezTo>
                                      <a:pt x="298" y="375"/>
                                      <a:pt x="298" y="375"/>
                                      <a:pt x="298" y="375"/>
                                    </a:cubicBezTo>
                                    <a:cubicBezTo>
                                      <a:pt x="297" y="376"/>
                                      <a:pt x="297" y="373"/>
                                      <a:pt x="297" y="373"/>
                                    </a:cubicBezTo>
                                    <a:cubicBezTo>
                                      <a:pt x="298" y="373"/>
                                      <a:pt x="300" y="373"/>
                                      <a:pt x="300" y="373"/>
                                    </a:cubicBezTo>
                                    <a:cubicBezTo>
                                      <a:pt x="304" y="371"/>
                                      <a:pt x="301" y="372"/>
                                      <a:pt x="305" y="372"/>
                                    </a:cubicBezTo>
                                    <a:cubicBezTo>
                                      <a:pt x="304" y="381"/>
                                      <a:pt x="306" y="383"/>
                                      <a:pt x="309" y="390"/>
                                    </a:cubicBezTo>
                                    <a:cubicBezTo>
                                      <a:pt x="310" y="390"/>
                                      <a:pt x="312" y="389"/>
                                      <a:pt x="313" y="390"/>
                                    </a:cubicBezTo>
                                    <a:cubicBezTo>
                                      <a:pt x="312" y="393"/>
                                      <a:pt x="310" y="400"/>
                                      <a:pt x="312" y="403"/>
                                    </a:cubicBezTo>
                                    <a:cubicBezTo>
                                      <a:pt x="312" y="405"/>
                                      <a:pt x="315" y="405"/>
                                      <a:pt x="316" y="406"/>
                                    </a:cubicBezTo>
                                    <a:cubicBezTo>
                                      <a:pt x="320" y="409"/>
                                      <a:pt x="326" y="415"/>
                                      <a:pt x="327" y="420"/>
                                    </a:cubicBezTo>
                                    <a:cubicBezTo>
                                      <a:pt x="328" y="423"/>
                                      <a:pt x="325" y="428"/>
                                      <a:pt x="326" y="431"/>
                                    </a:cubicBezTo>
                                    <a:cubicBezTo>
                                      <a:pt x="327" y="434"/>
                                      <a:pt x="331" y="441"/>
                                      <a:pt x="332" y="443"/>
                                    </a:cubicBezTo>
                                    <a:cubicBezTo>
                                      <a:pt x="333" y="449"/>
                                      <a:pt x="333" y="456"/>
                                      <a:pt x="334" y="462"/>
                                    </a:cubicBezTo>
                                    <a:cubicBezTo>
                                      <a:pt x="335" y="462"/>
                                      <a:pt x="336" y="461"/>
                                      <a:pt x="338" y="461"/>
                                    </a:cubicBezTo>
                                    <a:cubicBezTo>
                                      <a:pt x="338" y="464"/>
                                      <a:pt x="340" y="468"/>
                                      <a:pt x="340" y="471"/>
                                    </a:cubicBezTo>
                                    <a:cubicBezTo>
                                      <a:pt x="337" y="471"/>
                                      <a:pt x="335" y="472"/>
                                      <a:pt x="331" y="472"/>
                                    </a:cubicBezTo>
                                    <a:cubicBezTo>
                                      <a:pt x="330" y="470"/>
                                      <a:pt x="330" y="470"/>
                                      <a:pt x="330" y="470"/>
                                    </a:cubicBezTo>
                                    <a:cubicBezTo>
                                      <a:pt x="329" y="469"/>
                                      <a:pt x="326" y="468"/>
                                      <a:pt x="325" y="467"/>
                                    </a:cubicBezTo>
                                    <a:cubicBezTo>
                                      <a:pt x="325" y="465"/>
                                      <a:pt x="325" y="465"/>
                                      <a:pt x="325" y="465"/>
                                    </a:cubicBezTo>
                                    <a:cubicBezTo>
                                      <a:pt x="322" y="467"/>
                                      <a:pt x="322" y="467"/>
                                      <a:pt x="322" y="467"/>
                                    </a:cubicBezTo>
                                    <a:cubicBezTo>
                                      <a:pt x="323" y="468"/>
                                      <a:pt x="323" y="469"/>
                                      <a:pt x="323" y="472"/>
                                    </a:cubicBezTo>
                                    <a:cubicBezTo>
                                      <a:pt x="325" y="472"/>
                                      <a:pt x="326" y="471"/>
                                      <a:pt x="326" y="471"/>
                                    </a:cubicBezTo>
                                    <a:cubicBezTo>
                                      <a:pt x="326" y="471"/>
                                      <a:pt x="327" y="472"/>
                                      <a:pt x="328" y="472"/>
                                    </a:cubicBezTo>
                                    <a:cubicBezTo>
                                      <a:pt x="334" y="476"/>
                                      <a:pt x="331" y="478"/>
                                      <a:pt x="334" y="481"/>
                                    </a:cubicBezTo>
                                    <a:cubicBezTo>
                                      <a:pt x="335" y="482"/>
                                      <a:pt x="337" y="482"/>
                                      <a:pt x="339" y="482"/>
                                    </a:cubicBezTo>
                                    <a:cubicBezTo>
                                      <a:pt x="343" y="484"/>
                                      <a:pt x="346" y="488"/>
                                      <a:pt x="349" y="493"/>
                                    </a:cubicBezTo>
                                    <a:cubicBezTo>
                                      <a:pt x="357" y="489"/>
                                      <a:pt x="355" y="489"/>
                                      <a:pt x="364" y="495"/>
                                    </a:cubicBezTo>
                                    <a:cubicBezTo>
                                      <a:pt x="364" y="493"/>
                                      <a:pt x="367" y="488"/>
                                      <a:pt x="364" y="488"/>
                                    </a:cubicBezTo>
                                    <a:cubicBezTo>
                                      <a:pt x="364" y="488"/>
                                      <a:pt x="363" y="489"/>
                                      <a:pt x="362" y="489"/>
                                    </a:cubicBezTo>
                                    <a:cubicBezTo>
                                      <a:pt x="362" y="487"/>
                                      <a:pt x="362" y="487"/>
                                      <a:pt x="362" y="487"/>
                                    </a:cubicBezTo>
                                    <a:cubicBezTo>
                                      <a:pt x="361" y="486"/>
                                      <a:pt x="359" y="485"/>
                                      <a:pt x="359" y="484"/>
                                    </a:cubicBezTo>
                                    <a:cubicBezTo>
                                      <a:pt x="359" y="488"/>
                                      <a:pt x="359" y="488"/>
                                      <a:pt x="359" y="488"/>
                                    </a:cubicBezTo>
                                    <a:cubicBezTo>
                                      <a:pt x="357" y="487"/>
                                      <a:pt x="356" y="489"/>
                                      <a:pt x="355" y="489"/>
                                    </a:cubicBezTo>
                                    <a:cubicBezTo>
                                      <a:pt x="354" y="489"/>
                                      <a:pt x="355" y="487"/>
                                      <a:pt x="353" y="487"/>
                                    </a:cubicBezTo>
                                    <a:cubicBezTo>
                                      <a:pt x="354" y="485"/>
                                      <a:pt x="357" y="482"/>
                                      <a:pt x="358" y="480"/>
                                    </a:cubicBezTo>
                                    <a:cubicBezTo>
                                      <a:pt x="358" y="479"/>
                                      <a:pt x="357" y="478"/>
                                      <a:pt x="358" y="477"/>
                                    </a:cubicBezTo>
                                    <a:cubicBezTo>
                                      <a:pt x="358" y="477"/>
                                      <a:pt x="361" y="476"/>
                                      <a:pt x="361" y="475"/>
                                    </a:cubicBezTo>
                                    <a:cubicBezTo>
                                      <a:pt x="361" y="474"/>
                                      <a:pt x="357" y="474"/>
                                      <a:pt x="361" y="468"/>
                                    </a:cubicBezTo>
                                    <a:cubicBezTo>
                                      <a:pt x="362" y="465"/>
                                      <a:pt x="363" y="466"/>
                                      <a:pt x="366" y="464"/>
                                    </a:cubicBezTo>
                                    <a:cubicBezTo>
                                      <a:pt x="367" y="465"/>
                                      <a:pt x="367" y="466"/>
                                      <a:pt x="368" y="467"/>
                                    </a:cubicBezTo>
                                    <a:cubicBezTo>
                                      <a:pt x="368" y="466"/>
                                      <a:pt x="369" y="462"/>
                                      <a:pt x="368" y="462"/>
                                    </a:cubicBezTo>
                                    <a:cubicBezTo>
                                      <a:pt x="368" y="462"/>
                                      <a:pt x="365" y="461"/>
                                      <a:pt x="364" y="461"/>
                                    </a:cubicBezTo>
                                    <a:cubicBezTo>
                                      <a:pt x="364" y="460"/>
                                      <a:pt x="365" y="457"/>
                                      <a:pt x="364" y="457"/>
                                    </a:cubicBezTo>
                                    <a:cubicBezTo>
                                      <a:pt x="376" y="453"/>
                                      <a:pt x="393" y="439"/>
                                      <a:pt x="401" y="430"/>
                                    </a:cubicBezTo>
                                    <a:cubicBezTo>
                                      <a:pt x="398" y="428"/>
                                      <a:pt x="399" y="428"/>
                                      <a:pt x="401" y="423"/>
                                    </a:cubicBezTo>
                                    <a:cubicBezTo>
                                      <a:pt x="402" y="424"/>
                                      <a:pt x="404" y="423"/>
                                      <a:pt x="406" y="423"/>
                                    </a:cubicBezTo>
                                    <a:cubicBezTo>
                                      <a:pt x="406" y="424"/>
                                      <a:pt x="405" y="426"/>
                                      <a:pt x="407" y="425"/>
                                    </a:cubicBezTo>
                                    <a:cubicBezTo>
                                      <a:pt x="407" y="425"/>
                                      <a:pt x="408" y="422"/>
                                      <a:pt x="409" y="422"/>
                                    </a:cubicBezTo>
                                    <a:cubicBezTo>
                                      <a:pt x="409" y="421"/>
                                      <a:pt x="411" y="422"/>
                                      <a:pt x="412" y="422"/>
                                    </a:cubicBezTo>
                                    <a:cubicBezTo>
                                      <a:pt x="412" y="421"/>
                                      <a:pt x="420" y="415"/>
                                      <a:pt x="420" y="415"/>
                                    </a:cubicBezTo>
                                    <a:cubicBezTo>
                                      <a:pt x="421" y="413"/>
                                      <a:pt x="420" y="411"/>
                                      <a:pt x="421" y="409"/>
                                    </a:cubicBezTo>
                                    <a:cubicBezTo>
                                      <a:pt x="423" y="406"/>
                                      <a:pt x="427" y="403"/>
                                      <a:pt x="428" y="399"/>
                                    </a:cubicBezTo>
                                    <a:cubicBezTo>
                                      <a:pt x="428" y="397"/>
                                      <a:pt x="427" y="393"/>
                                      <a:pt x="428" y="392"/>
                                    </a:cubicBezTo>
                                    <a:cubicBezTo>
                                      <a:pt x="428" y="391"/>
                                      <a:pt x="431" y="391"/>
                                      <a:pt x="433" y="391"/>
                                    </a:cubicBezTo>
                                    <a:cubicBezTo>
                                      <a:pt x="434" y="390"/>
                                      <a:pt x="436" y="383"/>
                                      <a:pt x="437" y="381"/>
                                    </a:cubicBezTo>
                                    <a:cubicBezTo>
                                      <a:pt x="438" y="382"/>
                                      <a:pt x="439" y="383"/>
                                      <a:pt x="440" y="382"/>
                                    </a:cubicBezTo>
                                    <a:cubicBezTo>
                                      <a:pt x="441" y="380"/>
                                      <a:pt x="440" y="380"/>
                                      <a:pt x="441" y="379"/>
                                    </a:cubicBezTo>
                                    <a:cubicBezTo>
                                      <a:pt x="441" y="377"/>
                                      <a:pt x="441" y="373"/>
                                      <a:pt x="440" y="371"/>
                                    </a:cubicBezTo>
                                    <a:cubicBezTo>
                                      <a:pt x="440" y="370"/>
                                      <a:pt x="438" y="369"/>
                                      <a:pt x="437" y="369"/>
                                    </a:cubicBezTo>
                                    <a:cubicBezTo>
                                      <a:pt x="436" y="363"/>
                                      <a:pt x="436" y="359"/>
                                      <a:pt x="436" y="353"/>
                                    </a:cubicBezTo>
                                    <a:cubicBezTo>
                                      <a:pt x="437" y="353"/>
                                      <a:pt x="438" y="353"/>
                                      <a:pt x="438" y="352"/>
                                    </a:cubicBezTo>
                                    <a:cubicBezTo>
                                      <a:pt x="439" y="353"/>
                                      <a:pt x="438" y="355"/>
                                      <a:pt x="438" y="355"/>
                                    </a:cubicBezTo>
                                    <a:cubicBezTo>
                                      <a:pt x="439" y="355"/>
                                      <a:pt x="439" y="355"/>
                                      <a:pt x="439" y="355"/>
                                    </a:cubicBezTo>
                                    <a:cubicBezTo>
                                      <a:pt x="443" y="357"/>
                                      <a:pt x="441" y="361"/>
                                      <a:pt x="443" y="364"/>
                                    </a:cubicBezTo>
                                    <a:cubicBezTo>
                                      <a:pt x="444" y="365"/>
                                      <a:pt x="447" y="365"/>
                                      <a:pt x="447" y="366"/>
                                    </a:cubicBezTo>
                                    <a:cubicBezTo>
                                      <a:pt x="448" y="367"/>
                                      <a:pt x="447" y="369"/>
                                      <a:pt x="447" y="370"/>
                                    </a:cubicBezTo>
                                    <a:cubicBezTo>
                                      <a:pt x="448" y="371"/>
                                      <a:pt x="450" y="374"/>
                                      <a:pt x="451" y="376"/>
                                    </a:cubicBezTo>
                                    <a:cubicBezTo>
                                      <a:pt x="452" y="376"/>
                                      <a:pt x="454" y="376"/>
                                      <a:pt x="455" y="376"/>
                                    </a:cubicBezTo>
                                    <a:cubicBezTo>
                                      <a:pt x="456" y="377"/>
                                      <a:pt x="455" y="379"/>
                                      <a:pt x="457" y="379"/>
                                    </a:cubicBezTo>
                                    <a:cubicBezTo>
                                      <a:pt x="455" y="383"/>
                                      <a:pt x="456" y="387"/>
                                      <a:pt x="452" y="388"/>
                                    </a:cubicBezTo>
                                    <a:cubicBezTo>
                                      <a:pt x="451" y="388"/>
                                      <a:pt x="449" y="387"/>
                                      <a:pt x="448" y="388"/>
                                    </a:cubicBezTo>
                                    <a:cubicBezTo>
                                      <a:pt x="447" y="388"/>
                                      <a:pt x="448" y="390"/>
                                      <a:pt x="447" y="391"/>
                                    </a:cubicBezTo>
                                    <a:cubicBezTo>
                                      <a:pt x="447" y="392"/>
                                      <a:pt x="447" y="394"/>
                                      <a:pt x="447" y="395"/>
                                    </a:cubicBezTo>
                                    <a:cubicBezTo>
                                      <a:pt x="448" y="395"/>
                                      <a:pt x="449" y="394"/>
                                      <a:pt x="450" y="395"/>
                                    </a:cubicBezTo>
                                    <a:cubicBezTo>
                                      <a:pt x="450" y="395"/>
                                      <a:pt x="449" y="398"/>
                                      <a:pt x="449" y="399"/>
                                    </a:cubicBezTo>
                                    <a:cubicBezTo>
                                      <a:pt x="449" y="400"/>
                                      <a:pt x="451" y="400"/>
                                      <a:pt x="452" y="400"/>
                                    </a:cubicBezTo>
                                    <a:cubicBezTo>
                                      <a:pt x="452" y="406"/>
                                      <a:pt x="453" y="408"/>
                                      <a:pt x="454" y="411"/>
                                    </a:cubicBezTo>
                                    <a:cubicBezTo>
                                      <a:pt x="452" y="411"/>
                                      <a:pt x="452" y="411"/>
                                      <a:pt x="452" y="411"/>
                                    </a:cubicBezTo>
                                    <a:cubicBezTo>
                                      <a:pt x="452" y="413"/>
                                      <a:pt x="452" y="413"/>
                                      <a:pt x="452" y="413"/>
                                    </a:cubicBezTo>
                                    <a:cubicBezTo>
                                      <a:pt x="450" y="413"/>
                                      <a:pt x="451" y="411"/>
                                      <a:pt x="449" y="412"/>
                                    </a:cubicBezTo>
                                    <a:cubicBezTo>
                                      <a:pt x="448" y="414"/>
                                      <a:pt x="448" y="418"/>
                                      <a:pt x="447" y="420"/>
                                    </a:cubicBezTo>
                                    <a:cubicBezTo>
                                      <a:pt x="447" y="421"/>
                                      <a:pt x="444" y="421"/>
                                      <a:pt x="443" y="423"/>
                                    </a:cubicBezTo>
                                    <a:cubicBezTo>
                                      <a:pt x="443" y="424"/>
                                      <a:pt x="444" y="425"/>
                                      <a:pt x="443" y="426"/>
                                    </a:cubicBezTo>
                                    <a:cubicBezTo>
                                      <a:pt x="441" y="426"/>
                                      <a:pt x="441" y="426"/>
                                      <a:pt x="441" y="426"/>
                                    </a:cubicBezTo>
                                    <a:cubicBezTo>
                                      <a:pt x="441" y="428"/>
                                      <a:pt x="441" y="428"/>
                                      <a:pt x="441" y="428"/>
                                    </a:cubicBezTo>
                                    <a:cubicBezTo>
                                      <a:pt x="441" y="430"/>
                                      <a:pt x="437" y="432"/>
                                      <a:pt x="437" y="434"/>
                                    </a:cubicBezTo>
                                    <a:cubicBezTo>
                                      <a:pt x="436" y="435"/>
                                      <a:pt x="439" y="436"/>
                                      <a:pt x="439" y="437"/>
                                    </a:cubicBezTo>
                                    <a:cubicBezTo>
                                      <a:pt x="438" y="439"/>
                                      <a:pt x="438" y="441"/>
                                      <a:pt x="437" y="444"/>
                                    </a:cubicBezTo>
                                    <a:cubicBezTo>
                                      <a:pt x="435" y="443"/>
                                      <a:pt x="434" y="442"/>
                                      <a:pt x="432" y="443"/>
                                    </a:cubicBezTo>
                                    <a:cubicBezTo>
                                      <a:pt x="432" y="444"/>
                                      <a:pt x="435" y="454"/>
                                      <a:pt x="436" y="454"/>
                                    </a:cubicBezTo>
                                    <a:cubicBezTo>
                                      <a:pt x="436" y="454"/>
                                      <a:pt x="433" y="457"/>
                                      <a:pt x="434" y="459"/>
                                    </a:cubicBezTo>
                                    <a:cubicBezTo>
                                      <a:pt x="436" y="459"/>
                                      <a:pt x="436" y="459"/>
                                      <a:pt x="436" y="459"/>
                                    </a:cubicBezTo>
                                    <a:cubicBezTo>
                                      <a:pt x="436" y="462"/>
                                      <a:pt x="437" y="465"/>
                                      <a:pt x="437" y="467"/>
                                    </a:cubicBezTo>
                                    <a:cubicBezTo>
                                      <a:pt x="438" y="473"/>
                                      <a:pt x="435" y="479"/>
                                      <a:pt x="435" y="485"/>
                                    </a:cubicBezTo>
                                    <a:cubicBezTo>
                                      <a:pt x="428" y="484"/>
                                      <a:pt x="423" y="487"/>
                                      <a:pt x="414" y="488"/>
                                    </a:cubicBezTo>
                                    <a:cubicBezTo>
                                      <a:pt x="414" y="489"/>
                                      <a:pt x="413" y="494"/>
                                      <a:pt x="413" y="495"/>
                                    </a:cubicBezTo>
                                    <a:cubicBezTo>
                                      <a:pt x="413" y="495"/>
                                      <a:pt x="410" y="494"/>
                                      <a:pt x="410" y="495"/>
                                    </a:cubicBezTo>
                                    <a:cubicBezTo>
                                      <a:pt x="410" y="500"/>
                                      <a:pt x="410" y="502"/>
                                      <a:pt x="409" y="507"/>
                                    </a:cubicBezTo>
                                    <a:cubicBezTo>
                                      <a:pt x="407" y="507"/>
                                      <a:pt x="407" y="507"/>
                                      <a:pt x="407" y="507"/>
                                    </a:cubicBezTo>
                                    <a:cubicBezTo>
                                      <a:pt x="406" y="508"/>
                                      <a:pt x="407" y="509"/>
                                      <a:pt x="407" y="510"/>
                                    </a:cubicBezTo>
                                    <a:cubicBezTo>
                                      <a:pt x="408" y="509"/>
                                      <a:pt x="410" y="510"/>
                                      <a:pt x="412" y="510"/>
                                    </a:cubicBezTo>
                                    <a:cubicBezTo>
                                      <a:pt x="412" y="509"/>
                                      <a:pt x="413" y="505"/>
                                      <a:pt x="413" y="504"/>
                                    </a:cubicBezTo>
                                    <a:cubicBezTo>
                                      <a:pt x="416" y="503"/>
                                      <a:pt x="420" y="504"/>
                                      <a:pt x="422" y="503"/>
                                    </a:cubicBezTo>
                                    <a:cubicBezTo>
                                      <a:pt x="423" y="500"/>
                                      <a:pt x="423" y="500"/>
                                      <a:pt x="423" y="500"/>
                                    </a:cubicBezTo>
                                    <a:cubicBezTo>
                                      <a:pt x="425" y="498"/>
                                      <a:pt x="427" y="499"/>
                                      <a:pt x="431" y="497"/>
                                    </a:cubicBezTo>
                                    <a:cubicBezTo>
                                      <a:pt x="431" y="497"/>
                                      <a:pt x="432" y="495"/>
                                      <a:pt x="433" y="495"/>
                                    </a:cubicBezTo>
                                    <a:cubicBezTo>
                                      <a:pt x="435" y="494"/>
                                      <a:pt x="438" y="496"/>
                                      <a:pt x="439" y="496"/>
                                    </a:cubicBezTo>
                                    <a:cubicBezTo>
                                      <a:pt x="441" y="497"/>
                                      <a:pt x="440" y="495"/>
                                      <a:pt x="442" y="496"/>
                                    </a:cubicBezTo>
                                    <a:cubicBezTo>
                                      <a:pt x="444" y="498"/>
                                      <a:pt x="444" y="498"/>
                                      <a:pt x="444" y="498"/>
                                    </a:cubicBezTo>
                                    <a:cubicBezTo>
                                      <a:pt x="446" y="499"/>
                                      <a:pt x="448" y="497"/>
                                      <a:pt x="449" y="497"/>
                                    </a:cubicBezTo>
                                    <a:cubicBezTo>
                                      <a:pt x="448" y="493"/>
                                      <a:pt x="447" y="491"/>
                                      <a:pt x="449" y="485"/>
                                    </a:cubicBezTo>
                                    <a:cubicBezTo>
                                      <a:pt x="451" y="483"/>
                                      <a:pt x="451" y="483"/>
                                      <a:pt x="451" y="483"/>
                                    </a:cubicBezTo>
                                    <a:cubicBezTo>
                                      <a:pt x="451" y="480"/>
                                      <a:pt x="449" y="481"/>
                                      <a:pt x="450" y="478"/>
                                    </a:cubicBezTo>
                                    <a:cubicBezTo>
                                      <a:pt x="450" y="478"/>
                                      <a:pt x="453" y="476"/>
                                      <a:pt x="453" y="475"/>
                                    </a:cubicBezTo>
                                    <a:cubicBezTo>
                                      <a:pt x="453" y="472"/>
                                      <a:pt x="452" y="469"/>
                                      <a:pt x="454" y="465"/>
                                    </a:cubicBezTo>
                                    <a:cubicBezTo>
                                      <a:pt x="454" y="464"/>
                                      <a:pt x="456" y="463"/>
                                      <a:pt x="457" y="462"/>
                                    </a:cubicBezTo>
                                    <a:cubicBezTo>
                                      <a:pt x="457" y="459"/>
                                      <a:pt x="455" y="453"/>
                                      <a:pt x="459" y="448"/>
                                    </a:cubicBezTo>
                                    <a:cubicBezTo>
                                      <a:pt x="460" y="445"/>
                                      <a:pt x="464" y="444"/>
                                      <a:pt x="465" y="442"/>
                                    </a:cubicBezTo>
                                    <a:cubicBezTo>
                                      <a:pt x="466" y="440"/>
                                      <a:pt x="465" y="439"/>
                                      <a:pt x="466" y="437"/>
                                    </a:cubicBezTo>
                                    <a:cubicBezTo>
                                      <a:pt x="467" y="436"/>
                                      <a:pt x="469" y="434"/>
                                      <a:pt x="470" y="432"/>
                                    </a:cubicBezTo>
                                    <a:cubicBezTo>
                                      <a:pt x="472" y="441"/>
                                      <a:pt x="476" y="444"/>
                                      <a:pt x="480" y="451"/>
                                    </a:cubicBezTo>
                                    <a:cubicBezTo>
                                      <a:pt x="480" y="452"/>
                                      <a:pt x="479" y="453"/>
                                      <a:pt x="480" y="454"/>
                                    </a:cubicBezTo>
                                    <a:cubicBezTo>
                                      <a:pt x="480" y="455"/>
                                      <a:pt x="482" y="455"/>
                                      <a:pt x="483" y="455"/>
                                    </a:cubicBezTo>
                                    <a:cubicBezTo>
                                      <a:pt x="484" y="457"/>
                                      <a:pt x="483" y="459"/>
                                      <a:pt x="484" y="461"/>
                                    </a:cubicBezTo>
                                    <a:cubicBezTo>
                                      <a:pt x="485" y="461"/>
                                      <a:pt x="485" y="461"/>
                                      <a:pt x="485" y="461"/>
                                    </a:cubicBezTo>
                                    <a:cubicBezTo>
                                      <a:pt x="486" y="464"/>
                                      <a:pt x="489" y="469"/>
                                      <a:pt x="489" y="472"/>
                                    </a:cubicBezTo>
                                    <a:cubicBezTo>
                                      <a:pt x="489" y="473"/>
                                      <a:pt x="488" y="473"/>
                                      <a:pt x="488" y="474"/>
                                    </a:cubicBezTo>
                                    <a:cubicBezTo>
                                      <a:pt x="487" y="473"/>
                                      <a:pt x="486" y="472"/>
                                      <a:pt x="485" y="471"/>
                                    </a:cubicBezTo>
                                    <a:cubicBezTo>
                                      <a:pt x="484" y="472"/>
                                      <a:pt x="484" y="472"/>
                                      <a:pt x="484" y="472"/>
                                    </a:cubicBezTo>
                                    <a:cubicBezTo>
                                      <a:pt x="483" y="473"/>
                                      <a:pt x="484" y="473"/>
                                      <a:pt x="483" y="473"/>
                                    </a:cubicBezTo>
                                    <a:cubicBezTo>
                                      <a:pt x="484" y="478"/>
                                      <a:pt x="484" y="480"/>
                                      <a:pt x="484" y="486"/>
                                    </a:cubicBezTo>
                                    <a:cubicBezTo>
                                      <a:pt x="487" y="486"/>
                                      <a:pt x="487" y="486"/>
                                      <a:pt x="487" y="486"/>
                                    </a:cubicBezTo>
                                    <a:cubicBezTo>
                                      <a:pt x="487" y="489"/>
                                      <a:pt x="488" y="493"/>
                                      <a:pt x="486" y="497"/>
                                    </a:cubicBezTo>
                                    <a:cubicBezTo>
                                      <a:pt x="486" y="498"/>
                                      <a:pt x="484" y="504"/>
                                      <a:pt x="484" y="505"/>
                                    </a:cubicBezTo>
                                    <a:cubicBezTo>
                                      <a:pt x="483" y="506"/>
                                      <a:pt x="480" y="506"/>
                                      <a:pt x="480" y="507"/>
                                    </a:cubicBezTo>
                                    <a:cubicBezTo>
                                      <a:pt x="478" y="510"/>
                                      <a:pt x="480" y="514"/>
                                      <a:pt x="479" y="517"/>
                                    </a:cubicBezTo>
                                    <a:cubicBezTo>
                                      <a:pt x="478" y="517"/>
                                      <a:pt x="478" y="517"/>
                                      <a:pt x="478" y="517"/>
                                    </a:cubicBezTo>
                                    <a:cubicBezTo>
                                      <a:pt x="474" y="519"/>
                                      <a:pt x="471" y="523"/>
                                      <a:pt x="467" y="526"/>
                                    </a:cubicBezTo>
                                    <a:cubicBezTo>
                                      <a:pt x="469" y="527"/>
                                      <a:pt x="471" y="527"/>
                                      <a:pt x="472" y="528"/>
                                    </a:cubicBezTo>
                                    <a:cubicBezTo>
                                      <a:pt x="473" y="529"/>
                                      <a:pt x="473" y="529"/>
                                      <a:pt x="473" y="529"/>
                                    </a:cubicBezTo>
                                    <a:cubicBezTo>
                                      <a:pt x="476" y="529"/>
                                      <a:pt x="484" y="528"/>
                                      <a:pt x="487" y="527"/>
                                    </a:cubicBezTo>
                                    <a:cubicBezTo>
                                      <a:pt x="488" y="527"/>
                                      <a:pt x="494" y="525"/>
                                      <a:pt x="495" y="524"/>
                                    </a:cubicBezTo>
                                    <a:cubicBezTo>
                                      <a:pt x="496" y="524"/>
                                      <a:pt x="498" y="518"/>
                                      <a:pt x="501" y="518"/>
                                    </a:cubicBezTo>
                                    <a:cubicBezTo>
                                      <a:pt x="503" y="517"/>
                                      <a:pt x="504" y="519"/>
                                      <a:pt x="506" y="519"/>
                                    </a:cubicBezTo>
                                    <a:cubicBezTo>
                                      <a:pt x="504" y="516"/>
                                      <a:pt x="504" y="514"/>
                                      <a:pt x="502" y="512"/>
                                    </a:cubicBezTo>
                                    <a:cubicBezTo>
                                      <a:pt x="504" y="512"/>
                                      <a:pt x="503" y="510"/>
                                      <a:pt x="506" y="511"/>
                                    </a:cubicBezTo>
                                    <a:cubicBezTo>
                                      <a:pt x="507" y="511"/>
                                      <a:pt x="507" y="514"/>
                                      <a:pt x="509" y="515"/>
                                    </a:cubicBezTo>
                                    <a:cubicBezTo>
                                      <a:pt x="510" y="515"/>
                                      <a:pt x="513" y="514"/>
                                      <a:pt x="514" y="515"/>
                                    </a:cubicBezTo>
                                    <a:cubicBezTo>
                                      <a:pt x="512" y="513"/>
                                      <a:pt x="512" y="513"/>
                                      <a:pt x="512" y="513"/>
                                    </a:cubicBezTo>
                                    <a:cubicBezTo>
                                      <a:pt x="513" y="513"/>
                                      <a:pt x="512" y="510"/>
                                      <a:pt x="512" y="510"/>
                                    </a:cubicBezTo>
                                    <a:cubicBezTo>
                                      <a:pt x="516" y="509"/>
                                      <a:pt x="518" y="508"/>
                                      <a:pt x="522" y="507"/>
                                    </a:cubicBezTo>
                                    <a:cubicBezTo>
                                      <a:pt x="520" y="506"/>
                                      <a:pt x="522" y="504"/>
                                      <a:pt x="522" y="503"/>
                                    </a:cubicBezTo>
                                    <a:cubicBezTo>
                                      <a:pt x="525" y="505"/>
                                      <a:pt x="526" y="507"/>
                                      <a:pt x="529" y="510"/>
                                    </a:cubicBezTo>
                                    <a:cubicBezTo>
                                      <a:pt x="529" y="510"/>
                                      <a:pt x="530" y="508"/>
                                      <a:pt x="532" y="509"/>
                                    </a:cubicBezTo>
                                    <a:cubicBezTo>
                                      <a:pt x="531" y="511"/>
                                      <a:pt x="531" y="515"/>
                                      <a:pt x="530" y="518"/>
                                    </a:cubicBezTo>
                                    <a:cubicBezTo>
                                      <a:pt x="529" y="518"/>
                                      <a:pt x="527" y="519"/>
                                      <a:pt x="527" y="519"/>
                                    </a:cubicBezTo>
                                    <a:cubicBezTo>
                                      <a:pt x="526" y="516"/>
                                      <a:pt x="526" y="516"/>
                                      <a:pt x="526" y="516"/>
                                    </a:cubicBezTo>
                                    <a:cubicBezTo>
                                      <a:pt x="524" y="515"/>
                                      <a:pt x="526" y="518"/>
                                      <a:pt x="524" y="517"/>
                                    </a:cubicBezTo>
                                    <a:cubicBezTo>
                                      <a:pt x="525" y="518"/>
                                      <a:pt x="523" y="518"/>
                                      <a:pt x="524" y="520"/>
                                    </a:cubicBezTo>
                                    <a:cubicBezTo>
                                      <a:pt x="524" y="520"/>
                                      <a:pt x="526" y="520"/>
                                      <a:pt x="527" y="520"/>
                                    </a:cubicBezTo>
                                    <a:cubicBezTo>
                                      <a:pt x="527" y="522"/>
                                      <a:pt x="527" y="522"/>
                                      <a:pt x="527" y="522"/>
                                    </a:cubicBezTo>
                                    <a:cubicBezTo>
                                      <a:pt x="527" y="519"/>
                                      <a:pt x="529" y="525"/>
                                      <a:pt x="528" y="527"/>
                                    </a:cubicBezTo>
                                    <a:cubicBezTo>
                                      <a:pt x="527" y="528"/>
                                      <a:pt x="524" y="528"/>
                                      <a:pt x="524" y="529"/>
                                    </a:cubicBezTo>
                                    <a:cubicBezTo>
                                      <a:pt x="523" y="530"/>
                                      <a:pt x="524" y="532"/>
                                      <a:pt x="524" y="533"/>
                                    </a:cubicBezTo>
                                    <a:cubicBezTo>
                                      <a:pt x="525" y="534"/>
                                      <a:pt x="530" y="537"/>
                                      <a:pt x="531" y="538"/>
                                    </a:cubicBezTo>
                                    <a:cubicBezTo>
                                      <a:pt x="532" y="540"/>
                                      <a:pt x="532" y="543"/>
                                      <a:pt x="534" y="544"/>
                                    </a:cubicBezTo>
                                    <a:cubicBezTo>
                                      <a:pt x="536" y="545"/>
                                      <a:pt x="538" y="545"/>
                                      <a:pt x="539" y="546"/>
                                    </a:cubicBezTo>
                                    <a:cubicBezTo>
                                      <a:pt x="541" y="549"/>
                                      <a:pt x="541" y="552"/>
                                      <a:pt x="542" y="556"/>
                                    </a:cubicBezTo>
                                    <a:cubicBezTo>
                                      <a:pt x="543" y="560"/>
                                      <a:pt x="547" y="563"/>
                                      <a:pt x="548" y="566"/>
                                    </a:cubicBezTo>
                                    <a:cubicBezTo>
                                      <a:pt x="551" y="572"/>
                                      <a:pt x="549" y="576"/>
                                      <a:pt x="550" y="584"/>
                                    </a:cubicBezTo>
                                    <a:cubicBezTo>
                                      <a:pt x="550" y="586"/>
                                      <a:pt x="552" y="590"/>
                                      <a:pt x="552" y="593"/>
                                    </a:cubicBezTo>
                                    <a:cubicBezTo>
                                      <a:pt x="552" y="594"/>
                                      <a:pt x="547" y="602"/>
                                      <a:pt x="546" y="603"/>
                                    </a:cubicBezTo>
                                    <a:cubicBezTo>
                                      <a:pt x="545" y="604"/>
                                      <a:pt x="543" y="603"/>
                                      <a:pt x="543" y="604"/>
                                    </a:cubicBezTo>
                                    <a:cubicBezTo>
                                      <a:pt x="543" y="606"/>
                                      <a:pt x="543" y="606"/>
                                      <a:pt x="543" y="606"/>
                                    </a:cubicBezTo>
                                    <a:cubicBezTo>
                                      <a:pt x="544" y="608"/>
                                      <a:pt x="549" y="615"/>
                                      <a:pt x="549" y="616"/>
                                    </a:cubicBezTo>
                                    <a:cubicBezTo>
                                      <a:pt x="549" y="618"/>
                                      <a:pt x="546" y="619"/>
                                      <a:pt x="549" y="624"/>
                                    </a:cubicBezTo>
                                    <a:cubicBezTo>
                                      <a:pt x="557" y="634"/>
                                      <a:pt x="557" y="634"/>
                                      <a:pt x="557" y="634"/>
                                    </a:cubicBezTo>
                                    <a:cubicBezTo>
                                      <a:pt x="558" y="635"/>
                                      <a:pt x="560" y="634"/>
                                      <a:pt x="561" y="636"/>
                                    </a:cubicBezTo>
                                    <a:cubicBezTo>
                                      <a:pt x="563" y="637"/>
                                      <a:pt x="562" y="639"/>
                                      <a:pt x="563" y="641"/>
                                    </a:cubicBezTo>
                                    <a:cubicBezTo>
                                      <a:pt x="564" y="643"/>
                                      <a:pt x="567" y="645"/>
                                      <a:pt x="568" y="646"/>
                                    </a:cubicBezTo>
                                    <a:cubicBezTo>
                                      <a:pt x="572" y="652"/>
                                      <a:pt x="571" y="654"/>
                                      <a:pt x="578" y="658"/>
                                    </a:cubicBezTo>
                                    <a:cubicBezTo>
                                      <a:pt x="580" y="660"/>
                                      <a:pt x="580" y="660"/>
                                      <a:pt x="580" y="660"/>
                                    </a:cubicBezTo>
                                    <a:cubicBezTo>
                                      <a:pt x="584" y="660"/>
                                      <a:pt x="588" y="657"/>
                                      <a:pt x="594" y="659"/>
                                    </a:cubicBezTo>
                                    <a:cubicBezTo>
                                      <a:pt x="595" y="659"/>
                                      <a:pt x="596" y="663"/>
                                      <a:pt x="598" y="663"/>
                                    </a:cubicBezTo>
                                    <a:close/>
                                    <a:moveTo>
                                      <a:pt x="443" y="521"/>
                                    </a:moveTo>
                                    <a:cubicBezTo>
                                      <a:pt x="441" y="522"/>
                                      <a:pt x="435" y="526"/>
                                      <a:pt x="433" y="526"/>
                                    </a:cubicBezTo>
                                    <a:cubicBezTo>
                                      <a:pt x="430" y="527"/>
                                      <a:pt x="428" y="525"/>
                                      <a:pt x="426" y="525"/>
                                    </a:cubicBezTo>
                                    <a:cubicBezTo>
                                      <a:pt x="423" y="526"/>
                                      <a:pt x="420" y="530"/>
                                      <a:pt x="417" y="531"/>
                                    </a:cubicBezTo>
                                    <a:cubicBezTo>
                                      <a:pt x="414" y="532"/>
                                      <a:pt x="413" y="531"/>
                                      <a:pt x="410" y="532"/>
                                    </a:cubicBezTo>
                                    <a:cubicBezTo>
                                      <a:pt x="403" y="536"/>
                                      <a:pt x="403" y="536"/>
                                      <a:pt x="403" y="536"/>
                                    </a:cubicBezTo>
                                    <a:cubicBezTo>
                                      <a:pt x="399" y="538"/>
                                      <a:pt x="398" y="538"/>
                                      <a:pt x="393" y="540"/>
                                    </a:cubicBezTo>
                                    <a:cubicBezTo>
                                      <a:pt x="393" y="542"/>
                                      <a:pt x="394" y="543"/>
                                      <a:pt x="392" y="544"/>
                                    </a:cubicBezTo>
                                    <a:cubicBezTo>
                                      <a:pt x="393" y="545"/>
                                      <a:pt x="394" y="547"/>
                                      <a:pt x="395" y="548"/>
                                    </a:cubicBezTo>
                                    <a:cubicBezTo>
                                      <a:pt x="397" y="550"/>
                                      <a:pt x="401" y="550"/>
                                      <a:pt x="402" y="551"/>
                                    </a:cubicBezTo>
                                    <a:cubicBezTo>
                                      <a:pt x="403" y="553"/>
                                      <a:pt x="402" y="554"/>
                                      <a:pt x="403" y="555"/>
                                    </a:cubicBezTo>
                                    <a:cubicBezTo>
                                      <a:pt x="406" y="554"/>
                                      <a:pt x="407" y="555"/>
                                      <a:pt x="410" y="554"/>
                                    </a:cubicBezTo>
                                    <a:cubicBezTo>
                                      <a:pt x="411" y="552"/>
                                      <a:pt x="411" y="552"/>
                                      <a:pt x="411" y="552"/>
                                    </a:cubicBezTo>
                                    <a:cubicBezTo>
                                      <a:pt x="413" y="552"/>
                                      <a:pt x="412" y="554"/>
                                      <a:pt x="415" y="553"/>
                                    </a:cubicBezTo>
                                    <a:cubicBezTo>
                                      <a:pt x="416" y="553"/>
                                      <a:pt x="420" y="550"/>
                                      <a:pt x="421" y="550"/>
                                    </a:cubicBezTo>
                                    <a:cubicBezTo>
                                      <a:pt x="422" y="550"/>
                                      <a:pt x="424" y="551"/>
                                      <a:pt x="425" y="550"/>
                                    </a:cubicBezTo>
                                    <a:cubicBezTo>
                                      <a:pt x="425" y="548"/>
                                      <a:pt x="425" y="548"/>
                                      <a:pt x="425" y="548"/>
                                    </a:cubicBezTo>
                                    <a:cubicBezTo>
                                      <a:pt x="426" y="548"/>
                                      <a:pt x="428" y="547"/>
                                      <a:pt x="428" y="547"/>
                                    </a:cubicBezTo>
                                    <a:cubicBezTo>
                                      <a:pt x="428" y="547"/>
                                      <a:pt x="431" y="547"/>
                                      <a:pt x="432" y="547"/>
                                    </a:cubicBezTo>
                                    <a:cubicBezTo>
                                      <a:pt x="433" y="547"/>
                                      <a:pt x="439" y="554"/>
                                      <a:pt x="440" y="555"/>
                                    </a:cubicBezTo>
                                    <a:cubicBezTo>
                                      <a:pt x="442" y="553"/>
                                      <a:pt x="444" y="552"/>
                                      <a:pt x="446" y="550"/>
                                    </a:cubicBezTo>
                                    <a:cubicBezTo>
                                      <a:pt x="446" y="550"/>
                                      <a:pt x="446" y="547"/>
                                      <a:pt x="445" y="548"/>
                                    </a:cubicBezTo>
                                    <a:cubicBezTo>
                                      <a:pt x="445" y="547"/>
                                      <a:pt x="446" y="546"/>
                                      <a:pt x="444" y="546"/>
                                    </a:cubicBezTo>
                                    <a:cubicBezTo>
                                      <a:pt x="445" y="545"/>
                                      <a:pt x="446" y="545"/>
                                      <a:pt x="445" y="544"/>
                                    </a:cubicBezTo>
                                    <a:cubicBezTo>
                                      <a:pt x="449" y="542"/>
                                      <a:pt x="455" y="539"/>
                                      <a:pt x="462" y="541"/>
                                    </a:cubicBezTo>
                                    <a:cubicBezTo>
                                      <a:pt x="464" y="541"/>
                                      <a:pt x="465" y="543"/>
                                      <a:pt x="468" y="543"/>
                                    </a:cubicBezTo>
                                    <a:cubicBezTo>
                                      <a:pt x="469" y="542"/>
                                      <a:pt x="470" y="541"/>
                                      <a:pt x="471" y="541"/>
                                    </a:cubicBezTo>
                                    <a:cubicBezTo>
                                      <a:pt x="470" y="538"/>
                                      <a:pt x="467" y="533"/>
                                      <a:pt x="464" y="532"/>
                                    </a:cubicBezTo>
                                    <a:cubicBezTo>
                                      <a:pt x="463" y="532"/>
                                      <a:pt x="462" y="532"/>
                                      <a:pt x="461" y="532"/>
                                    </a:cubicBezTo>
                                    <a:cubicBezTo>
                                      <a:pt x="460" y="533"/>
                                      <a:pt x="459" y="536"/>
                                      <a:pt x="459" y="537"/>
                                    </a:cubicBezTo>
                                    <a:cubicBezTo>
                                      <a:pt x="453" y="541"/>
                                      <a:pt x="453" y="534"/>
                                      <a:pt x="454" y="535"/>
                                    </a:cubicBezTo>
                                    <a:cubicBezTo>
                                      <a:pt x="454" y="532"/>
                                      <a:pt x="454" y="532"/>
                                      <a:pt x="454" y="532"/>
                                    </a:cubicBezTo>
                                    <a:cubicBezTo>
                                      <a:pt x="453" y="532"/>
                                      <a:pt x="448" y="533"/>
                                      <a:pt x="449" y="533"/>
                                    </a:cubicBezTo>
                                    <a:cubicBezTo>
                                      <a:pt x="447" y="532"/>
                                      <a:pt x="446" y="534"/>
                                      <a:pt x="444" y="533"/>
                                    </a:cubicBezTo>
                                    <a:cubicBezTo>
                                      <a:pt x="442" y="532"/>
                                      <a:pt x="444" y="524"/>
                                      <a:pt x="445" y="523"/>
                                    </a:cubicBezTo>
                                    <a:cubicBezTo>
                                      <a:pt x="444" y="523"/>
                                      <a:pt x="445" y="521"/>
                                      <a:pt x="443" y="521"/>
                                    </a:cubicBezTo>
                                    <a:close/>
                                    <a:moveTo>
                                      <a:pt x="516" y="518"/>
                                    </a:moveTo>
                                    <a:cubicBezTo>
                                      <a:pt x="516" y="519"/>
                                      <a:pt x="516" y="521"/>
                                      <a:pt x="516" y="523"/>
                                    </a:cubicBezTo>
                                    <a:cubicBezTo>
                                      <a:pt x="518" y="524"/>
                                      <a:pt x="517" y="523"/>
                                      <a:pt x="518" y="524"/>
                                    </a:cubicBezTo>
                                    <a:cubicBezTo>
                                      <a:pt x="521" y="530"/>
                                      <a:pt x="518" y="520"/>
                                      <a:pt x="520" y="520"/>
                                    </a:cubicBezTo>
                                    <a:cubicBezTo>
                                      <a:pt x="519" y="519"/>
                                      <a:pt x="517" y="518"/>
                                      <a:pt x="516" y="518"/>
                                    </a:cubicBezTo>
                                    <a:close/>
                                  </a:path>
                                </a:pathLst>
                              </a:custGeom>
                              <a:solidFill>
                                <a:srgbClr val="B4B5DB">
                                  <a:lumMod val="60000"/>
                                  <a:lumOff val="40000"/>
                                </a:srgbClr>
                              </a:solidFill>
                              <a:ln w="9525">
                                <a:solidFill>
                                  <a:srgbClr val="FFFFFF"/>
                                </a:solidFill>
                                <a:round/>
                                <a:headEnd/>
                                <a:tailEnd/>
                              </a:ln>
                            </wps:spPr>
                            <wps:bodyPr vert="horz" wrap="square" lIns="91440" tIns="45720" rIns="91440" bIns="45720" numCol="1" anchor="t" anchorCtr="0" compatLnSpc="1">
                              <a:prstTxWarp prst="textNoShape">
                                <a:avLst/>
                              </a:prstTxWarp>
                            </wps:bodyPr>
                          </wps:wsp>
                          <wps:wsp>
                            <wps:cNvPr id="1304521476" name="Freeform 48">
                              <a:extLst>
                                <a:ext uri="{FF2B5EF4-FFF2-40B4-BE49-F238E27FC236}">
                                  <a16:creationId xmlns:a16="http://schemas.microsoft.com/office/drawing/2014/main" id="{5DF46B78-4FA4-D86C-E913-BF0626950243}"/>
                                </a:ext>
                              </a:extLst>
                            </wps:cNvPr>
                            <wps:cNvSpPr>
                              <a:spLocks/>
                            </wps:cNvSpPr>
                            <wps:spPr bwMode="auto">
                              <a:xfrm>
                                <a:off x="1108173" y="3118"/>
                                <a:ext cx="94" cy="106"/>
                              </a:xfrm>
                              <a:custGeom>
                                <a:avLst/>
                                <a:gdLst/>
                                <a:ahLst/>
                                <a:cxnLst>
                                  <a:cxn ang="0">
                                    <a:pos x="4" y="26"/>
                                  </a:cxn>
                                  <a:cxn ang="0">
                                    <a:pos x="1" y="18"/>
                                  </a:cxn>
                                  <a:cxn ang="0">
                                    <a:pos x="11" y="8"/>
                                  </a:cxn>
                                  <a:cxn ang="0">
                                    <a:pos x="28" y="4"/>
                                  </a:cxn>
                                  <a:cxn ang="0">
                                    <a:pos x="31" y="11"/>
                                  </a:cxn>
                                  <a:cxn ang="0">
                                    <a:pos x="38" y="15"/>
                                  </a:cxn>
                                  <a:cxn ang="0">
                                    <a:pos x="24" y="18"/>
                                  </a:cxn>
                                  <a:cxn ang="0">
                                    <a:pos x="23" y="26"/>
                                  </a:cxn>
                                  <a:cxn ang="0">
                                    <a:pos x="16" y="33"/>
                                  </a:cxn>
                                  <a:cxn ang="0">
                                    <a:pos x="13" y="45"/>
                                  </a:cxn>
                                  <a:cxn ang="0">
                                    <a:pos x="5" y="38"/>
                                  </a:cxn>
                                  <a:cxn ang="0">
                                    <a:pos x="1" y="33"/>
                                  </a:cxn>
                                  <a:cxn ang="0">
                                    <a:pos x="4" y="26"/>
                                  </a:cxn>
                                </a:cxnLst>
                                <a:rect l="0" t="0" r="r" b="b"/>
                                <a:pathLst>
                                  <a:path w="40" h="45">
                                    <a:moveTo>
                                      <a:pt x="4" y="26"/>
                                    </a:moveTo>
                                    <a:cubicBezTo>
                                      <a:pt x="4" y="23"/>
                                      <a:pt x="0" y="22"/>
                                      <a:pt x="1" y="18"/>
                                    </a:cubicBezTo>
                                    <a:cubicBezTo>
                                      <a:pt x="1" y="13"/>
                                      <a:pt x="6" y="11"/>
                                      <a:pt x="11" y="8"/>
                                    </a:cubicBezTo>
                                    <a:cubicBezTo>
                                      <a:pt x="16" y="5"/>
                                      <a:pt x="22" y="0"/>
                                      <a:pt x="28" y="4"/>
                                    </a:cubicBezTo>
                                    <a:cubicBezTo>
                                      <a:pt x="30" y="6"/>
                                      <a:pt x="29" y="9"/>
                                      <a:pt x="31" y="11"/>
                                    </a:cubicBezTo>
                                    <a:cubicBezTo>
                                      <a:pt x="33" y="13"/>
                                      <a:pt x="37" y="12"/>
                                      <a:pt x="38" y="15"/>
                                    </a:cubicBezTo>
                                    <a:cubicBezTo>
                                      <a:pt x="40" y="20"/>
                                      <a:pt x="28" y="14"/>
                                      <a:pt x="24" y="18"/>
                                    </a:cubicBezTo>
                                    <a:cubicBezTo>
                                      <a:pt x="22" y="21"/>
                                      <a:pt x="24" y="24"/>
                                      <a:pt x="23" y="26"/>
                                    </a:cubicBezTo>
                                    <a:cubicBezTo>
                                      <a:pt x="21" y="30"/>
                                      <a:pt x="14" y="29"/>
                                      <a:pt x="16" y="33"/>
                                    </a:cubicBezTo>
                                    <a:cubicBezTo>
                                      <a:pt x="17" y="37"/>
                                      <a:pt x="23" y="44"/>
                                      <a:pt x="13" y="45"/>
                                    </a:cubicBezTo>
                                    <a:cubicBezTo>
                                      <a:pt x="9" y="45"/>
                                      <a:pt x="6" y="42"/>
                                      <a:pt x="5" y="38"/>
                                    </a:cubicBezTo>
                                    <a:cubicBezTo>
                                      <a:pt x="5" y="35"/>
                                      <a:pt x="2" y="35"/>
                                      <a:pt x="1" y="33"/>
                                    </a:cubicBezTo>
                                    <a:cubicBezTo>
                                      <a:pt x="1" y="30"/>
                                      <a:pt x="4" y="29"/>
                                      <a:pt x="4" y="26"/>
                                    </a:cubicBezTo>
                                    <a:close/>
                                  </a:path>
                                </a:pathLst>
                              </a:custGeom>
                              <a:solidFill>
                                <a:srgbClr val="D5FAF0"/>
                              </a:solidFill>
                              <a:ln w="9525">
                                <a:solidFill>
                                  <a:srgbClr val="FFFFFF"/>
                                </a:solidFill>
                                <a:round/>
                                <a:headEnd/>
                                <a:tailEnd/>
                              </a:ln>
                            </wps:spPr>
                            <wps:bodyPr vert="horz" wrap="square" lIns="91440" tIns="45720" rIns="91440" bIns="45720" numCol="1" anchor="t" anchorCtr="0" compatLnSpc="1">
                              <a:prstTxWarp prst="textNoShape">
                                <a:avLst/>
                              </a:prstTxWarp>
                            </wps:bodyPr>
                          </wps:wsp>
                        </wpg:grpSp>
                        <wps:wsp>
                          <wps:cNvPr id="555927299" name="Freeform: Shape 555927299">
                            <a:extLst>
                              <a:ext uri="{FF2B5EF4-FFF2-40B4-BE49-F238E27FC236}">
                                <a16:creationId xmlns:a16="http://schemas.microsoft.com/office/drawing/2014/main" id="{D4405785-2802-8846-5790-E0B31DE2051D}"/>
                              </a:ext>
                            </a:extLst>
                          </wps:cNvPr>
                          <wps:cNvSpPr/>
                          <wps:spPr>
                            <a:xfrm>
                              <a:off x="4432575" y="2155305"/>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617145857" name="Freeform: Shape 617145857">
                            <a:extLst>
                              <a:ext uri="{FF2B5EF4-FFF2-40B4-BE49-F238E27FC236}">
                                <a16:creationId xmlns:a16="http://schemas.microsoft.com/office/drawing/2014/main" id="{EC29B798-F36A-5C83-2EEC-0DAD3472415B}"/>
                              </a:ext>
                            </a:extLst>
                          </wps:cNvPr>
                          <wps:cNvSpPr/>
                          <wps:spPr>
                            <a:xfrm>
                              <a:off x="4062340" y="2273964"/>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84906755" name="Freeform: Shape 84906755">
                            <a:extLst>
                              <a:ext uri="{FF2B5EF4-FFF2-40B4-BE49-F238E27FC236}">
                                <a16:creationId xmlns:a16="http://schemas.microsoft.com/office/drawing/2014/main" id="{33575205-7B1F-10FC-D9EF-4F398472522D}"/>
                              </a:ext>
                            </a:extLst>
                          </wps:cNvPr>
                          <wps:cNvSpPr/>
                          <wps:spPr>
                            <a:xfrm>
                              <a:off x="4222132" y="2426234"/>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2094357719" name="Freeform: Shape 2094357719">
                            <a:extLst>
                              <a:ext uri="{FF2B5EF4-FFF2-40B4-BE49-F238E27FC236}">
                                <a16:creationId xmlns:a16="http://schemas.microsoft.com/office/drawing/2014/main" id="{8491A8C5-354D-3867-5525-F479AD27DC01}"/>
                              </a:ext>
                            </a:extLst>
                          </wps:cNvPr>
                          <wps:cNvSpPr/>
                          <wps:spPr>
                            <a:xfrm>
                              <a:off x="4546284" y="1491583"/>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804807230" name="Freeform: Shape 804807230">
                            <a:extLst>
                              <a:ext uri="{FF2B5EF4-FFF2-40B4-BE49-F238E27FC236}">
                                <a16:creationId xmlns:a16="http://schemas.microsoft.com/office/drawing/2014/main" id="{87B1166D-1AD7-37C6-8B68-C41258FBB29E}"/>
                              </a:ext>
                            </a:extLst>
                          </wps:cNvPr>
                          <wps:cNvSpPr/>
                          <wps:spPr>
                            <a:xfrm>
                              <a:off x="4522575" y="1406809"/>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450347268" name="Freeform: Shape 450347268">
                            <a:extLst>
                              <a:ext uri="{FF2B5EF4-FFF2-40B4-BE49-F238E27FC236}">
                                <a16:creationId xmlns:a16="http://schemas.microsoft.com/office/drawing/2014/main" id="{A9C28DDA-259B-09F8-E211-84B0BE48DF58}"/>
                              </a:ext>
                            </a:extLst>
                          </wps:cNvPr>
                          <wps:cNvSpPr/>
                          <wps:spPr>
                            <a:xfrm>
                              <a:off x="4330810" y="1128380"/>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1761782632" name="Freeform: Shape 1761782632">
                            <a:extLst>
                              <a:ext uri="{FF2B5EF4-FFF2-40B4-BE49-F238E27FC236}">
                                <a16:creationId xmlns:a16="http://schemas.microsoft.com/office/drawing/2014/main" id="{D327DEB3-AAB4-7179-35FF-8A8EC9CD00AC}"/>
                              </a:ext>
                            </a:extLst>
                          </wps:cNvPr>
                          <wps:cNvSpPr/>
                          <wps:spPr>
                            <a:xfrm>
                              <a:off x="1421336" y="2223373"/>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1165364680" name="Freeform: Shape 1165364680">
                            <a:extLst>
                              <a:ext uri="{FF2B5EF4-FFF2-40B4-BE49-F238E27FC236}">
                                <a16:creationId xmlns:a16="http://schemas.microsoft.com/office/drawing/2014/main" id="{0D17EA3F-562E-5A55-4F50-C85D74BE2439}"/>
                              </a:ext>
                            </a:extLst>
                          </wps:cNvPr>
                          <wps:cNvSpPr/>
                          <wps:spPr>
                            <a:xfrm>
                              <a:off x="3332485" y="2308047"/>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1844163863" name="Freeform: Shape 1844163863">
                            <a:extLst>
                              <a:ext uri="{FF2B5EF4-FFF2-40B4-BE49-F238E27FC236}">
                                <a16:creationId xmlns:a16="http://schemas.microsoft.com/office/drawing/2014/main" id="{2880869F-68D9-0A45-C6AA-18C001DE97BD}"/>
                              </a:ext>
                            </a:extLst>
                          </wps:cNvPr>
                          <wps:cNvSpPr/>
                          <wps:spPr>
                            <a:xfrm>
                              <a:off x="3928802" y="2603713"/>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s:wsp>
                          <wps:cNvPr id="475178962" name="Freeform: Shape 475178962">
                            <a:extLst>
                              <a:ext uri="{FF2B5EF4-FFF2-40B4-BE49-F238E27FC236}">
                                <a16:creationId xmlns:a16="http://schemas.microsoft.com/office/drawing/2014/main" id="{AECDBAFF-A44A-EDC7-5989-139B04C26ED0}"/>
                              </a:ext>
                            </a:extLst>
                          </wps:cNvPr>
                          <wps:cNvSpPr/>
                          <wps:spPr>
                            <a:xfrm>
                              <a:off x="3744500" y="2628135"/>
                              <a:ext cx="180000" cy="144000"/>
                            </a:xfrm>
                            <a:custGeom>
                              <a:avLst/>
                              <a:gdLst>
                                <a:gd name="connsiteX0" fmla="*/ 182967 w 283081"/>
                                <a:gd name="connsiteY0" fmla="*/ 51783 h 196775"/>
                                <a:gd name="connsiteX1" fmla="*/ 182967 w 283081"/>
                                <a:gd name="connsiteY1" fmla="*/ 41427 h 196775"/>
                                <a:gd name="connsiteX2" fmla="*/ 141541 w 283081"/>
                                <a:gd name="connsiteY2" fmla="*/ 0 h 196775"/>
                                <a:gd name="connsiteX3" fmla="*/ 100114 w 283081"/>
                                <a:gd name="connsiteY3" fmla="*/ 41427 h 196775"/>
                                <a:gd name="connsiteX4" fmla="*/ 100114 w 283081"/>
                                <a:gd name="connsiteY4" fmla="*/ 51783 h 196775"/>
                                <a:gd name="connsiteX5" fmla="*/ 0 w 283081"/>
                                <a:gd name="connsiteY5" fmla="*/ 51783 h 196775"/>
                                <a:gd name="connsiteX6" fmla="*/ 0 w 283081"/>
                                <a:gd name="connsiteY6" fmla="*/ 65592 h 196775"/>
                                <a:gd name="connsiteX7" fmla="*/ 6904 w 283081"/>
                                <a:gd name="connsiteY7" fmla="*/ 65592 h 196775"/>
                                <a:gd name="connsiteX8" fmla="*/ 6904 w 283081"/>
                                <a:gd name="connsiteY8" fmla="*/ 196776 h 196775"/>
                                <a:gd name="connsiteX9" fmla="*/ 276177 w 283081"/>
                                <a:gd name="connsiteY9" fmla="*/ 196776 h 196775"/>
                                <a:gd name="connsiteX10" fmla="*/ 276177 w 283081"/>
                                <a:gd name="connsiteY10" fmla="*/ 65592 h 196775"/>
                                <a:gd name="connsiteX11" fmla="*/ 283081 w 283081"/>
                                <a:gd name="connsiteY11" fmla="*/ 65592 h 196775"/>
                                <a:gd name="connsiteX12" fmla="*/ 283081 w 283081"/>
                                <a:gd name="connsiteY12" fmla="*/ 51783 h 196775"/>
                                <a:gd name="connsiteX13" fmla="*/ 41427 w 283081"/>
                                <a:gd name="connsiteY13" fmla="*/ 169158 h 196775"/>
                                <a:gd name="connsiteX14" fmla="*/ 20713 w 283081"/>
                                <a:gd name="connsiteY14" fmla="*/ 169158 h 196775"/>
                                <a:gd name="connsiteX15" fmla="*/ 20713 w 283081"/>
                                <a:gd name="connsiteY15" fmla="*/ 148445 h 196775"/>
                                <a:gd name="connsiteX16" fmla="*/ 41427 w 283081"/>
                                <a:gd name="connsiteY16" fmla="*/ 148445 h 196775"/>
                                <a:gd name="connsiteX17" fmla="*/ 41427 w 283081"/>
                                <a:gd name="connsiteY17" fmla="*/ 134636 h 196775"/>
                                <a:gd name="connsiteX18" fmla="*/ 20713 w 283081"/>
                                <a:gd name="connsiteY18" fmla="*/ 134636 h 196775"/>
                                <a:gd name="connsiteX19" fmla="*/ 20713 w 283081"/>
                                <a:gd name="connsiteY19" fmla="*/ 113923 h 196775"/>
                                <a:gd name="connsiteX20" fmla="*/ 41427 w 283081"/>
                                <a:gd name="connsiteY20" fmla="*/ 113923 h 196775"/>
                                <a:gd name="connsiteX21" fmla="*/ 41427 w 283081"/>
                                <a:gd name="connsiteY21" fmla="*/ 100114 h 196775"/>
                                <a:gd name="connsiteX22" fmla="*/ 20713 w 283081"/>
                                <a:gd name="connsiteY22" fmla="*/ 100114 h 196775"/>
                                <a:gd name="connsiteX23" fmla="*/ 20713 w 283081"/>
                                <a:gd name="connsiteY23" fmla="*/ 79401 h 196775"/>
                                <a:gd name="connsiteX24" fmla="*/ 41427 w 283081"/>
                                <a:gd name="connsiteY24" fmla="*/ 79401 h 196775"/>
                                <a:gd name="connsiteX25" fmla="*/ 75949 w 283081"/>
                                <a:gd name="connsiteY25" fmla="*/ 169158 h 196775"/>
                                <a:gd name="connsiteX26" fmla="*/ 55235 w 283081"/>
                                <a:gd name="connsiteY26" fmla="*/ 169158 h 196775"/>
                                <a:gd name="connsiteX27" fmla="*/ 55235 w 283081"/>
                                <a:gd name="connsiteY27" fmla="*/ 148445 h 196775"/>
                                <a:gd name="connsiteX28" fmla="*/ 75949 w 283081"/>
                                <a:gd name="connsiteY28" fmla="*/ 148445 h 196775"/>
                                <a:gd name="connsiteX29" fmla="*/ 75949 w 283081"/>
                                <a:gd name="connsiteY29" fmla="*/ 134636 h 196775"/>
                                <a:gd name="connsiteX30" fmla="*/ 55235 w 283081"/>
                                <a:gd name="connsiteY30" fmla="*/ 134636 h 196775"/>
                                <a:gd name="connsiteX31" fmla="*/ 55235 w 283081"/>
                                <a:gd name="connsiteY31" fmla="*/ 113923 h 196775"/>
                                <a:gd name="connsiteX32" fmla="*/ 75949 w 283081"/>
                                <a:gd name="connsiteY32" fmla="*/ 113923 h 196775"/>
                                <a:gd name="connsiteX33" fmla="*/ 75949 w 283081"/>
                                <a:gd name="connsiteY33" fmla="*/ 100114 h 196775"/>
                                <a:gd name="connsiteX34" fmla="*/ 55235 w 283081"/>
                                <a:gd name="connsiteY34" fmla="*/ 100114 h 196775"/>
                                <a:gd name="connsiteX35" fmla="*/ 55235 w 283081"/>
                                <a:gd name="connsiteY35" fmla="*/ 79401 h 196775"/>
                                <a:gd name="connsiteX36" fmla="*/ 75949 w 283081"/>
                                <a:gd name="connsiteY36" fmla="*/ 79401 h 196775"/>
                                <a:gd name="connsiteX37" fmla="*/ 110471 w 283081"/>
                                <a:gd name="connsiteY37" fmla="*/ 169158 h 196775"/>
                                <a:gd name="connsiteX38" fmla="*/ 89757 w 283081"/>
                                <a:gd name="connsiteY38" fmla="*/ 169158 h 196775"/>
                                <a:gd name="connsiteX39" fmla="*/ 89757 w 283081"/>
                                <a:gd name="connsiteY39" fmla="*/ 148445 h 196775"/>
                                <a:gd name="connsiteX40" fmla="*/ 110471 w 283081"/>
                                <a:gd name="connsiteY40" fmla="*/ 148445 h 196775"/>
                                <a:gd name="connsiteX41" fmla="*/ 110471 w 283081"/>
                                <a:gd name="connsiteY41" fmla="*/ 134636 h 196775"/>
                                <a:gd name="connsiteX42" fmla="*/ 89757 w 283081"/>
                                <a:gd name="connsiteY42" fmla="*/ 134636 h 196775"/>
                                <a:gd name="connsiteX43" fmla="*/ 89757 w 283081"/>
                                <a:gd name="connsiteY43" fmla="*/ 113923 h 196775"/>
                                <a:gd name="connsiteX44" fmla="*/ 110471 w 283081"/>
                                <a:gd name="connsiteY44" fmla="*/ 113923 h 196775"/>
                                <a:gd name="connsiteX45" fmla="*/ 110471 w 283081"/>
                                <a:gd name="connsiteY45" fmla="*/ 100114 h 196775"/>
                                <a:gd name="connsiteX46" fmla="*/ 89757 w 283081"/>
                                <a:gd name="connsiteY46" fmla="*/ 100114 h 196775"/>
                                <a:gd name="connsiteX47" fmla="*/ 89757 w 283081"/>
                                <a:gd name="connsiteY47" fmla="*/ 79401 h 196775"/>
                                <a:gd name="connsiteX48" fmla="*/ 110471 w 283081"/>
                                <a:gd name="connsiteY48" fmla="*/ 79401 h 196775"/>
                                <a:gd name="connsiteX49" fmla="*/ 127732 w 283081"/>
                                <a:gd name="connsiteY49" fmla="*/ 182967 h 196775"/>
                                <a:gd name="connsiteX50" fmla="*/ 127732 w 283081"/>
                                <a:gd name="connsiteY50" fmla="*/ 134636 h 196775"/>
                                <a:gd name="connsiteX51" fmla="*/ 155349 w 283081"/>
                                <a:gd name="connsiteY51" fmla="*/ 134636 h 196775"/>
                                <a:gd name="connsiteX52" fmla="*/ 155349 w 283081"/>
                                <a:gd name="connsiteY52" fmla="*/ 182967 h 196775"/>
                                <a:gd name="connsiteX53" fmla="*/ 165706 w 283081"/>
                                <a:gd name="connsiteY53" fmla="*/ 65178 h 196775"/>
                                <a:gd name="connsiteX54" fmla="*/ 159250 w 283081"/>
                                <a:gd name="connsiteY54" fmla="*/ 76363 h 196775"/>
                                <a:gd name="connsiteX55" fmla="*/ 147996 w 283081"/>
                                <a:gd name="connsiteY55" fmla="*/ 69838 h 196775"/>
                                <a:gd name="connsiteX56" fmla="*/ 147996 w 283081"/>
                                <a:gd name="connsiteY56" fmla="*/ 82853 h 196775"/>
                                <a:gd name="connsiteX57" fmla="*/ 135085 w 283081"/>
                                <a:gd name="connsiteY57" fmla="*/ 82853 h 196775"/>
                                <a:gd name="connsiteX58" fmla="*/ 135085 w 283081"/>
                                <a:gd name="connsiteY58" fmla="*/ 69838 h 196775"/>
                                <a:gd name="connsiteX59" fmla="*/ 123831 w 283081"/>
                                <a:gd name="connsiteY59" fmla="*/ 76363 h 196775"/>
                                <a:gd name="connsiteX60" fmla="*/ 117375 w 283081"/>
                                <a:gd name="connsiteY60" fmla="*/ 65178 h 196775"/>
                                <a:gd name="connsiteX61" fmla="*/ 128664 w 283081"/>
                                <a:gd name="connsiteY61" fmla="*/ 58688 h 196775"/>
                                <a:gd name="connsiteX62" fmla="*/ 117375 w 283081"/>
                                <a:gd name="connsiteY62" fmla="*/ 52197 h 196775"/>
                                <a:gd name="connsiteX63" fmla="*/ 123831 w 283081"/>
                                <a:gd name="connsiteY63" fmla="*/ 41012 h 196775"/>
                                <a:gd name="connsiteX64" fmla="*/ 135085 w 283081"/>
                                <a:gd name="connsiteY64" fmla="*/ 47537 h 196775"/>
                                <a:gd name="connsiteX65" fmla="*/ 135085 w 283081"/>
                                <a:gd name="connsiteY65" fmla="*/ 34522 h 196775"/>
                                <a:gd name="connsiteX66" fmla="*/ 147996 w 283081"/>
                                <a:gd name="connsiteY66" fmla="*/ 34522 h 196775"/>
                                <a:gd name="connsiteX67" fmla="*/ 147996 w 283081"/>
                                <a:gd name="connsiteY67" fmla="*/ 47537 h 196775"/>
                                <a:gd name="connsiteX68" fmla="*/ 159250 w 283081"/>
                                <a:gd name="connsiteY68" fmla="*/ 41012 h 196775"/>
                                <a:gd name="connsiteX69" fmla="*/ 165706 w 283081"/>
                                <a:gd name="connsiteY69" fmla="*/ 52197 h 196775"/>
                                <a:gd name="connsiteX70" fmla="*/ 154417 w 283081"/>
                                <a:gd name="connsiteY70" fmla="*/ 58688 h 196775"/>
                                <a:gd name="connsiteX71" fmla="*/ 193324 w 283081"/>
                                <a:gd name="connsiteY71" fmla="*/ 169158 h 196775"/>
                                <a:gd name="connsiteX72" fmla="*/ 172610 w 283081"/>
                                <a:gd name="connsiteY72" fmla="*/ 169158 h 196775"/>
                                <a:gd name="connsiteX73" fmla="*/ 172610 w 283081"/>
                                <a:gd name="connsiteY73" fmla="*/ 148445 h 196775"/>
                                <a:gd name="connsiteX74" fmla="*/ 193324 w 283081"/>
                                <a:gd name="connsiteY74" fmla="*/ 148445 h 196775"/>
                                <a:gd name="connsiteX75" fmla="*/ 193324 w 283081"/>
                                <a:gd name="connsiteY75" fmla="*/ 134636 h 196775"/>
                                <a:gd name="connsiteX76" fmla="*/ 172610 w 283081"/>
                                <a:gd name="connsiteY76" fmla="*/ 134636 h 196775"/>
                                <a:gd name="connsiteX77" fmla="*/ 172610 w 283081"/>
                                <a:gd name="connsiteY77" fmla="*/ 113923 h 196775"/>
                                <a:gd name="connsiteX78" fmla="*/ 193324 w 283081"/>
                                <a:gd name="connsiteY78" fmla="*/ 113923 h 196775"/>
                                <a:gd name="connsiteX79" fmla="*/ 193324 w 283081"/>
                                <a:gd name="connsiteY79" fmla="*/ 100114 h 196775"/>
                                <a:gd name="connsiteX80" fmla="*/ 172610 w 283081"/>
                                <a:gd name="connsiteY80" fmla="*/ 100114 h 196775"/>
                                <a:gd name="connsiteX81" fmla="*/ 172610 w 283081"/>
                                <a:gd name="connsiteY81" fmla="*/ 79401 h 196775"/>
                                <a:gd name="connsiteX82" fmla="*/ 193324 w 283081"/>
                                <a:gd name="connsiteY82" fmla="*/ 79401 h 196775"/>
                                <a:gd name="connsiteX83" fmla="*/ 227846 w 283081"/>
                                <a:gd name="connsiteY83" fmla="*/ 169158 h 196775"/>
                                <a:gd name="connsiteX84" fmla="*/ 207133 w 283081"/>
                                <a:gd name="connsiteY84" fmla="*/ 169158 h 196775"/>
                                <a:gd name="connsiteX85" fmla="*/ 207133 w 283081"/>
                                <a:gd name="connsiteY85" fmla="*/ 148445 h 196775"/>
                                <a:gd name="connsiteX86" fmla="*/ 227846 w 283081"/>
                                <a:gd name="connsiteY86" fmla="*/ 148445 h 196775"/>
                                <a:gd name="connsiteX87" fmla="*/ 227846 w 283081"/>
                                <a:gd name="connsiteY87" fmla="*/ 134636 h 196775"/>
                                <a:gd name="connsiteX88" fmla="*/ 207133 w 283081"/>
                                <a:gd name="connsiteY88" fmla="*/ 134636 h 196775"/>
                                <a:gd name="connsiteX89" fmla="*/ 207133 w 283081"/>
                                <a:gd name="connsiteY89" fmla="*/ 113923 h 196775"/>
                                <a:gd name="connsiteX90" fmla="*/ 227846 w 283081"/>
                                <a:gd name="connsiteY90" fmla="*/ 113923 h 196775"/>
                                <a:gd name="connsiteX91" fmla="*/ 227846 w 283081"/>
                                <a:gd name="connsiteY91" fmla="*/ 100114 h 196775"/>
                                <a:gd name="connsiteX92" fmla="*/ 207133 w 283081"/>
                                <a:gd name="connsiteY92" fmla="*/ 100114 h 196775"/>
                                <a:gd name="connsiteX93" fmla="*/ 207133 w 283081"/>
                                <a:gd name="connsiteY93" fmla="*/ 79401 h 196775"/>
                                <a:gd name="connsiteX94" fmla="*/ 227846 w 283081"/>
                                <a:gd name="connsiteY94" fmla="*/ 79401 h 196775"/>
                                <a:gd name="connsiteX95" fmla="*/ 262368 w 283081"/>
                                <a:gd name="connsiteY95" fmla="*/ 169158 h 196775"/>
                                <a:gd name="connsiteX96" fmla="*/ 241655 w 283081"/>
                                <a:gd name="connsiteY96" fmla="*/ 169158 h 196775"/>
                                <a:gd name="connsiteX97" fmla="*/ 241655 w 283081"/>
                                <a:gd name="connsiteY97" fmla="*/ 148445 h 196775"/>
                                <a:gd name="connsiteX98" fmla="*/ 262368 w 283081"/>
                                <a:gd name="connsiteY98" fmla="*/ 148445 h 196775"/>
                                <a:gd name="connsiteX99" fmla="*/ 262368 w 283081"/>
                                <a:gd name="connsiteY99" fmla="*/ 134636 h 196775"/>
                                <a:gd name="connsiteX100" fmla="*/ 241655 w 283081"/>
                                <a:gd name="connsiteY100" fmla="*/ 134636 h 196775"/>
                                <a:gd name="connsiteX101" fmla="*/ 241655 w 283081"/>
                                <a:gd name="connsiteY101" fmla="*/ 113923 h 196775"/>
                                <a:gd name="connsiteX102" fmla="*/ 262368 w 283081"/>
                                <a:gd name="connsiteY102" fmla="*/ 113923 h 196775"/>
                                <a:gd name="connsiteX103" fmla="*/ 262368 w 283081"/>
                                <a:gd name="connsiteY103" fmla="*/ 100114 h 196775"/>
                                <a:gd name="connsiteX104" fmla="*/ 241655 w 283081"/>
                                <a:gd name="connsiteY104" fmla="*/ 100114 h 196775"/>
                                <a:gd name="connsiteX105" fmla="*/ 241655 w 283081"/>
                                <a:gd name="connsiteY105" fmla="*/ 79401 h 196775"/>
                                <a:gd name="connsiteX106" fmla="*/ 262368 w 283081"/>
                                <a:gd name="connsiteY106" fmla="*/ 79401 h 19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283081" h="196775">
                                  <a:moveTo>
                                    <a:pt x="182967" y="51783"/>
                                  </a:moveTo>
                                  <a:lnTo>
                                    <a:pt x="182967" y="41427"/>
                                  </a:lnTo>
                                  <a:lnTo>
                                    <a:pt x="141541" y="0"/>
                                  </a:lnTo>
                                  <a:lnTo>
                                    <a:pt x="100114" y="41427"/>
                                  </a:lnTo>
                                  <a:lnTo>
                                    <a:pt x="100114" y="51783"/>
                                  </a:lnTo>
                                  <a:lnTo>
                                    <a:pt x="0" y="51783"/>
                                  </a:lnTo>
                                  <a:lnTo>
                                    <a:pt x="0" y="65592"/>
                                  </a:lnTo>
                                  <a:lnTo>
                                    <a:pt x="6904" y="65592"/>
                                  </a:lnTo>
                                  <a:lnTo>
                                    <a:pt x="6904" y="196776"/>
                                  </a:lnTo>
                                  <a:lnTo>
                                    <a:pt x="276177" y="196776"/>
                                  </a:lnTo>
                                  <a:lnTo>
                                    <a:pt x="276177" y="65592"/>
                                  </a:lnTo>
                                  <a:lnTo>
                                    <a:pt x="283081" y="65592"/>
                                  </a:lnTo>
                                  <a:lnTo>
                                    <a:pt x="283081" y="51783"/>
                                  </a:lnTo>
                                  <a:close/>
                                  <a:moveTo>
                                    <a:pt x="41427" y="169158"/>
                                  </a:moveTo>
                                  <a:lnTo>
                                    <a:pt x="20713" y="169158"/>
                                  </a:lnTo>
                                  <a:lnTo>
                                    <a:pt x="20713" y="148445"/>
                                  </a:lnTo>
                                  <a:lnTo>
                                    <a:pt x="41427" y="148445"/>
                                  </a:lnTo>
                                  <a:close/>
                                  <a:moveTo>
                                    <a:pt x="41427" y="134636"/>
                                  </a:moveTo>
                                  <a:lnTo>
                                    <a:pt x="20713" y="134636"/>
                                  </a:lnTo>
                                  <a:lnTo>
                                    <a:pt x="20713" y="113923"/>
                                  </a:lnTo>
                                  <a:lnTo>
                                    <a:pt x="41427" y="113923"/>
                                  </a:lnTo>
                                  <a:close/>
                                  <a:moveTo>
                                    <a:pt x="41427" y="100114"/>
                                  </a:moveTo>
                                  <a:lnTo>
                                    <a:pt x="20713" y="100114"/>
                                  </a:lnTo>
                                  <a:lnTo>
                                    <a:pt x="20713" y="79401"/>
                                  </a:lnTo>
                                  <a:lnTo>
                                    <a:pt x="41427" y="79401"/>
                                  </a:lnTo>
                                  <a:close/>
                                  <a:moveTo>
                                    <a:pt x="75949" y="169158"/>
                                  </a:moveTo>
                                  <a:lnTo>
                                    <a:pt x="55235" y="169158"/>
                                  </a:lnTo>
                                  <a:lnTo>
                                    <a:pt x="55235" y="148445"/>
                                  </a:lnTo>
                                  <a:lnTo>
                                    <a:pt x="75949" y="148445"/>
                                  </a:lnTo>
                                  <a:close/>
                                  <a:moveTo>
                                    <a:pt x="75949" y="134636"/>
                                  </a:moveTo>
                                  <a:lnTo>
                                    <a:pt x="55235" y="134636"/>
                                  </a:lnTo>
                                  <a:lnTo>
                                    <a:pt x="55235" y="113923"/>
                                  </a:lnTo>
                                  <a:lnTo>
                                    <a:pt x="75949" y="113923"/>
                                  </a:lnTo>
                                  <a:close/>
                                  <a:moveTo>
                                    <a:pt x="75949" y="100114"/>
                                  </a:moveTo>
                                  <a:lnTo>
                                    <a:pt x="55235" y="100114"/>
                                  </a:lnTo>
                                  <a:lnTo>
                                    <a:pt x="55235" y="79401"/>
                                  </a:lnTo>
                                  <a:lnTo>
                                    <a:pt x="75949" y="79401"/>
                                  </a:lnTo>
                                  <a:close/>
                                  <a:moveTo>
                                    <a:pt x="110471" y="169158"/>
                                  </a:moveTo>
                                  <a:lnTo>
                                    <a:pt x="89757" y="169158"/>
                                  </a:lnTo>
                                  <a:lnTo>
                                    <a:pt x="89757" y="148445"/>
                                  </a:lnTo>
                                  <a:lnTo>
                                    <a:pt x="110471" y="148445"/>
                                  </a:lnTo>
                                  <a:close/>
                                  <a:moveTo>
                                    <a:pt x="110471" y="134636"/>
                                  </a:moveTo>
                                  <a:lnTo>
                                    <a:pt x="89757" y="134636"/>
                                  </a:lnTo>
                                  <a:lnTo>
                                    <a:pt x="89757" y="113923"/>
                                  </a:lnTo>
                                  <a:lnTo>
                                    <a:pt x="110471" y="113923"/>
                                  </a:lnTo>
                                  <a:close/>
                                  <a:moveTo>
                                    <a:pt x="110471" y="100114"/>
                                  </a:moveTo>
                                  <a:lnTo>
                                    <a:pt x="89757" y="100114"/>
                                  </a:lnTo>
                                  <a:lnTo>
                                    <a:pt x="89757" y="79401"/>
                                  </a:lnTo>
                                  <a:lnTo>
                                    <a:pt x="110471" y="79401"/>
                                  </a:lnTo>
                                  <a:close/>
                                  <a:moveTo>
                                    <a:pt x="127732" y="182967"/>
                                  </a:moveTo>
                                  <a:lnTo>
                                    <a:pt x="127732" y="134636"/>
                                  </a:lnTo>
                                  <a:lnTo>
                                    <a:pt x="155349" y="134636"/>
                                  </a:lnTo>
                                  <a:lnTo>
                                    <a:pt x="155349" y="182967"/>
                                  </a:lnTo>
                                  <a:close/>
                                  <a:moveTo>
                                    <a:pt x="165706" y="65178"/>
                                  </a:moveTo>
                                  <a:lnTo>
                                    <a:pt x="159250" y="76363"/>
                                  </a:lnTo>
                                  <a:lnTo>
                                    <a:pt x="147996" y="69838"/>
                                  </a:lnTo>
                                  <a:lnTo>
                                    <a:pt x="147996" y="82853"/>
                                  </a:lnTo>
                                  <a:lnTo>
                                    <a:pt x="135085" y="82853"/>
                                  </a:lnTo>
                                  <a:lnTo>
                                    <a:pt x="135085" y="69838"/>
                                  </a:lnTo>
                                  <a:lnTo>
                                    <a:pt x="123831" y="76363"/>
                                  </a:lnTo>
                                  <a:lnTo>
                                    <a:pt x="117375" y="65178"/>
                                  </a:lnTo>
                                  <a:lnTo>
                                    <a:pt x="128664" y="58688"/>
                                  </a:lnTo>
                                  <a:lnTo>
                                    <a:pt x="117375" y="52197"/>
                                  </a:lnTo>
                                  <a:lnTo>
                                    <a:pt x="123831" y="41012"/>
                                  </a:lnTo>
                                  <a:lnTo>
                                    <a:pt x="135085" y="47537"/>
                                  </a:lnTo>
                                  <a:lnTo>
                                    <a:pt x="135085" y="34522"/>
                                  </a:lnTo>
                                  <a:lnTo>
                                    <a:pt x="147996" y="34522"/>
                                  </a:lnTo>
                                  <a:lnTo>
                                    <a:pt x="147996" y="47537"/>
                                  </a:lnTo>
                                  <a:lnTo>
                                    <a:pt x="159250" y="41012"/>
                                  </a:lnTo>
                                  <a:lnTo>
                                    <a:pt x="165706" y="52197"/>
                                  </a:lnTo>
                                  <a:lnTo>
                                    <a:pt x="154417" y="58688"/>
                                  </a:lnTo>
                                  <a:close/>
                                  <a:moveTo>
                                    <a:pt x="193324" y="169158"/>
                                  </a:moveTo>
                                  <a:lnTo>
                                    <a:pt x="172610" y="169158"/>
                                  </a:lnTo>
                                  <a:lnTo>
                                    <a:pt x="172610" y="148445"/>
                                  </a:lnTo>
                                  <a:lnTo>
                                    <a:pt x="193324" y="148445"/>
                                  </a:lnTo>
                                  <a:close/>
                                  <a:moveTo>
                                    <a:pt x="193324" y="134636"/>
                                  </a:moveTo>
                                  <a:lnTo>
                                    <a:pt x="172610" y="134636"/>
                                  </a:lnTo>
                                  <a:lnTo>
                                    <a:pt x="172610" y="113923"/>
                                  </a:lnTo>
                                  <a:lnTo>
                                    <a:pt x="193324" y="113923"/>
                                  </a:lnTo>
                                  <a:close/>
                                  <a:moveTo>
                                    <a:pt x="193324" y="100114"/>
                                  </a:moveTo>
                                  <a:lnTo>
                                    <a:pt x="172610" y="100114"/>
                                  </a:lnTo>
                                  <a:lnTo>
                                    <a:pt x="172610" y="79401"/>
                                  </a:lnTo>
                                  <a:lnTo>
                                    <a:pt x="193324" y="79401"/>
                                  </a:lnTo>
                                  <a:close/>
                                  <a:moveTo>
                                    <a:pt x="227846" y="169158"/>
                                  </a:moveTo>
                                  <a:lnTo>
                                    <a:pt x="207133" y="169158"/>
                                  </a:lnTo>
                                  <a:lnTo>
                                    <a:pt x="207133" y="148445"/>
                                  </a:lnTo>
                                  <a:lnTo>
                                    <a:pt x="227846" y="148445"/>
                                  </a:lnTo>
                                  <a:close/>
                                  <a:moveTo>
                                    <a:pt x="227846" y="134636"/>
                                  </a:moveTo>
                                  <a:lnTo>
                                    <a:pt x="207133" y="134636"/>
                                  </a:lnTo>
                                  <a:lnTo>
                                    <a:pt x="207133" y="113923"/>
                                  </a:lnTo>
                                  <a:lnTo>
                                    <a:pt x="227846" y="113923"/>
                                  </a:lnTo>
                                  <a:close/>
                                  <a:moveTo>
                                    <a:pt x="227846" y="100114"/>
                                  </a:moveTo>
                                  <a:lnTo>
                                    <a:pt x="207133" y="100114"/>
                                  </a:lnTo>
                                  <a:lnTo>
                                    <a:pt x="207133" y="79401"/>
                                  </a:lnTo>
                                  <a:lnTo>
                                    <a:pt x="227846" y="79401"/>
                                  </a:lnTo>
                                  <a:close/>
                                  <a:moveTo>
                                    <a:pt x="262368" y="169158"/>
                                  </a:moveTo>
                                  <a:lnTo>
                                    <a:pt x="241655" y="169158"/>
                                  </a:lnTo>
                                  <a:lnTo>
                                    <a:pt x="241655" y="148445"/>
                                  </a:lnTo>
                                  <a:lnTo>
                                    <a:pt x="262368" y="148445"/>
                                  </a:lnTo>
                                  <a:close/>
                                  <a:moveTo>
                                    <a:pt x="262368" y="134636"/>
                                  </a:moveTo>
                                  <a:lnTo>
                                    <a:pt x="241655" y="134636"/>
                                  </a:lnTo>
                                  <a:lnTo>
                                    <a:pt x="241655" y="113923"/>
                                  </a:lnTo>
                                  <a:lnTo>
                                    <a:pt x="262368" y="113923"/>
                                  </a:lnTo>
                                  <a:close/>
                                  <a:moveTo>
                                    <a:pt x="262368" y="100114"/>
                                  </a:moveTo>
                                  <a:lnTo>
                                    <a:pt x="241655" y="100114"/>
                                  </a:lnTo>
                                  <a:lnTo>
                                    <a:pt x="241655" y="79401"/>
                                  </a:lnTo>
                                  <a:lnTo>
                                    <a:pt x="262368" y="79401"/>
                                  </a:lnTo>
                                  <a:close/>
                                </a:path>
                              </a:pathLst>
                            </a:custGeom>
                            <a:solidFill>
                              <a:srgbClr val="464E7E"/>
                            </a:solidFill>
                            <a:ln w="3373" cap="flat">
                              <a:noFill/>
                              <a:prstDash val="solid"/>
                              <a:miter/>
                            </a:ln>
                          </wps:spPr>
                          <wps:bodyPr rtlCol="0" anchor="ctr"/>
                        </wps:wsp>
                      </wpg:grpSp>
                      <wps:wsp>
                        <wps:cNvPr id="699335020" name="Rectangle: Rounded Corners 12">
                          <a:extLst>
                            <a:ext uri="{FF2B5EF4-FFF2-40B4-BE49-F238E27FC236}">
                              <a16:creationId xmlns:a16="http://schemas.microsoft.com/office/drawing/2014/main" id="{4AB38D27-2A49-AD4E-597F-9E6A2EEBD015}"/>
                            </a:ext>
                          </a:extLst>
                        </wps:cNvPr>
                        <wps:cNvSpPr/>
                        <wps:spPr>
                          <a:xfrm>
                            <a:off x="4056105" y="317439"/>
                            <a:ext cx="1857961" cy="1044030"/>
                          </a:xfrm>
                          <a:prstGeom prst="roundRect">
                            <a:avLst>
                              <a:gd name="adj" fmla="val 10778"/>
                            </a:avLst>
                          </a:prstGeom>
                          <a:solidFill>
                            <a:schemeClr val="accent4">
                              <a:lumMod val="20000"/>
                              <a:lumOff val="80000"/>
                            </a:schemeClr>
                          </a:solidFill>
                          <a:ln w="12700" cap="flat" cmpd="sng" algn="ctr">
                            <a:solidFill>
                              <a:srgbClr val="464E7E"/>
                            </a:solidFill>
                            <a:prstDash val="solid"/>
                            <a:miter lim="800000"/>
                          </a:ln>
                          <a:effectLst/>
                        </wps:spPr>
                        <wps:txbx>
                          <w:txbxContent>
                            <w:p w14:paraId="42EC857F"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 xml:space="preserve">Queensland: </w:t>
                              </w:r>
                            </w:p>
                            <w:p w14:paraId="06CA3FCB" w14:textId="206B4293"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Wide Bay HHS: Bundaberg Hospital</w:t>
                              </w:r>
                            </w:p>
                            <w:p w14:paraId="17FDFC61"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 xml:space="preserve"> Metro North HHS: Caboolture Hospital </w:t>
                              </w:r>
                              <w:r>
                                <w:rPr>
                                  <w:rFonts w:asciiTheme="minorHAnsi"/>
                                  <w:color w:val="464E7E"/>
                                  <w:kern w:val="24"/>
                                  <w:sz w:val="16"/>
                                  <w:szCs w:val="16"/>
                                </w:rPr>
                                <w:t>and</w:t>
                              </w:r>
                              <w:r w:rsidRPr="00002C11">
                                <w:rPr>
                                  <w:rFonts w:asciiTheme="minorHAnsi"/>
                                  <w:color w:val="464E7E"/>
                                  <w:kern w:val="24"/>
                                  <w:sz w:val="16"/>
                                  <w:szCs w:val="16"/>
                                </w:rPr>
                                <w:t xml:space="preserve"> Royal Brisbane &amp; Women's Hospital</w:t>
                              </w:r>
                            </w:p>
                          </w:txbxContent>
                        </wps:txbx>
                        <wps:bodyPr wrap="square" lIns="36000" tIns="0" rIns="36000" bIns="0" rtlCol="0" anchor="ctr">
                          <a:spAutoFit/>
                        </wps:bodyPr>
                      </wps:wsp>
                      <wps:wsp>
                        <wps:cNvPr id="1685027904" name="Rectangle: Rounded Corners 13">
                          <a:extLst>
                            <a:ext uri="{FF2B5EF4-FFF2-40B4-BE49-F238E27FC236}">
                              <a16:creationId xmlns:a16="http://schemas.microsoft.com/office/drawing/2014/main" id="{A33B2CCF-F12B-E4A5-6994-7217F4B62164}"/>
                            </a:ext>
                          </a:extLst>
                        </wps:cNvPr>
                        <wps:cNvSpPr/>
                        <wps:spPr>
                          <a:xfrm>
                            <a:off x="4768560" y="2279467"/>
                            <a:ext cx="1618936" cy="1323597"/>
                          </a:xfrm>
                          <a:prstGeom prst="roundRect">
                            <a:avLst>
                              <a:gd name="adj" fmla="val 13670"/>
                            </a:avLst>
                          </a:prstGeom>
                          <a:solidFill>
                            <a:schemeClr val="accent4">
                              <a:lumMod val="20000"/>
                              <a:lumOff val="80000"/>
                            </a:schemeClr>
                          </a:solidFill>
                          <a:ln w="12700" cap="flat" cmpd="sng" algn="ctr">
                            <a:solidFill>
                              <a:srgbClr val="464E7E"/>
                            </a:solidFill>
                            <a:prstDash val="solid"/>
                            <a:miter lim="800000"/>
                          </a:ln>
                          <a:effectLst/>
                        </wps:spPr>
                        <wps:txbx>
                          <w:txbxContent>
                            <w:p w14:paraId="05C7E078"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New South Wales:</w:t>
                              </w:r>
                            </w:p>
                            <w:p w14:paraId="5FFB1D28"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Hunter New England LHD: John Hunter Hospital</w:t>
                              </w:r>
                            </w:p>
                            <w:p w14:paraId="3F9A5EE6"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Murrumbidgee LHD: Wagga Wagga Base Hospital</w:t>
                              </w:r>
                            </w:p>
                          </w:txbxContent>
                        </wps:txbx>
                        <wps:bodyPr wrap="square" lIns="36000" tIns="36000" rIns="36000" bIns="36000" rtlCol="0" anchor="ctr">
                          <a:spAutoFit/>
                        </wps:bodyPr>
                      </wps:wsp>
                      <wps:wsp>
                        <wps:cNvPr id="816571816" name="Rectangle: Rounded Corners 14">
                          <a:extLst>
                            <a:ext uri="{FF2B5EF4-FFF2-40B4-BE49-F238E27FC236}">
                              <a16:creationId xmlns:a16="http://schemas.microsoft.com/office/drawing/2014/main" id="{AA2B3DB2-2F6D-1A63-01C6-0B6D6413AC6C}"/>
                            </a:ext>
                          </a:extLst>
                        </wps:cNvPr>
                        <wps:cNvSpPr/>
                        <wps:spPr>
                          <a:xfrm>
                            <a:off x="1879456" y="3638257"/>
                            <a:ext cx="1799412" cy="997185"/>
                          </a:xfrm>
                          <a:prstGeom prst="roundRect">
                            <a:avLst/>
                          </a:prstGeom>
                          <a:solidFill>
                            <a:schemeClr val="accent4">
                              <a:lumMod val="20000"/>
                              <a:lumOff val="80000"/>
                            </a:schemeClr>
                          </a:solidFill>
                          <a:ln w="12700" cap="flat" cmpd="sng" algn="ctr">
                            <a:solidFill>
                              <a:srgbClr val="464E7E"/>
                            </a:solidFill>
                            <a:prstDash val="solid"/>
                            <a:miter lim="800000"/>
                          </a:ln>
                          <a:effectLst/>
                        </wps:spPr>
                        <wps:txbx>
                          <w:txbxContent>
                            <w:p w14:paraId="20376F74"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Victoria:</w:t>
                              </w:r>
                            </w:p>
                            <w:p w14:paraId="09BB7D13"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Alfred Health HS: Alfred Hospital</w:t>
                              </w:r>
                            </w:p>
                            <w:p w14:paraId="78BA03C3"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Barwon Health HS: University Hospital Geelong</w:t>
                              </w:r>
                            </w:p>
                          </w:txbxContent>
                        </wps:txbx>
                        <wps:bodyPr wrap="square" lIns="36000" tIns="36000" rIns="36000" bIns="36000" rtlCol="0" anchor="ctr">
                          <a:spAutoFit/>
                        </wps:bodyPr>
                      </wps:wsp>
                      <wps:wsp>
                        <wps:cNvPr id="419205162" name="Rectangle: Rounded Corners 15">
                          <a:extLst>
                            <a:ext uri="{FF2B5EF4-FFF2-40B4-BE49-F238E27FC236}">
                              <a16:creationId xmlns:a16="http://schemas.microsoft.com/office/drawing/2014/main" id="{3A3254B7-A448-F1FB-3A33-B11E2FF68418}"/>
                            </a:ext>
                          </a:extLst>
                        </wps:cNvPr>
                        <wps:cNvSpPr/>
                        <wps:spPr>
                          <a:xfrm>
                            <a:off x="0" y="2043213"/>
                            <a:ext cx="1700365" cy="815220"/>
                          </a:xfrm>
                          <a:prstGeom prst="roundRect">
                            <a:avLst/>
                          </a:prstGeom>
                          <a:solidFill>
                            <a:schemeClr val="accent4">
                              <a:lumMod val="20000"/>
                              <a:lumOff val="80000"/>
                            </a:schemeClr>
                          </a:solidFill>
                          <a:ln w="12700" cap="flat" cmpd="sng" algn="ctr">
                            <a:solidFill>
                              <a:srgbClr val="464E7E"/>
                            </a:solidFill>
                            <a:prstDash val="solid"/>
                            <a:miter lim="800000"/>
                          </a:ln>
                          <a:effectLst/>
                        </wps:spPr>
                        <wps:txbx>
                          <w:txbxContent>
                            <w:p w14:paraId="132F4315"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Western Australia:</w:t>
                              </w:r>
                            </w:p>
                            <w:p w14:paraId="30D5C1D1" w14:textId="34A53B39" w:rsidR="009614F3" w:rsidRDefault="00D1714F">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 xml:space="preserve">North </w:t>
                              </w:r>
                              <w:r>
                                <w:rPr>
                                  <w:rFonts w:asciiTheme="minorHAnsi"/>
                                  <w:color w:val="464E7E"/>
                                  <w:kern w:val="24"/>
                                  <w:sz w:val="16"/>
                                  <w:szCs w:val="16"/>
                                </w:rPr>
                                <w:t>Metropolitan</w:t>
                              </w:r>
                              <w:r w:rsidRPr="00002C11">
                                <w:rPr>
                                  <w:rFonts w:asciiTheme="minorHAnsi"/>
                                  <w:color w:val="464E7E"/>
                                  <w:kern w:val="24"/>
                                  <w:sz w:val="16"/>
                                  <w:szCs w:val="16"/>
                                </w:rPr>
                                <w:t xml:space="preserve"> HSP:</w:t>
                              </w:r>
                              <w:r w:rsidR="0084047A">
                                <w:rPr>
                                  <w:rFonts w:asciiTheme="minorHAnsi"/>
                                  <w:color w:val="464E7E"/>
                                  <w:kern w:val="24"/>
                                  <w:sz w:val="16"/>
                                  <w:szCs w:val="16"/>
                                </w:rPr>
                                <w:t xml:space="preserve"> </w:t>
                              </w:r>
                            </w:p>
                            <w:p w14:paraId="3DB7B52B" w14:textId="5BF55D02" w:rsidR="00D1714F" w:rsidRPr="00002C11" w:rsidRDefault="00D1714F" w:rsidP="00AD1F32">
                              <w:pPr>
                                <w:pStyle w:val="ListParagraph"/>
                                <w:spacing w:after="0"/>
                                <w:ind w:left="142"/>
                                <w:rPr>
                                  <w:rFonts w:asciiTheme="minorHAnsi"/>
                                  <w:color w:val="464E7E"/>
                                  <w:kern w:val="24"/>
                                  <w:sz w:val="16"/>
                                  <w:szCs w:val="16"/>
                                </w:rPr>
                              </w:pPr>
                              <w:r w:rsidRPr="00002C11">
                                <w:rPr>
                                  <w:rFonts w:asciiTheme="minorHAnsi"/>
                                  <w:color w:val="464E7E"/>
                                  <w:kern w:val="24"/>
                                  <w:sz w:val="16"/>
                                  <w:szCs w:val="16"/>
                                </w:rPr>
                                <w:t>Sir Charles Gairdner Hospital</w:t>
                              </w:r>
                            </w:p>
                          </w:txbxContent>
                        </wps:txbx>
                        <wps:bodyPr wrap="square" lIns="36000" tIns="36000" rIns="36000" bIns="36000" rtlCol="0" anchor="ctr">
                          <a:spAutoFit/>
                        </wps:bodyPr>
                      </wps:wsp>
                      <wps:wsp>
                        <wps:cNvPr id="959216383" name="Rectangle: Rounded Corners 16">
                          <a:extLst>
                            <a:ext uri="{FF2B5EF4-FFF2-40B4-BE49-F238E27FC236}">
                              <a16:creationId xmlns:a16="http://schemas.microsoft.com/office/drawing/2014/main" id="{947DE466-942A-DF3D-01F6-3169D07469C2}"/>
                            </a:ext>
                          </a:extLst>
                        </wps:cNvPr>
                        <wps:cNvSpPr/>
                        <wps:spPr>
                          <a:xfrm>
                            <a:off x="4431960" y="3365175"/>
                            <a:ext cx="1620528" cy="903566"/>
                          </a:xfrm>
                          <a:prstGeom prst="roundRect">
                            <a:avLst>
                              <a:gd name="adj" fmla="val 31729"/>
                            </a:avLst>
                          </a:prstGeom>
                          <a:solidFill>
                            <a:schemeClr val="accent4">
                              <a:lumMod val="20000"/>
                              <a:lumOff val="80000"/>
                            </a:schemeClr>
                          </a:solidFill>
                          <a:ln w="12700" cap="flat" cmpd="sng" algn="ctr">
                            <a:solidFill>
                              <a:srgbClr val="464E7E"/>
                            </a:solidFill>
                            <a:prstDash val="solid"/>
                            <a:miter lim="800000"/>
                          </a:ln>
                          <a:effectLst/>
                        </wps:spPr>
                        <wps:txbx>
                          <w:txbxContent>
                            <w:p w14:paraId="4BAE0484"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Australian Capital Territory:</w:t>
                              </w:r>
                            </w:p>
                            <w:p w14:paraId="6DF02A3F"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Canberra Health Services</w:t>
                              </w:r>
                            </w:p>
                          </w:txbxContent>
                        </wps:txbx>
                        <wps:bodyPr wrap="square" lIns="36000" tIns="36000" rIns="36000" bIns="36000" rtlCol="0" anchor="ctr">
                          <a:spAutoFit/>
                        </wps:bodyPr>
                      </wps:wsp>
                      <wps:wsp>
                        <wps:cNvPr id="387254183" name="Rectangle: Rounded Corners 17">
                          <a:extLst>
                            <a:ext uri="{FF2B5EF4-FFF2-40B4-BE49-F238E27FC236}">
                              <a16:creationId xmlns:a16="http://schemas.microsoft.com/office/drawing/2014/main" id="{EC31C4DF-C7BC-0A74-8995-4241BC53F0DC}"/>
                            </a:ext>
                          </a:extLst>
                        </wps:cNvPr>
                        <wps:cNvSpPr/>
                        <wps:spPr>
                          <a:xfrm>
                            <a:off x="1625475" y="2762204"/>
                            <a:ext cx="1358003" cy="809728"/>
                          </a:xfrm>
                          <a:prstGeom prst="roundRect">
                            <a:avLst/>
                          </a:prstGeom>
                          <a:solidFill>
                            <a:schemeClr val="accent4">
                              <a:lumMod val="20000"/>
                              <a:lumOff val="80000"/>
                            </a:schemeClr>
                          </a:solidFill>
                          <a:ln w="12700" cap="flat" cmpd="sng" algn="ctr">
                            <a:solidFill>
                              <a:srgbClr val="464E7E"/>
                            </a:solidFill>
                            <a:prstDash val="solid"/>
                            <a:miter lim="800000"/>
                          </a:ln>
                          <a:effectLst/>
                        </wps:spPr>
                        <wps:txbx>
                          <w:txbxContent>
                            <w:p w14:paraId="31919B1D"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South Australia:</w:t>
                              </w:r>
                            </w:p>
                            <w:p w14:paraId="39F8747D"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Southern Adelaide LHN: Flinders Medical Centre</w:t>
                              </w:r>
                            </w:p>
                          </w:txbxContent>
                        </wps:txbx>
                        <wps:bodyPr wrap="square" lIns="36000" tIns="36000" rIns="36000" bIns="36000" rtlCol="0" anchor="ctr">
                          <a:spAutoFit/>
                        </wps:bodyPr>
                      </wps:wsp>
                    </wpg:wgp>
                  </a:graphicData>
                </a:graphic>
              </wp:inline>
            </w:drawing>
          </mc:Choice>
          <mc:Fallback>
            <w:pict>
              <v:group w14:anchorId="20C6DC0F" id="Group 3" o:spid="_x0000_s1031" alt="P389#y1" style="width:451.25pt;height:327.5pt;mso-position-horizontal-relative:char;mso-position-vertical-relative:line" coordsize="63874,46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">
                <v:group id="Group 11" o:spid="_x0000_s1032" style="position:absolute;left:2095;width:46399;height:42532" coordorigin="11040" coordsize="36230,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">
                  <v:group id="Group 1592028452" o:spid="_x0000_s1033" style="position:absolute;left:11040;width:36230;height:33210" coordorigin="11040" coordsize="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">
                    <o:lock v:ext="edit" aspectratio="t"/>
                    <v:shape id="Freeform 45" o:spid="_x0000_s1034" style="position:absolute;left:11076;top:36;width:5;height:6;visibility:visible;mso-wrap-style:square;v-text-anchor:top" coordsize="22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" path="m42,67v-1,1,-4,3,-4,4c37,78,40,78,43,80v-1,6,-4,12,2,15c46,96,43,96,44,97v,1,3,3,4,5c48,105,46,106,47,108v,1,3,2,3,2c52,113,52,117,53,120v1,1,4,2,5,4c60,126,60,130,63,131v,1,,1,,1c63,133,66,132,68,132v1,2,1,8,2,10c70,146,70,146,70,146v1,-1,1,-3,3,-2c74,144,74,146,75,146v1,8,-1,9,9,9c84,156,84,158,84,159v-1,4,-8,6,-10,7c74,162,74,160,73,158v-2,-1,-2,-1,-2,-1c70,156,71,155,71,153v-1,,-3,,-3,c66,160,66,169,71,175v2,,2,,2,c75,177,76,179,77,180v,1,,4,,4c76,183,76,187,76,187v2,1,4,,4,1c82,191,79,192,81,195v1,2,5,2,7,4c90,201,90,204,92,206v2,4,5,6,7,10c101,216,101,216,101,216v,,,-4,1,-5c102,209,102,209,102,209v1,2,2,5,3,8c106,217,107,215,107,215v1,,1,2,2,2c112,218,115,217,116,217v-1,2,-1,3,-1,6c110,222,109,222,105,221v-1,-1,-1,-1,-1,-1c104,221,104,222,103,224v1,,3,,3,1c107,226,108,231,109,231v,1,,1,,1c110,232,114,229,114,229v2,,2,2,5,1c119,230,118,228,122,228v1,3,1,3,1,3c126,234,130,233,135,232v2,4,2,6,8,7c144,239,150,237,150,234v1,-1,-1,-3,-1,-3c151,230,152,231,153,230v,-1,1,-2,,-4c153,225,151,226,150,226v1,-5,1,-7,2,-11c152,215,152,221,152,223v2,,3,-1,5,-2c158,222,157,224,158,226v3,,3,,3,c161,228,161,228,161,228v,,2,,3,c163,225,163,224,163,223v-1,-3,,-8,,-8c163,214,164,208,164,209v-1,-1,,-3,,-5c163,204,161,201,160,201v4,1,7,2,11,4c171,207,170,209,171,210v-4,,-4,4,,3c175,212,175,208,175,202v-1,,,2,-2,1c171,201,171,201,171,201v2,-1,5,-3,8,-3c179,200,179,200,179,200v2,,1,1,2,2c184,202,184,200,187,201v,1,3,6,4,7c191,209,190,212,190,211v1,1,-1,2,-1,2c187,212,186,211,184,210v,-2,,-2,,-2c177,212,184,213,186,214v1,,1,,1,c187,215,187,220,187,221v1,,2,,3,1c190,221,189,217,190,217v,,1,1,2,1c193,219,194,220,195,221v,-3,2,-2,1,-4c194,215,194,215,194,215v1,-5,1,-7,2,-13c193,202,192,202,190,202v3,-10,1,-16,2,-24c192,177,195,179,195,179v1,-2,,-5,,-7c196,171,198,170,198,170v,-2,,-2,,-2c196,167,197,168,195,168v2,-7,2,-10,1,-16c198,152,201,152,202,152v,-1,-3,-5,-1,-6c205,145,205,145,205,145v4,,,2,-1,3c206,151,206,151,206,151v3,1,3,1,3,1c209,152,209,156,209,157v3,,3,,3,c212,156,210,155,210,153v,-2,2,-3,2,-6c212,146,210,145,210,143v,-2,4,-4,4,-6c214,135,212,131,211,130v-1,,2,-1,2,-1c216,121,211,110,213,101v,-1,3,-3,3,-3c216,96,215,94,215,93v2,-1,2,-1,2,-1c217,92,215,86,217,87v-1,-6,-1,-6,-1,-6c217,80,218,80,220,80v1,-1,1,-5,1,-5c221,74,217,70,217,70v-1,,-3,,-3,c212,63,212,63,212,63v-2,,-3,-1,-5,-2c206,63,205,66,204,67v-1,1,-2,,-3,1c201,69,202,70,201,71v-4,-1,-17,-6,-20,-5c174,74,174,74,174,74v-1,,-3,1,-3,1c166,69,167,70,163,73v-1,,-3,,-4,1c158,77,158,77,158,77v-4,,-5,-2,-7,-2c150,75,145,77,143,78v,,-1,2,,3c143,82,147,81,147,82v2,2,1,5,1,7c147,88,146,85,145,84v-2,,-3,,-4,-1c140,83,141,81,141,81v-1,-1,-3,-2,-3,-3c137,78,135,78,134,79v-1,,,4,,4c131,82,131,82,131,82v,-2,,-2,,-2c131,79,129,79,128,79v-2,,-3,1,-6,2c123,85,123,85,123,85v-1,1,-3,-2,-3,-3c116,81,113,83,110,82v-1,,-3,-2,-4,-2c104,79,101,80,99,79v,-1,,-4,-2,-4c95,74,94,75,92,74v-1,,-2,-3,-2,-3c86,69,84,72,81,71v-1,,-2,-4,-2,-4c78,67,76,68,75,69,74,68,73,67,72,67v,-2,,-2,,-2c61,65,61,65,61,65v-1,,1,2,-2,2c49,61,49,61,49,61v-2,,-2,2,-4,1c44,62,44,60,43,59v-1,2,-2,3,-2,3c40,65,42,65,42,67xm166,228v-2,4,-2,6,-4,9c163,237,164,235,165,235v,,2,-1,3,-2c167,236,168,234,170,235v,-2,-1,-4,,-7c169,228,166,229,166,228xm169,221v,,1,5,,5c172,224,172,223,169,221xm199,187v,,-1,4,-2,4c201,192,201,192,201,192v,,2,-6,-2,-5xm207,162v1,3,1,3,1,3c210,165,208,162,207,162xm150,90v1,3,1,3,1,3c153,94,150,95,150,95v,-2,1,-2,-1,-3c149,92,150,88,150,90xm180,62v-1,1,1,2,1,2c181,64,184,61,180,62xm51,54v-3,4,-3,4,-3,4c47,59,49,61,50,60v2,,5,-3,6,-4c55,56,53,57,52,56v,,1,-1,-1,-2xm213,53v2,3,2,3,2,3c219,53,218,55,213,53xm220,52v,3,,3,,3c222,54,221,55,221,53v1,,,-1,,-1c220,52,221,52,220,52xm50,49v1,3,1,3,1,3c51,50,52,49,50,49xm210,43v-7,1,-5,3,,5c212,49,212,48,214,48v2,4,2,4,2,4c216,52,218,51,219,52v,-1,1,-3,2,-3c222,49,223,52,223,52v1,,3,-1,3,c224,51,228,51,228,51v-1,-1,-4,-3,-5,-4c223,46,224,44,223,44v-1,-1,-10,-1,-13,-1xm41,43v-2,3,-1,2,-3,4c38,47,38,50,39,49v,,-1,2,1,1c40,52,40,53,41,56v3,,3,,3,c44,56,41,51,43,51v-1,,,-5,,-7c41,43,41,43,41,43v,,,,,xm48,42v,1,,3,,4c50,48,50,48,50,48v1,-3,1,-3,1,-3c52,42,52,42,52,42v-1,,-3,1,-4,xm206,37v1,3,1,3,1,3c210,42,207,38,206,37xm201,24v,1,-5,6,-3,6c201,28,201,28,201,28v1,-1,1,-5,,-4xm207,8v-1,1,-2,,-3,1c204,11,205,13,204,14v,1,-2,,-3,1c201,16,201,18,199,18v5,1,6,3,9,4c205,26,205,26,205,26v2,1,5,2,6,4c212,32,211,33,213,34v,1,-2,2,-1,3c212,38,214,38,214,39v,,2,,3,c218,39,219,36,220,35v1,-1,3,,4,-1c223,29,223,28,223,23v3,1,,-2,,-2c221,20,219,21,218,20v-2,-1,-1,-3,-2,-4c213,13,209,11,207,8xm3,c1,7,2,10,,18v3,1,3,1,3,1c5,23,5,29,6,32v2,,4,,5,c12,31,11,30,12,29v1,-1,3,-2,4,-3c17,23,16,15,15,13,13,12,13,12,13,12v-1,-1,,-4,,-5c12,1,7,1,3,xe" filled="f" strokecolor="white">
                      <v:path arrowok="t" o:connecttype="custom" o:connectlocs="44,97;58,124;70,146;74,166;71,175;80,188;101,216;109,217;103,224;119,230;150,234;152,215;161,228;164,204;175,202;181,202;184,210;190,222;194,215;195,172;202,152;209,152;210,143;216,98;220,80;207,61;174,74;151,75;145,84;134,83;123,85;97,75;75,69;49,61;166,228;170,228;199,187;208,165;149,92;51,54;51,54;220,55;51,52;216,52;228,51;38,47;43,51;48,46;206,37;201,28;201,15;213,34;224,34;207,8;11,32;13,7" o:connectangles="0,0,0,0,0,0,0,0,0,0,0,0,0,0,0,0,0,0,0,0,0,0,0,0,0,0,0,0,0,0,0,0,0,0,0,0,0,0,0,0,0,0,0,0,0,0,0,0,0,0,0,0,0,0,0,0"/>
                      <o:lock v:ext="edit" verticies="t"/>
                    </v:shape>
                    <v:shape id="Freeform 41" o:spid="_x0000_s1035" style="position:absolute;left:11073;top:22;width:14;height:12;visibility:visible;mso-wrap-style:square;v-text-anchor:top" coordsize="62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" path="m413,498v2,-11,2,-11,2,-11c415,487,421,487,422,487v-1,-3,-1,-7,-4,-8c417,478,416,479,415,479v1,-7,,-8,-3,-13c412,466,419,467,416,465v-1,,-1,,-1,c415,464,414,463,415,462v,,2,,2,-1c419,458,418,456,419,453v1,-2,5,-5,6,-7c425,446,424,441,424,440v1,,4,-1,4,-1c428,439,426,435,428,436v1,-2,-1,-1,-1,-3c429,433,429,433,429,433v1,-3,,-9,,-9c429,421,429,421,429,421v4,-7,4,-2,2,-12c433,409,433,409,435,408v-2,-2,-3,-3,-4,-6c434,403,437,405,440,403v-2,-4,-2,-4,-2,-4c439,398,440,398,442,398v1,-2,3,-5,2,-7c444,391,441,390,442,388v2,-1,3,-1,2,-4c444,384,443,384,443,383v1,-2,4,-1,5,-2c448,370,448,370,448,370v3,1,5,1,7,1c455,375,455,375,455,375v2,1,3,-1,4,-1c457,371,457,369,455,365v1,,3,1,4,c458,365,461,364,462,364v,,1,2,2,2c463,365,464,363,463,362v-2,-1,-4,-1,-5,-2c456,360,456,360,456,360v,-2,,-2,,-2c457,356,457,356,457,356v-2,,-2,,-2,c454,355,452,355,450,355v,-2,,-2,,-2c452,353,457,354,459,353v7,-9,7,-9,7,-9c468,344,468,344,468,344v1,-1,1,-6,2,-7c472,337,472,337,473,336v-2,,-2,,-5,c468,335,468,332,467,332v2,,2,-2,2,-2c470,330,473,331,475,331v3,-1,4,-7,7,-9c484,321,486,322,487,321v,,,-4,1,-4c489,317,491,318,492,317v-4,-2,-5,-5,-7,-9c488,308,494,311,498,310v1,-1,1,-3,2,-3c494,306,494,306,494,306v-1,-1,-1,-4,-1,-4c494,301,496,302,497,302v2,-4,2,-4,2,-4c502,297,502,297,502,297v-2,-2,3,-5,-1,-7c500,290,494,290,494,290v,-2,,-5,-1,-6c496,284,495,284,498,285v-1,,4,1,4,1c502,284,502,282,503,282v,,2,,3,1c506,282,506,280,507,280v1,-1,2,-1,3,-1c509,277,508,275,509,273v1,-3,4,-1,7,-3c517,270,518,267,519,266v,,-2,-1,-3,-1c518,266,514,266,514,266v,-2,,-2,,-2c514,264,515,264,514,263v,-1,-1,-2,-1,-2c516,258,517,257,518,253v,,4,,2,2c523,254,523,254,523,254v2,-1,2,-1,2,-1c525,253,525,248,524,250v,-2,,-4,,-6c533,244,535,243,541,239v-1,-2,-1,-2,-1,-2c538,237,536,237,534,237v,-1,1,-5,,-5c537,231,544,231,547,229v2,-1,4,-4,7,-7c554,220,554,220,554,220v-2,,-8,1,-6,c549,220,555,218,557,218v-1,-1,-5,-3,-5,-4c552,212,552,211,552,210v,-1,-3,,-3,-1c549,208,550,206,549,205v7,-5,5,-3,8,-12c559,190,559,190,559,190v,-2,-2,-3,-1,-4c558,184,563,184,564,182v1,-2,2,-12,2,-12c568,164,568,163,570,158v-1,-1,-2,-2,-3,-2c569,155,570,156,572,155v4,-2,4,-9,6,-13c578,141,581,141,582,141v,-1,-1,-3,,-3c582,137,584,136,585,136v-2,-2,-3,-5,-4,-7c583,127,580,120,580,120v1,,3,-3,4,-3c584,114,582,113,583,110v,,2,-2,3,-3c586,105,584,102,586,99v,,2,-3,2,-4c589,94,588,92,588,91v3,-1,3,-1,3,-1c594,87,592,83,594,79v1,-1,5,-3,5,-4c599,75,597,70,598,69v-1,1,-3,,-4,1c594,71,594,73,593,73v-1,1,,,-1,2c591,75,591,71,592,71v,-3,,-3,,-3c593,67,597,66,598,66v,-1,,-3,1,-3c601,62,601,64,604,64v,-2,-1,-3,,-5c604,58,606,59,607,58v1,-1,,-4,2,-6c610,51,613,51,614,49v1,,,-2,,-3c616,46,617,46,618,45v,-1,-1,-2,-3,-1c615,43,617,38,616,38v4,-3,7,-4,9,-9c626,27,624,28,626,27v,,-1,-3,-1,-4c625,23,622,21,622,20v,-2,2,-9,2,-14c620,4,620,4,620,4v,-1,-1,-2,-1,-4c605,8,605,8,605,8v,,-6,1,-9,4c593,15,586,12,576,13v-5,,-5,-7,-11,-2c560,15,553,15,548,16v-4,2,-2,5,-3,8c543,33,535,26,529,27v-4,1,-6,3,-10,2c517,29,515,26,513,27v-6,3,-5,6,-10,12c498,48,494,50,489,48v-3,-2,3,-13,-5,-15c477,31,475,30,471,27v-4,-3,-6,-5,-11,-7c453,17,443,22,440,16v-1,-2,-2,-2,-3,-4c431,7,425,14,417,14v-6,,-5,-8,-16,-1c394,18,380,23,380,23v-6,9,-6,9,-6,9c,29,,29,,29,,282,,282,,282v1,,1,,1,c11,285,11,285,11,285v,,6,4,10,5c27,291,32,288,37,290v4,1,6,3,9,6c50,299,53,300,56,304v3,5,1,10,3,14c60,322,60,324,63,327v3,4,7,7,12,6c78,332,79,328,82,327v5,-1,7,3,12,5c99,334,103,334,106,339v4,5,-2,10,2,15c110,357,112,358,115,359v3,,11,5,17,10c138,374,140,379,146,384v4,3,7,5,11,8c165,397,172,405,178,403v,,4,3,9,5c192,409,188,402,193,403v,-2,3,-8,2,-8c193,392,203,394,207,394v13,2,6,-1,10,c223,394,226,397,232,399v5,2,8,3,13,4c248,405,249,406,253,407v8,1,2,2,16,6c280,417,274,409,278,405v2,-4,4,-2,7,-2c291,401,293,396,299,396v8,,17,9,18,17c318,423,305,421,307,430v,1,4,8,6,12c314,446,312,448,313,449v2,4,5,-1,5,-1c413,498,413,498,413,498v,,,,,xm369,382v,-3,-4,-4,-3,-8c366,369,371,367,376,364v5,-3,11,-8,17,-4c395,362,394,365,396,367v2,2,6,1,7,4c405,376,393,370,389,374v-2,3,,6,-1,8c386,386,379,385,381,389v1,4,7,11,-3,12c374,401,371,398,370,394v,-3,-3,-3,-4,-5c366,386,369,385,369,382xe" fillcolor="#d2d3e9" strokecolor="white">
                      <v:path arrowok="t" o:connecttype="custom" o:connectlocs="418,479;415,465;425,446;427,433;431,409;438,399;444,384;455,371;459,365;458,360;455,356;466,344;468,336;482,322;485,308;493,302;501,290;502,286;510,279;516,265;513,261;525,253;540,237;554,222;552,214;557,193;566,170;578,142;581,129;586,107;591,90;594,70;592,68;604,59;614,46;625,29;624,6;596,12;545,24;503,39;460,20;401,13;0,282;37,290;63,327;106,339;146,384;193,403;232,399;278,405;307,430;413,498;376,364;389,374;370,394" o:connectangles="0,0,0,0,0,0,0,0,0,0,0,0,0,0,0,0,0,0,0,0,0,0,0,0,0,0,0,0,0,0,0,0,0,0,0,0,0,0,0,0,0,0,0,0,0,0,0,0,0,0,0,0,0,0,0"/>
                      <o:lock v:ext="edit" verticies="t"/>
                    </v:shape>
                    <v:shape id="Freeform 42" o:spid="_x0000_s1036" style="position:absolute;left:11058;width:11;height:19;visibility:visible;mso-wrap-style:square;v-text-anchor:top" coordsize="48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" path="m397,1v,1,,1,,1c394,4,396,8,394,11v-1,1,-4,1,-6,3c388,15,387,19,390,17v3,-1,9,-10,9,-14c400,2,398,,398,1v-1,,-1,,-1,c397,1,397,1,397,1xm177,4v,,-1,2,,3c180,9,180,9,180,9v,,1,5,-2,3c179,13,180,14,179,15v1,,4,1,6,1c185,14,186,14,186,13v-3,-1,-3,-1,-3,-1c182,9,182,5,185,4v-5,,-6,,-8,xm61,12v2,7,4,11,6,17c70,36,70,36,76,39v1,2,1,2,1,2c75,41,73,42,73,41v-1,,,-3,-1,-3c71,37,70,38,69,38,65,36,63,24,61,20v-1,1,-1,,-3,c58,21,57,23,57,23v-3,2,-8,6,-4,13c53,37,56,37,57,39v,2,-2,3,-1,4c53,44,51,43,49,44v-1,1,-1,3,-1,3c48,47,46,50,49,51v,1,,1,,1c53,51,57,51,60,50v1,-2,1,-2,1,-2c66,47,68,50,73,49v,,7,-2,9,-3c82,46,83,44,83,43,81,42,79,41,77,39v1,1,3,,4,c82,40,87,44,87,44v1,2,1,4,2,5c90,50,93,49,94,49v1,,1,2,1,3c95,52,97,52,98,52v1,-3,1,-4,4,-6c103,45,105,46,106,45v1,,4,-5,4,-6c111,39,113,40,114,39v1,,1,-3,2,-3c118,34,121,34,122,33v1,-2,,-4,1,-5c123,28,126,26,127,26v,-2,,-2,,-2c123,21,120,16,116,12v-5,4,-2,2,-5,8c109,19,110,19,109,16v,1,-3,,-4,c105,19,105,19,105,19v,2,,3,,5c101,24,102,24,99,24,98,23,98,21,98,21v-4,,-3,3,-5,4c92,26,88,27,86,28v,3,,3,,3c86,31,84,30,83,31v-2,-9,1,-7,-7,-5c77,24,77,23,79,21v-1,,-2,-2,-2,-2c77,19,74,20,73,20,71,17,69,14,66,13,64,12,63,12,61,12xm375,29v-1,,-2,2,-3,3c372,32,373,33,372,34v2,-1,1,-2,3,-1c376,31,376,28,375,29xm226,40v1,2,1,2,1,2c226,41,227,40,226,40xm353,41v-10,6,-10,6,-10,6c342,49,343,50,342,52v,,2,,3,c345,52,347,49,348,49v6,-3,4,-1,7,-8c353,41,353,41,353,41v,,,,,xm335,55v,1,,1,,1c332,57,331,58,327,59v,2,,2,,2c328,61,330,61,331,61v2,-1,11,-7,4,-6xm114,71v1,,2,5,,4c114,75,113,70,114,71xm178,83v1,,2,2,,2c178,85,176,82,178,83xm84,95v2,,3,2,-1,2c84,96,82,95,84,95xm51,124v1,2,1,2,1,2c55,127,53,125,51,124xm370,131v1,3,1,5,2,9c374,140,374,140,374,140v2,-7,2,-5,-4,-9xm368,143v-2,1,1,2,1,2c369,145,371,142,368,143xm378,148v-1,,-1,3,-2,6c372,154,372,155,374,155v,,,3,,4c375,159,375,159,375,159v1,-1,1,-1,1,-1c374,156,380,158,377,159v2,,2,,2,c379,159,380,148,378,148xm398,149v1,1,2,1,2,2c400,152,400,155,400,157v-1,,-2,2,-3,2c395,159,395,157,395,157v-1,,-3,1,-5,1c391,165,391,170,393,176v-2,1,-3,1,-5,2c387,178,387,180,387,181v1,-1,3,,4,c391,180,392,179,392,179v5,-1,20,6,26,3c418,174,418,174,418,174v-2,-1,-2,2,-2,3c410,175,405,176,407,166v1,-2,5,-4,6,-5c414,160,414,158,415,156v-2,-1,-4,,-5,-1c409,156,408,158,407,159v-2,-9,-2,-7,-9,-10xm29,188v-1,1,-1,4,-2,4c25,193,26,191,26,191v1,-1,2,-2,3,-3xm32,211v,1,-1,3,,6c32,217,36,215,34,215v-2,-4,-2,-4,-2,-4xm27,213v-1,3,-1,6,-1,9c29,223,29,223,29,223v-2,1,1,1,2,1c30,222,32,216,30,214v-1,,-3,,-3,-1xm29,235v1,1,7,1,3,2c32,238,32,238,32,238v2,1,2,2,,2c31,239,27,235,29,235xm406,249v-1,2,-1,2,-1,2c406,251,407,251,408,252v,,3,-4,-2,-3xm426,250v,1,1,7,-1,8c428,259,426,260,427,260v3,1,3,-1,4,-1c430,258,430,258,430,258v-1,,1,-1,-1,-1c429,255,431,256,430,253v,-1,-2,-2,-2,-3c426,250,426,250,426,250v,,,,,xm416,253v2,7,2,7,4,1c419,254,416,253,416,253xm411,256v-1,2,-1,2,-1,2c411,258,411,259,412,259v,,2,-5,-1,-3xm488,805v,,-5,-155,,-1c488,804,479,533,483,304v,,,,,c479,301,474,297,473,297v,-1,,-3,-1,-4c472,292,469,291,469,290v-1,-1,,-2,,-3c467,286,468,289,467,288v-1,,-3,-3,-4,-4c459,283,457,285,454,283v-3,,-4,-4,-6,-5c446,276,442,275,441,273v,-2,,-2,,-2c438,270,437,272,434,272v-2,,-4,-4,-4,-4c415,266,415,266,415,266v-1,3,-1,3,-1,3c412,270,410,270,409,271v,-1,-2,-4,-2,-5c407,263,409,262,408,260v-1,-4,-12,-8,-14,-11c392,247,392,244,391,240v-1,-2,-1,-2,-1,-2c386,236,377,238,373,236v-1,,-1,-2,-1,-4c370,231,368,231,367,230v-1,-1,-2,-3,-2,-3c364,227,363,226,362,227v-2,,-5,3,-7,5c356,218,352,226,345,220v-1,-1,-1,-3,-2,-4c343,216,345,214,344,213v-3,-1,-5,2,-7,1c337,212,337,212,337,212v-1,,-2,,-3,c334,210,334,210,334,210v,,4,1,3,1c338,210,339,207,340,207v3,-2,4,,7,-2c349,203,347,199,348,196v1,-2,5,-3,6,-5c356,187,355,184,356,179v1,,1,,1,c355,178,362,180,362,180v,-3,,-3,,-3c364,176,365,176,367,175v-3,-4,-5,-6,-6,-11c362,164,364,162,365,161v,-1,-1,-1,,-2c365,158,367,157,368,156v,-2,-1,-6,,-8c363,151,363,151,363,151v,4,,4,,4c362,155,360,154,359,155v,,2,-4,1,-5c358,150,358,150,358,150v,-1,1,-14,1,-14c360,135,362,136,363,135v-1,-1,-2,,-3,-1c359,132,360,131,359,129v10,-3,10,-1,12,-12c372,117,372,117,372,117v1,2,1,6,1,7c373,124,375,123,375,121v2,1,1,1,3,1c379,121,379,120,379,120v4,-3,2,5,2,8c384,130,384,130,384,130v,-2,2,-3,3,-5c384,126,388,122,389,122v2,,2,2,4,1c394,122,393,120,394,118v2,,2,,2,c398,116,393,116,393,115v-1,,,-2,,-3c395,112,395,112,395,112v,-2,,-2,1,-3c397,109,399,110,400,111v,-2,,-4,,-5c396,104,393,103,389,101v,-4,,-4,,-4c390,97,390,98,391,99v2,,2,,2,c393,99,392,94,393,94v,,2,,3,c396,96,394,96,397,98v,-3,,-7,3,-9c402,89,402,89,402,89v2,-2,2,-5,3,-7c404,82,404,82,402,83v,-2,,-2,,-2c405,79,405,79,405,79v1,-3,-2,-5,,-6c407,72,415,72,416,72v,-2,-1,-2,-1,-4c415,69,416,68,417,67v-1,,,-2,,-3c416,61,412,61,410,60v-3,4,-3,4,-3,4c404,64,405,60,405,60v,,-4,1,-3,2c400,62,400,62,400,62v2,4,3,5,4,9c401,71,400,71,397,70v-1,-3,,-17,-2,-16c393,52,392,51,391,49v,,-1,2,-2,1c389,47,389,47,389,47v-7,,-7,4,-9,6c379,54,376,54,374,55v,,1,3,,4c374,59,371,60,370,61v,3,,3,,3c373,62,375,64,379,64v-1,4,-2,8,-4,12c375,76,373,80,372,80v,2,,2,,2c371,82,371,82,371,82v,-2,,-4,,-5c370,77,368,76,368,76v-1,2,-1,1,-3,1c365,79,365,82,365,85v-2,,-2,,-2,c361,82,361,80,360,77v-1,-2,-1,-13,-1,-12c360,64,359,62,360,61v,-1,3,-1,3,-1c364,57,361,58,362,56v-1,,-2,,-3,c357,59,356,59,356,59v-1,2,-1,7,-1,8c354,67,353,68,353,66v,,-3,2,-4,2c349,64,349,61,348,57v1,-1,3,,4,-1c353,55,353,53,354,52v-3,1,-7,,-9,2c343,55,342,59,341,60v-6,4,-14,2,-19,1c321,64,321,64,321,64v,1,5,5,1,3c321,65,321,65,321,65v-2,-1,-4,,-6,-1c315,62,315,62,315,62v,-1,-2,-1,-3,-1c309,59,308,54,301,57v-2,5,-2,5,-2,5c297,62,297,62,297,62v,-3,1,-8,1,-12c296,50,296,51,296,49v-1,1,-2,,-3,1c291,52,291,57,291,59v-1,-1,-3,-3,-3,-3c285,55,284,58,280,58v,,-1,-3,-2,-3c275,53,273,54,270,52v-1,,,3,1,4c270,56,269,55,268,56v-1,,-2,3,-3,4c265,54,263,49,260,44v-3,5,-4,5,-8,7c249,49,249,48,248,46v,-1,4,-4,4,-6c253,39,252,39,252,38v-2,,-3,,-4,1c245,40,244,45,240,46v-2,1,-2,-1,-4,-1c235,45,234,47,232,47v,-2,,-2,,-2c230,45,231,47,228,46v-1,-2,-1,-2,-1,-2c225,43,226,46,225,45v-1,-2,-1,-2,-1,-2c222,43,220,44,218,43v-1,,-7,-4,-8,-4c209,37,211,34,210,33,200,25,200,25,200,25v-4,-1,-7,,-8,3c192,30,192,30,192,30v-1,,-4,-1,-5,c186,28,186,30,185,29v,-1,1,-3,,-4c183,23,177,21,176,19v-1,-1,-2,-4,-2,-4c173,15,171,17,171,17v-1,1,-3,,-3,c168,17,169,13,169,12v-2,-1,-2,1,-2,-1c165,11,165,11,165,11v-1,,,3,-1,4c161,15,161,15,161,15v1,1,,1,-1,2c161,17,161,17,161,17v-1,4,3,2,-2,5c158,20,154,15,154,13v-1,-1,,-3,,-4c153,8,151,8,151,8v-3,7,-2,6,-9,5c141,14,140,15,139,16v-6,6,2,3,7,5c149,26,149,26,149,26v2,1,4,,6,1c154,30,155,31,154,33v12,-7,17,-6,28,1c181,35,183,36,183,36v2,3,-1,4,-3,5c179,42,181,44,181,44v4,6,1,8,4,14c186,59,189,62,190,64v-2,,-5,,-8,c182,62,182,62,182,62v-5,-1,-6,6,-4,11c178,73,180,74,178,74v-1,,-2,5,-1,7c177,81,179,82,178,83v-2,,-2,,-2,c176,83,177,79,175,79v,,1,-5,2,-6c175,72,175,71,175,69v-1,,-3,,-3,c171,72,171,73,171,75v-1,-4,-2,-5,-2,-10c167,65,167,65,167,65v,2,-1,2,-2,2c167,67,165,72,165,72v-6,,-9,1,-16,1c148,72,147,69,146,68v-1,,-2,1,-3,c141,69,139,72,137,73v-2,1,-6,1,-7,1c130,72,130,72,130,72v-1,,-15,-10,-17,-11c113,61,113,70,113,71v-1,-1,-3,-1,-4,-2c109,69,108,67,108,66v-1,,-3,-1,-5,-1c102,65,100,67,100,67v-1,3,-1,5,-1,8c91,75,93,75,89,80v4,2,6,3,8,7c100,90,100,89,95,89v,,2,6,,5c94,94,94,92,93,91v-1,,-6,-1,-7,-2c86,85,86,85,86,85,83,84,83,84,83,84v-1,,1,1,1,1c82,85,82,85,82,85,79,83,79,83,79,83v-2,6,-5,9,2,14c75,97,74,97,69,93v-1,1,-1,3,-2,4c64,97,64,97,64,97v,3,,5,-1,8c61,105,62,105,58,105v-1,3,-5,13,-4,17c55,123,55,123,55,123v1,1,1,4,2,5c58,128,64,131,64,131v1,2,,4,,4c65,137,69,137,69,138v,1,-1,3,,4c68,142,67,142,66,142v-1,,,-2,-1,-3c64,139,64,138,63,137v-3,2,-4,2,-6,2c57,140,57,140,57,140v-1,,-3,,-3,c53,141,53,143,53,143v-1,,-4,,-5,c47,141,46,139,45,137v-7,3,-12,5,-5,11c33,155,40,148,37,158v,1,-10,6,-3,7c35,168,34,169,35,171v,,-2,1,-3,1c32,170,32,170,32,170v-1,,-3,,-3,c28,173,28,175,28,178v-2,-1,-2,-1,-2,-1c25,175,26,174,26,172v,-1,-3,-2,-3,-3c20,177,17,184,13,191v2,,9,1,7,c22,192,21,192,21,194v6,-1,5,,11,-2c32,194,32,195,32,197v-1,,-5,-1,-1,-1c33,196,29,194,29,194v-3,2,-5,4,-7,6c22,200,24,202,24,203v1,-1,2,-1,3,-1c28,200,29,199,30,198v-2,3,-2,4,-3,8c29,206,30,204,31,205v1,,-3,5,4,3c37,207,39,205,41,204v,-2,,-2,,-2c43,201,43,203,45,203v,2,,2,,2c41,207,42,207,39,210v-1,,-1,-1,-2,-2c35,208,34,210,33,209v1,3,2,5,2,8c35,217,34,221,34,223v,,3,3,3,4c37,228,37,230,37,231v1,2,10,8,15,7c54,236,54,236,54,236v2,,7,1,7,1c59,237,59,239,57,239v-2,1,-15,1,-19,-1c32,236,36,234,34,232v-2,-4,-5,-3,-6,-3c27,228,25,226,24,226v-1,1,-1,3,-2,4c22,228,19,225,23,225v,-2,,-2,,-2c21,223,21,223,21,223v-3,-6,-3,-6,-3,-6c11,218,13,218,8,213v-1,1,-4,3,-4,3c1,217,1,216,,215v1,23,14,364,32,600c213,809,316,805,488,805xe" filled="f" strokecolor="white">
                      <v:path arrowok="t" o:connecttype="custom" o:connectlocs="397,1;186,13;73,41;56,43;82,46;98,52;127,26;99,24;77,19;375,29;348,49;331,61;84,95;374,140;374,159;400,157;392,179;407,159;34,215;29,235;406,249;428,250;412,259;469,290;434,272;391,240;345,220;340,207;367,175;359,155;372,117;389,122;400,111;397,98;416,72;400,62;374,55;371,82;360,61;348,57;321,65;296,49;268,56;240,46;218,43;185,25;164,15;142,13;180,41;177,81;169,65;130,74;99,75;83,84;63,105;69,142;48,143;29,170;32,192;27,206;37,208;61,237;23,223" o:connectangles="0,0,0,0,0,0,0,0,0,0,0,0,0,0,0,0,0,0,0,0,0,0,0,0,0,0,0,0,0,0,0,0,0,0,0,0,0,0,0,0,0,0,0,0,0,0,0,0,0,0,0,0,0,0,0,0,0,0,0,0,0,0,0"/>
                      <o:lock v:ext="edit" verticies="t"/>
                    </v:shape>
                    <v:shape id="Freeform 43" o:spid="_x0000_s1037" style="position:absolute;left:11040;top:4;width:19;height:28;visibility:visible;mso-wrap-style:square;v-text-anchor:top" coordsize="816,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" path="m816,951c795,659,795,659,795,659,777,424,763,83,762,59v-1,,-1,-1,-2,-1c754,57,751,61,744,60v-2,,-3,-2,-6,-2c735,61,735,61,735,61v-2,2,-11,3,-8,4c728,67,728,67,728,67v4,1,6,1,10,2c738,71,738,71,738,71v-3,,,-2,-2,-1c736,70,734,73,736,72v1,2,1,2,1,2c736,73,722,63,725,69v1,2,5,3,6,5c730,74,730,74,727,74v1,3,1,3,1,3c726,77,727,76,726,75v-4,1,-4,1,-4,1c722,75,721,74,721,74v-2,1,-3,2,-4,3c719,81,719,86,721,89v,1,4,9,1,7c720,94,718,92,717,90v-2,-2,-3,-3,-4,-5c712,85,709,88,712,88v,1,,10,,10c712,97,709,98,709,98v-1,-2,2,-1,1,-3c710,94,707,93,706,92v,-1,1,-3,1,-3c702,87,708,73,705,71v1,-1,4,-2,4,-3c710,66,707,64,708,61v1,,1,,1,c710,60,713,57,714,55v-1,,-4,-1,-5,-2c708,52,709,49,707,48v-1,-1,-3,,-4,c703,46,703,46,703,46v-2,-1,-4,,-5,-1c697,45,697,41,697,41v-2,-2,-5,-2,-6,-3c690,38,691,36,691,35v-1,-1,-4,-3,-4,-5c687,29,687,27,687,27v-1,-1,-3,-1,-4,-2c682,22,682,19,680,17v-2,,-2,,-2,c678,17,678,15,677,15v-4,,-4,,-9,1c667,15,668,14,667,13v-2,,-4,1,-5,c661,12,661,9,659,8v-1,,-2,1,-3,c657,5,657,5,657,5v,,-2,1,-3,c654,5,653,3,652,3v-1,-1,-2,,-3,c647,2,648,,646,1v-1,,-4,3,-5,3c640,5,640,5,638,5v,1,,3,1,3c641,10,644,10,648,11v1,2,1,2,1,2c645,12,642,12,639,11v2,2,-2,13,-3,16c635,26,635,26,633,26v-2,,-2,,-2,c631,26,633,23,632,23v-2,-1,-2,1,-3,2c629,24,628,25,627,26v1,,1,-5,,-5c626,21,626,21,626,21v1,-1,5,-7,6,-7c633,14,629,13,628,13v-8,8,-8,8,-8,8c619,22,618,29,619,30v,1,-1,4,,4c618,34,616,34,615,34v,-3,-1,-4,-1,-8c613,25,612,26,611,25v,,1,-3,2,-1c613,22,613,22,613,22v1,1,2,-2,2,-2c614,19,614,19,613,19v,,,-1,-1,-2c609,12,612,17,609,17v1,,-2,-2,-2,-2c607,16,605,17,605,19v,1,,1,,1c607,20,611,24,606,23v-1,-2,-1,-2,-1,-2c604,21,599,22,602,23v2,1,1,3,2,4c605,27,608,27,609,27v-1,,,2,-3,1c607,31,607,31,607,31v,-1,-1,2,-1,2c607,36,612,40,607,42v-2,1,,-3,,-4c605,39,606,40,604,42v,,4,,2,1c604,41,605,46,604,46v2,1,3,2,4,4c600,50,602,49,601,57v-2,,-2,-1,-4,c596,57,596,55,595,54v,-1,,-2,1,-6c594,47,594,47,594,47v,,-1,1,-3,1c593,47,589,45,589,45v,7,,11,-2,16c585,61,585,61,585,61v2,-3,4,-13,3,-16c587,43,585,43,583,42v1,-5,1,-7,2,-11c584,31,582,32,580,31v1,2,2,20,,21c578,51,579,51,578,50v-3,1,-4,,-5,1c573,53,573,53,573,53v-1,1,-3,,-3,c570,55,570,55,570,55v-2,1,-2,-1,-4,-1c565,55,564,58,563,58v-1,1,-1,-1,-3,-1c560,57,559,59,558,59v,1,,4,,5c556,64,556,64,556,64v,4,6,14,9,15c566,80,568,79,569,79v1,1,,4,1,4c570,84,578,83,580,85v2,2,,3,1,4c583,90,584,89,586,90v,2,,4,1,7c585,97,585,97,585,97v,-1,1,-3,1,-4c584,92,586,92,585,91v-1,-1,-3,,-5,c578,90,580,88,574,87v,,-6,1,-7,1c565,88,563,85,562,84v-1,1,-2,2,-4,2c558,86,559,84,556,84v,-1,1,-3,,-4c555,81,553,80,552,81v-1,1,,4,1,4c550,86,550,86,547,86v,2,,2,,2c545,88,545,88,545,88v1,3,1,3,1,3c548,91,548,91,548,91v1,-3,1,-3,1,-3c551,88,552,89,554,89v-6,4,-10,7,1,7c556,97,556,100,556,102v6,3,6,3,10,6c562,106,559,105,554,103v,1,,3,-1,3c552,107,553,104,551,105v-3,-5,-2,-6,-7,-8c541,95,538,95,536,94v,,,2,-2,2c532,92,532,92,532,92v1,5,,10,-1,13c529,105,529,105,529,105v,,-1,3,-2,4c525,108,525,110,524,110v1,-3,1,-3,1,-3c516,105,520,115,519,116v-1,,-3,,-3,1c516,119,516,119,516,119v3,2,1,4,3,7c520,128,521,126,522,126v,2,,3,2,3c523,131,522,131,523,133v2,,2,,2,c525,130,524,129,526,126v,,2,-1,3,-1c529,123,529,123,529,123v1,-1,3,-1,4,-2c534,119,533,118,534,116v2,,2,,2,c538,116,537,118,538,120v,,-4,,-2,1c536,121,533,122,532,123v,,1,2,,3c532,127,530,129,529,129v-1,3,,6,,9c526,138,526,136,525,136v-1,4,-1,4,-1,4c524,140,522,139,521,139v,2,-2,1,-1,4c520,145,529,151,531,151v-21,-6,-6,5,-2,12c528,162,528,164,526,163v-2,-1,-4,-4,-6,-5c519,158,516,159,517,159v2,,3,6,4,8c520,166,518,166,518,165v-2,-4,-1,-4,-1,-4c517,161,516,161,513,160v,1,-1,2,1,2c514,166,514,166,514,166v-2,-1,-2,-1,-2,-1c512,164,512,162,512,161v-1,-4,-6,-5,-10,-6c502,155,501,152,503,153v,,,-2,1,-4c505,152,503,147,503,147v-5,,-3,-2,1,-1c504,146,507,149,505,146v-1,-2,-3,-2,-3,-3c502,143,498,146,500,146v-2,,-3,-1,-5,c494,146,493,148,492,149v,,,8,,6c493,155,494,157,490,156v,-2,,-2,,-2c488,154,489,155,486,154v2,2,6,8,8,9c497,164,496,160,493,158v,,1,-1,1,-2c494,157,497,158,497,158v,2,-1,5,-1,5c495,164,498,165,494,167v,1,,1,,1c492,167,490,168,488,168v-1,-2,1,-3,-2,-3c483,164,488,168,485,168v-1,,-2,-1,-4,-1c481,169,481,170,481,172v1,2,9,9,11,9c494,181,492,180,495,180v2,-1,2,-1,2,-1c497,181,496,188,496,188v1,1,1,3,2,4c499,193,501,193,502,194v1,1,2,3,-1,3c497,196,496,189,493,189v-2,-1,-3,5,,5c493,194,492,196,491,195v-1,-3,-2,-7,-3,-9c487,186,485,185,483,184v1,3,-1,5,,9c485,198,495,207,500,210v-3,,-5,,-6,1c492,212,493,213,492,215v,1,-1,4,-1,6c492,225,500,227,502,229v2,4,-1,7,-1,11c501,241,502,241,503,242v1,3,-1,7,-1,9c499,236,488,232,481,222v-1,-2,-1,-5,-3,-7c477,215,475,214,475,214v,-2,,-2,,-2c474,211,467,203,465,201v-1,1,-2,2,-4,1c462,193,461,191,457,184v-1,1,-2,2,-4,2c457,174,453,161,452,151v-1,1,-1,3,-1,3c448,155,447,154,445,155v-3,2,-2,5,-4,8c439,163,439,163,439,163v-1,3,-1,4,-2,9c438,172,442,172,440,171v1,,2,,3,c443,173,443,173,443,173v-6,1,-5,1,-11,c431,173,426,183,429,184v-3,1,-7,2,-8,6c421,191,421,193,421,194v-3,1,-3,1,-3,1c419,201,417,199,423,203v-1,1,-3,2,-4,2c419,207,419,207,419,207v-1,1,-2,-1,-3,c416,206,416,205,415,204v-1,,-3,1,-4,c410,209,408,216,409,222v2,,2,,2,c413,226,415,228,417,232v1,1,1,4,1,5c420,236,419,239,421,239v1,,3,-5,4,-5c427,234,426,235,428,235v-1,6,,11,,15c430,249,428,249,431,249v-2,1,-2,2,-2,3c426,252,426,250,423,251v-1,1,-1,3,-1,3c421,255,419,254,418,255v-1,1,,3,-1,3c416,259,415,258,414,258v-2,1,-3,7,-4,11c410,269,405,269,406,269v-2,,-2,,-2,c404,270,404,273,404,273v-1,1,-2,1,-3,1c401,276,400,276,399,276v1,3,1,4,2,7c399,283,398,282,397,282v,1,-2,2,-2,2c395,285,396,292,395,296v-1,3,-4,8,-5,11c390,308,391,311,390,312v,,-5,3,-6,4c382,317,382,320,381,321v-2,2,-5,2,-7,3c373,325,374,328,373,329v-1,2,-10,6,-11,7c362,338,362,338,362,338v-3,2,-9,2,-12,4c348,342,345,347,343,347v-2,1,-2,-1,-4,-1c335,347,330,352,326,352v-2,,-2,-1,-3,-1c321,352,320,355,318,355v-3,1,-5,-2,-9,-1c308,356,308,356,308,356v-3,1,-5,,-8,1c298,360,298,360,298,360v-1,,-3,,-4,c294,360,292,363,291,363v-1,,-4,,-6,1c284,364,284,367,284,368v-1,-1,-3,,-3,c280,366,280,366,279,365v,-1,,-1,,-1c277,364,276,366,274,365v-1,,-1,-4,-2,-5c271,359,270,360,268,359v,,,3,-1,3c265,363,266,362,264,361v,1,1,3,,4c264,366,263,365,262,366v-3,2,-4,6,-4,10c252,377,249,376,240,378v-4,2,-4,2,-4,2c234,380,235,378,233,379v-1,,-4,2,-4,2c227,382,226,380,225,380v,1,-9,8,-10,8c214,390,214,392,213,394v-3,2,-7,3,-10,5c201,402,201,402,201,402v-3,,-2,-3,-6,-2c195,400,195,402,194,403v-1,,-3,-1,-5,c188,404,188,404,188,404v-2,1,-4,,-5,c181,406,181,406,181,406v-2,,-2,,-2,c178,403,178,402,177,399v-1,,-4,3,-4,3c171,402,166,400,165,400v-2,,-5,1,-7,2c158,400,158,397,160,397v,-2,,-6,-1,-6c158,392,158,392,158,392v-3,2,-3,5,-5,7c152,400,150,400,148,401v,,-1,2,-2,3c146,404,143,402,141,404v-1,,-4,6,-4,6c136,411,134,410,133,410v-1,1,-3,5,-4,5c128,415,126,413,125,415v-2,2,1,3,-1,5c123,420,121,420,120,420v,2,,2,,2c118,423,119,423,118,425v-1,-1,-3,-1,-3,-1c115,423,115,423,115,423v-2,,-1,1,-3,1c111,426,111,431,109,432v-2,2,-7,3,-10,4c98,437,98,440,97,440v-1,1,-3,-1,-5,c91,441,87,450,86,451v-1,,-3,-1,-4,c81,451,82,454,81,454v-1,1,-4,,-5,c75,457,75,457,75,457v-1,2,-2,,-3,c72,458,72,460,71,460v-2,,-2,,-2,c68,461,66,465,65,466v-3,2,-5,1,-7,3c56,470,56,470,56,470v-1,1,,4,,6c55,480,49,485,48,491v,4,3,4,2,7c42,509,42,509,42,509v-1,1,-3,,-3,1c38,511,37,514,37,515v-2,-1,-2,-1,-5,-1c34,509,36,506,33,500v-1,-2,-4,-4,-4,-5c29,492,31,492,31,491v,-2,-2,-7,-3,-10c26,483,24,483,21,484v2,1,2,4,1,6c22,490,21,497,20,500v-2,1,-2,1,-2,1c16,507,16,517,17,523v,,,1,1,2c19,528,27,536,27,537v2,5,-2,6,-3,8c23,550,26,562,28,564v3,2,-3,6,-4,7c24,571,23,574,21,574v,,,,,c20,575,21,577,21,578v-2,,-2,,-2,c18,580,16,582,16,583v-1,1,1,6,1,6c16,589,14,613,14,617v,2,3,8,4,9c18,628,17,631,18,632v1,3,4,1,6,3c25,635,30,642,30,642v1,2,1,4,1,6c34,649,34,649,34,649v,2,-1,1,-2,1c32,651,35,661,35,661v1,1,4,,6,1c41,662,41,665,42,666v1,1,2,,3,1c48,668,47,672,49,675v3,1,3,1,3,1c54,677,53,680,54,681v3,4,7,8,9,13c64,695,64,695,64,695v1,1,3,1,4,2c70,703,67,713,69,720v,1,,4,,5c59,733,60,728,55,718v-2,,-2,,-2,c50,726,54,720,47,724v,-4,,-14,-2,-17c45,707,45,707,45,707v-2,-1,-5,-6,-7,-6c37,701,37,701,37,701v,,,-2,,-3c35,698,35,698,35,698v-1,-1,-1,-4,-2,-5c33,693,29,691,28,691v,2,-1,1,-1,4c27,698,31,702,32,704v1,3,1,7,1,9c33,713,37,712,37,713v2,2,1,6,4,8c48,726,48,726,48,726v1,1,4,,5,-1c54,727,57,730,58,732v1,4,-1,11,-2,13c56,746,53,747,52,747v-1,-1,-2,-3,-2,-3c49,744,49,744,49,744v,-1,-3,-4,-4,-6c43,738,43,738,43,738v-2,-2,-2,-4,-3,-6c38,732,38,732,38,732v-1,,-4,-4,-4,-5c34,728,32,730,34,731v1,,2,3,-1,2c33,733,31,730,30,730v-1,2,,2,-2,3c28,735,28,735,28,735v1,1,4,2,5,3c34,739,34,741,35,742v1,1,3,-1,5,1c41,743,41,746,42,747v1,1,3,1,4,2c48,750,47,753,48,754v1,1,4,3,5,4c56,761,56,764,58,769v1,1,4,2,5,3c63,773,63,775,64,776v1,1,2,1,4,2c68,779,78,791,78,792v2,3,1,7,3,11c82,803,82,803,82,803v1,,1,2,1,3c85,806,85,806,85,806v,3,-5,7,-2,14c84,820,84,820,84,820v4,3,7,13,11,17c98,839,104,839,106,842v1,2,,3,1,4c109,847,109,847,109,847v2,5,,12,1,17c112,865,112,865,112,865v3,4,4,3,10,4c125,876,127,882,131,886v2,2,6,3,8,5c139,897,139,897,139,897v1,3,5,10,5,13c145,913,144,918,144,921v2,,2,,2,c147,922,148,924,148,925v2,6,1,11,3,16c152,945,156,947,157,950v,1,,2,,3c157,955,160,957,161,959v1,4,1,8,3,11c166,973,173,975,175,979v2,4,,9,2,12c178,993,182,995,184,997v2,3,1,7,3,11c187,1010,193,1012,193,1014v1,1,,3,,5c194,1023,196,1027,196,1034v2,-1,1,-1,1,-4c200,1032,199,1028,201,1029v1,,2,3,3,4c204,1035,204,1035,204,1035v-1,-1,-1,-1,-3,-1c201,1037,201,1037,201,1037v-2,1,-1,-2,-4,-1c198,1039,197,1042,198,1046v,,2,,2,1c201,1047,201,1047,201,1047v,3,-2,6,-2,9c199,1057,201,1057,201,1060v-3,3,-3,3,-3,3c198,1065,201,1068,197,1068v,2,,2,,2c198,1071,201,1072,202,1073v2,3,5,15,6,18c210,1101,209,1118,206,1126v-1,2,-3,3,-4,4c202,1131,202,1133,202,1134v,1,-3,3,-4,4c197,1139,198,1141,197,1143v-4,-2,-5,-3,-10,-4c187,1141,185,1140,186,1143v,1,3,2,5,2c192,1148,192,1149,192,1152v2,6,3,10,3,16c198,1169,197,1167,200,1168v3,3,3,3,3,3c206,1173,208,1171,212,1172v6,4,6,4,6,4c222,1177,224,1176,227,1177v1,,1,3,2,3c230,1180,232,1179,233,1180v4,3,11,13,15,15c253,1197,256,1195,261,1195v2,,8,2,11,2c274,1197,276,1196,277,1196v2,1,4,4,7,6c285,1202,287,1202,288,1202v1,,1,-2,1,-3c289,1199,293,1199,291,1200v2,1,5,2,6,2c298,1202,301,1199,301,1199v1,,3,1,6,1c308,1200,312,1197,313,1197v4,,6,3,9,3c323,1200,323,1198,323,1197v2,,5,1,6,1c329,1198,332,1195,333,1195v1,,2,3,4,2c338,1197,340,1194,341,1193v3,-1,5,1,7,-1c349,1192,350,1189,351,1189v2,-1,5,1,7,c359,1188,358,1184,359,1183v2,-2,9,-3,11,-5c374,1175,374,1169,377,1164v5,,8,,13,-1c387,1163,397,1164,400,1163v1,-3,1,-3,1,-3c402,1159,404,1159,406,1158v-1,-2,-2,-2,-3,-3c405,1151,407,1147,410,1144v1,,3,1,3,c415,1144,417,1141,419,1141v3,-1,6,1,10,c430,1139,430,1139,430,1139v2,-1,1,1,4,1c436,1138,436,1138,436,1138v2,-1,3,1,4,1c441,1139,448,1134,448,1134v4,-1,6,,9,-2c459,1131,461,1127,463,1127v4,,1,2,2,3c467,1130,467,1130,467,1130v2,-1,5,-4,8,-5c481,1125,481,1128,483,1128v3,1,4,,8,c492,1125,492,1125,492,1125v2,,4,1,6,c499,1127,499,1127,499,1127v1,1,4,-1,5,c506,1136,506,1136,506,1136v1,-1,3,,4,c513,1135,513,1129,518,1129v1,,5,3,6,3c525,1132,528,1128,529,1127v5,-1,5,1,10,c540,1127,543,1124,544,1124v5,,9,6,10,6c555,1130,557,1130,558,1130v3,-1,4,-4,6,-7c570,1124,575,1125,579,1122v,-2,,-2,,-2c580,1120,582,1118,582,1118v1,-1,,-6,1,-9c583,1108,586,1106,586,1105v,-1,,-3,,-4c587,1100,588,1101,589,1100v2,-1,,-2,1,-5c592,1095,592,1095,592,1095v1,-5,-2,-7,-2,-10c592,1084,592,1084,592,1084v,-1,1,-5,1,-5c593,1077,591,1074,592,1071v1,-6,8,-19,11,-23c605,1048,605,1048,605,1048v1,,1,-2,1,-2c609,1043,616,1039,621,1039v2,,5,1,6,1c631,1039,632,1032,634,1029v2,-2,6,-2,8,-4c644,1024,645,1020,647,1019v1,-2,4,-2,5,-3c653,1015,653,1013,653,1013v2,-1,3,,5,-1c659,1011,659,1009,660,1008v1,-1,3,,4,-1c668,1004,673,1000,676,997v1,-1,1,-3,1,-3c679,992,681,993,683,992v1,-1,2,-3,3,-3c692,987,696,989,700,990v8,1,17,-2,24,-3c727,985,727,985,727,985v2,,2,2,5,2c733,987,737,984,738,984v9,-3,15,-6,24,-10c762,974,764,972,765,972v3,-1,5,,8,-1c774,970,777,968,777,968v3,-1,5,-1,8,-2c786,965,788,963,789,962v3,-1,6,-1,8,-3c798,959,799,957,799,956v2,-1,3,,5,-1c805,955,807,952,808,951v2,-1,4,,8,xm36,732v1,1,1,2,-1,2c35,733,34,732,36,732xm3,689v-3,2,2,8,2,9c6,700,5,701,6,703v2,1,2,1,2,1c8,706,7,709,8,712v2,,2,,2,c10,712,10,714,11,715v1,,2,,3,1c16,718,17,722,21,723v1,1,2,,3,c24,722,25,722,24,720v,,-2,-1,-3,-1c20,717,19,717,18,716v-3,-3,-5,-9,-6,-12c11,702,10,699,9,696,8,695,6,694,5,693v,-1,1,-3,,-4c3,689,3,689,3,689v,,,,,xm4,665v,4,,6,,11c5,676,6,680,6,680v,-14,,-14,,-14c4,665,4,665,4,665v,,,,,xm4,657v1,5,1,15,2,c4,657,4,657,4,657v,,,,,xm31,576v1,2,1,2,2,4c33,580,34,582,33,583v-2,1,-2,1,-2,1c31,597,31,597,31,597v,,2,-1,2,-3c38,596,39,596,43,598v,1,-2,1,-2,2c40,602,40,603,39,605v-3,,-3,,-3,c36,606,37,608,36,610v,-1,-3,-2,-3,-1c31,612,34,615,33,618v-1,2,-4,2,-5,3c29,625,29,628,30,631v-1,-1,,5,,5c25,637,25,629,24,626v-2,-1,-2,-1,-2,-1c20,619,22,614,21,610v,-2,-3,-5,-2,-8c19,600,24,598,25,596v1,-2,-1,-5,,-8c28,586,28,586,28,586v,-2,-2,-1,-1,-3c27,583,30,577,31,576xm29,474v-1,,-1,3,-1,5c29,478,30,476,31,474v-2,,-2,,-2,c29,474,29,474,29,474xm32,468v,2,,2,,2c34,470,34,470,34,470v-1,-1,1,-2,-2,-2xm56,464v1,1,1,1,1,1c57,464,58,464,56,464xm57,446v-1,1,-1,2,1,2c58,448,60,445,57,446xm84,406v-1,3,-2,9,-2,11c84,417,84,417,84,417v,,-1,3,-1,1c83,419,83,421,83,421v1,-2,5,-5,5,-10c88,410,84,407,84,406xm87,401v1,2,1,2,1,2c87,402,89,401,87,401xm148,397v,,-5,5,-1,3c147,400,151,396,148,397xm82,392v1,,1,3,,3c85,396,84,392,82,392xm80,392v-1,,-1,1,1,1c81,392,82,391,80,392xm155,390v,2,,2,,2c157,392,157,392,157,392v-2,-1,1,-2,-2,-2xm146,388v,3,,3,,3c148,391,147,389,148,389v1,,1,1,2,1c155,389,149,389,146,388xm159,384v,3,,3,,3c157,386,156,386,158,386v2,-1,-2,-1,-2,-1c156,386,155,387,157,387v,,-1,1,-1,2c159,389,160,388,162,389v-1,-1,-3,-4,-1,-3c161,384,161,384,161,384v-2,,-2,,-2,c159,384,159,384,159,384xm158,378v1,3,1,3,1,3c165,382,161,380,158,378xm244,355v,,-1,4,-1,5c245,360,247,360,248,360v-1,-1,,-2,-2,-2c246,358,247,356,248,355v-1,,-3,,-4,xm505,189v1,,2,3,,2c505,191,502,188,505,189xm475,164v1,1,-1,2,-1,2c474,166,475,169,476,169v1,,1,-5,-1,-5xm483,157v1,1,,2,-1,2c489,165,489,165,489,165v,2,,2,,2c494,169,493,165,491,164v-2,-2,-5,-5,-8,-7xm481,155v,1,-4,5,,3c482,158,485,154,481,155xm450,151v,,-2,3,,2c450,153,452,149,450,151xm535,147v6,-2,14,2,8,4c539,152,525,149,535,147xm478,146v,,3,1,3,2c481,146,481,146,481,146v,-1,-3,,-3,xm485,145v,,13,4,5,4c490,149,489,147,488,148v1,3,1,3,1,3c489,151,487,151,486,151v,-2,-2,-3,-3,-3c483,148,484,143,485,146v,-1,,-1,,-1c485,145,485,145,485,145xm554,142v2,-1,1,2,,4c553,146,542,148,547,147v,,3,-1,4,-1c551,145,553,142,554,142xm480,142v,2,,2,,2c481,144,481,144,481,144v-1,-1,2,-2,-1,-2xm486,140v-3,,1,2,2,2c487,141,489,139,486,140xm707,100v-1,1,-2,3,-3,4c701,103,701,103,701,103v-1,4,-1,4,-1,4c696,109,696,104,698,102v3,-1,7,-2,9,-2xm724,97v3,,3,,5,1c729,99,730,100,728,100v,-1,-6,-4,-4,-3xm524,95v-2,3,-2,3,-2,3c523,97,519,96,519,96v-1,,-1,2,-2,3c519,99,520,98,522,98v,1,1,1,2,2c523,101,523,102,523,102v6,-3,5,,4,-7c526,95,524,95,524,95xm517,93v-1,2,-1,2,-1,2c519,95,520,93,517,93xm543,91v-1,3,-1,3,-1,3c545,93,546,91,543,91xm709,77v2,5,,5,5,6c716,84,715,80,714,78v-2,-1,-3,,-5,-1xm723,69v1,4,1,4,1,4c726,72,728,73,726,71v,-1,-2,-2,-3,-2xm722,63v,2,,2,,2c727,66,725,63,722,63xm713,58v1,2,1,2,1,2c713,59,715,58,713,58xm553,50v-1,2,-1,2,-1,2c552,53,552,56,552,56v1,,3,-1,3,-1c555,54,555,52,555,51v-2,-1,-2,-1,-2,-1c553,50,553,50,553,50xm604,34v-1,1,1,4,1,4c605,38,608,33,604,34xm631,10v1,,-2,2,-2,2c633,11,634,10,631,10xe" fillcolor="#d2d3e9" strokecolor="white">
                      <v:path arrowok="t" o:connecttype="custom" o:connectlocs="737,74;712,98;698,45;656,8;631,26;613,24;606,28;591,48;566,54;586,93;546,91;531,105;529,125;520,143;502,155;494,163;497,179;491,221;451,154;419,205;429,252;395,284;323,351;272,360;203,399;159,391;115,424;69,460;28,481;19,578;45,667;38,701;56,745;33,738;83,806;144,910;193,1019;198,1063;195,1168;289,1199;358,1189;434,1140;504,1127;583,1109;627,1040;724,987;816,951;24,720;4,665;36,605;27,583;57,446;147,400;148,389;158,378;476,169;535,147;485,145;707,100;522,98;709,77;555,55" o:connectangles="0,0,0,0,0,0,0,0,0,0,0,0,0,0,0,0,0,0,0,0,0,0,0,0,0,0,0,0,0,0,0,0,0,0,0,0,0,0,0,0,0,0,0,0,0,0,0,0,0,0,0,0,0,0,0,0,0,0,0,0,0,0"/>
                      <o:lock v:ext="edit" verticies="t"/>
                    </v:shape>
                    <v:shape id="Freeform 44" o:spid="_x0000_s1038" style="position:absolute;left:11073;top:29;width:9;height:7;visibility:visible;mso-wrap-style:square;v-text-anchor:top" coordsize="41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" path="m4,c3,1,3,1,3,1,,244,,244,,244v1,,2,,3,1c6,246,8,252,11,253v2,1,5,1,6,1c20,254,18,252,16,249v2,,3,-1,5,-2c23,247,23,245,27,246v,,2,2,3,2c32,249,34,248,36,249v2,1,5,4,6,4c47,254,49,251,51,251v3,,7,,8,1c60,254,60,254,60,254v4,1,5,-2,9,-1c73,254,79,261,82,263v3,1,5,,7,1c92,265,93,270,96,271v4,3,7,2,10,5c112,273,113,268,117,266v1,-1,3,,5,c122,265,127,261,128,261v1,-2,2,-5,4,-7c137,251,146,249,151,246v-1,-1,-2,-2,-3,-2c148,242,148,242,148,242v1,,2,,4,c152,242,154,244,154,245v2,,2,-1,3,c158,243,159,241,160,240v4,2,1,-5,,-6c159,235,157,236,156,237v,1,,1,,1c155,238,153,237,153,238v-1,-2,,-2,-2,-3c149,234,148,234,145,234v,-1,1,-5,1,-5c148,229,150,230,152,229v1,-2,1,-2,1,-2c155,226,156,227,158,226v1,,1,-3,2,-4c161,222,162,223,163,222v2,,4,-5,6,-6c172,214,176,214,178,213v1,,,-4,,-4c179,209,185,209,183,210v1,,1,-1,2,-1c188,210,188,215,189,219v2,,2,,2,c192,224,193,230,190,235v-1,2,-5,3,-6,5c184,240,184,242,184,243v-1,4,-6,4,-11,5c176,252,176,257,183,256v3,,5,-4,7,-5c192,251,195,252,197,251v-1,-2,,-1,-2,-2c199,238,200,238,213,242v,2,1,5,1,6c210,252,204,256,209,262v2,,2,,2,c215,263,216,271,223,270v3,,4,-3,9,-2c233,268,235,270,235,270v-8,-2,4,9,6,11c242,280,243,281,244,281v,,1,-3,2,-3c257,274,260,288,264,296v,,3,-2,3,-3c268,290,268,285,268,280v-2,-1,-2,-1,-2,-1c264,280,264,282,262,283v-3,-8,-5,-5,-3,-13c260,269,262,268,262,268v5,-2,9,1,15,c278,266,278,266,278,266v8,-3,10,-4,15,-8c294,258,296,258,298,258v1,2,-1,2,2,3c302,259,304,256,306,254v3,-2,8,-3,11,-6c320,246,323,239,325,238v1,-1,3,,3,-1c329,236,328,234,327,233v2,-2,7,-7,9,-8c338,225,337,227,338,228v3,,10,1,12,c350,228,349,225,350,224v5,-1,4,2,4,2c357,227,365,227,368,226v1,,,-2,3,-2c372,224,373,227,376,226v2,,2,-3,3,-4c380,222,382,222,383,221v3,2,2,5,8,4c391,225,392,223,393,222v5,-1,6,1,10,-2c407,217,405,215,405,215v,-3,,-3,,-3c405,212,412,213,409,214v1,,2,,3,1c413,215,414,216,416,217v,-4,,-4,,-4c321,164,321,164,321,164v,,-3,5,-5,1c315,164,317,162,316,158v-2,-4,-6,-11,-6,-12c308,137,321,139,320,129v-1,-8,-10,-16,-17,-16c297,113,295,118,289,120v-3,,-6,-2,-8,1c277,125,283,133,272,129v-14,-4,-8,-5,-16,-6c252,122,251,121,248,120v-5,-1,-8,-2,-13,-4c229,114,226,111,220,111v-4,-1,3,2,-9,c207,111,196,109,198,112v1,,-2,6,-2,8c191,119,195,125,190,124v-5,-2,-9,-4,-9,-4c175,121,168,114,160,109v-4,-3,-7,-5,-11,-8c143,96,141,91,135,86,129,81,121,76,118,76v-3,-1,-5,-2,-7,-5c107,66,113,61,109,56v-3,-5,-7,-5,-12,-7c92,47,90,43,85,44v-3,1,-4,5,-7,6c73,51,69,48,66,44,63,41,63,39,62,35v-2,-4,,-8,-3,-13c56,18,53,17,49,14,45,11,43,9,39,8,34,6,30,9,24,8,20,7,14,3,14,3,4,,4,,4,v,,,,,xm273,273v,3,,3,,3c277,277,276,274,273,273xm202,245v-1,,-3,1,-1,2c202,250,202,250,202,250v4,,4,,4,c207,248,206,250,208,248v-1,-2,-1,-2,-1,-2c204,245,204,245,202,245xe" fillcolor="#d2d3e9" strokecolor="white">
                      <v:path arrowok="t" o:connecttype="custom" o:connectlocs="0,244;17,254;27,246;42,253;60,254;89,264;117,266;132,254;148,242;157,245;156,237;151,235;152,229;160,222;178,213;185,209;190,235;173,248;197,251;214,248;223,270;241,281;264,296;266,279;262,268;293,258;306,254;328,237;338,228;354,226;376,226;391,225;405,215;412,215;321,164;310,146;289,120;256,123;220,111;196,120;160,109;118,76;97,49;66,44;49,14;14,3;273,273;202,245;206,250;202,245" o:connectangles="0,0,0,0,0,0,0,0,0,0,0,0,0,0,0,0,0,0,0,0,0,0,0,0,0,0,0,0,0,0,0,0,0,0,0,0,0,0,0,0,0,0,0,0,0,0,0,0,0,0"/>
                      <o:lock v:ext="edit" verticies="t"/>
                    </v:shape>
                    <v:shape id="Freeform 46" o:spid="_x0000_s1039" style="position:absolute;left:11069;width:18;height:23;visibility:visible;mso-wrap-style:square;v-text-anchor:top" coordsize="779,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" path="m77,321v-2,2,-2,2,-2,2c73,323,72,322,70,323v,1,,1,,1c67,325,64,330,61,332v1,1,4,5,7,4c69,334,69,334,69,334v-1,1,3,-3,4,-3c73,329,72,328,72,327v2,,3,-1,4,-1c77,328,77,328,77,328v2,-1,4,-1,8,-1c84,326,85,323,85,323v-3,-1,-5,-2,-8,-2xm184,249v-2,,-4,3,1,3c185,252,187,248,184,249xm214,v-4,6,-3,3,-1,9c214,9,216,8,216,9v4,-5,4,-5,4,-5c219,3,217,3,217,1v,-1,,-1,,-1c216,,215,1,214,xm646,633v,2,,2,,2c648,635,648,635,648,635v-1,-1,1,-2,-2,-2xm556,532v4,,1,3,1,3c556,535,553,533,556,532xm665,697v1,2,-3,1,-1,2c665,700,666,700,668,701v,1,-1,4,,4c669,706,671,705,673,706v1,1,1,3,2,5c676,711,677,709,679,711v,2,,2,,2c679,713,678,714,677,714v,,2,1,3,2c682,711,682,711,682,711v-6,-6,-3,-4,-4,-10c676,701,677,703,674,702v,,-1,-3,-2,-3c669,698,668,698,665,697xm445,437v2,2,2,2,2,2c447,439,449,437,445,437xm426,419v,,,2,1,3c428,423,431,424,433,425v,1,,4,,5c434,430,436,428,436,428v-3,-7,-2,-7,-10,-9xm74,349v,1,-6,7,,6c75,355,75,354,77,354v,-2,,-4,1,-5c77,349,75,349,74,349xm770,771v,1,-1,4,-2,4c770,777,770,777,770,777v1,3,,9,-1,11c768,790,763,795,761,796v-1,,-1,,-1,c761,797,762,798,763,799v-1,2,-2,2,-3,3c761,802,757,813,756,817v,5,1,6,3,12c761,830,761,828,761,828v,,,-6,,-8c762,818,762,818,762,817v,-3,1,-5,2,-7c765,807,765,806,766,804v4,-5,4,-5,4,-5c772,798,771,795,772,793v1,-1,5,-4,6,-5c779,786,778,784,778,783v-6,-5,-2,-1,-5,-10c770,771,770,771,770,771v,,,,,xm762,892v-2,2,-2,2,-2,2c758,895,758,895,758,895v1,2,1,2,1,2c759,898,759,898,759,898v,2,,2,,2c761,901,761,901,761,901v2,3,2,3,2,3c762,900,762,900,762,900v,-3,,-3,,-3c762,892,762,892,762,892v,,,,,xm771,900v1,5,1,5,1,5c771,907,771,907,771,907v2,7,2,7,2,7c772,919,772,919,772,919v2,,2,,2,c775,914,775,914,775,914v,-4,,-4,,-4c775,907,775,907,775,907v,-3,,-3,,-3c776,900,776,900,776,900v-3,,-3,,-3,c771,900,771,900,771,900v,,,,,xm774,923v,5,,5,,5c772,929,772,929,772,929v2,4,2,4,2,4c774,936,774,936,774,936v-1,8,-1,8,-1,8c775,944,775,944,775,944v1,-7,1,-7,1,-7c777,932,777,932,777,932v1,-3,1,-3,1,-3c779,926,779,926,779,926v-1,-2,-1,-2,-1,-2c774,923,774,923,774,923v,,,,,xm770,937v1,4,1,4,1,4c772,940,772,940,772,940v,-3,,-3,,-3c770,937,770,937,770,937v,,,,,xm774,947v,1,1,5,1,5c775,956,775,956,775,956v1,,1,,1,c775,953,775,953,775,953v,,,-6,-1,-6xm775,964v-1,-2,-2,-8,-2,-14c772,947,771,950,770,947v,-2,1,-4,-3,-3c767,944,768,938,767,937v-1,-4,1,-7,-1,-10c765,926,759,925,759,924v,,,-6,,-5c758,919,756,918,755,917v,-1,1,-2,1,-3c757,915,757,913,758,912v-5,2,-1,-6,,-6c760,904,756,898,756,898v,-2,1,-4,2,-5c759,891,759,891,759,891v1,-2,1,-4,2,-5c760,885,758,884,758,884v,-3,2,-6,3,-8c762,867,758,860,759,852v,-4,2,-11,5,-15c761,837,761,833,760,833v-1,-1,-1,7,-2,6c757,839,757,835,756,835v-2,-8,-3,-15,-4,-23c754,811,754,813,754,811v-3,,-4,,-7,c747,809,747,809,747,809v1,-1,3,,3,c751,807,752,806,753,805v-1,-2,-1,-3,-1,-5c751,800,746,799,744,798v-1,,,-2,-1,-3c742,794,741,795,740,794v,-2,2,-2,2,-5c741,788,738,785,738,784v-2,-4,-2,-9,-2,-13c735,771,730,772,730,772v2,-5,2,-5,2,-5c730,766,729,765,729,765v-3,-1,-3,2,-6,c721,760,721,760,721,760v,-1,-2,,-3,c718,759,718,759,718,759v-2,-1,-4,-2,-6,-3c712,753,712,755,714,754v-1,-2,-2,-14,-4,-16c710,737,702,735,701,735v-1,-6,-1,-6,-1,-6c699,729,697,730,697,730v-1,1,-2,3,-3,4c696,735,693,735,693,735v2,1,-1,1,-1,1c691,736,690,733,690,733v-1,,-4,,-4,c684,730,685,725,683,722v-2,,-2,,-2,c680,722,680,721,680,719v-1,,-5,1,-6,c673,719,673,715,672,714v,-1,-2,-1,-2,-1c668,712,668,708,668,706v-5,-1,-11,-3,-19,-4c649,702,649,699,648,698v2,,2,,2,c652,699,652,700,652,701v1,,2,1,2,1c655,701,655,700,656,699v2,-1,3,,5,-1c659,695,659,693,658,690v-2,,-2,,-2,c656,688,656,688,656,688v2,,3,,5,c659,685,658,684,656,682v2,-8,2,-10,-2,-15c655,666,657,667,658,666v1,-1,2,-12,3,-14c660,652,659,650,659,650v-1,,-2,1,-3,1c653,645,653,647,655,640v-2,-1,-2,,-5,1c650,640,649,637,648,637v-1,-1,-3,,-3,c645,638,644,642,645,643v3,,3,,3,c648,643,650,648,648,646v1,2,1,3,1,4c652,650,652,650,652,650v,1,,3,,4c650,653,647,653,646,651v,,,-3,-1,-4c645,647,643,648,643,647v-1,,-5,-3,-6,-3c636,643,635,639,634,639v-3,-2,-6,,-9,-1c624,637,623,632,622,631v,-1,-2,,-2,-1c619,629,620,628,620,627v-1,,-4,1,-4,c615,628,614,632,614,633v-3,1,-3,1,-3,1c611,636,610,641,610,645v,,2,,2,1c616,654,616,654,616,654v2,2,-2,-1,-2,-1c610,651,610,650,608,646v-1,,-1,,-1,c609,645,602,646,604,646v-1,1,-2,1,-4,1c600,648,602,650,601,650v-1,1,-2,,-4,1c598,650,597,648,597,646v1,,3,-1,3,-1c600,644,600,639,599,641v,,-2,,-3,c597,639,596,640,598,638v,-2,,-2,,-2c596,636,597,636,596,637v,-4,1,-8,1,-11c596,626,594,625,594,624v-1,-1,,-2,,-3c593,618,589,614,589,611v-1,-7,3,-6,3,-7c592,602,591,597,591,594v-9,-5,-9,-3,-6,-11c583,583,584,582,584,581v-3,1,-3,1,-5,2c578,579,577,575,578,572v2,-1,2,-1,2,-1c581,568,580,566,580,564v-2,,-4,1,-6,1c573,563,573,563,573,563v,-1,-3,-2,-3,-2c570,561,570,557,571,559v,-2,,-2,,-2c570,556,563,556,562,555v,-2,,-2,,-2c559,551,560,551,559,548v-2,-1,-3,,-5,-1c557,545,553,540,556,537v1,,3,,4,c561,537,564,541,565,541v1,,3,,3,c568,541,568,538,568,537v-1,-1,-3,-1,-3,-2c564,534,564,532,564,531v-2,-3,-7,-5,-10,-7c552,522,552,522,552,522v,-1,1,-2,,-3c552,519,552,517,551,517v-1,,-3,,-4,c547,517,545,521,548,520v-1,1,-2,2,-1,3c545,522,543,523,542,523v-4,-2,-7,-13,-12,-15c526,507,522,509,518,507v-4,-2,-1,-9,-3,-10c515,497,511,498,511,499v,,1,5,1,3c512,504,512,504,512,504v,,-5,1,-6,c505,504,505,500,503,500v-1,-1,-4,-2,-5,-2c502,494,498,496,500,493v-2,,-5,,-7,c498,488,498,488,495,482v-9,3,-11,1,-19,3c473,480,472,478,473,472v-4,1,-6,1,-10,1c463,471,463,471,463,471v-4,-1,-7,-1,-11,-2c452,467,452,467,452,467v-1,-1,-3,,-4,-1c448,464,448,464,448,464v-1,-1,-6,-5,-7,-6c440,458,440,458,440,458v,,-4,-1,-6,-2c434,449,434,443,433,437v3,-1,2,1,3,-2c434,435,436,437,434,436v,-1,,-1,,-1c433,434,430,433,428,432v,-1,,-1,,-1c428,431,426,432,426,431v1,-7,-1,-2,-3,-7c422,422,423,421,422,419v-2,,-2,,-2,c420,418,419,416,419,416v-1,-5,3,-6,4,-9c423,406,422,405,423,404v2,-1,2,-1,2,-1c425,401,423,401,424,399v,,1,-1,2,-1c427,398,423,394,424,392v,-1,2,-2,2,-3c425,388,422,386,422,385v-1,-3,1,-4,1,-7c422,376,419,367,418,366v-2,-1,-2,-1,-2,-1c416,364,416,362,416,361v,-2,-3,-5,-3,-6c413,352,414,348,414,344v-1,1,-4,,-5,c408,344,408,347,407,349v,,-3,-3,-2,-3c405,346,405,341,405,339v,,-6,,-7,-1c397,338,397,334,397,333v-1,,-3,-1,-3,-2c393,329,394,327,393,326v,,-5,-4,-6,-4c388,320,388,318,389,315v-1,,-2,,-2,-2c389,313,389,313,391,312v-1,-4,-1,-7,,-12c390,299,389,297,389,296v-1,,-4,,-5,c385,291,385,288,383,283v-2,,-2,,-2,c381,280,382,280,383,279v1,-1,-5,-8,-5,-8c380,268,382,265,384,261v,-2,,-2,,-2c381,258,379,254,381,249v1,-1,4,-2,4,-3c386,245,385,244,385,242v-2,,-2,,-2,c381,241,379,236,379,234v-3,-1,-12,-2,-13,-4c365,228,366,225,365,223v,,-2,,-3,c361,223,352,216,352,215v-1,-1,,-4,,-5c352,209,349,210,349,210v-2,-6,-2,-8,-5,-12c344,198,341,198,341,199v-1,2,,4,-1,5c336,207,330,206,327,204v-1,4,,5,,8c325,213,323,212,322,212v-1,1,-1,4,-2,4c313,219,304,216,302,212v-2,-2,-1,-5,-2,-8c300,203,297,201,297,201v,-1,1,-2,1,-4c297,194,294,191,293,187v,-1,1,-3,,-4c292,181,289,180,288,179v,-9,,-9,,-9c292,169,292,169,292,169v,-2,,-2,,-2c293,168,293,167,293,166v,-1,1,-9,,-11c293,154,290,153,290,153v-2,-6,,-25,,-31c277,125,280,122,282,112v2,,2,,2,c285,111,284,109,284,108v-1,-1,-2,,-3,c281,106,281,106,281,106v-1,-1,-5,-3,-5,-4c274,99,276,97,273,95v-1,,-2,,-3,-1c272,93,268,93,268,93v,1,,3,-1,3c266,97,266,94,264,95v,-3,-1,-8,-2,-12c265,81,271,79,272,76v,-1,-1,-2,,-3c271,72,271,75,269,74v-2,-4,-2,-4,-2,-4c260,71,257,70,251,66v1,-7,-1,-12,,-21c251,45,252,42,252,40v,-1,-2,-1,-3,-1c249,35,249,34,250,30v-3,-1,-3,-1,-3,-1c246,28,248,26,247,25v-1,-1,-4,-1,-5,-2c241,23,239,18,238,18v-1,2,-1,2,-1,2c236,21,235,20,233,21v,-1,1,-2,1,-4c233,17,233,14,233,14v2,-1,5,-2,7,-3c240,8,240,6,240,4,238,3,238,3,238,3v,,-1,2,-2,2c235,6,232,5,232,5v-1,,,3,,3c231,9,228,9,228,11v-2,2,,4,-2,6c224,18,219,17,216,18v-2,1,-4,4,-7,5c210,29,211,34,209,39v,,-1,,-1,1c209,46,209,48,209,55v2,2,-1,-1,,1c207,62,206,65,207,73v2,,2,,2,c210,74,209,76,209,77v-1,1,,,,2c206,79,207,78,205,79v1,2,-3,-3,-3,-3c202,76,204,69,202,70v-1,1,-1,1,-1,1c198,73,196,82,194,87v1,,2,,3,c197,87,198,89,198,90v-1,,-3,-1,-4,c189,91,191,98,189,102v,1,-3,2,-4,3c185,107,185,107,185,107v3,,2,-1,3,-1c190,106,193,110,194,111v1,,4,-2,4,-2c201,108,200,110,203,110v-1,,-3,2,-4,3c194,116,201,115,201,115v,-2,-2,11,-2,13c198,125,198,123,197,121v-1,1,-2,,-3,c186,132,186,132,186,132v,1,,5,,6c190,138,190,138,190,138v1,1,1,4,1,4c193,142,193,142,193,142v,1,,4,,4c191,147,193,150,191,152v-4,,-4,,-4,c186,156,187,159,185,163v,1,-2,3,-2,3c182,169,180,179,181,183v,1,3,4,4,5c185,190,186,195,186,195v,,-2,9,-2,10c182,209,179,212,180,217v,1,2,4,3,5c183,225,182,230,183,233v3,2,3,2,3,2c187,237,186,240,185,240v,8,4,10,7,12c190,252,188,252,186,252v-1,3,-3,7,-5,10c181,263,179,263,179,263v-1,2,-3,16,-3,17c175,280,177,282,177,283v-2,,-2,,-2,c175,284,175,286,175,286v2,2,3,3,2,8c176,296,172,298,171,300v-1,2,,3,-1,6c167,308,167,308,167,308v1,3,1,3,1,3c168,313,169,319,168,321v-3,1,-3,1,-3,1c164,323,165,325,164,327v-1,,-1,,-1,c163,328,164,330,163,331v,2,-2,1,-3,2c157,335,153,342,151,345v2,1,-2,23,-2,24c150,370,150,370,151,371v,,,3,,4c151,375,147,374,149,373v,,-3,-1,-2,c146,374,144,373,143,374v,,,2,,3c141,377,141,377,140,378v,,-1,,-2,1c139,379,140,381,140,382v-2,,-2,-2,-6,-2c132,381,130,385,128,385v-1,,-5,-1,-7,-1c117,385,108,387,104,386v-1,,-4,-5,-3,-4c101,380,101,380,101,380v-2,-1,-4,,-8,c91,386,91,386,91,386v-2,,-2,,-2,c91,385,88,385,88,385v,1,-2,4,-2,4c84,389,84,389,84,389v,-4,1,-5,2,-9c83,379,80,379,78,377v-1,-2,,-4,-4,-6c74,370,74,370,74,370v-2,-1,-3,1,-5,1c64,370,63,366,61,362v-1,,-3,-1,-3,-3c57,357,59,352,59,352v-1,-3,-6,-3,-7,-5c52,345,52,345,52,345v-4,-2,-4,1,-8,c41,344,37,340,33,339v-6,-1,-7,2,-12,c18,338,16,334,15,331v-3,1,-4,2,-5,2c4,329,4,329,4,329v,1,,1,,1c,558,9,829,9,829v,1,,1,,1c10,830,10,830,10,830v49,-1,85,-2,142,-3c153,827,153,827,153,827v1,166,1,166,1,166c530,996,530,996,530,996v6,-9,6,-9,6,-9c536,987,549,982,556,977v11,-7,10,1,17,1c581,978,587,971,593,976v1,2,2,2,3,4c599,986,609,981,616,984v5,2,7,5,11,7c631,994,633,995,639,997v8,2,2,12,5,14c649,1013,654,1011,659,1003v5,-6,4,-9,10,-12c671,990,673,993,675,993v4,1,6,-1,10,-2c691,990,699,997,701,988v1,-3,-1,-6,3,-8c709,979,716,979,721,975v6,-5,6,2,11,2c742,976,749,979,752,976v3,-3,9,-4,9,-4c775,964,775,964,775,964v,,,,,xe" fillcolor="#d2d3e9" strokecolor="white">
                      <v:path arrowok="t" o:connecttype="custom" o:connectlocs="72,327;214,0;648,635;673,706;672,699;436,428;770,777;761,820;770,771;763,904;772,919;771,900;777,932;772,937;775,964;756,914;759,852;750,809;730,772;710,738;683,722;650,698;656,682;645,637;643,647;611,634;601,650;597,626;578,572;562,553;564,531;530,508;500,493;448,466;428,432;425,403;416,361;394,331;383,283;383,242;341,199;298,197;290,153;270,94;251,66;237,20;232,8;207,73;197,87;203,110;191,142;186,195;181,262;167,308;149,369;140,382;89,386;61,362;10,333;530,996;644,1011;752,976" o:connectangles="0,0,0,0,0,0,0,0,0,0,0,0,0,0,0,0,0,0,0,0,0,0,0,0,0,0,0,0,0,0,0,0,0,0,0,0,0,0,0,0,0,0,0,0,0,0,0,0,0,0,0,0,0,0,0,0,0,0,0,0,0,0"/>
                      <o:lock v:ext="edit" verticies="t"/>
                    </v:shape>
                    <v:shape id="Freeform 47" o:spid="_x0000_s1040" style="position:absolute;left:11058;top:19;width:15;height:16;visibility:visible;mso-wrap-style:square;v-text-anchor:top" coordsize="60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" path="m598,663v3,-244,3,-244,3,-244c600,166,600,166,600,166,599,,599,,599,v-1,,-1,,-1,c540,1,504,2,456,3v-1,,-1,,-1,c284,3,180,7,,13,22,303,22,303,22,303v5,,7,-1,7,-1c32,300,34,299,38,298v6,-2,13,,20,c62,296,62,296,62,296v4,-1,10,1,12,1c79,297,85,295,89,295v7,-1,16,1,22,1c114,296,123,294,126,293v2,-1,,-3,1,-4c128,288,129,289,130,288v6,-2,4,1,10,1c142,289,139,287,142,288v1,,6,2,7,3c150,291,150,293,150,293v1,,3,,4,c155,293,158,295,159,296v6,1,9,1,13,4c175,301,178,305,180,306v2,2,10,4,11,5c191,312,190,315,191,316v,,1,1,2,2c198,317,202,318,208,316v,-2,,-2,,-2c211,314,216,312,220,313v3,1,5,5,7,7c229,321,231,319,232,320v1,,3,3,4,4c236,323,238,322,239,322v2,3,2,3,2,3c244,324,246,321,247,319v2,3,2,3,2,3c252,322,252,320,255,321v1,,1,2,2,3c258,325,260,324,262,326v2,2,2,6,5,9c274,334,272,335,277,337v,5,1,12,-2,16c275,354,272,355,271,355v,-1,1,-3,-1,-4c270,351,268,352,267,351v3,8,3,8,3,8c272,360,274,359,275,360v,7,,7,,7c277,368,282,368,284,369v,-2,1,-2,1,-3c285,366,286,366,287,365v,2,1,6,3,7c291,373,292,372,293,373v1,,2,4,2,4c296,378,298,377,298,377v,-2,,-2,,-2c297,376,297,373,297,373v1,,3,,3,c304,371,301,372,305,372v-1,9,1,11,4,18c310,390,312,389,313,390v-1,3,-3,10,-1,13c312,405,315,405,316,406v4,3,10,9,11,14c328,423,325,428,326,431v1,3,5,10,6,12c333,449,333,456,334,462v1,,2,-1,4,-1c338,464,340,468,340,471v-3,,-5,1,-9,1c330,470,330,470,330,470v-1,-1,-4,-2,-5,-3c325,465,325,465,325,465v-3,2,-3,2,-3,2c323,468,323,469,323,472v2,,3,-1,3,-1c326,471,327,472,328,472v6,4,3,6,6,9c335,482,337,482,339,482v4,2,7,6,10,11c357,489,355,489,364,495v,-2,3,-7,,-7c364,488,363,489,362,489v,-2,,-2,,-2c361,486,359,485,359,484v,4,,4,,4c357,487,356,489,355,489v-1,,,-2,-2,-2c354,485,357,482,358,480v,-1,-1,-2,,-3c358,477,361,476,361,475v,-1,-4,-1,,-7c362,465,363,466,366,464v1,1,1,2,2,3c368,466,369,462,368,462v,,-3,-1,-4,-1c364,460,365,457,364,457v12,-4,29,-18,37,-27c398,428,399,428,401,423v1,1,3,,5,c406,424,405,426,407,425v,,1,-3,2,-3c409,421,411,422,412,422v,-1,8,-7,8,-7c421,413,420,411,421,409v2,-3,6,-6,7,-10c428,397,427,393,428,392v,-1,3,-1,5,-1c434,390,436,383,437,381v1,1,2,2,3,1c441,380,440,380,441,379v,-2,,-6,-1,-8c440,370,438,369,437,369v-1,-6,-1,-10,-1,-16c437,353,438,353,438,352v1,1,,3,,3c439,355,439,355,439,355v4,2,2,6,4,9c444,365,447,365,447,366v1,1,,3,,4c448,371,450,374,451,376v1,,3,,4,c456,377,455,379,457,379v-2,4,-1,8,-5,9c451,388,449,387,448,388v-1,,,2,-1,3c447,392,447,394,447,395v1,,2,-1,3,c450,395,449,398,449,399v,1,2,1,3,1c452,406,453,408,454,411v-2,,-2,,-2,c452,413,452,413,452,413v-2,,-1,-2,-3,-1c448,414,448,418,447,420v,1,-3,1,-4,3c443,424,444,425,443,426v-2,,-2,,-2,c441,428,441,428,441,428v,2,-4,4,-4,6c436,435,439,436,439,437v-1,2,-1,4,-2,7c435,443,434,442,432,443v,1,3,11,4,11c436,454,433,457,434,459v2,,2,,2,c436,462,437,465,437,467v1,6,-2,12,-2,18c428,484,423,487,414,488v,1,-1,6,-1,7c413,495,410,494,410,495v,5,,7,-1,12c407,507,407,507,407,507v-1,1,,2,,3c408,509,410,510,412,510v,-1,1,-5,1,-6c416,503,420,504,422,503v1,-3,1,-3,1,-3c425,498,427,499,431,497v,,1,-2,2,-2c435,494,438,496,439,496v2,1,1,-1,3,c444,498,444,498,444,498v2,1,4,-1,5,-1c448,493,447,491,449,485v2,-2,2,-2,2,-2c451,480,449,481,450,478v,,3,-2,3,-3c453,472,452,469,454,465v,-1,2,-2,3,-3c457,459,455,453,459,448v1,-3,5,-4,6,-6c466,440,465,439,466,437v1,-1,3,-3,4,-5c472,441,476,444,480,451v,1,-1,2,,3c480,455,482,455,483,455v1,2,,4,1,6c485,461,485,461,485,461v1,3,4,8,4,11c489,473,488,473,488,474v-1,-1,-2,-2,-3,-3c484,472,484,472,484,472v-1,1,,1,-1,1c484,478,484,480,484,486v3,,3,,3,c487,489,488,493,486,497v,1,-2,7,-2,8c483,506,480,506,480,507v-2,3,,7,-1,10c478,517,478,517,478,517v-4,2,-7,6,-11,9c469,527,471,527,472,528v1,1,1,1,1,1c476,529,484,528,487,527v1,,7,-2,8,-3c496,524,498,518,501,518v2,-1,3,1,5,1c504,516,504,514,502,512v2,,1,-2,4,-1c507,511,507,514,509,515v1,,4,-1,5,c512,513,512,513,512,513v1,,,-3,,-3c516,509,518,508,522,507v-2,-1,,-3,,-4c525,505,526,507,529,510v,,1,-2,3,-1c531,511,531,515,530,518v-1,,-3,1,-3,1c526,516,526,516,526,516v-2,-1,,2,-2,1c525,518,523,518,524,520v,,2,,3,c527,522,527,522,527,522v,-3,2,3,1,5c527,528,524,528,524,529v-1,1,,3,,4c525,534,530,537,531,538v1,2,1,5,3,6c536,545,538,545,539,546v2,3,2,6,3,10c543,560,547,563,548,566v3,6,1,10,2,18c550,586,552,590,552,593v,1,-5,9,-6,10c545,604,543,603,543,604v,2,,2,,2c544,608,549,615,549,616v,2,-3,3,,8c557,634,557,634,557,634v1,1,3,,4,2c563,637,562,639,563,641v1,2,4,4,5,5c572,652,571,654,578,658v2,2,2,2,2,2c584,660,588,657,594,659v1,,2,4,4,4xm443,521v-2,1,-8,5,-10,5c430,527,428,525,426,525v-3,1,-6,5,-9,6c414,532,413,531,410,532v-7,4,-7,4,-7,4c399,538,398,538,393,540v,2,1,3,-1,4c393,545,394,547,395,548v2,2,6,2,7,3c403,553,402,554,403,555v3,-1,4,,7,-1c411,552,411,552,411,552v2,,1,2,4,1c416,553,420,550,421,550v1,,3,1,4,c425,548,425,548,425,548v1,,3,-1,3,-1c428,547,431,547,432,547v1,,7,7,8,8c442,553,444,552,446,550v,,,-3,-1,-2c445,547,446,546,444,546v1,-1,2,-1,1,-2c449,542,455,539,462,541v2,,3,2,6,2c469,542,470,541,471,541v-1,-3,-4,-8,-7,-9c463,532,462,532,461,532v-1,1,-2,4,-2,5c453,541,453,534,454,535v,-3,,-3,,-3c453,532,448,533,449,533v-2,-1,-3,1,-5,c442,532,444,524,445,523v-1,,,-2,-2,-2xm516,518v,1,,3,,5c518,524,517,523,518,524v3,6,,-4,2,-4c519,519,517,518,516,518xe" fillcolor="#d2d3e9" strokecolor="white">
                      <v:path arrowok="t" o:connecttype="custom" o:connectlocs="598,0;29,302;89,295;140,289;159,296;193,318;232,320;249,322;277,337;270,359;287,365;298,375;313,390;332,443;330,470;326,471;364,495;359,488;361,475;364,461;407,425;428,399;441,379;438,355;451,376;447,391;454,411;443,423;439,437;436,459;410,495;413,504;439,496;451,483;459,448;480,454;488,474;487,486;478,517;495,524;509,515;522,503;526,516;528,527;539,546;546,603;557,634;580,660;426,525;392,544;411,552;428,547;444,546;464,532;449,533;516,523" o:connectangles="0,0,0,0,0,0,0,0,0,0,0,0,0,0,0,0,0,0,0,0,0,0,0,0,0,0,0,0,0,0,0,0,0,0,0,0,0,0,0,0,0,0,0,0,0,0,0,0,0,0,0,0,0,0,0,0"/>
                      <o:lock v:ext="edit" verticies="t"/>
                    </v:shape>
                    <v:shape id="Freeform 48" o:spid="_x0000_s1041" style="position:absolute;left:11081;top:31;width:1;height:1;visibility:visible;mso-wrap-style:square;v-text-anchor:top" coordsize="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" path="m4,26c4,23,,22,1,18,1,13,6,11,11,8,16,5,22,,28,4v2,2,1,5,3,7c33,13,37,12,38,15v2,5,-10,-1,-14,3c22,21,24,24,23,26v-2,4,-9,3,-7,7c17,37,23,44,13,45,9,45,6,42,5,38,5,35,2,35,1,33v,-3,3,-4,3,-7xe" fillcolor="#d5faf0" strokecolor="white">
                      <v:path arrowok="t" o:connecttype="custom" o:connectlocs="4,26;1,18;11,8;28,4;31,11;38,15;24,18;23,26;16,33;13,45;5,38;1,33;4,26" o:connectangles="0,0,0,0,0,0,0,0,0,0,0,0,0"/>
                    </v:shape>
                  </v:group>
                  <v:shape id="Freeform: Shape 555927299" o:spid="_x0000_s1042" style="position:absolute;left:44325;top:21553;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617145857" o:spid="_x0000_s1043" style="position:absolute;left:40623;top:22739;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84906755" o:spid="_x0000_s1044" style="position:absolute;left:42221;top:24262;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2094357719" o:spid="_x0000_s1045" style="position:absolute;left:45462;top:14915;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804807230" o:spid="_x0000_s1046" style="position:absolute;left:45225;top:14068;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450347268" o:spid="_x0000_s1047" style="position:absolute;left:43308;top:11283;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1761782632" o:spid="_x0000_s1048" style="position:absolute;left:14213;top:22233;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1165364680" o:spid="_x0000_s1049" style="position:absolute;left:33324;top:23080;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1844163863" o:spid="_x0000_s1050" style="position:absolute;left:39288;top:26037;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shape id="Freeform: Shape 475178962" o:spid="_x0000_s1051" style="position:absolute;left:37445;top:26281;width:1800;height:1440;visibility:visible;mso-wrap-style:square;v-text-anchor:middle" coordsize="283081,19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" path="m182967,51783r,-10356l141541,,100114,41427r,10356l,51783,,65592r6904,l6904,196776r269273,l276177,65592r6904,l283081,51783r-100114,xm41427,169158r-20714,l20713,148445r20714,l41427,169158xm41427,134636r-20714,l20713,113923r20714,l41427,134636xm41427,100114r-20714,l20713,79401r20714,l41427,100114xm75949,169158r-20714,l55235,148445r20714,l75949,169158xm75949,134636r-20714,l55235,113923r20714,l75949,134636xm75949,100114r-20714,l55235,79401r20714,l75949,100114xm110471,169158r-20714,l89757,148445r20714,l110471,169158xm110471,134636r-20714,l89757,113923r20714,l110471,134636xm110471,100114r-20714,l89757,79401r20714,l110471,100114xm127732,182967r,-48331l155349,134636r,48331l127732,182967xm165706,65178r-6456,11185l147996,69838r,13015l135085,82853r,-13015l123831,76363,117375,65178r11289,-6490l117375,52197r6456,-11185l135085,47537r,-13015l147996,34522r,13015l159250,41012r6456,11185l154417,58688r11289,6490xm193324,169158r-20714,l172610,148445r20714,l193324,169158xm193324,134636r-20714,l172610,113923r20714,l193324,134636xm193324,100114r-20714,l172610,79401r20714,l193324,100114xm227846,169158r-20713,l207133,148445r20713,l227846,169158xm227846,134636r-20713,l207133,113923r20713,l227846,134636xm227846,100114r-20713,l207133,79401r20713,l227846,100114xm262368,169158r-20713,l241655,148445r20713,l262368,169158xm262368,134636r-20713,l241655,113923r20713,l262368,134636xm262368,100114r-20713,l241655,79401r20713,l262368,100114xe" fillcolor="#464e7e" stroked="f" strokeweight=".09369mm">
                    <v:stroke joinstyle="miter"/>
                    <v:path arrowok="t" o:connecttype="custom" o:connectlocs="116341,37895;116341,30316;90000,0;63659,30316;63659,37895;0,37895;0,48000;4390,48000;4390,144001;175610,144001;175610,48000;180000,48000;180000,37895;26342,123790;13171,123790;13171,108632;26342,108632;26342,98527;13171,98527;13171,83369;26342,83369;26342,73263;13171,73263;13171,58106;26342,58106;48293,123790;35122,123790;35122,108632;48293,108632;48293,98527;35122,98527;35122,83369;48293,83369;48293,73263;35122,73263;35122,58106;48293,58106;70244,123790;57073,123790;57073,108632;70244,108632;70244,98527;57073,98527;57073,83369;70244,83369;70244,73263;57073,73263;57073,58106;70244,58106;81220,133895;81220,98527;98780,98527;98780,133895;105366,47697;101261,55882;94105,51107;94105,60632;85895,60632;85895,51107;78739,55882;74634,47697;81812,42948;74634,38198;78739,30013;85895,34788;85895,25263;94105,25263;94105,34788;101261,30013;105366,38198;98188,42948;122927,123790;109756,123790;109756,108632;122927,108632;122927,98527;109756,98527;109756,83369;122927,83369;122927,73263;109756,73263;109756,58106;122927,58106;144878,123790;131708,123790;131708,108632;144878,108632;144878,98527;131708,98527;131708,83369;144878,83369;144878,73263;131708,73263;131708,58106;144878,58106;166829,123790;153659,123790;153659,108632;166829,108632;166829,98527;153659,98527;153659,83369;166829,83369;166829,73263;153659,73263;153659,58106;166829,58106" o:connectangles="0,0,0,0,0,0,0,0,0,0,0,0,0,0,0,0,0,0,0,0,0,0,0,0,0,0,0,0,0,0,0,0,0,0,0,0,0,0,0,0,0,0,0,0,0,0,0,0,0,0,0,0,0,0,0,0,0,0,0,0,0,0,0,0,0,0,0,0,0,0,0,0,0,0,0,0,0,0,0,0,0,0,0,0,0,0,0,0,0,0,0,0,0,0,0,0,0,0,0,0,0,0,0,0,0,0,0"/>
                  </v:shape>
                </v:group>
                <v:roundrect id="Rectangle: Rounded Corners 12" o:spid="_x0000_s1052" style="position:absolute;left:40561;top:3174;width:18579;height:10440;visibility:visible;mso-wrap-style:square;v-text-anchor:middle" arcsize="70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" fillcolor="#eff0f7 [663]" strokecolor="#464e7e" strokeweight="1pt">
                  <v:stroke joinstyle="miter"/>
                  <v:textbox style="mso-fit-shape-to-text:t" inset="1mm,0,1mm,0">
                    <w:txbxContent>
                      <w:p w14:paraId="42EC857F"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 xml:space="preserve">Queensland: </w:t>
                        </w:r>
                      </w:p>
                      <w:p w14:paraId="06CA3FCB" w14:textId="206B4293"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Wide Bay HHS: Bundaberg Hospital</w:t>
                        </w:r>
                      </w:p>
                      <w:p w14:paraId="17FDFC61"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 xml:space="preserve"> Metro North HHS: Caboolture Hospital </w:t>
                        </w:r>
                        <w:r>
                          <w:rPr>
                            <w:rFonts w:asciiTheme="minorHAnsi"/>
                            <w:color w:val="464E7E"/>
                            <w:kern w:val="24"/>
                            <w:sz w:val="16"/>
                            <w:szCs w:val="16"/>
                          </w:rPr>
                          <w:t>and</w:t>
                        </w:r>
                        <w:r w:rsidRPr="00002C11">
                          <w:rPr>
                            <w:rFonts w:asciiTheme="minorHAnsi"/>
                            <w:color w:val="464E7E"/>
                            <w:kern w:val="24"/>
                            <w:sz w:val="16"/>
                            <w:szCs w:val="16"/>
                          </w:rPr>
                          <w:t xml:space="preserve"> Royal Brisbane &amp; Women's Hospital</w:t>
                        </w:r>
                      </w:p>
                    </w:txbxContent>
                  </v:textbox>
                </v:roundrect>
                <v:roundrect id="Rectangle: Rounded Corners 13" o:spid="_x0000_s1053" style="position:absolute;left:47685;top:22794;width:16189;height:13236;visibility:visible;mso-wrap-style:square;v-text-anchor:middle" arcsize="89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" fillcolor="#eff0f7 [663]" strokecolor="#464e7e" strokeweight="1pt">
                  <v:stroke joinstyle="miter"/>
                  <v:textbox style="mso-fit-shape-to-text:t" inset="1mm,1mm,1mm,1mm">
                    <w:txbxContent>
                      <w:p w14:paraId="05C7E078"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New South Wales:</w:t>
                        </w:r>
                      </w:p>
                      <w:p w14:paraId="5FFB1D28"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Hunter New England LHD: John Hunter Hospital</w:t>
                        </w:r>
                      </w:p>
                      <w:p w14:paraId="3F9A5EE6"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Murrumbidgee LHD: Wagga Wagga Base Hospital</w:t>
                        </w:r>
                      </w:p>
                    </w:txbxContent>
                  </v:textbox>
                </v:roundrect>
                <v:roundrect id="Rectangle: Rounded Corners 14" o:spid="_x0000_s1054" style="position:absolute;left:18794;top:36382;width:17994;height:9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" fillcolor="#eff0f7 [663]" strokecolor="#464e7e" strokeweight="1pt">
                  <v:stroke joinstyle="miter"/>
                  <v:textbox style="mso-fit-shape-to-text:t" inset="1mm,1mm,1mm,1mm">
                    <w:txbxContent>
                      <w:p w14:paraId="20376F74"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Victoria:</w:t>
                        </w:r>
                      </w:p>
                      <w:p w14:paraId="09BB7D13"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Alfred Health HS: Alfred Hospital</w:t>
                        </w:r>
                      </w:p>
                      <w:p w14:paraId="78BA03C3"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Barwon Health HS: University Hospital Geelong</w:t>
                        </w:r>
                      </w:p>
                    </w:txbxContent>
                  </v:textbox>
                </v:roundrect>
                <v:roundrect id="Rectangle: Rounded Corners 15" o:spid="_x0000_s1055" style="position:absolute;top:20432;width:17003;height:81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" fillcolor="#eff0f7 [663]" strokecolor="#464e7e" strokeweight="1pt">
                  <v:stroke joinstyle="miter"/>
                  <v:textbox style="mso-fit-shape-to-text:t" inset="1mm,1mm,1mm,1mm">
                    <w:txbxContent>
                      <w:p w14:paraId="132F4315"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Western Australia:</w:t>
                        </w:r>
                      </w:p>
                      <w:p w14:paraId="30D5C1D1" w14:textId="34A53B39" w:rsidR="009614F3" w:rsidRDefault="00D1714F">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 xml:space="preserve">North </w:t>
                        </w:r>
                        <w:r>
                          <w:rPr>
                            <w:rFonts w:asciiTheme="minorHAnsi"/>
                            <w:color w:val="464E7E"/>
                            <w:kern w:val="24"/>
                            <w:sz w:val="16"/>
                            <w:szCs w:val="16"/>
                          </w:rPr>
                          <w:t>Metropolitan</w:t>
                        </w:r>
                        <w:r w:rsidRPr="00002C11">
                          <w:rPr>
                            <w:rFonts w:asciiTheme="minorHAnsi"/>
                            <w:color w:val="464E7E"/>
                            <w:kern w:val="24"/>
                            <w:sz w:val="16"/>
                            <w:szCs w:val="16"/>
                          </w:rPr>
                          <w:t xml:space="preserve"> HSP:</w:t>
                        </w:r>
                        <w:r w:rsidR="0084047A">
                          <w:rPr>
                            <w:rFonts w:asciiTheme="minorHAnsi"/>
                            <w:color w:val="464E7E"/>
                            <w:kern w:val="24"/>
                            <w:sz w:val="16"/>
                            <w:szCs w:val="16"/>
                          </w:rPr>
                          <w:t xml:space="preserve"> </w:t>
                        </w:r>
                      </w:p>
                      <w:p w14:paraId="3DB7B52B" w14:textId="5BF55D02" w:rsidR="00D1714F" w:rsidRPr="00002C11" w:rsidRDefault="00D1714F" w:rsidP="00AD1F32">
                        <w:pPr>
                          <w:pStyle w:val="ListParagraph"/>
                          <w:spacing w:after="0"/>
                          <w:ind w:left="142"/>
                          <w:rPr>
                            <w:rFonts w:asciiTheme="minorHAnsi"/>
                            <w:color w:val="464E7E"/>
                            <w:kern w:val="24"/>
                            <w:sz w:val="16"/>
                            <w:szCs w:val="16"/>
                          </w:rPr>
                        </w:pPr>
                        <w:r w:rsidRPr="00002C11">
                          <w:rPr>
                            <w:rFonts w:asciiTheme="minorHAnsi"/>
                            <w:color w:val="464E7E"/>
                            <w:kern w:val="24"/>
                            <w:sz w:val="16"/>
                            <w:szCs w:val="16"/>
                          </w:rPr>
                          <w:t>Sir Charles Gairdner Hospital</w:t>
                        </w:r>
                      </w:p>
                    </w:txbxContent>
                  </v:textbox>
                </v:roundrect>
                <v:roundrect id="Rectangle: Rounded Corners 16" o:spid="_x0000_s1056" style="position:absolute;left:44319;top:33651;width:16205;height:9036;visibility:visible;mso-wrap-style:square;v-text-anchor:middle" arcsize="20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" fillcolor="#eff0f7 [663]" strokecolor="#464e7e" strokeweight="1pt">
                  <v:stroke joinstyle="miter"/>
                  <v:textbox style="mso-fit-shape-to-text:t" inset="1mm,1mm,1mm,1mm">
                    <w:txbxContent>
                      <w:p w14:paraId="4BAE0484"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Australian Capital Territory:</w:t>
                        </w:r>
                      </w:p>
                      <w:p w14:paraId="6DF02A3F"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Canberra Health Services</w:t>
                        </w:r>
                      </w:p>
                    </w:txbxContent>
                  </v:textbox>
                </v:roundrect>
                <v:roundrect id="Rectangle: Rounded Corners 17" o:spid="_x0000_s1057" style="position:absolute;left:16254;top:27622;width:13580;height:8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" fillcolor="#eff0f7 [663]" strokecolor="#464e7e" strokeweight="1pt">
                  <v:stroke joinstyle="miter"/>
                  <v:textbox style="mso-fit-shape-to-text:t" inset="1mm,1mm,1mm,1mm">
                    <w:txbxContent>
                      <w:p w14:paraId="31919B1D" w14:textId="77777777" w:rsidR="00D1714F" w:rsidRPr="00002C11" w:rsidRDefault="00D1714F" w:rsidP="00D1714F">
                        <w:pPr>
                          <w:spacing w:after="0"/>
                          <w:jc w:val="center"/>
                          <w:rPr>
                            <w:rFonts w:asciiTheme="minorHAnsi"/>
                            <w:b/>
                            <w:color w:val="464E7E"/>
                            <w:kern w:val="24"/>
                            <w:sz w:val="16"/>
                            <w:szCs w:val="16"/>
                          </w:rPr>
                        </w:pPr>
                        <w:r w:rsidRPr="00002C11">
                          <w:rPr>
                            <w:rFonts w:asciiTheme="minorHAnsi"/>
                            <w:b/>
                            <w:color w:val="464E7E"/>
                            <w:kern w:val="24"/>
                            <w:sz w:val="16"/>
                            <w:szCs w:val="16"/>
                          </w:rPr>
                          <w:t>South Australia:</w:t>
                        </w:r>
                      </w:p>
                      <w:p w14:paraId="39F8747D" w14:textId="77777777" w:rsidR="00D1714F" w:rsidRPr="00002C11" w:rsidRDefault="00D1714F" w:rsidP="007926F8">
                        <w:pPr>
                          <w:pStyle w:val="ListParagraph"/>
                          <w:numPr>
                            <w:ilvl w:val="0"/>
                            <w:numId w:val="96"/>
                          </w:numPr>
                          <w:spacing w:after="0"/>
                          <w:ind w:left="142" w:hanging="142"/>
                          <w:rPr>
                            <w:rFonts w:asciiTheme="minorHAnsi"/>
                            <w:color w:val="464E7E"/>
                            <w:kern w:val="24"/>
                            <w:sz w:val="16"/>
                            <w:szCs w:val="16"/>
                          </w:rPr>
                        </w:pPr>
                        <w:r w:rsidRPr="00002C11">
                          <w:rPr>
                            <w:rFonts w:asciiTheme="minorHAnsi"/>
                            <w:color w:val="464E7E"/>
                            <w:kern w:val="24"/>
                            <w:sz w:val="16"/>
                            <w:szCs w:val="16"/>
                          </w:rPr>
                          <w:t>Southern Adelaide LHN: Flinders Medical Centre</w:t>
                        </w:r>
                      </w:p>
                    </w:txbxContent>
                  </v:textbox>
                </v:roundrect>
                <w10:anchorlock/>
              </v:group>
            </w:pict>
          </mc:Fallback>
        </mc:AlternateContent>
      </w:r>
    </w:p>
    <w:p w14:paraId="30DB45AA" w14:textId="77777777" w:rsidR="00DF0DE0" w:rsidRDefault="00DF0DE0" w:rsidP="00622486"/>
    <w:p w14:paraId="2FB78044" w14:textId="77777777" w:rsidR="00DF0DE0" w:rsidRDefault="00DF0DE0" w:rsidP="00DF0DE0">
      <w:pPr>
        <w:pStyle w:val="Heading2"/>
      </w:pPr>
      <w:r>
        <w:t>Peer review</w:t>
      </w:r>
    </w:p>
    <w:p w14:paraId="16D01A3F" w14:textId="6C38EE94" w:rsidR="00DF0DE0" w:rsidRDefault="00E242E9" w:rsidP="00DF0DE0">
      <w:r>
        <w:t>A peer review process formed part of the IFR, with all p</w:t>
      </w:r>
      <w:r w:rsidR="00DF0DE0" w:rsidRPr="00B34D37">
        <w:t>art</w:t>
      </w:r>
      <w:r>
        <w:t xml:space="preserve">icipating jurisdictions invited to nominate peers to join site visits for other jurisdictions. </w:t>
      </w:r>
      <w:r w:rsidR="009278E8">
        <w:t>Approximately</w:t>
      </w:r>
      <w:r w:rsidR="00434B66">
        <w:t xml:space="preserve"> </w:t>
      </w:r>
      <w:r w:rsidR="00DC34F3">
        <w:t>9</w:t>
      </w:r>
      <w:r w:rsidR="00434B66">
        <w:t xml:space="preserve"> peers </w:t>
      </w:r>
      <w:r w:rsidR="00511566">
        <w:t>from</w:t>
      </w:r>
      <w:r w:rsidR="00434B66">
        <w:t xml:space="preserve"> </w:t>
      </w:r>
      <w:r w:rsidR="00DC34F3">
        <w:t>3</w:t>
      </w:r>
      <w:r w:rsidR="00434B66">
        <w:t xml:space="preserve"> jurisdictions participated in the peer review process, attending </w:t>
      </w:r>
      <w:r w:rsidR="00FA2545">
        <w:t xml:space="preserve">up to </w:t>
      </w:r>
      <w:r w:rsidR="006E0788">
        <w:t>3</w:t>
      </w:r>
      <w:r w:rsidR="00FA2545">
        <w:t xml:space="preserve"> other </w:t>
      </w:r>
      <w:r w:rsidR="00434B66">
        <w:t>jurisdiction level and</w:t>
      </w:r>
      <w:r w:rsidR="00F732D1">
        <w:t xml:space="preserve"> </w:t>
      </w:r>
      <w:r w:rsidR="00434B66">
        <w:t>/</w:t>
      </w:r>
      <w:r w:rsidR="00F732D1">
        <w:t xml:space="preserve"> </w:t>
      </w:r>
      <w:r w:rsidR="00434B66">
        <w:t xml:space="preserve">or </w:t>
      </w:r>
      <w:r w:rsidR="00152985">
        <w:t>C</w:t>
      </w:r>
      <w:r w:rsidR="00434B66">
        <w:t xml:space="preserve">ritical </w:t>
      </w:r>
      <w:r w:rsidR="00152985">
        <w:t>C</w:t>
      </w:r>
      <w:r w:rsidR="00434B66">
        <w:t xml:space="preserve">are site visits for other </w:t>
      </w:r>
      <w:r w:rsidR="009D0E9A">
        <w:t xml:space="preserve">jurisdictions. </w:t>
      </w:r>
    </w:p>
    <w:p w14:paraId="5F890560" w14:textId="16EAF6BD" w:rsidR="009D0E9A" w:rsidRDefault="009D0E9A" w:rsidP="00DF0DE0">
      <w:r>
        <w:t>At the end of the site visits, a virtual peer workshop was held to:</w:t>
      </w:r>
    </w:p>
    <w:p w14:paraId="5E68F6FE" w14:textId="77777777" w:rsidR="009D0E9A" w:rsidRDefault="009D0E9A" w:rsidP="009D0E9A">
      <w:pPr>
        <w:pStyle w:val="ListParagraph"/>
        <w:numPr>
          <w:ilvl w:val="0"/>
          <w:numId w:val="91"/>
        </w:numPr>
        <w:rPr>
          <w:lang w:eastAsia="en-US"/>
        </w:rPr>
      </w:pPr>
      <w:r>
        <w:rPr>
          <w:lang w:eastAsia="en-US"/>
        </w:rPr>
        <w:t>Share key findings from across all site visits</w:t>
      </w:r>
    </w:p>
    <w:p w14:paraId="5C3C086F" w14:textId="77777777" w:rsidR="009D0E9A" w:rsidRDefault="009D0E9A" w:rsidP="009D0E9A">
      <w:pPr>
        <w:pStyle w:val="ListParagraph"/>
        <w:numPr>
          <w:ilvl w:val="0"/>
          <w:numId w:val="91"/>
        </w:numPr>
        <w:rPr>
          <w:lang w:eastAsia="en-US"/>
        </w:rPr>
      </w:pPr>
      <w:r>
        <w:rPr>
          <w:lang w:eastAsia="en-US"/>
        </w:rPr>
        <w:t>Discuss proposed recommendations and seek input from costing and jurisdiction representatives</w:t>
      </w:r>
    </w:p>
    <w:p w14:paraId="2FAF3E1C" w14:textId="77777777" w:rsidR="009D0E9A" w:rsidRDefault="009D0E9A" w:rsidP="009D0E9A">
      <w:pPr>
        <w:pStyle w:val="ListParagraph"/>
        <w:numPr>
          <w:ilvl w:val="0"/>
          <w:numId w:val="91"/>
        </w:numPr>
        <w:rPr>
          <w:lang w:eastAsia="en-US"/>
        </w:rPr>
      </w:pPr>
      <w:r>
        <w:rPr>
          <w:lang w:eastAsia="en-US"/>
        </w:rPr>
        <w:t>Seek feedback on proposed focus areas for future IFRs</w:t>
      </w:r>
      <w:r w:rsidR="00C1243C">
        <w:rPr>
          <w:lang w:eastAsia="en-US"/>
        </w:rPr>
        <w:t>, and</w:t>
      </w:r>
    </w:p>
    <w:p w14:paraId="702C8A0E" w14:textId="0B845762" w:rsidR="00C1243C" w:rsidRPr="003C28DB" w:rsidRDefault="00C1243C" w:rsidP="003C28DB">
      <w:pPr>
        <w:pStyle w:val="ListParagraph"/>
        <w:numPr>
          <w:ilvl w:val="0"/>
          <w:numId w:val="91"/>
        </w:numPr>
        <w:rPr>
          <w:lang w:eastAsia="en-US"/>
        </w:rPr>
        <w:sectPr w:rsidR="00C1243C" w:rsidRPr="003C28DB" w:rsidSect="007A2B79">
          <w:headerReference w:type="default" r:id="rId24"/>
          <w:footnotePr>
            <w:pos w:val="beneathText"/>
          </w:footnotePr>
          <w:endnotePr>
            <w:numFmt w:val="decimal"/>
          </w:endnotePr>
          <w:pgSz w:w="11906" w:h="16838" w:code="9"/>
          <w:pgMar w:top="1440" w:right="1440" w:bottom="1440" w:left="1440" w:header="720" w:footer="720" w:gutter="0"/>
          <w:cols w:space="720"/>
          <w:docGrid w:linePitch="360"/>
        </w:sectPr>
      </w:pPr>
      <w:r>
        <w:rPr>
          <w:lang w:eastAsia="en-US"/>
        </w:rPr>
        <w:t xml:space="preserve">Obtain feedback on the IFR process for NHCDC </w:t>
      </w:r>
      <w:r w:rsidR="006440AD">
        <w:rPr>
          <w:lang w:eastAsia="en-US"/>
        </w:rPr>
        <w:t xml:space="preserve">2023-24 </w:t>
      </w:r>
      <w:r>
        <w:rPr>
          <w:lang w:eastAsia="en-US"/>
        </w:rPr>
        <w:t>submission.</w:t>
      </w:r>
    </w:p>
    <w:p w14:paraId="48352A43" w14:textId="1AD96CA6" w:rsidR="00856ABF" w:rsidRDefault="0008226B" w:rsidP="00101B44">
      <w:pPr>
        <w:pStyle w:val="Heading1"/>
      </w:pPr>
      <w:bookmarkStart w:id="16" w:name="_Toc209517821"/>
      <w:r>
        <w:lastRenderedPageBreak/>
        <w:t xml:space="preserve">Cost Driver analysis of the </w:t>
      </w:r>
      <w:r w:rsidR="006440AD">
        <w:t>National Hospital Cost Data Collection (</w:t>
      </w:r>
      <w:r>
        <w:t>NHCDC</w:t>
      </w:r>
      <w:r w:rsidR="006440AD">
        <w:t>) 2023-24</w:t>
      </w:r>
      <w:bookmarkEnd w:id="16"/>
    </w:p>
    <w:p w14:paraId="59123C40" w14:textId="02F42CE2" w:rsidR="00E10683" w:rsidRDefault="004C25A2" w:rsidP="00101B44">
      <w:pPr>
        <w:pStyle w:val="Heading2"/>
      </w:pPr>
      <w:r>
        <w:t>Purpose</w:t>
      </w:r>
    </w:p>
    <w:p w14:paraId="0FD81038" w14:textId="5F258E03" w:rsidR="00F93D8A" w:rsidRDefault="00F475FD" w:rsidP="0008226B">
      <w:r>
        <w:t>A</w:t>
      </w:r>
      <w:r w:rsidR="00D54A7D">
        <w:t xml:space="preserve"> Cost Driver analysis was </w:t>
      </w:r>
      <w:r w:rsidR="00F93D8A">
        <w:t>performed</w:t>
      </w:r>
      <w:r w:rsidR="00D54A7D">
        <w:t xml:space="preserve"> </w:t>
      </w:r>
      <w:r>
        <w:t>as part of this year’s</w:t>
      </w:r>
      <w:r w:rsidR="00152985">
        <w:t xml:space="preserve"> Independent Financial Review (</w:t>
      </w:r>
      <w:r>
        <w:t>IFR</w:t>
      </w:r>
      <w:r w:rsidR="00152985">
        <w:t>)</w:t>
      </w:r>
      <w:r w:rsidR="00D54A7D">
        <w:t xml:space="preserve"> to better understand trends and drivers of change </w:t>
      </w:r>
      <w:r w:rsidR="00717D41">
        <w:t>in</w:t>
      </w:r>
      <w:r w:rsidR="00D54A7D">
        <w:t xml:space="preserve"> the N</w:t>
      </w:r>
      <w:r w:rsidR="00F93D8A">
        <w:t>HC</w:t>
      </w:r>
      <w:r w:rsidR="00D54A7D">
        <w:t xml:space="preserve">DC </w:t>
      </w:r>
      <w:r w:rsidR="00717D41">
        <w:t>submissions</w:t>
      </w:r>
      <w:r w:rsidR="00D54A7D">
        <w:t xml:space="preserve"> between 2022-23 and 2023-24</w:t>
      </w:r>
      <w:r w:rsidR="007B1E09">
        <w:t>. The aim of this analysis was to identify</w:t>
      </w:r>
      <w:r w:rsidR="00D54A7D">
        <w:t xml:space="preserve"> key material movements at a macro level for each jurisdiction</w:t>
      </w:r>
      <w:r w:rsidR="00D817DB">
        <w:t xml:space="preserve"> to facilitate discussions with </w:t>
      </w:r>
      <w:r w:rsidR="00871198">
        <w:t>jurisdictions</w:t>
      </w:r>
      <w:r w:rsidR="00D817DB">
        <w:t xml:space="preserve"> </w:t>
      </w:r>
      <w:r w:rsidR="00871198">
        <w:t>as part</w:t>
      </w:r>
      <w:r w:rsidR="00141249">
        <w:t xml:space="preserve"> of the </w:t>
      </w:r>
      <w:r w:rsidR="00871198">
        <w:t>IFR, to supplement information provided</w:t>
      </w:r>
      <w:r w:rsidR="006A15E1">
        <w:t xml:space="preserve"> in </w:t>
      </w:r>
      <w:r w:rsidR="00871198">
        <w:t xml:space="preserve">the </w:t>
      </w:r>
      <w:r w:rsidR="006440AD">
        <w:t>Data Quality Statements (</w:t>
      </w:r>
      <w:r w:rsidR="0041515F">
        <w:t>DQS</w:t>
      </w:r>
      <w:r w:rsidR="00871198">
        <w:t>s</w:t>
      </w:r>
      <w:r w:rsidR="006440AD">
        <w:t>)</w:t>
      </w:r>
      <w:r w:rsidR="00EC4D54">
        <w:t>.</w:t>
      </w:r>
      <w:r w:rsidR="00193A9C">
        <w:t xml:space="preserve"> </w:t>
      </w:r>
    </w:p>
    <w:p w14:paraId="4BB96376" w14:textId="77777777" w:rsidR="00AB66EE" w:rsidRDefault="00EC4D54" w:rsidP="0008226B">
      <w:r>
        <w:t xml:space="preserve">The analysis </w:t>
      </w:r>
      <w:r w:rsidR="00C50D07">
        <w:t>examined</w:t>
      </w:r>
      <w:r>
        <w:t xml:space="preserve"> trends in</w:t>
      </w:r>
      <w:r w:rsidR="00AB66EE">
        <w:t>:</w:t>
      </w:r>
    </w:p>
    <w:p w14:paraId="4C031841" w14:textId="42CDBD96" w:rsidR="004C25A2" w:rsidRDefault="00C50D07" w:rsidP="00EB684C">
      <w:pPr>
        <w:pStyle w:val="ListParagraph"/>
        <w:numPr>
          <w:ilvl w:val="0"/>
          <w:numId w:val="58"/>
        </w:numPr>
      </w:pPr>
      <w:r>
        <w:t>the</w:t>
      </w:r>
      <w:r w:rsidR="00EC4D54">
        <w:t xml:space="preserve"> volume of activity across care streams </w:t>
      </w:r>
      <w:r w:rsidR="00081186">
        <w:t xml:space="preserve">(raw </w:t>
      </w:r>
      <w:r w:rsidR="00590967">
        <w:t>and weighted</w:t>
      </w:r>
      <w:r w:rsidR="00AB66EE">
        <w:t xml:space="preserve">), costs and average cost per unit </w:t>
      </w:r>
      <w:r w:rsidR="000F12F1">
        <w:t>by care stream</w:t>
      </w:r>
      <w:r w:rsidR="00CE6F96">
        <w:rPr>
          <w:rFonts w:ascii="ZWAdobeF" w:hAnsi="ZWAdobeF" w:cs="ZWAdobeF"/>
          <w:color w:val="auto"/>
          <w:sz w:val="2"/>
          <w:szCs w:val="2"/>
        </w:rPr>
        <w:t>3F</w:t>
      </w:r>
      <w:r w:rsidR="00C03218">
        <w:rPr>
          <w:rStyle w:val="FootnoteReference"/>
        </w:rPr>
        <w:footnoteReference w:id="5"/>
      </w:r>
      <w:r w:rsidR="00C03218">
        <w:t xml:space="preserve"> </w:t>
      </w:r>
    </w:p>
    <w:p w14:paraId="7C28D2A5" w14:textId="475AC2AF" w:rsidR="000F12F1" w:rsidRDefault="000F12F1" w:rsidP="00EB684C">
      <w:pPr>
        <w:pStyle w:val="ListParagraph"/>
        <w:numPr>
          <w:ilvl w:val="0"/>
          <w:numId w:val="58"/>
        </w:numPr>
      </w:pPr>
      <w:r>
        <w:t xml:space="preserve">changes in the average costs per unit by </w:t>
      </w:r>
      <w:r w:rsidR="00D02FA0">
        <w:t xml:space="preserve">cost bucket (considering </w:t>
      </w:r>
      <w:r w:rsidR="007E625E">
        <w:t>NHCDC C</w:t>
      </w:r>
      <w:r>
        <w:t xml:space="preserve">ost </w:t>
      </w:r>
      <w:r w:rsidR="007E625E">
        <w:t>C</w:t>
      </w:r>
      <w:r>
        <w:t xml:space="preserve">entres and line items) </w:t>
      </w:r>
    </w:p>
    <w:p w14:paraId="6EE0CE31" w14:textId="3EC5F8CF" w:rsidR="00871198" w:rsidRDefault="00871198" w:rsidP="00871198">
      <w:r>
        <w:t xml:space="preserve">This section of the report focuses on movements in submitted activity and costs for 2023-24 at a national level. Further details on jurisdictional level movements are presented in </w:t>
      </w:r>
      <w:r w:rsidR="00CE5E9D">
        <w:t xml:space="preserve">jurisdiction chapters within </w:t>
      </w:r>
      <w:r w:rsidR="00D86159">
        <w:t>Section</w:t>
      </w:r>
      <w:r w:rsidR="00DA2436">
        <w:t xml:space="preserve"> </w:t>
      </w:r>
      <w:r w:rsidR="00AB1841">
        <w:fldChar w:fldCharType="begin" w:fldLock="1"/>
      </w:r>
      <w:r w:rsidR="00AB1841">
        <w:instrText xml:space="preserve"> REF _Ref209511905 \r \h </w:instrText>
      </w:r>
      <w:r w:rsidR="00AB1841">
        <w:fldChar w:fldCharType="separate"/>
      </w:r>
      <w:r w:rsidR="00084503">
        <w:t>5</w:t>
      </w:r>
      <w:r w:rsidR="00AB1841">
        <w:fldChar w:fldCharType="end"/>
      </w:r>
      <w:r>
        <w:t xml:space="preserve">. </w:t>
      </w:r>
    </w:p>
    <w:p w14:paraId="3AFA6432" w14:textId="11BF38AF" w:rsidR="004C25A2" w:rsidRDefault="004C25A2" w:rsidP="00101B44">
      <w:pPr>
        <w:pStyle w:val="Heading2"/>
      </w:pPr>
      <w:r>
        <w:t>Methodology</w:t>
      </w:r>
    </w:p>
    <w:p w14:paraId="6114C6FE" w14:textId="5AE22C5E" w:rsidR="000B36AF" w:rsidRDefault="00AA11A2" w:rsidP="0008226B">
      <w:r>
        <w:t xml:space="preserve">The </w:t>
      </w:r>
      <w:r w:rsidR="00EA075B">
        <w:t xml:space="preserve">findings </w:t>
      </w:r>
      <w:r w:rsidR="005972C2">
        <w:t xml:space="preserve">presented in this section focus on a subset of the </w:t>
      </w:r>
      <w:r w:rsidR="00B412BA">
        <w:t xml:space="preserve">main </w:t>
      </w:r>
      <w:r w:rsidR="005972C2">
        <w:t xml:space="preserve">NHCDC </w:t>
      </w:r>
      <w:r w:rsidR="00350459">
        <w:t>activity streams</w:t>
      </w:r>
      <w:r w:rsidR="005972C2">
        <w:t xml:space="preserve"> submitted in 2022</w:t>
      </w:r>
      <w:r w:rsidR="00563DA7">
        <w:noBreakHyphen/>
      </w:r>
      <w:r w:rsidR="005972C2">
        <w:t>23 and 2023-24</w:t>
      </w:r>
      <w:r w:rsidR="00563DA7">
        <w:t>, reflecting</w:t>
      </w:r>
      <w:r w:rsidR="007A0136">
        <w:t xml:space="preserve"> </w:t>
      </w:r>
      <w:r w:rsidR="00995913">
        <w:t xml:space="preserve">data </w:t>
      </w:r>
      <w:r w:rsidR="007A0136">
        <w:t xml:space="preserve">submissions </w:t>
      </w:r>
      <w:r w:rsidR="00563DA7">
        <w:t xml:space="preserve">(and any </w:t>
      </w:r>
      <w:r w:rsidR="007A0136">
        <w:t>resubmissions</w:t>
      </w:r>
      <w:r w:rsidR="00563DA7">
        <w:t>)</w:t>
      </w:r>
      <w:r w:rsidR="007A0136">
        <w:t xml:space="preserve"> up </w:t>
      </w:r>
      <w:r w:rsidR="007A0136" w:rsidRPr="00BF382D">
        <w:t xml:space="preserve">to </w:t>
      </w:r>
      <w:r w:rsidR="007A0136" w:rsidRPr="003C28DB">
        <w:t>7 August 2025</w:t>
      </w:r>
      <w:r w:rsidR="007600CE" w:rsidRPr="00BF382D">
        <w:t>.</w:t>
      </w:r>
      <w:r w:rsidR="00634654">
        <w:t xml:space="preserve"> </w:t>
      </w:r>
    </w:p>
    <w:p w14:paraId="021A4E2A" w14:textId="69EEEB92" w:rsidR="00C147BE" w:rsidRDefault="00DE46C2" w:rsidP="0008226B">
      <w:r>
        <w:t xml:space="preserve">In addition to examining changes in total </w:t>
      </w:r>
      <w:r w:rsidR="00F93A06">
        <w:t>activity volumes</w:t>
      </w:r>
      <w:r w:rsidR="00EE3642">
        <w:t xml:space="preserve"> </w:t>
      </w:r>
      <w:r w:rsidR="00C9710A">
        <w:t xml:space="preserve">and cost submitted to the NHCDC </w:t>
      </w:r>
      <w:r w:rsidR="0096261F">
        <w:t>for</w:t>
      </w:r>
      <w:r w:rsidR="007B5E0B">
        <w:t xml:space="preserve"> 2023-24, </w:t>
      </w:r>
      <w:r w:rsidR="008922F8">
        <w:t xml:space="preserve">analysis was also undertaken </w:t>
      </w:r>
      <w:r w:rsidR="005E2C6E">
        <w:t xml:space="preserve">using a weighted activity unit to standardise </w:t>
      </w:r>
      <w:r w:rsidR="003F0874">
        <w:t xml:space="preserve">activity for changing casemix between the </w:t>
      </w:r>
      <w:r w:rsidR="007D497C">
        <w:t xml:space="preserve">2 </w:t>
      </w:r>
      <w:r w:rsidR="003F0874">
        <w:t>years.</w:t>
      </w:r>
      <w:r w:rsidR="00CE6F96">
        <w:rPr>
          <w:rFonts w:ascii="ZWAdobeF" w:hAnsi="ZWAdobeF" w:cs="ZWAdobeF"/>
          <w:color w:val="auto"/>
          <w:sz w:val="2"/>
          <w:szCs w:val="2"/>
        </w:rPr>
        <w:t>4F</w:t>
      </w:r>
      <w:r w:rsidR="00EE3642">
        <w:rPr>
          <w:rStyle w:val="FootnoteReference"/>
        </w:rPr>
        <w:footnoteReference w:id="6"/>
      </w:r>
      <w:r w:rsidR="00EE3642">
        <w:t xml:space="preserve"> </w:t>
      </w:r>
      <w:r w:rsidR="00C147BE">
        <w:t>Gross Weighted Activity Unit (GWAU</w:t>
      </w:r>
      <w:r w:rsidR="00BD4C47" w:rsidRPr="00BD4C47">
        <w:t>)</w:t>
      </w:r>
      <w:r w:rsidR="00BD4C47">
        <w:t xml:space="preserve"> were used for this analysis</w:t>
      </w:r>
      <w:r w:rsidR="00D649DA">
        <w:t xml:space="preserve">. These were calculated and provided by </w:t>
      </w:r>
      <w:r w:rsidR="00C147BE">
        <w:t xml:space="preserve">IHACPA </w:t>
      </w:r>
      <w:r w:rsidR="00D649DA">
        <w:t xml:space="preserve">from the </w:t>
      </w:r>
      <w:r w:rsidR="00C147BE">
        <w:t xml:space="preserve">2023-24 </w:t>
      </w:r>
      <w:r w:rsidR="00D77227">
        <w:t>National Weighted Activity Unit (</w:t>
      </w:r>
      <w:r w:rsidR="00C147BE">
        <w:t>NWAU</w:t>
      </w:r>
      <w:r w:rsidR="00D77227">
        <w:t>)</w:t>
      </w:r>
      <w:r w:rsidR="00C147BE">
        <w:t xml:space="preserve"> calculator and applied to both the 2022-23 and the 2023-24 financial years.</w:t>
      </w:r>
      <w:r w:rsidR="00741E6E">
        <w:t xml:space="preserve"> This also enabled analysis on the </w:t>
      </w:r>
      <w:r w:rsidR="006902C4">
        <w:t xml:space="preserve">change in </w:t>
      </w:r>
      <w:r w:rsidR="00741E6E">
        <w:t>average cost per GWAU</w:t>
      </w:r>
      <w:r w:rsidR="006902C4">
        <w:t xml:space="preserve"> between years.</w:t>
      </w:r>
    </w:p>
    <w:p w14:paraId="2BF9E5C8" w14:textId="4BE6F05F" w:rsidR="004C25A2" w:rsidRDefault="001B256D" w:rsidP="0008226B">
      <w:r>
        <w:t xml:space="preserve">The </w:t>
      </w:r>
      <w:r w:rsidR="00DA4E0B">
        <w:t xml:space="preserve">scope of the </w:t>
      </w:r>
      <w:r>
        <w:t xml:space="preserve">Cost Driver analysis </w:t>
      </w:r>
      <w:r w:rsidR="00616B0A">
        <w:t>was also subject</w:t>
      </w:r>
      <w:r w:rsidR="00DA4E0B">
        <w:t xml:space="preserve"> to </w:t>
      </w:r>
      <w:r w:rsidR="00616B0A">
        <w:t>the following</w:t>
      </w:r>
      <w:r w:rsidR="00A44FC9">
        <w:t>:</w:t>
      </w:r>
    </w:p>
    <w:p w14:paraId="0BA9056F" w14:textId="75A037D0" w:rsidR="00A44FC9" w:rsidRDefault="002C7B4F" w:rsidP="00CD718C">
      <w:pPr>
        <w:pStyle w:val="ListParagraph"/>
        <w:numPr>
          <w:ilvl w:val="0"/>
          <w:numId w:val="32"/>
        </w:numPr>
      </w:pPr>
      <w:r>
        <w:t xml:space="preserve">The Cost Driver analysis was restricted to only </w:t>
      </w:r>
      <w:r w:rsidR="00124829">
        <w:t xml:space="preserve">full </w:t>
      </w:r>
      <w:r>
        <w:t>participants of the IFR</w:t>
      </w:r>
      <w:r w:rsidR="0066073A">
        <w:t xml:space="preserve"> – that</w:t>
      </w:r>
      <w:r w:rsidR="006022D9">
        <w:t xml:space="preserve"> is</w:t>
      </w:r>
      <w:r w:rsidR="0066073A">
        <w:t>, the results presented below do not include</w:t>
      </w:r>
      <w:r w:rsidR="00372CE5">
        <w:t xml:space="preserve"> </w:t>
      </w:r>
      <w:r w:rsidR="007D497C">
        <w:t>Northern Territory (</w:t>
      </w:r>
      <w:r w:rsidR="00372CE5">
        <w:t>N</w:t>
      </w:r>
      <w:r w:rsidR="00E6610F">
        <w:t>T</w:t>
      </w:r>
      <w:r w:rsidR="007D497C">
        <w:t>)</w:t>
      </w:r>
      <w:r w:rsidR="00372CE5">
        <w:t xml:space="preserve">, </w:t>
      </w:r>
      <w:r w:rsidR="007D497C">
        <w:t>Australian Capital Territory (</w:t>
      </w:r>
      <w:r w:rsidR="00E6610F">
        <w:t>ACT</w:t>
      </w:r>
      <w:r w:rsidR="007D497C">
        <w:t>)</w:t>
      </w:r>
      <w:r w:rsidR="00372CE5">
        <w:t xml:space="preserve"> or </w:t>
      </w:r>
      <w:r w:rsidR="007D497C">
        <w:t>Tasmania</w:t>
      </w:r>
      <w:r w:rsidR="00E6610F">
        <w:t>.</w:t>
      </w:r>
    </w:p>
    <w:p w14:paraId="4029836D" w14:textId="7F317DE5" w:rsidR="00616B0A" w:rsidRDefault="00955FA3" w:rsidP="00616B0A">
      <w:pPr>
        <w:pStyle w:val="ListParagraph"/>
        <w:numPr>
          <w:ilvl w:val="0"/>
          <w:numId w:val="32"/>
        </w:numPr>
      </w:pPr>
      <w:r>
        <w:lastRenderedPageBreak/>
        <w:t xml:space="preserve">The Cost Driver analysis </w:t>
      </w:r>
      <w:r w:rsidR="00DA44D2">
        <w:t xml:space="preserve">focused on hospitals </w:t>
      </w:r>
      <w:r w:rsidR="00B211C9">
        <w:t xml:space="preserve">that </w:t>
      </w:r>
      <w:r w:rsidR="00DA44D2">
        <w:t>were</w:t>
      </w:r>
      <w:r w:rsidR="00616B0A">
        <w:t xml:space="preserve"> </w:t>
      </w:r>
      <w:r w:rsidR="00376608">
        <w:t>Activity Based Funded (</w:t>
      </w:r>
      <w:r w:rsidR="00616B0A">
        <w:t>ABF</w:t>
      </w:r>
      <w:r w:rsidR="00376608">
        <w:t>)</w:t>
      </w:r>
      <w:r w:rsidR="00616B0A">
        <w:t xml:space="preserve"> in both 2022-23 and 2023-24 according to </w:t>
      </w:r>
      <w:r w:rsidR="007D497C">
        <w:t xml:space="preserve">the </w:t>
      </w:r>
      <w:r w:rsidR="00616B0A">
        <w:t>IHACPA</w:t>
      </w:r>
      <w:r w:rsidR="00E55F58">
        <w:t>’s</w:t>
      </w:r>
      <w:r w:rsidR="00616B0A">
        <w:t xml:space="preserve"> provided hospital lists</w:t>
      </w:r>
      <w:r w:rsidR="00DA44D2">
        <w:t xml:space="preserve">. This allowed the analysis to be targeted to the largest hospitals and limited </w:t>
      </w:r>
      <w:r w:rsidR="00446286">
        <w:t>changes due to</w:t>
      </w:r>
      <w:r w:rsidR="007E649B">
        <w:t xml:space="preserve"> changes in reporting scope (e.g. new</w:t>
      </w:r>
      <w:r w:rsidR="0012041C">
        <w:t>ly reported</w:t>
      </w:r>
      <w:r w:rsidR="007E649B">
        <w:t xml:space="preserve"> hospitals</w:t>
      </w:r>
      <w:r w:rsidR="0012041C">
        <w:t>)</w:t>
      </w:r>
      <w:r w:rsidR="00E6610F">
        <w:t>.</w:t>
      </w:r>
    </w:p>
    <w:p w14:paraId="5F49F049" w14:textId="3265FCC0" w:rsidR="00680552" w:rsidRDefault="0000621B" w:rsidP="00CD718C">
      <w:pPr>
        <w:pStyle w:val="ListParagraph"/>
        <w:numPr>
          <w:ilvl w:val="0"/>
          <w:numId w:val="32"/>
        </w:numPr>
      </w:pPr>
      <w:r>
        <w:t>The Cost Driver analysis examined</w:t>
      </w:r>
      <w:r w:rsidR="00663A85">
        <w:t xml:space="preserve"> growth in GWAU and average cost per GWAU</w:t>
      </w:r>
      <w:r w:rsidR="006902C4">
        <w:t>, and hence analysis excluded the following activity streams</w:t>
      </w:r>
      <w:r w:rsidR="00680552">
        <w:t>:</w:t>
      </w:r>
    </w:p>
    <w:p w14:paraId="6571E26A" w14:textId="7E56A917" w:rsidR="003974EC" w:rsidRDefault="0012784D" w:rsidP="00CD718C">
      <w:pPr>
        <w:pStyle w:val="ListParagraph"/>
        <w:numPr>
          <w:ilvl w:val="1"/>
          <w:numId w:val="32"/>
        </w:numPr>
      </w:pPr>
      <w:r>
        <w:t>block-fund</w:t>
      </w:r>
      <w:r w:rsidR="00564E92">
        <w:t xml:space="preserve">, </w:t>
      </w:r>
      <w:r w:rsidR="0052393C">
        <w:t>not priced</w:t>
      </w:r>
      <w:r w:rsidR="00564E92">
        <w:t>, missing, unknown, outreach</w:t>
      </w:r>
      <w:r w:rsidR="0052393C">
        <w:t xml:space="preserve"> or </w:t>
      </w:r>
      <w:r w:rsidR="00EC6F8E">
        <w:t xml:space="preserve">an </w:t>
      </w:r>
      <w:r w:rsidR="0052393C">
        <w:t xml:space="preserve">out-of-scope </w:t>
      </w:r>
      <w:r w:rsidR="006F15B3">
        <w:t>Tier</w:t>
      </w:r>
      <w:r w:rsidR="007D497C">
        <w:t xml:space="preserve"> </w:t>
      </w:r>
      <w:r w:rsidR="006F15B3">
        <w:t>2</w:t>
      </w:r>
      <w:r w:rsidR="00383CFC">
        <w:t xml:space="preserve"> </w:t>
      </w:r>
      <w:r w:rsidR="00EC6F8E">
        <w:t>non</w:t>
      </w:r>
      <w:r w:rsidR="007D497C">
        <w:noBreakHyphen/>
      </w:r>
      <w:r w:rsidR="00EC6F8E">
        <w:t xml:space="preserve">admitted </w:t>
      </w:r>
      <w:r w:rsidR="006F15B3">
        <w:t>clinic</w:t>
      </w:r>
      <w:r w:rsidR="002924F5">
        <w:t>;</w:t>
      </w:r>
    </w:p>
    <w:p w14:paraId="51E460AB" w14:textId="637AACC2" w:rsidR="00564E92" w:rsidRDefault="00564E92" w:rsidP="00CD718C">
      <w:pPr>
        <w:pStyle w:val="ListParagraph"/>
        <w:numPr>
          <w:ilvl w:val="1"/>
          <w:numId w:val="32"/>
        </w:numPr>
      </w:pPr>
      <w:r>
        <w:t xml:space="preserve">hospital border, missing, unknown, organ procurement or other </w:t>
      </w:r>
      <w:r w:rsidR="00BB36D2">
        <w:t xml:space="preserve">admitted </w:t>
      </w:r>
      <w:r w:rsidR="00037896">
        <w:t>Australian National Subacute and Non-Acute Patient Classification (</w:t>
      </w:r>
      <w:r>
        <w:t>AN-SNAP</w:t>
      </w:r>
      <w:r w:rsidR="00037896">
        <w:t>)</w:t>
      </w:r>
      <w:r>
        <w:t xml:space="preserve"> </w:t>
      </w:r>
      <w:r w:rsidR="00F92A29">
        <w:t>version 5.0 e</w:t>
      </w:r>
      <w:r w:rsidR="00B10DE7">
        <w:t>pisodes</w:t>
      </w:r>
      <w:r w:rsidR="002924F5">
        <w:t>; and</w:t>
      </w:r>
    </w:p>
    <w:p w14:paraId="149E15FF" w14:textId="344D9001" w:rsidR="004C25A2" w:rsidRDefault="006902C4" w:rsidP="00CD718C">
      <w:pPr>
        <w:pStyle w:val="ListParagraph"/>
        <w:numPr>
          <w:ilvl w:val="1"/>
          <w:numId w:val="32"/>
        </w:numPr>
      </w:pPr>
      <w:r>
        <w:t xml:space="preserve">activity with unknown or errors in their classification </w:t>
      </w:r>
      <w:r w:rsidR="00EB59CF">
        <w:t>(e.g.</w:t>
      </w:r>
      <w:r w:rsidR="007D5D99">
        <w:t>,</w:t>
      </w:r>
      <w:r w:rsidR="00C00A69">
        <w:t xml:space="preserve"> </w:t>
      </w:r>
      <w:r w:rsidR="004416CB">
        <w:t xml:space="preserve">unknown </w:t>
      </w:r>
      <w:r w:rsidR="00B10DE7">
        <w:t xml:space="preserve">AN-SNAP </w:t>
      </w:r>
      <w:r w:rsidR="001D6101">
        <w:t>version 5.0</w:t>
      </w:r>
      <w:r w:rsidR="00E74CFE">
        <w:t xml:space="preserve"> </w:t>
      </w:r>
      <w:r w:rsidR="00B10DE7">
        <w:t>phases</w:t>
      </w:r>
      <w:r w:rsidR="00EB59CF">
        <w:t>)</w:t>
      </w:r>
      <w:r w:rsidR="00C147BE">
        <w:t>.</w:t>
      </w:r>
    </w:p>
    <w:p w14:paraId="57FDE3F2" w14:textId="19410E7B" w:rsidR="00165447" w:rsidRDefault="00165447" w:rsidP="00165447">
      <w:pPr>
        <w:pStyle w:val="ListParagraph"/>
        <w:numPr>
          <w:ilvl w:val="0"/>
          <w:numId w:val="32"/>
        </w:numPr>
      </w:pPr>
      <w:r>
        <w:t>Co</w:t>
      </w:r>
      <w:r w:rsidRPr="00165447">
        <w:t>mmunity mental health</w:t>
      </w:r>
      <w:r w:rsidR="00173F95">
        <w:t xml:space="preserve"> was not </w:t>
      </w:r>
      <w:r w:rsidRPr="00165447">
        <w:t xml:space="preserve">priced </w:t>
      </w:r>
      <w:r w:rsidR="00173F95">
        <w:t xml:space="preserve">as ABF in </w:t>
      </w:r>
      <w:r w:rsidRPr="00165447">
        <w:t>2023-24</w:t>
      </w:r>
      <w:r w:rsidR="00D757E1">
        <w:t>. T</w:t>
      </w:r>
      <w:r w:rsidR="0079596B">
        <w:t>herefore</w:t>
      </w:r>
      <w:r w:rsidR="00CD34B2">
        <w:t>,</w:t>
      </w:r>
      <w:r w:rsidR="0079596B">
        <w:t xml:space="preserve"> </w:t>
      </w:r>
      <w:r w:rsidRPr="00165447">
        <w:t xml:space="preserve">price weights </w:t>
      </w:r>
      <w:r w:rsidR="00173F95">
        <w:t xml:space="preserve">and GWAU calculations were not available and </w:t>
      </w:r>
      <w:r w:rsidR="00D757E1">
        <w:t>h</w:t>
      </w:r>
      <w:r w:rsidR="00173F95">
        <w:t xml:space="preserve">ence </w:t>
      </w:r>
      <w:r w:rsidR="008D7410">
        <w:t>community mental health was</w:t>
      </w:r>
      <w:r w:rsidR="00173F95">
        <w:t xml:space="preserve"> excluded from the analysis. </w:t>
      </w:r>
    </w:p>
    <w:p w14:paraId="339F1129" w14:textId="5FE04D22" w:rsidR="00165447" w:rsidRDefault="007B0F07" w:rsidP="00165447">
      <w:pPr>
        <w:pStyle w:val="ListParagraph"/>
        <w:numPr>
          <w:ilvl w:val="0"/>
          <w:numId w:val="32"/>
        </w:numPr>
      </w:pPr>
      <w:r>
        <w:t xml:space="preserve">Analysis for </w:t>
      </w:r>
      <w:r w:rsidR="00165447">
        <w:t xml:space="preserve">admitted mental health </w:t>
      </w:r>
      <w:r w:rsidR="00750518">
        <w:t>included only phase level data submissions. Data submitted at an e</w:t>
      </w:r>
      <w:r w:rsidR="00165447">
        <w:t>pisod</w:t>
      </w:r>
      <w:r w:rsidR="00750518">
        <w:t>ic level</w:t>
      </w:r>
      <w:r w:rsidR="00165447">
        <w:t xml:space="preserve"> (based upon episode setting and care flag)</w:t>
      </w:r>
      <w:r w:rsidR="000A7276">
        <w:t xml:space="preserve"> could not have a GWAU calculated and hence were excluded from the analysis.</w:t>
      </w:r>
    </w:p>
    <w:p w14:paraId="1D1B9CDC" w14:textId="0D9E2406" w:rsidR="007A467D" w:rsidRDefault="007A467D" w:rsidP="00165447">
      <w:pPr>
        <w:pStyle w:val="ListParagraph"/>
        <w:numPr>
          <w:ilvl w:val="0"/>
          <w:numId w:val="32"/>
        </w:numPr>
      </w:pPr>
      <w:r>
        <w:t>The analysis considered total submitted costs. This is different to the definition of ‘</w:t>
      </w:r>
      <w:r w:rsidR="00BB7E20">
        <w:t>in</w:t>
      </w:r>
      <w:r w:rsidR="00622CFE">
        <w:t>-</w:t>
      </w:r>
      <w:r w:rsidR="00BB7E20">
        <w:t>scope</w:t>
      </w:r>
      <w:r>
        <w:t>’ costs considered for the development of the</w:t>
      </w:r>
      <w:r w:rsidR="002924F5">
        <w:t xml:space="preserve"> national efficient price</w:t>
      </w:r>
      <w:r>
        <w:t xml:space="preserve"> </w:t>
      </w:r>
      <w:r w:rsidR="002924F5">
        <w:t>(</w:t>
      </w:r>
      <w:r>
        <w:t>NEP</w:t>
      </w:r>
      <w:r w:rsidR="002924F5">
        <w:t>)</w:t>
      </w:r>
      <w:r>
        <w:t xml:space="preserve">, which removes certain costs categories such as depreciation, blood products and Pharmaceutical Benefits Scheme (PBS) costs. </w:t>
      </w:r>
    </w:p>
    <w:p w14:paraId="59517B08" w14:textId="0A28BD81" w:rsidR="00282610" w:rsidRDefault="001511E4" w:rsidP="001511E4">
      <w:pPr>
        <w:tabs>
          <w:tab w:val="clear" w:pos="5309"/>
        </w:tabs>
        <w:spacing w:line="279" w:lineRule="auto"/>
      </w:pPr>
      <w:r w:rsidRPr="001511E4">
        <w:t>Results from the Cost Driver analysis were discussed with jurisdictions</w:t>
      </w:r>
      <w:r w:rsidR="00622CFE">
        <w:t>’</w:t>
      </w:r>
      <w:r w:rsidRPr="001511E4">
        <w:t xml:space="preserve"> representatives as part of the IFR in order to try to understand factors driving the observed activity and cost changes. These conversations were valuable in trying to understand the drivers of movements, though sometimes difficult to gather detailed information. </w:t>
      </w:r>
    </w:p>
    <w:p w14:paraId="123FF49A" w14:textId="1D8AAB25" w:rsidR="001511E4" w:rsidRDefault="00282610" w:rsidP="001511E4">
      <w:pPr>
        <w:tabs>
          <w:tab w:val="clear" w:pos="5309"/>
        </w:tabs>
        <w:spacing w:line="279" w:lineRule="auto"/>
      </w:pPr>
      <w:r>
        <w:t>Contributing to this is</w:t>
      </w:r>
      <w:r w:rsidR="001511E4" w:rsidRPr="001511E4">
        <w:t xml:space="preserve"> the time lag between the NHCDC submission and the financial year in question, the separate teams responsible for activity and cost data submission, and the fact that jurisdictions</w:t>
      </w:r>
      <w:r w:rsidR="001511E4" w:rsidRPr="001511E4" w:rsidDel="00037896">
        <w:t xml:space="preserve"> </w:t>
      </w:r>
      <w:r w:rsidR="00037896">
        <w:t>and</w:t>
      </w:r>
      <w:r w:rsidR="001511E4" w:rsidRPr="001511E4" w:rsidDel="00037896">
        <w:t xml:space="preserve"> </w:t>
      </w:r>
      <w:r w:rsidR="001511E4" w:rsidRPr="001511E4">
        <w:t>costing practitioners look at the performance of the hospital as a whole rather than just the in</w:t>
      </w:r>
      <w:r w:rsidR="0087217D">
        <w:t>-</w:t>
      </w:r>
      <w:r w:rsidR="001511E4" w:rsidRPr="001511E4">
        <w:t>scope elements for the National Hospital Reform Agreement relevant for the NHCDC.</w:t>
      </w:r>
    </w:p>
    <w:p w14:paraId="6E54A308" w14:textId="5118F7FE" w:rsidR="004C25A2" w:rsidRDefault="004C25A2" w:rsidP="00101B44">
      <w:pPr>
        <w:pStyle w:val="Heading2"/>
      </w:pPr>
      <w:r>
        <w:t xml:space="preserve">Overall </w:t>
      </w:r>
      <w:r w:rsidR="00EA075B">
        <w:t>findings</w:t>
      </w:r>
    </w:p>
    <w:p w14:paraId="584BF7D3" w14:textId="27431BA7" w:rsidR="000549D0" w:rsidRPr="000549D0" w:rsidRDefault="000549D0" w:rsidP="003C28DB">
      <w:pPr>
        <w:pStyle w:val="Heading3"/>
      </w:pPr>
      <w:r w:rsidRPr="000549D0">
        <w:t>National summary</w:t>
      </w:r>
    </w:p>
    <w:p w14:paraId="674FC553" w14:textId="3C746184" w:rsidR="002E4F61" w:rsidRPr="006E3D63" w:rsidRDefault="009266EE" w:rsidP="00563086">
      <w:pPr>
        <w:tabs>
          <w:tab w:val="clear" w:pos="5309"/>
        </w:tabs>
        <w:spacing w:line="279" w:lineRule="auto"/>
      </w:pPr>
      <w:r>
        <w:rPr>
          <w:bCs/>
        </w:rPr>
        <w:t xml:space="preserve">The section below presents the results of the analysis for the </w:t>
      </w:r>
      <w:r w:rsidR="003646DA">
        <w:rPr>
          <w:bCs/>
        </w:rPr>
        <w:t xml:space="preserve">jurisdictions that participated </w:t>
      </w:r>
      <w:r w:rsidR="00F43DC0">
        <w:rPr>
          <w:bCs/>
        </w:rPr>
        <w:t xml:space="preserve">fully </w:t>
      </w:r>
      <w:r w:rsidR="003646DA">
        <w:rPr>
          <w:bCs/>
        </w:rPr>
        <w:t>in the IFR (excluding ACT</w:t>
      </w:r>
      <w:r w:rsidR="004773D4">
        <w:rPr>
          <w:bCs/>
        </w:rPr>
        <w:t>).</w:t>
      </w:r>
      <w:r w:rsidR="003646DA">
        <w:rPr>
          <w:bCs/>
        </w:rPr>
        <w:t xml:space="preserve"> </w:t>
      </w:r>
      <w:r w:rsidR="002E4F61" w:rsidRPr="006E3D63">
        <w:rPr>
          <w:bCs/>
        </w:rPr>
        <w:t xml:space="preserve">For the scope of the </w:t>
      </w:r>
      <w:r w:rsidR="006E3D63">
        <w:rPr>
          <w:bCs/>
        </w:rPr>
        <w:t xml:space="preserve">NHCDC </w:t>
      </w:r>
      <w:r w:rsidR="002E4F61" w:rsidRPr="006E3D63">
        <w:rPr>
          <w:bCs/>
        </w:rPr>
        <w:t xml:space="preserve">activity </w:t>
      </w:r>
      <w:r w:rsidR="006E3D63">
        <w:rPr>
          <w:bCs/>
        </w:rPr>
        <w:t>streams a</w:t>
      </w:r>
      <w:r w:rsidR="000713A4">
        <w:rPr>
          <w:bCs/>
        </w:rPr>
        <w:t>bove</w:t>
      </w:r>
      <w:r w:rsidR="00AA4EDD">
        <w:rPr>
          <w:bCs/>
        </w:rPr>
        <w:t>:</w:t>
      </w:r>
    </w:p>
    <w:p w14:paraId="6F9CF93E" w14:textId="0DD03634" w:rsidR="00563086" w:rsidRDefault="00563086" w:rsidP="00C0059C">
      <w:pPr>
        <w:pStyle w:val="ListParagraph"/>
        <w:numPr>
          <w:ilvl w:val="0"/>
          <w:numId w:val="68"/>
        </w:numPr>
        <w:tabs>
          <w:tab w:val="clear" w:pos="5309"/>
        </w:tabs>
        <w:ind w:left="714" w:hanging="357"/>
        <w:contextualSpacing w:val="0"/>
      </w:pPr>
      <w:r w:rsidRPr="007570C7">
        <w:rPr>
          <w:b/>
        </w:rPr>
        <w:t>Total episodes</w:t>
      </w:r>
      <w:r>
        <w:t xml:space="preserve"> submitted in 2023-24 was 42.54</w:t>
      </w:r>
      <w:r w:rsidR="0087217D">
        <w:t xml:space="preserve"> </w:t>
      </w:r>
      <w:r>
        <w:t>m</w:t>
      </w:r>
      <w:r w:rsidR="0087217D">
        <w:t>illion</w:t>
      </w:r>
      <w:r w:rsidR="00CE6F96">
        <w:rPr>
          <w:rFonts w:ascii="ZWAdobeF" w:hAnsi="ZWAdobeF" w:cs="ZWAdobeF"/>
          <w:color w:val="auto"/>
          <w:sz w:val="2"/>
          <w:szCs w:val="2"/>
        </w:rPr>
        <w:t>5F</w:t>
      </w:r>
      <w:r w:rsidR="00403A6E" w:rsidRPr="004C5C3E">
        <w:rPr>
          <w:rStyle w:val="FootnoteReference"/>
          <w:bCs/>
        </w:rPr>
        <w:footnoteReference w:id="7"/>
      </w:r>
      <w:r w:rsidRPr="006A6539">
        <w:rPr>
          <w:bCs/>
        </w:rPr>
        <w:t>,</w:t>
      </w:r>
      <w:r>
        <w:t xml:space="preserve"> which </w:t>
      </w:r>
      <w:r w:rsidR="00C75E9B">
        <w:t>represented</w:t>
      </w:r>
      <w:r>
        <w:t xml:space="preserve"> a</w:t>
      </w:r>
      <w:r w:rsidR="002F1CB0">
        <w:t>n</w:t>
      </w:r>
      <w:r>
        <w:t xml:space="preserve"> </w:t>
      </w:r>
      <w:r w:rsidR="007570C7" w:rsidRPr="007570C7">
        <w:rPr>
          <w:b/>
          <w:bCs/>
        </w:rPr>
        <w:t>+</w:t>
      </w:r>
      <w:r w:rsidRPr="007570C7">
        <w:rPr>
          <w:b/>
        </w:rPr>
        <w:t>8.8%</w:t>
      </w:r>
      <w:r>
        <w:t xml:space="preserve"> increase compared to total </w:t>
      </w:r>
      <w:r w:rsidR="00F27877">
        <w:t xml:space="preserve">episodes </w:t>
      </w:r>
      <w:r>
        <w:t>submitted in 2022-23</w:t>
      </w:r>
      <w:r w:rsidR="007431FE">
        <w:t xml:space="preserve">. The increased varied by jurisdiction, ranging between </w:t>
      </w:r>
      <w:r w:rsidR="00AD0D6D">
        <w:t xml:space="preserve">5.1% and </w:t>
      </w:r>
      <w:r w:rsidR="00A538D3">
        <w:t>13.1%,</w:t>
      </w:r>
      <w:r w:rsidR="007431FE">
        <w:t xml:space="preserve"> </w:t>
      </w:r>
      <w:r w:rsidR="003F1D05">
        <w:t xml:space="preserve">reflecting an increase in delivered hospital </w:t>
      </w:r>
      <w:r w:rsidR="003F1D05">
        <w:lastRenderedPageBreak/>
        <w:t xml:space="preserve">activity as well as improvements in data reporting </w:t>
      </w:r>
      <w:r w:rsidR="0071083C">
        <w:t>for streams such as non-admitted where multiple jurisdictions highlighted better reporting of patient level data.</w:t>
      </w:r>
      <w:r w:rsidR="006B436D">
        <w:br/>
      </w:r>
      <w:r w:rsidR="006B436D">
        <w:br/>
      </w:r>
      <w:r w:rsidR="00EB2993">
        <w:t>In terms of the proportion of submitted act</w:t>
      </w:r>
      <w:r w:rsidR="00C37921">
        <w:t>ivity</w:t>
      </w:r>
      <w:r>
        <w:t xml:space="preserve"> </w:t>
      </w:r>
      <w:r w:rsidR="005F463F">
        <w:t>New South Wales (</w:t>
      </w:r>
      <w:r w:rsidR="00CA3908">
        <w:t>NSW</w:t>
      </w:r>
      <w:r w:rsidR="005F463F">
        <w:t>)</w:t>
      </w:r>
      <w:r>
        <w:t xml:space="preserve"> </w:t>
      </w:r>
      <w:r w:rsidR="0027696F">
        <w:t xml:space="preserve">was the largest jurisdiction, </w:t>
      </w:r>
      <w:r>
        <w:t>contribut</w:t>
      </w:r>
      <w:r w:rsidR="0027696F">
        <w:t>ing</w:t>
      </w:r>
      <w:r>
        <w:t xml:space="preserve"> </w:t>
      </w:r>
      <w:r w:rsidR="00F27877">
        <w:t>3</w:t>
      </w:r>
      <w:r w:rsidR="006727B5">
        <w:t>5</w:t>
      </w:r>
      <w:r w:rsidR="00F27877">
        <w:t>.6</w:t>
      </w:r>
      <w:r>
        <w:t>%</w:t>
      </w:r>
      <w:r w:rsidR="007E017B">
        <w:t xml:space="preserve"> of submitted records </w:t>
      </w:r>
      <w:r w:rsidR="002E0551">
        <w:t xml:space="preserve">for </w:t>
      </w:r>
      <w:r w:rsidR="007E017B">
        <w:t>jurisdictions involved in this IFR</w:t>
      </w:r>
      <w:r w:rsidR="0027696F">
        <w:t xml:space="preserve">. </w:t>
      </w:r>
      <w:r w:rsidR="009762F9">
        <w:t>This was followed by</w:t>
      </w:r>
      <w:r w:rsidR="00206118" w:rsidDel="00735C3D">
        <w:t xml:space="preserve"> </w:t>
      </w:r>
      <w:r w:rsidR="00735C3D">
        <w:t xml:space="preserve">Queensland </w:t>
      </w:r>
      <w:r w:rsidR="00637C15">
        <w:t>(</w:t>
      </w:r>
      <w:r w:rsidR="00206118">
        <w:t xml:space="preserve">24.7%), </w:t>
      </w:r>
      <w:r w:rsidR="00CA3908">
        <w:t>Vic</w:t>
      </w:r>
      <w:r w:rsidR="00735C3D">
        <w:t xml:space="preserve">toria </w:t>
      </w:r>
      <w:r w:rsidR="009762F9">
        <w:t>(</w:t>
      </w:r>
      <w:r w:rsidR="00F27877">
        <w:t>22.2</w:t>
      </w:r>
      <w:r>
        <w:t>%</w:t>
      </w:r>
      <w:r w:rsidR="009762F9">
        <w:t>)</w:t>
      </w:r>
      <w:r>
        <w:t xml:space="preserve">, </w:t>
      </w:r>
      <w:r w:rsidR="00CA3908">
        <w:t>W</w:t>
      </w:r>
      <w:r w:rsidR="00735C3D">
        <w:t xml:space="preserve">estern </w:t>
      </w:r>
      <w:r w:rsidR="00CA3908">
        <w:t>A</w:t>
      </w:r>
      <w:r w:rsidR="00735C3D">
        <w:t>ustralia</w:t>
      </w:r>
      <w:r>
        <w:t xml:space="preserve"> </w:t>
      </w:r>
      <w:r w:rsidR="00637C15">
        <w:t>(</w:t>
      </w:r>
      <w:r w:rsidR="00F27877">
        <w:t>9.9</w:t>
      </w:r>
      <w:r>
        <w:t>%</w:t>
      </w:r>
      <w:r w:rsidR="0097171C">
        <w:t>)</w:t>
      </w:r>
      <w:r w:rsidR="00CA3908">
        <w:t>,</w:t>
      </w:r>
      <w:r>
        <w:t xml:space="preserve"> and </w:t>
      </w:r>
      <w:r w:rsidR="00CA3908">
        <w:t>S</w:t>
      </w:r>
      <w:r w:rsidR="00735C3D">
        <w:t xml:space="preserve">outh </w:t>
      </w:r>
      <w:r w:rsidR="00CA3908">
        <w:t>A</w:t>
      </w:r>
      <w:r w:rsidR="00735C3D">
        <w:t>ustralia</w:t>
      </w:r>
      <w:r>
        <w:t xml:space="preserve"> </w:t>
      </w:r>
      <w:r w:rsidR="0097171C">
        <w:t>(</w:t>
      </w:r>
      <w:r w:rsidR="00F27877">
        <w:t>7.6</w:t>
      </w:r>
      <w:r>
        <w:t>%</w:t>
      </w:r>
      <w:r w:rsidR="0097171C">
        <w:t>)</w:t>
      </w:r>
      <w:r w:rsidR="00CA3908">
        <w:t>.</w:t>
      </w:r>
    </w:p>
    <w:p w14:paraId="6D6FA86B" w14:textId="5E5C71B7" w:rsidR="00563086" w:rsidRDefault="009A423B" w:rsidP="00C0059C">
      <w:pPr>
        <w:pStyle w:val="ListParagraph"/>
        <w:numPr>
          <w:ilvl w:val="0"/>
          <w:numId w:val="68"/>
        </w:numPr>
        <w:tabs>
          <w:tab w:val="clear" w:pos="5309"/>
        </w:tabs>
        <w:ind w:left="714" w:hanging="357"/>
        <w:contextualSpacing w:val="0"/>
      </w:pPr>
      <w:r w:rsidRPr="007570C7">
        <w:rPr>
          <w:b/>
        </w:rPr>
        <w:t>Total GWAU</w:t>
      </w:r>
      <w:r>
        <w:t xml:space="preserve"> calculated in 2023-24 was </w:t>
      </w:r>
      <w:r w:rsidR="002F1CB0">
        <w:t>10.15</w:t>
      </w:r>
      <w:r w:rsidR="00B24BAF">
        <w:t xml:space="preserve"> </w:t>
      </w:r>
      <w:r>
        <w:t>m</w:t>
      </w:r>
      <w:r w:rsidR="00B24BAF">
        <w:t>illion</w:t>
      </w:r>
      <w:r>
        <w:t xml:space="preserve">, which was a </w:t>
      </w:r>
      <w:r w:rsidR="007570C7" w:rsidRPr="007570C7">
        <w:rPr>
          <w:b/>
          <w:bCs/>
        </w:rPr>
        <w:t>+</w:t>
      </w:r>
      <w:r w:rsidR="002F1CB0" w:rsidRPr="007570C7">
        <w:rPr>
          <w:b/>
        </w:rPr>
        <w:t>5</w:t>
      </w:r>
      <w:r w:rsidRPr="007570C7">
        <w:rPr>
          <w:b/>
        </w:rPr>
        <w:t>.8%</w:t>
      </w:r>
      <w:r>
        <w:t xml:space="preserve"> increase compared to total </w:t>
      </w:r>
      <w:r w:rsidR="002F1CB0">
        <w:t>GWAU calculated</w:t>
      </w:r>
      <w:r>
        <w:t xml:space="preserve"> in 2022-23</w:t>
      </w:r>
      <w:r w:rsidR="00C673EB">
        <w:t>. Th</w:t>
      </w:r>
      <w:r w:rsidR="00A538D3">
        <w:t xml:space="preserve">is increase </w:t>
      </w:r>
      <w:r w:rsidR="005311E8">
        <w:t xml:space="preserve">of </w:t>
      </w:r>
      <w:r w:rsidR="00B9297B">
        <w:t>5.8%</w:t>
      </w:r>
      <w:r w:rsidR="00B24BAF">
        <w:t xml:space="preserve"> </w:t>
      </w:r>
      <w:r w:rsidR="005311E8">
        <w:t xml:space="preserve">was slightly lower than the increase in total episodes, indicating a </w:t>
      </w:r>
      <w:r w:rsidR="00A00857">
        <w:t>change</w:t>
      </w:r>
      <w:r w:rsidR="005311E8">
        <w:t xml:space="preserve"> in the </w:t>
      </w:r>
      <w:r w:rsidR="00A00857">
        <w:t>reported</w:t>
      </w:r>
      <w:r w:rsidR="005311E8">
        <w:t xml:space="preserve"> </w:t>
      </w:r>
      <w:r w:rsidR="005373DE">
        <w:t>casemix between 2023-23 and 2023-24</w:t>
      </w:r>
      <w:r w:rsidR="007816B4">
        <w:t xml:space="preserve">, primarily driven by </w:t>
      </w:r>
      <w:r w:rsidR="00724303">
        <w:t xml:space="preserve">GWAU growth in the admitted mental health stream being lower than </w:t>
      </w:r>
      <w:r w:rsidR="0094639B">
        <w:t xml:space="preserve">growth in submitted </w:t>
      </w:r>
      <w:r w:rsidR="002E0551">
        <w:t xml:space="preserve">episodes and </w:t>
      </w:r>
      <w:r w:rsidR="0094639B">
        <w:t>phases.</w:t>
      </w:r>
      <w:r w:rsidR="00724303">
        <w:t xml:space="preserve"> </w:t>
      </w:r>
    </w:p>
    <w:p w14:paraId="549E4CB7" w14:textId="23F7C67B" w:rsidR="000A7276" w:rsidRDefault="000A7276" w:rsidP="00033677">
      <w:pPr>
        <w:pStyle w:val="ListParagraph"/>
        <w:numPr>
          <w:ilvl w:val="0"/>
          <w:numId w:val="68"/>
        </w:numPr>
        <w:tabs>
          <w:tab w:val="clear" w:pos="5309"/>
        </w:tabs>
        <w:ind w:left="714" w:hanging="357"/>
        <w:contextualSpacing w:val="0"/>
      </w:pPr>
      <w:r w:rsidRPr="007570C7">
        <w:rPr>
          <w:b/>
        </w:rPr>
        <w:t>Total cost</w:t>
      </w:r>
      <w:r>
        <w:t xml:space="preserve"> submitted in 2023-24 </w:t>
      </w:r>
      <w:r w:rsidR="0094639B">
        <w:t>for the participating jurisdictions</w:t>
      </w:r>
      <w:r>
        <w:t xml:space="preserve"> was $68</w:t>
      </w:r>
      <w:r w:rsidR="004C3DEC">
        <w:t>.</w:t>
      </w:r>
      <w:r w:rsidR="00DA7038">
        <w:t>0</w:t>
      </w:r>
      <w:r w:rsidR="002E0551">
        <w:t>8</w:t>
      </w:r>
      <w:r w:rsidR="00D9655F">
        <w:t xml:space="preserve"> </w:t>
      </w:r>
      <w:r w:rsidR="004C3DEC">
        <w:t>b</w:t>
      </w:r>
      <w:r w:rsidR="00D9655F">
        <w:t>illio</w:t>
      </w:r>
      <w:r w:rsidR="004C3DEC">
        <w:t>n</w:t>
      </w:r>
      <w:r>
        <w:t xml:space="preserve">, which was a </w:t>
      </w:r>
      <w:r w:rsidRPr="007570C7">
        <w:rPr>
          <w:b/>
          <w:bCs/>
        </w:rPr>
        <w:t>+</w:t>
      </w:r>
      <w:r w:rsidR="00DA7038">
        <w:rPr>
          <w:b/>
        </w:rPr>
        <w:t>8.8</w:t>
      </w:r>
      <w:r w:rsidRPr="007570C7">
        <w:rPr>
          <w:b/>
        </w:rPr>
        <w:t>%</w:t>
      </w:r>
      <w:r>
        <w:t xml:space="preserve"> </w:t>
      </w:r>
      <w:r w:rsidR="002E0551">
        <w:t>increase compared to 2022-23</w:t>
      </w:r>
      <w:r w:rsidR="00205389">
        <w:t>,</w:t>
      </w:r>
      <w:r w:rsidR="00205389" w:rsidRPr="00205389">
        <w:t xml:space="preserve"> </w:t>
      </w:r>
      <w:r w:rsidR="00205389">
        <w:t>ranging between 7.0% and 11.8% by jurisdiction</w:t>
      </w:r>
      <w:r w:rsidR="00320861">
        <w:t xml:space="preserve">. As with submitted activity, </w:t>
      </w:r>
      <w:r w:rsidR="00CA3908">
        <w:t>NSW</w:t>
      </w:r>
      <w:r>
        <w:t xml:space="preserve"> contribute</w:t>
      </w:r>
      <w:r w:rsidR="00320861">
        <w:t>d the highest proportion of total submitted costs</w:t>
      </w:r>
      <w:r>
        <w:t xml:space="preserve"> </w:t>
      </w:r>
      <w:r w:rsidR="00562FAA">
        <w:t>(</w:t>
      </w:r>
      <w:r>
        <w:t>30.</w:t>
      </w:r>
      <w:r w:rsidR="00E67695">
        <w:t>2</w:t>
      </w:r>
      <w:r>
        <w:t>%</w:t>
      </w:r>
      <w:r w:rsidR="00562FAA">
        <w:t>)</w:t>
      </w:r>
      <w:r>
        <w:t>,</w:t>
      </w:r>
      <w:r w:rsidR="00562FAA">
        <w:t xml:space="preserve"> followed by</w:t>
      </w:r>
      <w:r>
        <w:t xml:space="preserve"> </w:t>
      </w:r>
      <w:r w:rsidR="00CA3908">
        <w:t>Vic</w:t>
      </w:r>
      <w:r w:rsidR="00637C15">
        <w:t>toria</w:t>
      </w:r>
      <w:r>
        <w:t xml:space="preserve"> </w:t>
      </w:r>
      <w:r w:rsidR="00562FAA">
        <w:t>(</w:t>
      </w:r>
      <w:r>
        <w:t>27.</w:t>
      </w:r>
      <w:r w:rsidR="00E67695">
        <w:t>2</w:t>
      </w:r>
      <w:r>
        <w:t>%</w:t>
      </w:r>
      <w:r w:rsidR="00562FAA">
        <w:t>)</w:t>
      </w:r>
      <w:r>
        <w:t xml:space="preserve">, </w:t>
      </w:r>
      <w:r w:rsidR="00B33D4A">
        <w:t>Queensland</w:t>
      </w:r>
      <w:r w:rsidR="00562FAA" w:rsidDel="00637C15">
        <w:t xml:space="preserve"> </w:t>
      </w:r>
      <w:r w:rsidR="00562FAA">
        <w:t>(</w:t>
      </w:r>
      <w:r>
        <w:t>23.</w:t>
      </w:r>
      <w:r w:rsidR="00E67695">
        <w:t>5</w:t>
      </w:r>
      <w:r>
        <w:t>%</w:t>
      </w:r>
      <w:r w:rsidR="00562FAA">
        <w:t>)</w:t>
      </w:r>
      <w:r>
        <w:t xml:space="preserve">, </w:t>
      </w:r>
      <w:r w:rsidR="00637C15">
        <w:t>W</w:t>
      </w:r>
      <w:r w:rsidR="00D86159">
        <w:t>estern Australia</w:t>
      </w:r>
      <w:r>
        <w:t xml:space="preserve"> </w:t>
      </w:r>
      <w:r w:rsidR="00562FAA">
        <w:t>(</w:t>
      </w:r>
      <w:r>
        <w:t>10.</w:t>
      </w:r>
      <w:r w:rsidR="00906587">
        <w:t>4</w:t>
      </w:r>
      <w:r>
        <w:t>%</w:t>
      </w:r>
      <w:r w:rsidR="00562FAA">
        <w:t>)</w:t>
      </w:r>
      <w:r w:rsidR="00CA3908">
        <w:t>,</w:t>
      </w:r>
      <w:r>
        <w:t xml:space="preserve"> and </w:t>
      </w:r>
      <w:r w:rsidR="00CA3908">
        <w:t>S</w:t>
      </w:r>
      <w:r w:rsidR="00637C15">
        <w:t xml:space="preserve">outh </w:t>
      </w:r>
      <w:r w:rsidR="00CA3908">
        <w:t>A</w:t>
      </w:r>
      <w:r w:rsidR="00637C15">
        <w:t>ustralia</w:t>
      </w:r>
      <w:r>
        <w:t xml:space="preserve"> </w:t>
      </w:r>
      <w:r w:rsidR="00267629">
        <w:t>(</w:t>
      </w:r>
      <w:r>
        <w:t>8.</w:t>
      </w:r>
      <w:r w:rsidR="00906587">
        <w:t>8</w:t>
      </w:r>
      <w:r>
        <w:t>%</w:t>
      </w:r>
      <w:r w:rsidR="00267629">
        <w:t>)</w:t>
      </w:r>
      <w:r>
        <w:t>.</w:t>
      </w:r>
    </w:p>
    <w:p w14:paraId="595D7176" w14:textId="6DE7838B" w:rsidR="00033677" w:rsidRDefault="001B3C94" w:rsidP="00BE5207">
      <w:pPr>
        <w:pStyle w:val="ListParagraph"/>
        <w:keepLines/>
        <w:numPr>
          <w:ilvl w:val="0"/>
          <w:numId w:val="68"/>
        </w:numPr>
        <w:tabs>
          <w:tab w:val="clear" w:pos="5309"/>
        </w:tabs>
        <w:ind w:left="714" w:hanging="357"/>
        <w:contextualSpacing w:val="0"/>
      </w:pPr>
      <w:r>
        <w:t>Total submitted costs increased by more than the increase in GWAU. This meant that the</w:t>
      </w:r>
      <w:r w:rsidR="00033677">
        <w:t xml:space="preserve"> casemix adjusted average cost </w:t>
      </w:r>
      <w:r w:rsidR="00BE5207">
        <w:t>per unit,</w:t>
      </w:r>
      <w:r w:rsidR="00033677">
        <w:t xml:space="preserve"> </w:t>
      </w:r>
      <w:r w:rsidR="00B43F16">
        <w:t xml:space="preserve">as measured by the </w:t>
      </w:r>
      <w:r w:rsidR="00033677" w:rsidRPr="00C0059C">
        <w:rPr>
          <w:b/>
        </w:rPr>
        <w:t>average cost per GWAU</w:t>
      </w:r>
      <w:r w:rsidR="00033677">
        <w:t xml:space="preserve"> increased by </w:t>
      </w:r>
      <w:r w:rsidR="00033677" w:rsidRPr="00C0059C">
        <w:rPr>
          <w:b/>
          <w:bCs/>
        </w:rPr>
        <w:t>+</w:t>
      </w:r>
      <w:r w:rsidR="00391911">
        <w:rPr>
          <w:b/>
        </w:rPr>
        <w:t>2.9</w:t>
      </w:r>
      <w:r w:rsidR="00033677" w:rsidRPr="00C0059C">
        <w:rPr>
          <w:b/>
        </w:rPr>
        <w:t xml:space="preserve">% </w:t>
      </w:r>
      <w:r w:rsidR="00033677">
        <w:t xml:space="preserve">to </w:t>
      </w:r>
      <w:r w:rsidR="00033677" w:rsidRPr="00C0059C">
        <w:rPr>
          <w:b/>
        </w:rPr>
        <w:t>$6,7</w:t>
      </w:r>
      <w:r w:rsidR="00391911">
        <w:rPr>
          <w:b/>
        </w:rPr>
        <w:t>07</w:t>
      </w:r>
      <w:r w:rsidR="00033677">
        <w:t xml:space="preserve"> in 2023-24. </w:t>
      </w:r>
      <w:r w:rsidR="00B43F16">
        <w:t xml:space="preserve">As shown in </w:t>
      </w:r>
      <w:r w:rsidR="00B43F16">
        <w:fldChar w:fldCharType="begin" w:fldLock="1"/>
      </w:r>
      <w:r w:rsidR="00B43F16">
        <w:instrText xml:space="preserve"> REF _Ref208909220 \h </w:instrText>
      </w:r>
      <w:r w:rsidR="00B43F16">
        <w:fldChar w:fldCharType="separate"/>
      </w:r>
      <w:r w:rsidR="00084503">
        <w:t xml:space="preserve">Figure </w:t>
      </w:r>
      <w:r w:rsidR="00084503">
        <w:rPr>
          <w:noProof/>
        </w:rPr>
        <w:t>2</w:t>
      </w:r>
      <w:r w:rsidR="00B43F16">
        <w:fldChar w:fldCharType="end"/>
      </w:r>
      <w:r w:rsidR="00B43F16">
        <w:t>, a</w:t>
      </w:r>
      <w:r w:rsidR="00033677">
        <w:t xml:space="preserve">cross the jurisdictions, </w:t>
      </w:r>
      <w:r w:rsidR="00637C15">
        <w:t xml:space="preserve">South Australia </w:t>
      </w:r>
      <w:r w:rsidR="00033677">
        <w:t xml:space="preserve">had the highest increase </w:t>
      </w:r>
      <w:r w:rsidR="008E205A">
        <w:t xml:space="preserve">in average cost per GWAU </w:t>
      </w:r>
      <w:r w:rsidR="00282EDB">
        <w:t>with 5.1%</w:t>
      </w:r>
      <w:r w:rsidR="00033677">
        <w:t xml:space="preserve">, </w:t>
      </w:r>
      <w:r w:rsidR="00282EDB">
        <w:t>followed by Victoria with 3.9</w:t>
      </w:r>
      <w:r w:rsidR="00033677">
        <w:t>%</w:t>
      </w:r>
      <w:r w:rsidR="00205389">
        <w:t xml:space="preserve">, with </w:t>
      </w:r>
      <w:r w:rsidR="00033677">
        <w:t xml:space="preserve">other jurisdictions </w:t>
      </w:r>
      <w:r w:rsidR="008E205A">
        <w:t>increas</w:t>
      </w:r>
      <w:r w:rsidR="00205389">
        <w:t>ing</w:t>
      </w:r>
      <w:r w:rsidR="008E205A">
        <w:t xml:space="preserve"> by</w:t>
      </w:r>
      <w:r w:rsidR="00033677">
        <w:t xml:space="preserve"> approximately 2</w:t>
      </w:r>
      <w:r w:rsidR="008E205A">
        <w:t>.</w:t>
      </w:r>
      <w:r w:rsidR="00282EDB">
        <w:t>0</w:t>
      </w:r>
      <w:r w:rsidR="00BE5207">
        <w:t>%</w:t>
      </w:r>
      <w:r w:rsidR="008E205A">
        <w:t xml:space="preserve"> to 2.2%</w:t>
      </w:r>
      <w:r w:rsidR="00033677">
        <w:t>.</w:t>
      </w:r>
    </w:p>
    <w:p w14:paraId="4CC256A0" w14:textId="2B932572" w:rsidR="001B3C94" w:rsidRDefault="00E45428" w:rsidP="00084503">
      <w:pPr>
        <w:pStyle w:val="Caption"/>
        <w:keepNext/>
      </w:pPr>
      <w:bookmarkStart w:id="17" w:name="_Ref208909220"/>
      <w:r>
        <w:t xml:space="preserve">Figure </w:t>
      </w:r>
      <w:r w:rsidR="00BD5B5E">
        <w:fldChar w:fldCharType="begin"/>
      </w:r>
      <w:r w:rsidR="00BD5B5E">
        <w:instrText xml:space="preserve"> SEQ Figure \* ARABIC </w:instrText>
      </w:r>
      <w:r w:rsidR="00BD5B5E">
        <w:fldChar w:fldCharType="separate"/>
      </w:r>
      <w:r w:rsidR="00CE6F96">
        <w:rPr>
          <w:noProof/>
        </w:rPr>
        <w:t>2</w:t>
      </w:r>
      <w:r w:rsidR="00BD5B5E">
        <w:fldChar w:fldCharType="end"/>
      </w:r>
      <w:bookmarkEnd w:id="17"/>
      <w:r>
        <w:t>: Average cost per GWAU in 2023-24</w:t>
      </w:r>
      <w:r w:rsidR="00127C29">
        <w:t xml:space="preserve"> (and growth rate from 2022-23)</w:t>
      </w:r>
      <w:bookmarkStart w:id="18" w:name="_Ref208906902"/>
      <w:r w:rsidR="000069C6">
        <w:t xml:space="preserve"> – all participating jurisdictions</w:t>
      </w:r>
    </w:p>
    <w:p w14:paraId="0BAFD75A" w14:textId="48D4CB4C" w:rsidR="00B15F76" w:rsidRDefault="00B15F76" w:rsidP="00B662EC">
      <w:pPr>
        <w:tabs>
          <w:tab w:val="clear" w:pos="5309"/>
        </w:tabs>
        <w:spacing w:line="279" w:lineRule="auto"/>
        <w:jc w:val="center"/>
      </w:pPr>
      <w:r>
        <w:rPr>
          <w:noProof/>
        </w:rPr>
        <w:drawing>
          <wp:inline distT="0" distB="0" distL="0" distR="0" wp14:anchorId="153BCBEB" wp14:editId="1EFB7E7A">
            <wp:extent cx="3637260" cy="3283638"/>
            <wp:effectExtent l="0" t="0" r="1905" b="0"/>
            <wp:docPr id="2002125727" name="Picture 1" descr="P4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25727" name="Picture 1" descr="P428#yIS1"/>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637260" cy="3283638"/>
                    </a:xfrm>
                    <a:prstGeom prst="rect">
                      <a:avLst/>
                    </a:prstGeom>
                  </pic:spPr>
                </pic:pic>
              </a:graphicData>
            </a:graphic>
          </wp:inline>
        </w:drawing>
      </w:r>
    </w:p>
    <w:p w14:paraId="58D23E87" w14:textId="77777777" w:rsidR="005543DF" w:rsidRDefault="005543DF" w:rsidP="00B662EC">
      <w:pPr>
        <w:tabs>
          <w:tab w:val="clear" w:pos="5309"/>
        </w:tabs>
        <w:spacing w:line="279" w:lineRule="auto"/>
        <w:jc w:val="center"/>
      </w:pPr>
    </w:p>
    <w:p w14:paraId="130A74E0" w14:textId="77777777" w:rsidR="005543DF" w:rsidRDefault="005543DF" w:rsidP="00B662EC">
      <w:pPr>
        <w:tabs>
          <w:tab w:val="clear" w:pos="5309"/>
        </w:tabs>
        <w:spacing w:line="279" w:lineRule="auto"/>
        <w:jc w:val="center"/>
      </w:pPr>
    </w:p>
    <w:p w14:paraId="28C15E5B" w14:textId="77777777" w:rsidR="005543DF" w:rsidRDefault="005543DF" w:rsidP="00B662EC">
      <w:pPr>
        <w:tabs>
          <w:tab w:val="clear" w:pos="5309"/>
        </w:tabs>
        <w:spacing w:line="279" w:lineRule="auto"/>
        <w:jc w:val="center"/>
      </w:pPr>
    </w:p>
    <w:p w14:paraId="09E08C91" w14:textId="1445D80D" w:rsidR="007648FD" w:rsidRDefault="007648FD" w:rsidP="0034558A">
      <w:pPr>
        <w:pStyle w:val="Caption"/>
        <w:keepNext/>
      </w:pPr>
      <w:r>
        <w:t xml:space="preserve">Table </w:t>
      </w:r>
      <w:r w:rsidR="008B52F6">
        <w:fldChar w:fldCharType="begin"/>
      </w:r>
      <w:r w:rsidR="008B52F6">
        <w:instrText xml:space="preserve"> SEQ Table \* ARABIC </w:instrText>
      </w:r>
      <w:r w:rsidR="008B52F6">
        <w:fldChar w:fldCharType="separate"/>
      </w:r>
      <w:r w:rsidR="00CE6F96">
        <w:rPr>
          <w:noProof/>
        </w:rPr>
        <w:t>1</w:t>
      </w:r>
      <w:r w:rsidR="008B52F6">
        <w:fldChar w:fldCharType="end"/>
      </w:r>
      <w:bookmarkEnd w:id="18"/>
      <w:r>
        <w:t>: Growth in episodes, GWAU and cost for 2023-23 and 2023-24</w:t>
      </w:r>
      <w:r w:rsidR="000069C6">
        <w:t xml:space="preserve"> – all participating jurisdictions</w:t>
      </w:r>
    </w:p>
    <w:tbl>
      <w:tblPr>
        <w:tblStyle w:val="TableGrid"/>
        <w:tblW w:w="0" w:type="auto"/>
        <w:jc w:val="center"/>
        <w:tblBorders>
          <w:top w:val="single" w:sz="6" w:space="0" w:color="EFF0F7" w:themeColor="accent4" w:themeTint="33"/>
          <w:left w:val="single" w:sz="6" w:space="0" w:color="EFF0F7" w:themeColor="accent4" w:themeTint="33"/>
          <w:bottom w:val="single" w:sz="6" w:space="0" w:color="EFF0F7" w:themeColor="accent4" w:themeTint="33"/>
          <w:right w:val="single" w:sz="6" w:space="0" w:color="EFF0F7" w:themeColor="accent4" w:themeTint="33"/>
          <w:insideH w:val="single" w:sz="6" w:space="0" w:color="EFF0F7" w:themeColor="accent4" w:themeTint="33"/>
          <w:insideV w:val="single" w:sz="6" w:space="0" w:color="EFF0F7" w:themeColor="accent4" w:themeTint="33"/>
        </w:tblBorders>
        <w:tblCellMar>
          <w:top w:w="57" w:type="dxa"/>
          <w:bottom w:w="57" w:type="dxa"/>
        </w:tblCellMar>
        <w:tblLook w:val="04A0" w:firstRow="1" w:lastRow="0" w:firstColumn="1" w:lastColumn="0" w:noHBand="0" w:noVBand="1"/>
      </w:tblPr>
      <w:tblGrid>
        <w:gridCol w:w="2827"/>
        <w:gridCol w:w="2061"/>
        <w:gridCol w:w="2061"/>
        <w:gridCol w:w="2061"/>
      </w:tblGrid>
      <w:tr w:rsidR="00203F57" w:rsidRPr="00FD6FDF" w14:paraId="51EDB9D2" w14:textId="77777777" w:rsidTr="00363B33">
        <w:trPr>
          <w:jc w:val="center"/>
        </w:trPr>
        <w:tc>
          <w:tcPr>
            <w:tcW w:w="2830" w:type="dxa"/>
            <w:shd w:val="clear" w:color="auto" w:fill="464E7E" w:themeFill="accent2"/>
          </w:tcPr>
          <w:p w14:paraId="5160C982" w14:textId="73013774" w:rsidR="00203F57" w:rsidRPr="00363B33" w:rsidRDefault="00203F57" w:rsidP="00FA0A68">
            <w:pPr>
              <w:rPr>
                <w:b/>
                <w:color w:val="FFFFFF" w:themeColor="background1"/>
              </w:rPr>
            </w:pPr>
          </w:p>
        </w:tc>
        <w:tc>
          <w:tcPr>
            <w:tcW w:w="2062" w:type="dxa"/>
            <w:shd w:val="clear" w:color="auto" w:fill="464E7E" w:themeFill="accent2"/>
          </w:tcPr>
          <w:p w14:paraId="091F6755" w14:textId="08F86A0A" w:rsidR="00203F57" w:rsidRPr="00363B33" w:rsidRDefault="00203F57" w:rsidP="00363B33">
            <w:pPr>
              <w:jc w:val="center"/>
              <w:rPr>
                <w:b/>
                <w:color w:val="FFFFFF" w:themeColor="background1"/>
              </w:rPr>
            </w:pPr>
            <w:r w:rsidRPr="00363B33">
              <w:rPr>
                <w:b/>
                <w:color w:val="FFFFFF" w:themeColor="background1"/>
              </w:rPr>
              <w:t>2022-23</w:t>
            </w:r>
          </w:p>
        </w:tc>
        <w:tc>
          <w:tcPr>
            <w:tcW w:w="2062" w:type="dxa"/>
            <w:shd w:val="clear" w:color="auto" w:fill="464E7E" w:themeFill="accent2"/>
          </w:tcPr>
          <w:p w14:paraId="14CBD8F6" w14:textId="233BE16A" w:rsidR="00203F57" w:rsidRPr="00363B33" w:rsidRDefault="00203F57" w:rsidP="00363B33">
            <w:pPr>
              <w:jc w:val="center"/>
              <w:rPr>
                <w:b/>
                <w:color w:val="FFFFFF" w:themeColor="background1"/>
              </w:rPr>
            </w:pPr>
            <w:r w:rsidRPr="00363B33">
              <w:rPr>
                <w:b/>
                <w:color w:val="FFFFFF" w:themeColor="background1"/>
              </w:rPr>
              <w:t>2023-24</w:t>
            </w:r>
          </w:p>
        </w:tc>
        <w:tc>
          <w:tcPr>
            <w:tcW w:w="2062" w:type="dxa"/>
            <w:shd w:val="clear" w:color="auto" w:fill="464E7E" w:themeFill="accent2"/>
          </w:tcPr>
          <w:p w14:paraId="6B4F07DE" w14:textId="7659EDB5" w:rsidR="00203F57" w:rsidRPr="00363B33" w:rsidRDefault="00203F57" w:rsidP="00363B33">
            <w:pPr>
              <w:jc w:val="center"/>
              <w:rPr>
                <w:b/>
                <w:color w:val="FFFFFF" w:themeColor="background1"/>
              </w:rPr>
            </w:pPr>
            <w:r w:rsidRPr="00363B33">
              <w:rPr>
                <w:b/>
                <w:color w:val="FFFFFF" w:themeColor="background1"/>
              </w:rPr>
              <w:t>Growth (%)</w:t>
            </w:r>
          </w:p>
        </w:tc>
      </w:tr>
      <w:tr w:rsidR="00203F57" w:rsidRPr="00FD6FDF" w14:paraId="5C885A92" w14:textId="77777777" w:rsidTr="00363B33">
        <w:trPr>
          <w:jc w:val="center"/>
        </w:trPr>
        <w:tc>
          <w:tcPr>
            <w:tcW w:w="2830" w:type="dxa"/>
            <w:shd w:val="clear" w:color="auto" w:fill="EFF0F7" w:themeFill="accent4" w:themeFillTint="33"/>
          </w:tcPr>
          <w:p w14:paraId="27FE95F7" w14:textId="07BC2D87" w:rsidR="00203F57" w:rsidRPr="00FD6FDF" w:rsidRDefault="00203F57" w:rsidP="00FA0A68">
            <w:pPr>
              <w:rPr>
                <w:color w:val="44546A" w:themeColor="text2"/>
              </w:rPr>
            </w:pPr>
            <w:r>
              <w:rPr>
                <w:color w:val="44546A" w:themeColor="text2"/>
              </w:rPr>
              <w:t>Episodes</w:t>
            </w:r>
            <w:r w:rsidR="00CE6F96">
              <w:rPr>
                <w:rFonts w:ascii="ZWAdobeF" w:hAnsi="ZWAdobeF" w:cs="ZWAdobeF"/>
                <w:color w:val="auto"/>
                <w:sz w:val="2"/>
                <w:szCs w:val="2"/>
              </w:rPr>
              <w:t>6F</w:t>
            </w:r>
            <w:r>
              <w:rPr>
                <w:rStyle w:val="FootnoteReference"/>
                <w:color w:val="44546A" w:themeColor="text2"/>
              </w:rPr>
              <w:footnoteReference w:id="8"/>
            </w:r>
            <w:r>
              <w:rPr>
                <w:color w:val="44546A" w:themeColor="text2"/>
              </w:rPr>
              <w:t xml:space="preserve"> (m)</w:t>
            </w:r>
          </w:p>
        </w:tc>
        <w:tc>
          <w:tcPr>
            <w:tcW w:w="2062" w:type="dxa"/>
          </w:tcPr>
          <w:p w14:paraId="6CCBF50D" w14:textId="4CF94D13" w:rsidR="00203F57" w:rsidRPr="00FD6FDF" w:rsidRDefault="008F7EB9" w:rsidP="00363B33">
            <w:pPr>
              <w:jc w:val="center"/>
              <w:rPr>
                <w:color w:val="44546A" w:themeColor="text2"/>
              </w:rPr>
            </w:pPr>
            <w:r>
              <w:rPr>
                <w:color w:val="44546A" w:themeColor="text2"/>
              </w:rPr>
              <w:t>39.09m</w:t>
            </w:r>
          </w:p>
        </w:tc>
        <w:tc>
          <w:tcPr>
            <w:tcW w:w="2062" w:type="dxa"/>
          </w:tcPr>
          <w:p w14:paraId="6784E922" w14:textId="740E2DC0" w:rsidR="00203F57" w:rsidRPr="00FD6FDF" w:rsidRDefault="008F7EB9" w:rsidP="00363B33">
            <w:pPr>
              <w:jc w:val="center"/>
              <w:rPr>
                <w:color w:val="44546A" w:themeColor="text2"/>
              </w:rPr>
            </w:pPr>
            <w:r>
              <w:rPr>
                <w:color w:val="44546A" w:themeColor="text2"/>
              </w:rPr>
              <w:t>42.54m</w:t>
            </w:r>
          </w:p>
        </w:tc>
        <w:tc>
          <w:tcPr>
            <w:tcW w:w="2062" w:type="dxa"/>
          </w:tcPr>
          <w:p w14:paraId="70F0AF77" w14:textId="472A2D14" w:rsidR="00203F57" w:rsidRPr="00FD6FDF" w:rsidRDefault="00BA218E" w:rsidP="00363B33">
            <w:pPr>
              <w:jc w:val="center"/>
              <w:rPr>
                <w:color w:val="44546A" w:themeColor="text2"/>
              </w:rPr>
            </w:pPr>
            <w:r>
              <w:rPr>
                <w:color w:val="44546A" w:themeColor="text2"/>
              </w:rPr>
              <w:t>+</w:t>
            </w:r>
            <w:r w:rsidR="00F109DA">
              <w:rPr>
                <w:color w:val="44546A" w:themeColor="text2"/>
              </w:rPr>
              <w:t>8.8%</w:t>
            </w:r>
          </w:p>
        </w:tc>
      </w:tr>
      <w:tr w:rsidR="00203F57" w:rsidRPr="00FD6FDF" w14:paraId="76B050BE" w14:textId="77777777" w:rsidTr="00363B33">
        <w:trPr>
          <w:jc w:val="center"/>
        </w:trPr>
        <w:tc>
          <w:tcPr>
            <w:tcW w:w="2830" w:type="dxa"/>
            <w:shd w:val="clear" w:color="auto" w:fill="EFF0F7" w:themeFill="accent4" w:themeFillTint="33"/>
          </w:tcPr>
          <w:p w14:paraId="76077411" w14:textId="630A3A0E" w:rsidR="00203F57" w:rsidRPr="00FD6FDF" w:rsidRDefault="00203F57" w:rsidP="00FA0A68">
            <w:pPr>
              <w:rPr>
                <w:color w:val="44546A" w:themeColor="text2"/>
              </w:rPr>
            </w:pPr>
            <w:r>
              <w:rPr>
                <w:color w:val="44546A" w:themeColor="text2"/>
              </w:rPr>
              <w:t>GWAU (m)</w:t>
            </w:r>
          </w:p>
        </w:tc>
        <w:tc>
          <w:tcPr>
            <w:tcW w:w="2062" w:type="dxa"/>
          </w:tcPr>
          <w:p w14:paraId="16FCB8FF" w14:textId="5113B487" w:rsidR="00203F57" w:rsidRPr="00FD6FDF" w:rsidRDefault="00F109DA" w:rsidP="00363B33">
            <w:pPr>
              <w:jc w:val="center"/>
              <w:rPr>
                <w:color w:val="44546A" w:themeColor="text2"/>
              </w:rPr>
            </w:pPr>
            <w:r>
              <w:rPr>
                <w:color w:val="44546A" w:themeColor="text2"/>
              </w:rPr>
              <w:t>9.60m</w:t>
            </w:r>
          </w:p>
        </w:tc>
        <w:tc>
          <w:tcPr>
            <w:tcW w:w="2062" w:type="dxa"/>
          </w:tcPr>
          <w:p w14:paraId="7851DC2F" w14:textId="45EAB48F" w:rsidR="00203F57" w:rsidRPr="00FD6FDF" w:rsidRDefault="00F109DA" w:rsidP="00363B33">
            <w:pPr>
              <w:jc w:val="center"/>
              <w:rPr>
                <w:color w:val="44546A" w:themeColor="text2"/>
              </w:rPr>
            </w:pPr>
            <w:r>
              <w:rPr>
                <w:color w:val="44546A" w:themeColor="text2"/>
              </w:rPr>
              <w:t>10.15m</w:t>
            </w:r>
          </w:p>
        </w:tc>
        <w:tc>
          <w:tcPr>
            <w:tcW w:w="2062" w:type="dxa"/>
          </w:tcPr>
          <w:p w14:paraId="7778F733" w14:textId="772137EC" w:rsidR="00203F57" w:rsidRPr="00FD6FDF" w:rsidRDefault="006925B3" w:rsidP="00363B33">
            <w:pPr>
              <w:jc w:val="center"/>
              <w:rPr>
                <w:color w:val="44546A" w:themeColor="text2"/>
              </w:rPr>
            </w:pPr>
            <w:r>
              <w:rPr>
                <w:color w:val="44546A" w:themeColor="text2"/>
              </w:rPr>
              <w:t>+</w:t>
            </w:r>
            <w:r w:rsidR="00A23A93">
              <w:rPr>
                <w:color w:val="44546A" w:themeColor="text2"/>
              </w:rPr>
              <w:t>5.8%</w:t>
            </w:r>
          </w:p>
        </w:tc>
      </w:tr>
      <w:tr w:rsidR="00203F57" w:rsidRPr="00FD6FDF" w14:paraId="4B14CB7C" w14:textId="77777777" w:rsidTr="00363B33">
        <w:trPr>
          <w:jc w:val="center"/>
        </w:trPr>
        <w:tc>
          <w:tcPr>
            <w:tcW w:w="2830" w:type="dxa"/>
            <w:shd w:val="clear" w:color="auto" w:fill="EFF0F7" w:themeFill="accent4" w:themeFillTint="33"/>
          </w:tcPr>
          <w:p w14:paraId="6516748B" w14:textId="358139A1" w:rsidR="00203F57" w:rsidRPr="00FD6FDF" w:rsidRDefault="00C1645D" w:rsidP="00FA0A68">
            <w:pPr>
              <w:rPr>
                <w:color w:val="44546A" w:themeColor="text2"/>
              </w:rPr>
            </w:pPr>
            <w:r>
              <w:rPr>
                <w:color w:val="44546A" w:themeColor="text2"/>
              </w:rPr>
              <w:t>Cost ($</w:t>
            </w:r>
            <w:r w:rsidR="00100AD9">
              <w:rPr>
                <w:color w:val="44546A" w:themeColor="text2"/>
              </w:rPr>
              <w:t>b</w:t>
            </w:r>
            <w:r w:rsidR="00A6534F">
              <w:rPr>
                <w:color w:val="44546A" w:themeColor="text2"/>
              </w:rPr>
              <w:t>n</w:t>
            </w:r>
            <w:r>
              <w:rPr>
                <w:color w:val="44546A" w:themeColor="text2"/>
              </w:rPr>
              <w:t>)</w:t>
            </w:r>
          </w:p>
        </w:tc>
        <w:tc>
          <w:tcPr>
            <w:tcW w:w="2062" w:type="dxa"/>
          </w:tcPr>
          <w:p w14:paraId="2981EB83" w14:textId="7C58F4FE" w:rsidR="00203F57" w:rsidRPr="00FD6FDF" w:rsidRDefault="00A23A93" w:rsidP="00363B33">
            <w:pPr>
              <w:jc w:val="center"/>
              <w:rPr>
                <w:color w:val="44546A" w:themeColor="text2"/>
              </w:rPr>
            </w:pPr>
            <w:r>
              <w:rPr>
                <w:color w:val="44546A" w:themeColor="text2"/>
              </w:rPr>
              <w:t>$62</w:t>
            </w:r>
            <w:r w:rsidR="00BB5F2A">
              <w:rPr>
                <w:color w:val="44546A" w:themeColor="text2"/>
              </w:rPr>
              <w:t>.</w:t>
            </w:r>
            <w:r>
              <w:rPr>
                <w:color w:val="44546A" w:themeColor="text2"/>
              </w:rPr>
              <w:t>5</w:t>
            </w:r>
            <w:r w:rsidR="00BB5F2A">
              <w:rPr>
                <w:color w:val="44546A" w:themeColor="text2"/>
              </w:rPr>
              <w:t>6b</w:t>
            </w:r>
            <w:r w:rsidR="00A6534F">
              <w:rPr>
                <w:color w:val="44546A" w:themeColor="text2"/>
              </w:rPr>
              <w:t>n</w:t>
            </w:r>
          </w:p>
        </w:tc>
        <w:tc>
          <w:tcPr>
            <w:tcW w:w="2062" w:type="dxa"/>
          </w:tcPr>
          <w:p w14:paraId="7834D375" w14:textId="23D33C80" w:rsidR="00203F57" w:rsidRPr="00FD6FDF" w:rsidRDefault="00A23A93" w:rsidP="00363B33">
            <w:pPr>
              <w:jc w:val="center"/>
              <w:rPr>
                <w:color w:val="44546A" w:themeColor="text2"/>
              </w:rPr>
            </w:pPr>
            <w:r>
              <w:rPr>
                <w:color w:val="44546A" w:themeColor="text2"/>
              </w:rPr>
              <w:t>$68</w:t>
            </w:r>
            <w:r w:rsidR="00C8367B">
              <w:rPr>
                <w:color w:val="44546A" w:themeColor="text2"/>
              </w:rPr>
              <w:t>.</w:t>
            </w:r>
            <w:r w:rsidR="00BB5F2A">
              <w:rPr>
                <w:color w:val="44546A" w:themeColor="text2"/>
              </w:rPr>
              <w:t>0</w:t>
            </w:r>
            <w:r w:rsidR="00D36427">
              <w:rPr>
                <w:color w:val="44546A" w:themeColor="text2"/>
              </w:rPr>
              <w:t>7</w:t>
            </w:r>
            <w:r w:rsidR="00BB5F2A">
              <w:rPr>
                <w:color w:val="44546A" w:themeColor="text2"/>
              </w:rPr>
              <w:t>b</w:t>
            </w:r>
            <w:r w:rsidR="00A6534F">
              <w:rPr>
                <w:color w:val="44546A" w:themeColor="text2"/>
              </w:rPr>
              <w:t>n</w:t>
            </w:r>
          </w:p>
        </w:tc>
        <w:tc>
          <w:tcPr>
            <w:tcW w:w="2062" w:type="dxa"/>
          </w:tcPr>
          <w:p w14:paraId="1DA12BAA" w14:textId="1415A3CA" w:rsidR="00203F57" w:rsidRPr="00FD6FDF" w:rsidRDefault="006925B3" w:rsidP="00363B33">
            <w:pPr>
              <w:jc w:val="center"/>
              <w:rPr>
                <w:color w:val="44546A" w:themeColor="text2"/>
              </w:rPr>
            </w:pPr>
            <w:r>
              <w:rPr>
                <w:color w:val="44546A" w:themeColor="text2"/>
              </w:rPr>
              <w:t>+</w:t>
            </w:r>
            <w:r w:rsidR="00C8367B">
              <w:rPr>
                <w:color w:val="44546A" w:themeColor="text2"/>
              </w:rPr>
              <w:t>8.8</w:t>
            </w:r>
            <w:r w:rsidR="00A23A93">
              <w:rPr>
                <w:color w:val="44546A" w:themeColor="text2"/>
              </w:rPr>
              <w:t>%</w:t>
            </w:r>
          </w:p>
        </w:tc>
      </w:tr>
      <w:tr w:rsidR="00203F57" w:rsidRPr="00FD6FDF" w14:paraId="4CA8E561" w14:textId="77777777" w:rsidTr="00363B33">
        <w:trPr>
          <w:jc w:val="center"/>
        </w:trPr>
        <w:tc>
          <w:tcPr>
            <w:tcW w:w="2830" w:type="dxa"/>
            <w:shd w:val="clear" w:color="auto" w:fill="EFF0F7" w:themeFill="accent4" w:themeFillTint="33"/>
          </w:tcPr>
          <w:p w14:paraId="77CF2CC2" w14:textId="0723F73D" w:rsidR="00203F57" w:rsidRPr="00FD6FDF" w:rsidRDefault="00C1645D" w:rsidP="00FA0A68">
            <w:pPr>
              <w:rPr>
                <w:color w:val="44546A" w:themeColor="text2"/>
              </w:rPr>
            </w:pPr>
            <w:bookmarkStart w:id="19" w:name="_Ref208845330"/>
            <w:r>
              <w:rPr>
                <w:color w:val="44546A" w:themeColor="text2"/>
              </w:rPr>
              <w:t>Average cost per GWAU ($)</w:t>
            </w:r>
          </w:p>
        </w:tc>
        <w:tc>
          <w:tcPr>
            <w:tcW w:w="2062" w:type="dxa"/>
          </w:tcPr>
          <w:p w14:paraId="61F51113" w14:textId="2D494C13" w:rsidR="00203F57" w:rsidRPr="00FD6FDF" w:rsidRDefault="00A23A93" w:rsidP="00363B33">
            <w:pPr>
              <w:jc w:val="center"/>
              <w:rPr>
                <w:color w:val="44546A" w:themeColor="text2"/>
              </w:rPr>
            </w:pPr>
            <w:r>
              <w:rPr>
                <w:color w:val="44546A" w:themeColor="text2"/>
              </w:rPr>
              <w:t>$6,518</w:t>
            </w:r>
          </w:p>
        </w:tc>
        <w:tc>
          <w:tcPr>
            <w:tcW w:w="2062" w:type="dxa"/>
          </w:tcPr>
          <w:p w14:paraId="119CF6D3" w14:textId="6064CB55" w:rsidR="00203F57" w:rsidRPr="00FD6FDF" w:rsidRDefault="00A23A93" w:rsidP="00363B33">
            <w:pPr>
              <w:jc w:val="center"/>
              <w:rPr>
                <w:color w:val="44546A" w:themeColor="text2"/>
              </w:rPr>
            </w:pPr>
            <w:r>
              <w:rPr>
                <w:color w:val="44546A" w:themeColor="text2"/>
              </w:rPr>
              <w:t>$6,7</w:t>
            </w:r>
            <w:r w:rsidR="00100AD9">
              <w:rPr>
                <w:color w:val="44546A" w:themeColor="text2"/>
              </w:rPr>
              <w:t>07</w:t>
            </w:r>
          </w:p>
        </w:tc>
        <w:tc>
          <w:tcPr>
            <w:tcW w:w="2062" w:type="dxa"/>
          </w:tcPr>
          <w:p w14:paraId="4DB5A5DD" w14:textId="4F3E4BE9" w:rsidR="00203F57" w:rsidRPr="00FD6FDF" w:rsidRDefault="006925B3" w:rsidP="00363B33">
            <w:pPr>
              <w:jc w:val="center"/>
              <w:rPr>
                <w:color w:val="44546A" w:themeColor="text2"/>
              </w:rPr>
            </w:pPr>
            <w:r>
              <w:rPr>
                <w:color w:val="44546A" w:themeColor="text2"/>
              </w:rPr>
              <w:t>+</w:t>
            </w:r>
            <w:r w:rsidR="00100AD9">
              <w:rPr>
                <w:color w:val="44546A" w:themeColor="text2"/>
              </w:rPr>
              <w:t>2.9</w:t>
            </w:r>
            <w:r w:rsidR="00A23A93">
              <w:rPr>
                <w:color w:val="44546A" w:themeColor="text2"/>
              </w:rPr>
              <w:t>%</w:t>
            </w:r>
          </w:p>
        </w:tc>
      </w:tr>
    </w:tbl>
    <w:p w14:paraId="3A951681" w14:textId="10AAEC1E" w:rsidR="004C25A2" w:rsidRDefault="00B662EC" w:rsidP="00955D5A">
      <w:pPr>
        <w:pStyle w:val="Heading3"/>
      </w:pPr>
      <w:r>
        <w:t>Results by NHCDC activity stream</w:t>
      </w:r>
    </w:p>
    <w:p w14:paraId="0ED23A62" w14:textId="64473B08" w:rsidR="00262FE4" w:rsidRDefault="00F154C6">
      <w:pPr>
        <w:tabs>
          <w:tab w:val="clear" w:pos="5309"/>
        </w:tabs>
        <w:spacing w:line="279" w:lineRule="auto"/>
      </w:pPr>
      <w:r>
        <w:t xml:space="preserve">The </w:t>
      </w:r>
      <w:r w:rsidR="00B662EC">
        <w:t>following section presents the changes</w:t>
      </w:r>
      <w:r w:rsidR="00437F33">
        <w:t xml:space="preserve"> in episodes, GWAU</w:t>
      </w:r>
      <w:r w:rsidR="00B662EC">
        <w:t>, total</w:t>
      </w:r>
      <w:r w:rsidR="00437F33">
        <w:t xml:space="preserve"> cost </w:t>
      </w:r>
      <w:r w:rsidR="00B662EC">
        <w:t xml:space="preserve">and average cost per GWAU </w:t>
      </w:r>
      <w:r w:rsidR="00437F33">
        <w:t xml:space="preserve">across the different </w:t>
      </w:r>
      <w:r w:rsidR="00B662EC">
        <w:t xml:space="preserve">NHCDC activity </w:t>
      </w:r>
      <w:r w:rsidR="00437F33">
        <w:t>streams</w:t>
      </w:r>
      <w:r w:rsidR="00B662EC">
        <w:t>,</w:t>
      </w:r>
      <w:r w:rsidR="00437F33">
        <w:t xml:space="preserve"> summarised in </w:t>
      </w:r>
      <w:r w:rsidR="00DE617D" w:rsidRPr="002D3DBD">
        <w:fldChar w:fldCharType="begin" w:fldLock="1"/>
      </w:r>
      <w:r w:rsidR="00DE617D" w:rsidRPr="002D3DBD">
        <w:instrText xml:space="preserve"> REF _Ref208845358 \h </w:instrText>
      </w:r>
      <w:r w:rsidR="00280E7E" w:rsidRPr="002D3DBD">
        <w:instrText xml:space="preserve"> \* MERGEFORMAT </w:instrText>
      </w:r>
      <w:r w:rsidR="00DE617D" w:rsidRPr="002D3DBD">
        <w:fldChar w:fldCharType="separate"/>
      </w:r>
      <w:r w:rsidR="00084503">
        <w:t xml:space="preserve">Table </w:t>
      </w:r>
      <w:r w:rsidR="00084503">
        <w:rPr>
          <w:noProof/>
        </w:rPr>
        <w:t>2</w:t>
      </w:r>
      <w:r w:rsidR="00DE617D" w:rsidRPr="002D3DBD">
        <w:fldChar w:fldCharType="end"/>
      </w:r>
      <w:r w:rsidR="00DE617D" w:rsidRPr="002D3DBD">
        <w:t>.</w:t>
      </w:r>
    </w:p>
    <w:p w14:paraId="699C330A" w14:textId="72691A9A" w:rsidR="00262FE4" w:rsidRDefault="00262FE4" w:rsidP="0034558A">
      <w:pPr>
        <w:pStyle w:val="Caption"/>
        <w:keepNext/>
      </w:pPr>
      <w:bookmarkStart w:id="20" w:name="_Ref208845358"/>
      <w:r>
        <w:t>Table</w:t>
      </w:r>
      <w:bookmarkEnd w:id="19"/>
      <w:r>
        <w:t xml:space="preserve"> </w:t>
      </w:r>
      <w:r>
        <w:fldChar w:fldCharType="begin"/>
      </w:r>
      <w:r>
        <w:instrText xml:space="preserve"> SEQ Table \* ARABIC </w:instrText>
      </w:r>
      <w:r>
        <w:fldChar w:fldCharType="separate"/>
      </w:r>
      <w:r w:rsidR="00CE6F96">
        <w:rPr>
          <w:noProof/>
        </w:rPr>
        <w:t>2</w:t>
      </w:r>
      <w:r>
        <w:fldChar w:fldCharType="end"/>
      </w:r>
      <w:bookmarkEnd w:id="20"/>
      <w:r>
        <w:t>: Growth in episodes, GWAU and cost for 2023-23 and 2023-24</w:t>
      </w:r>
      <w:r w:rsidR="00D129DE">
        <w:t xml:space="preserve"> by stream</w:t>
      </w:r>
      <w:r w:rsidR="000069C6">
        <w:t xml:space="preserve"> – all participating jurisdictions</w:t>
      </w:r>
    </w:p>
    <w:tbl>
      <w:tblPr>
        <w:tblStyle w:val="TableGrid"/>
        <w:tblW w:w="0" w:type="auto"/>
        <w:jc w:val="center"/>
        <w:tblBorders>
          <w:top w:val="single" w:sz="6" w:space="0" w:color="EFF0F7" w:themeColor="accent4" w:themeTint="33"/>
          <w:left w:val="single" w:sz="6" w:space="0" w:color="EFF0F7" w:themeColor="accent4" w:themeTint="33"/>
          <w:bottom w:val="single" w:sz="6" w:space="0" w:color="EFF0F7" w:themeColor="accent4" w:themeTint="33"/>
          <w:right w:val="single" w:sz="6" w:space="0" w:color="EFF0F7" w:themeColor="accent4" w:themeTint="33"/>
          <w:insideH w:val="single" w:sz="6" w:space="0" w:color="EFF0F7" w:themeColor="accent4" w:themeTint="33"/>
          <w:insideV w:val="single" w:sz="6" w:space="0" w:color="EFF0F7" w:themeColor="accent4" w:themeTint="33"/>
        </w:tblBorders>
        <w:tblCellMar>
          <w:top w:w="28" w:type="dxa"/>
          <w:bottom w:w="28" w:type="dxa"/>
        </w:tblCellMar>
        <w:tblLook w:val="04A0" w:firstRow="1" w:lastRow="0" w:firstColumn="1" w:lastColumn="0" w:noHBand="0" w:noVBand="1"/>
      </w:tblPr>
      <w:tblGrid>
        <w:gridCol w:w="2828"/>
        <w:gridCol w:w="2061"/>
        <w:gridCol w:w="2061"/>
        <w:gridCol w:w="2060"/>
      </w:tblGrid>
      <w:tr w:rsidR="00262FE4" w:rsidRPr="00FD6FDF" w14:paraId="28E440FA" w14:textId="77777777" w:rsidTr="003C28DB">
        <w:trPr>
          <w:tblHeader/>
          <w:jc w:val="center"/>
        </w:trPr>
        <w:tc>
          <w:tcPr>
            <w:tcW w:w="2830" w:type="dxa"/>
            <w:shd w:val="clear" w:color="auto" w:fill="464E7E" w:themeFill="accent2"/>
          </w:tcPr>
          <w:p w14:paraId="285EE9EA" w14:textId="77777777" w:rsidR="00262FE4" w:rsidRPr="00363B33" w:rsidRDefault="00262FE4" w:rsidP="00FA0A68">
            <w:pPr>
              <w:rPr>
                <w:b/>
                <w:color w:val="FFFFFF" w:themeColor="background1"/>
              </w:rPr>
            </w:pPr>
          </w:p>
        </w:tc>
        <w:tc>
          <w:tcPr>
            <w:tcW w:w="2062" w:type="dxa"/>
            <w:shd w:val="clear" w:color="auto" w:fill="464E7E" w:themeFill="accent2"/>
          </w:tcPr>
          <w:p w14:paraId="5C408355" w14:textId="77777777" w:rsidR="00262FE4" w:rsidRPr="00363B33" w:rsidRDefault="00262FE4" w:rsidP="00363B33">
            <w:pPr>
              <w:jc w:val="center"/>
              <w:rPr>
                <w:b/>
                <w:color w:val="FFFFFF" w:themeColor="background1"/>
              </w:rPr>
            </w:pPr>
            <w:r w:rsidRPr="00363B33">
              <w:rPr>
                <w:b/>
                <w:color w:val="FFFFFF" w:themeColor="background1"/>
              </w:rPr>
              <w:t>2022-23</w:t>
            </w:r>
          </w:p>
        </w:tc>
        <w:tc>
          <w:tcPr>
            <w:tcW w:w="2062" w:type="dxa"/>
            <w:shd w:val="clear" w:color="auto" w:fill="464E7E" w:themeFill="accent2"/>
          </w:tcPr>
          <w:p w14:paraId="31FB3F1A" w14:textId="77777777" w:rsidR="00262FE4" w:rsidRPr="00363B33" w:rsidRDefault="00262FE4" w:rsidP="00363B33">
            <w:pPr>
              <w:jc w:val="center"/>
              <w:rPr>
                <w:b/>
                <w:color w:val="FFFFFF" w:themeColor="background1"/>
              </w:rPr>
            </w:pPr>
            <w:r w:rsidRPr="00363B33">
              <w:rPr>
                <w:b/>
                <w:color w:val="FFFFFF" w:themeColor="background1"/>
              </w:rPr>
              <w:t>2023-24</w:t>
            </w:r>
          </w:p>
        </w:tc>
        <w:tc>
          <w:tcPr>
            <w:tcW w:w="2062" w:type="dxa"/>
            <w:shd w:val="clear" w:color="auto" w:fill="464E7E" w:themeFill="accent2"/>
          </w:tcPr>
          <w:p w14:paraId="0EB09F84" w14:textId="77777777" w:rsidR="00262FE4" w:rsidRPr="00363B33" w:rsidRDefault="00262FE4" w:rsidP="00363B33">
            <w:pPr>
              <w:jc w:val="center"/>
              <w:rPr>
                <w:b/>
                <w:color w:val="FFFFFF" w:themeColor="background1"/>
              </w:rPr>
            </w:pPr>
            <w:r w:rsidRPr="00363B33">
              <w:rPr>
                <w:b/>
                <w:color w:val="FFFFFF" w:themeColor="background1"/>
              </w:rPr>
              <w:t>Growth (%)</w:t>
            </w:r>
          </w:p>
        </w:tc>
      </w:tr>
      <w:tr w:rsidR="00D129DE" w:rsidRPr="00FD6FDF" w14:paraId="50DB6BA9" w14:textId="77777777" w:rsidTr="004554CC">
        <w:trPr>
          <w:jc w:val="center"/>
        </w:trPr>
        <w:tc>
          <w:tcPr>
            <w:tcW w:w="9016" w:type="dxa"/>
            <w:gridSpan w:val="4"/>
            <w:shd w:val="clear" w:color="auto" w:fill="D6D9E8" w:themeFill="accent2" w:themeFillTint="33"/>
          </w:tcPr>
          <w:p w14:paraId="0DE6230D" w14:textId="48C7A263" w:rsidR="00D129DE" w:rsidRPr="00A90CB3" w:rsidRDefault="00A90CB3" w:rsidP="00A90CB3">
            <w:pPr>
              <w:rPr>
                <w:b/>
                <w:bCs/>
                <w:color w:val="44546A" w:themeColor="text2"/>
              </w:rPr>
            </w:pPr>
            <w:r w:rsidRPr="00A90CB3">
              <w:rPr>
                <w:b/>
                <w:bCs/>
                <w:color w:val="44546A" w:themeColor="text2"/>
              </w:rPr>
              <w:t>A</w:t>
            </w:r>
            <w:r w:rsidR="00FE0B39">
              <w:rPr>
                <w:b/>
                <w:bCs/>
                <w:color w:val="44546A" w:themeColor="text2"/>
              </w:rPr>
              <w:t xml:space="preserve">dmitted </w:t>
            </w:r>
            <w:r w:rsidR="00587757">
              <w:rPr>
                <w:b/>
                <w:bCs/>
                <w:color w:val="44546A" w:themeColor="text2"/>
              </w:rPr>
              <w:t>a</w:t>
            </w:r>
            <w:r w:rsidRPr="00A90CB3">
              <w:rPr>
                <w:b/>
                <w:bCs/>
                <w:color w:val="44546A" w:themeColor="text2"/>
              </w:rPr>
              <w:t>cute</w:t>
            </w:r>
          </w:p>
        </w:tc>
      </w:tr>
      <w:tr w:rsidR="001B4ADF" w:rsidRPr="00FD6FDF" w14:paraId="097746F7" w14:textId="77777777" w:rsidTr="004554CC">
        <w:trPr>
          <w:jc w:val="center"/>
        </w:trPr>
        <w:tc>
          <w:tcPr>
            <w:tcW w:w="2830" w:type="dxa"/>
            <w:shd w:val="clear" w:color="auto" w:fill="EFF0F7" w:themeFill="accent4" w:themeFillTint="33"/>
          </w:tcPr>
          <w:p w14:paraId="0CBE149C" w14:textId="4B6CB8B0" w:rsidR="001B4ADF" w:rsidRPr="00FD6FDF" w:rsidRDefault="001B4ADF" w:rsidP="001B4ADF">
            <w:pPr>
              <w:rPr>
                <w:color w:val="44546A" w:themeColor="text2"/>
              </w:rPr>
            </w:pPr>
            <w:r>
              <w:rPr>
                <w:color w:val="44546A" w:themeColor="text2"/>
              </w:rPr>
              <w:t>Episodes (m)</w:t>
            </w:r>
          </w:p>
        </w:tc>
        <w:tc>
          <w:tcPr>
            <w:tcW w:w="2062" w:type="dxa"/>
          </w:tcPr>
          <w:p w14:paraId="73296508" w14:textId="66018F58" w:rsidR="001B4ADF" w:rsidRPr="00FD6FDF" w:rsidRDefault="0061596C" w:rsidP="00363B33">
            <w:pPr>
              <w:jc w:val="center"/>
              <w:rPr>
                <w:color w:val="44546A" w:themeColor="text2"/>
              </w:rPr>
            </w:pPr>
            <w:r>
              <w:rPr>
                <w:color w:val="44546A" w:themeColor="text2"/>
              </w:rPr>
              <w:t>6.10m</w:t>
            </w:r>
          </w:p>
        </w:tc>
        <w:tc>
          <w:tcPr>
            <w:tcW w:w="2062" w:type="dxa"/>
          </w:tcPr>
          <w:p w14:paraId="1615E53C" w14:textId="5B7DF895" w:rsidR="001B4ADF" w:rsidRPr="00FD6FDF" w:rsidRDefault="0061596C" w:rsidP="00363B33">
            <w:pPr>
              <w:jc w:val="center"/>
              <w:rPr>
                <w:color w:val="44546A" w:themeColor="text2"/>
              </w:rPr>
            </w:pPr>
            <w:r>
              <w:rPr>
                <w:color w:val="44546A" w:themeColor="text2"/>
              </w:rPr>
              <w:t>6.41m</w:t>
            </w:r>
          </w:p>
        </w:tc>
        <w:tc>
          <w:tcPr>
            <w:tcW w:w="2062" w:type="dxa"/>
          </w:tcPr>
          <w:p w14:paraId="6107F60D" w14:textId="1B8D3512" w:rsidR="001B4ADF" w:rsidRPr="00FD6FDF" w:rsidRDefault="006925B3" w:rsidP="00363B33">
            <w:pPr>
              <w:jc w:val="center"/>
              <w:rPr>
                <w:color w:val="44546A" w:themeColor="text2"/>
              </w:rPr>
            </w:pPr>
            <w:r>
              <w:rPr>
                <w:color w:val="44546A" w:themeColor="text2"/>
              </w:rPr>
              <w:t>+</w:t>
            </w:r>
            <w:r w:rsidR="008E1862">
              <w:rPr>
                <w:color w:val="44546A" w:themeColor="text2"/>
              </w:rPr>
              <w:t>5.1%</w:t>
            </w:r>
          </w:p>
        </w:tc>
      </w:tr>
      <w:tr w:rsidR="001B4ADF" w:rsidRPr="00FD6FDF" w14:paraId="513529DC" w14:textId="77777777" w:rsidTr="004554CC">
        <w:trPr>
          <w:jc w:val="center"/>
        </w:trPr>
        <w:tc>
          <w:tcPr>
            <w:tcW w:w="2830" w:type="dxa"/>
            <w:shd w:val="clear" w:color="auto" w:fill="EFF0F7" w:themeFill="accent4" w:themeFillTint="33"/>
          </w:tcPr>
          <w:p w14:paraId="3FEA16F8" w14:textId="32EFE4D5" w:rsidR="001B4ADF" w:rsidRPr="00FD6FDF" w:rsidRDefault="001B4ADF" w:rsidP="001B4ADF">
            <w:pPr>
              <w:rPr>
                <w:color w:val="44546A" w:themeColor="text2"/>
              </w:rPr>
            </w:pPr>
            <w:r>
              <w:rPr>
                <w:color w:val="44546A" w:themeColor="text2"/>
              </w:rPr>
              <w:t>GWAU (m)</w:t>
            </w:r>
          </w:p>
        </w:tc>
        <w:tc>
          <w:tcPr>
            <w:tcW w:w="2062" w:type="dxa"/>
          </w:tcPr>
          <w:p w14:paraId="12800C80" w14:textId="43471822" w:rsidR="001B4ADF" w:rsidRPr="00FD6FDF" w:rsidRDefault="004509E4" w:rsidP="00363B33">
            <w:pPr>
              <w:jc w:val="center"/>
              <w:rPr>
                <w:color w:val="44546A" w:themeColor="text2"/>
              </w:rPr>
            </w:pPr>
            <w:r>
              <w:rPr>
                <w:color w:val="44546A" w:themeColor="text2"/>
              </w:rPr>
              <w:t>5.90m</w:t>
            </w:r>
          </w:p>
        </w:tc>
        <w:tc>
          <w:tcPr>
            <w:tcW w:w="2062" w:type="dxa"/>
          </w:tcPr>
          <w:p w14:paraId="556C4D43" w14:textId="161548A0" w:rsidR="001B4ADF" w:rsidRPr="00FD6FDF" w:rsidRDefault="004509E4" w:rsidP="00363B33">
            <w:pPr>
              <w:jc w:val="center"/>
              <w:rPr>
                <w:color w:val="44546A" w:themeColor="text2"/>
              </w:rPr>
            </w:pPr>
            <w:r>
              <w:rPr>
                <w:color w:val="44546A" w:themeColor="text2"/>
              </w:rPr>
              <w:t>6.20m</w:t>
            </w:r>
          </w:p>
        </w:tc>
        <w:tc>
          <w:tcPr>
            <w:tcW w:w="2062" w:type="dxa"/>
          </w:tcPr>
          <w:p w14:paraId="36DCD71C" w14:textId="679BEBA2" w:rsidR="001B4ADF" w:rsidRPr="00FD6FDF" w:rsidRDefault="006925B3" w:rsidP="00363B33">
            <w:pPr>
              <w:jc w:val="center"/>
              <w:rPr>
                <w:color w:val="44546A" w:themeColor="text2"/>
              </w:rPr>
            </w:pPr>
            <w:r>
              <w:rPr>
                <w:color w:val="44546A" w:themeColor="text2"/>
              </w:rPr>
              <w:t>+</w:t>
            </w:r>
            <w:r w:rsidR="004509E4">
              <w:rPr>
                <w:color w:val="44546A" w:themeColor="text2"/>
              </w:rPr>
              <w:t>5.1%</w:t>
            </w:r>
          </w:p>
        </w:tc>
      </w:tr>
      <w:tr w:rsidR="001B4ADF" w:rsidRPr="00FD6FDF" w14:paraId="08B59F1F" w14:textId="77777777" w:rsidTr="004554CC">
        <w:trPr>
          <w:jc w:val="center"/>
        </w:trPr>
        <w:tc>
          <w:tcPr>
            <w:tcW w:w="2830" w:type="dxa"/>
            <w:shd w:val="clear" w:color="auto" w:fill="EFF0F7" w:themeFill="accent4" w:themeFillTint="33"/>
          </w:tcPr>
          <w:p w14:paraId="7F93AAD8" w14:textId="05B863AA" w:rsidR="001B4ADF" w:rsidRPr="00FD6FDF" w:rsidRDefault="001B4ADF" w:rsidP="001B4ADF">
            <w:pPr>
              <w:rPr>
                <w:color w:val="44546A" w:themeColor="text2"/>
              </w:rPr>
            </w:pPr>
            <w:r>
              <w:rPr>
                <w:color w:val="44546A" w:themeColor="text2"/>
              </w:rPr>
              <w:t>Cost ($</w:t>
            </w:r>
            <w:r w:rsidR="006837D8">
              <w:rPr>
                <w:color w:val="44546A" w:themeColor="text2"/>
              </w:rPr>
              <w:t>bn</w:t>
            </w:r>
            <w:r>
              <w:rPr>
                <w:color w:val="44546A" w:themeColor="text2"/>
              </w:rPr>
              <w:t>)</w:t>
            </w:r>
          </w:p>
        </w:tc>
        <w:tc>
          <w:tcPr>
            <w:tcW w:w="2062" w:type="dxa"/>
          </w:tcPr>
          <w:p w14:paraId="5F0E1D13" w14:textId="20775A3C" w:rsidR="001B4ADF" w:rsidRPr="00FD6FDF" w:rsidRDefault="004509E4" w:rsidP="00363B33">
            <w:pPr>
              <w:jc w:val="center"/>
              <w:rPr>
                <w:color w:val="44546A" w:themeColor="text2"/>
              </w:rPr>
            </w:pPr>
            <w:r>
              <w:rPr>
                <w:color w:val="44546A" w:themeColor="text2"/>
              </w:rPr>
              <w:t>$38</w:t>
            </w:r>
            <w:r w:rsidR="00707327">
              <w:rPr>
                <w:color w:val="44546A" w:themeColor="text2"/>
              </w:rPr>
              <w:t>.</w:t>
            </w:r>
            <w:r>
              <w:rPr>
                <w:color w:val="44546A" w:themeColor="text2"/>
              </w:rPr>
              <w:t>1</w:t>
            </w:r>
            <w:r w:rsidR="00707327">
              <w:rPr>
                <w:color w:val="44546A" w:themeColor="text2"/>
              </w:rPr>
              <w:t>7bn</w:t>
            </w:r>
          </w:p>
        </w:tc>
        <w:tc>
          <w:tcPr>
            <w:tcW w:w="2062" w:type="dxa"/>
          </w:tcPr>
          <w:p w14:paraId="3B7E3E70" w14:textId="27D32BC8" w:rsidR="001B4ADF" w:rsidRPr="00FD6FDF" w:rsidRDefault="004509E4" w:rsidP="00363B33">
            <w:pPr>
              <w:jc w:val="center"/>
              <w:rPr>
                <w:color w:val="44546A" w:themeColor="text2"/>
              </w:rPr>
            </w:pPr>
            <w:r>
              <w:rPr>
                <w:color w:val="44546A" w:themeColor="text2"/>
              </w:rPr>
              <w:t>$</w:t>
            </w:r>
            <w:r w:rsidR="00916632">
              <w:rPr>
                <w:color w:val="44546A" w:themeColor="text2"/>
              </w:rPr>
              <w:t>40.98</w:t>
            </w:r>
            <w:r w:rsidR="005108CA">
              <w:rPr>
                <w:color w:val="44546A" w:themeColor="text2"/>
              </w:rPr>
              <w:t>bn</w:t>
            </w:r>
          </w:p>
        </w:tc>
        <w:tc>
          <w:tcPr>
            <w:tcW w:w="2062" w:type="dxa"/>
          </w:tcPr>
          <w:p w14:paraId="752E3509" w14:textId="0DD41D88" w:rsidR="001B4ADF" w:rsidRPr="00FD6FDF" w:rsidRDefault="006925B3" w:rsidP="00363B33">
            <w:pPr>
              <w:jc w:val="center"/>
              <w:rPr>
                <w:color w:val="44546A" w:themeColor="text2"/>
              </w:rPr>
            </w:pPr>
            <w:r>
              <w:rPr>
                <w:color w:val="44546A" w:themeColor="text2"/>
              </w:rPr>
              <w:t>+</w:t>
            </w:r>
            <w:r w:rsidR="004509E4">
              <w:rPr>
                <w:color w:val="44546A" w:themeColor="text2"/>
              </w:rPr>
              <w:t>7.</w:t>
            </w:r>
            <w:r w:rsidR="00916632">
              <w:rPr>
                <w:color w:val="44546A" w:themeColor="text2"/>
              </w:rPr>
              <w:t>4</w:t>
            </w:r>
            <w:r w:rsidR="004509E4">
              <w:rPr>
                <w:color w:val="44546A" w:themeColor="text2"/>
              </w:rPr>
              <w:t>%</w:t>
            </w:r>
          </w:p>
        </w:tc>
      </w:tr>
      <w:tr w:rsidR="001B4ADF" w:rsidRPr="00FD6FDF" w14:paraId="66730204" w14:textId="77777777" w:rsidTr="004554CC">
        <w:trPr>
          <w:jc w:val="center"/>
        </w:trPr>
        <w:tc>
          <w:tcPr>
            <w:tcW w:w="2830" w:type="dxa"/>
            <w:shd w:val="clear" w:color="auto" w:fill="EFF0F7" w:themeFill="accent4" w:themeFillTint="33"/>
          </w:tcPr>
          <w:p w14:paraId="50D905F5" w14:textId="23A9569A" w:rsidR="001B4ADF" w:rsidRDefault="001B4ADF" w:rsidP="001B4ADF">
            <w:pPr>
              <w:rPr>
                <w:color w:val="44546A" w:themeColor="text2"/>
              </w:rPr>
            </w:pPr>
            <w:r>
              <w:rPr>
                <w:color w:val="44546A" w:themeColor="text2"/>
              </w:rPr>
              <w:t>Average cost per GWAU ($)</w:t>
            </w:r>
          </w:p>
        </w:tc>
        <w:tc>
          <w:tcPr>
            <w:tcW w:w="2062" w:type="dxa"/>
          </w:tcPr>
          <w:p w14:paraId="30C66CA2" w14:textId="5C38BF4E" w:rsidR="001B4ADF" w:rsidRDefault="004509E4" w:rsidP="00363B33">
            <w:pPr>
              <w:jc w:val="center"/>
              <w:rPr>
                <w:color w:val="44546A" w:themeColor="text2"/>
              </w:rPr>
            </w:pPr>
            <w:r>
              <w:rPr>
                <w:color w:val="44546A" w:themeColor="text2"/>
              </w:rPr>
              <w:t>$6,469</w:t>
            </w:r>
          </w:p>
        </w:tc>
        <w:tc>
          <w:tcPr>
            <w:tcW w:w="2062" w:type="dxa"/>
          </w:tcPr>
          <w:p w14:paraId="47425A84" w14:textId="136D9D61" w:rsidR="001B4ADF" w:rsidRDefault="004509E4" w:rsidP="00363B33">
            <w:pPr>
              <w:jc w:val="center"/>
              <w:rPr>
                <w:color w:val="44546A" w:themeColor="text2"/>
              </w:rPr>
            </w:pPr>
            <w:r>
              <w:rPr>
                <w:color w:val="44546A" w:themeColor="text2"/>
              </w:rPr>
              <w:t>$6,</w:t>
            </w:r>
            <w:r w:rsidR="00501BDC">
              <w:rPr>
                <w:color w:val="44546A" w:themeColor="text2"/>
              </w:rPr>
              <w:t>610</w:t>
            </w:r>
          </w:p>
        </w:tc>
        <w:tc>
          <w:tcPr>
            <w:tcW w:w="2062" w:type="dxa"/>
          </w:tcPr>
          <w:p w14:paraId="579767B9" w14:textId="6F3B3C45" w:rsidR="001B4ADF" w:rsidRDefault="006925B3" w:rsidP="00363B33">
            <w:pPr>
              <w:jc w:val="center"/>
              <w:rPr>
                <w:color w:val="44546A" w:themeColor="text2"/>
              </w:rPr>
            </w:pPr>
            <w:r>
              <w:rPr>
                <w:color w:val="44546A" w:themeColor="text2"/>
              </w:rPr>
              <w:t>+</w:t>
            </w:r>
            <w:r w:rsidR="004509E4">
              <w:rPr>
                <w:color w:val="44546A" w:themeColor="text2"/>
              </w:rPr>
              <w:t>2.</w:t>
            </w:r>
            <w:r w:rsidR="00501BDC">
              <w:rPr>
                <w:color w:val="44546A" w:themeColor="text2"/>
              </w:rPr>
              <w:t>2</w:t>
            </w:r>
            <w:r w:rsidR="004509E4">
              <w:rPr>
                <w:color w:val="44546A" w:themeColor="text2"/>
              </w:rPr>
              <w:t>%</w:t>
            </w:r>
          </w:p>
        </w:tc>
      </w:tr>
      <w:tr w:rsidR="00A90CB3" w:rsidRPr="00FD6FDF" w14:paraId="0720D5BC" w14:textId="77777777" w:rsidTr="004554CC">
        <w:trPr>
          <w:jc w:val="center"/>
        </w:trPr>
        <w:tc>
          <w:tcPr>
            <w:tcW w:w="9016" w:type="dxa"/>
            <w:gridSpan w:val="4"/>
            <w:shd w:val="clear" w:color="auto" w:fill="D6D9E8" w:themeFill="accent2" w:themeFillTint="33"/>
          </w:tcPr>
          <w:p w14:paraId="341E3D42" w14:textId="79579216" w:rsidR="00A90CB3" w:rsidRPr="00A90CB3" w:rsidRDefault="00A90CB3" w:rsidP="00A90CB3">
            <w:pPr>
              <w:rPr>
                <w:b/>
                <w:bCs/>
                <w:color w:val="44546A" w:themeColor="text2"/>
              </w:rPr>
            </w:pPr>
            <w:r>
              <w:rPr>
                <w:b/>
                <w:bCs/>
                <w:color w:val="44546A" w:themeColor="text2"/>
              </w:rPr>
              <w:t>Subacute</w:t>
            </w:r>
          </w:p>
        </w:tc>
      </w:tr>
      <w:tr w:rsidR="001B4ADF" w:rsidRPr="00FD6FDF" w14:paraId="53340455" w14:textId="77777777" w:rsidTr="004554CC">
        <w:trPr>
          <w:jc w:val="center"/>
        </w:trPr>
        <w:tc>
          <w:tcPr>
            <w:tcW w:w="2830" w:type="dxa"/>
            <w:shd w:val="clear" w:color="auto" w:fill="EFF0F7" w:themeFill="accent4" w:themeFillTint="33"/>
          </w:tcPr>
          <w:p w14:paraId="184D89D4" w14:textId="592B5634" w:rsidR="001B4ADF" w:rsidRDefault="001B4ADF" w:rsidP="001B4ADF">
            <w:pPr>
              <w:rPr>
                <w:color w:val="44546A" w:themeColor="text2"/>
              </w:rPr>
            </w:pPr>
            <w:r>
              <w:rPr>
                <w:color w:val="44546A" w:themeColor="text2"/>
              </w:rPr>
              <w:t>Episodes</w:t>
            </w:r>
            <w:r w:rsidR="00CE6F96">
              <w:rPr>
                <w:rFonts w:ascii="ZWAdobeF" w:hAnsi="ZWAdobeF" w:cs="ZWAdobeF"/>
                <w:color w:val="auto"/>
                <w:sz w:val="2"/>
                <w:szCs w:val="2"/>
              </w:rPr>
              <w:t>7F</w:t>
            </w:r>
            <w:r w:rsidR="00151D3E">
              <w:rPr>
                <w:rStyle w:val="FootnoteReference"/>
                <w:color w:val="44546A" w:themeColor="text2"/>
              </w:rPr>
              <w:footnoteReference w:id="9"/>
            </w:r>
            <w:r>
              <w:rPr>
                <w:color w:val="44546A" w:themeColor="text2"/>
              </w:rPr>
              <w:t xml:space="preserve"> (m)</w:t>
            </w:r>
          </w:p>
        </w:tc>
        <w:tc>
          <w:tcPr>
            <w:tcW w:w="2062" w:type="dxa"/>
          </w:tcPr>
          <w:p w14:paraId="71AD3F70" w14:textId="1940636D" w:rsidR="001B4ADF" w:rsidRDefault="0061596C" w:rsidP="00363B33">
            <w:pPr>
              <w:jc w:val="center"/>
              <w:rPr>
                <w:color w:val="44546A" w:themeColor="text2"/>
              </w:rPr>
            </w:pPr>
            <w:r>
              <w:rPr>
                <w:color w:val="44546A" w:themeColor="text2"/>
              </w:rPr>
              <w:t>0.23m</w:t>
            </w:r>
          </w:p>
        </w:tc>
        <w:tc>
          <w:tcPr>
            <w:tcW w:w="2062" w:type="dxa"/>
          </w:tcPr>
          <w:p w14:paraId="1E679916" w14:textId="5A639B6E" w:rsidR="001B4ADF" w:rsidRDefault="0061596C" w:rsidP="00363B33">
            <w:pPr>
              <w:jc w:val="center"/>
              <w:rPr>
                <w:color w:val="44546A" w:themeColor="text2"/>
              </w:rPr>
            </w:pPr>
            <w:r>
              <w:rPr>
                <w:color w:val="44546A" w:themeColor="text2"/>
              </w:rPr>
              <w:t>0.24m</w:t>
            </w:r>
          </w:p>
        </w:tc>
        <w:tc>
          <w:tcPr>
            <w:tcW w:w="2062" w:type="dxa"/>
          </w:tcPr>
          <w:p w14:paraId="07689BF7" w14:textId="23045552" w:rsidR="001B4ADF" w:rsidRDefault="006925B3" w:rsidP="00363B33">
            <w:pPr>
              <w:jc w:val="center"/>
              <w:rPr>
                <w:color w:val="44546A" w:themeColor="text2"/>
              </w:rPr>
            </w:pPr>
            <w:r>
              <w:rPr>
                <w:color w:val="44546A" w:themeColor="text2"/>
              </w:rPr>
              <w:t>+</w:t>
            </w:r>
            <w:r w:rsidR="007076DF">
              <w:rPr>
                <w:color w:val="44546A" w:themeColor="text2"/>
              </w:rPr>
              <w:t>5.0</w:t>
            </w:r>
            <w:r w:rsidR="001B4ADF">
              <w:rPr>
                <w:color w:val="44546A" w:themeColor="text2"/>
              </w:rPr>
              <w:t>%</w:t>
            </w:r>
          </w:p>
        </w:tc>
      </w:tr>
      <w:tr w:rsidR="001B4ADF" w:rsidRPr="00FD6FDF" w14:paraId="332B1F94" w14:textId="77777777" w:rsidTr="004554CC">
        <w:trPr>
          <w:jc w:val="center"/>
        </w:trPr>
        <w:tc>
          <w:tcPr>
            <w:tcW w:w="2830" w:type="dxa"/>
            <w:shd w:val="clear" w:color="auto" w:fill="EFF0F7" w:themeFill="accent4" w:themeFillTint="33"/>
          </w:tcPr>
          <w:p w14:paraId="3420F748" w14:textId="1F39B6CD" w:rsidR="001B4ADF" w:rsidRDefault="001B4ADF" w:rsidP="001B4ADF">
            <w:pPr>
              <w:rPr>
                <w:color w:val="44546A" w:themeColor="text2"/>
              </w:rPr>
            </w:pPr>
            <w:r>
              <w:rPr>
                <w:color w:val="44546A" w:themeColor="text2"/>
              </w:rPr>
              <w:t>GWAU (m)</w:t>
            </w:r>
          </w:p>
        </w:tc>
        <w:tc>
          <w:tcPr>
            <w:tcW w:w="2062" w:type="dxa"/>
          </w:tcPr>
          <w:p w14:paraId="6FBB5973" w14:textId="3F0EAE18" w:rsidR="001B4ADF" w:rsidRDefault="004509E4" w:rsidP="00363B33">
            <w:pPr>
              <w:jc w:val="center"/>
              <w:rPr>
                <w:color w:val="44546A" w:themeColor="text2"/>
              </w:rPr>
            </w:pPr>
            <w:r>
              <w:rPr>
                <w:color w:val="44546A" w:themeColor="text2"/>
              </w:rPr>
              <w:t>0.66m</w:t>
            </w:r>
          </w:p>
        </w:tc>
        <w:tc>
          <w:tcPr>
            <w:tcW w:w="2062" w:type="dxa"/>
          </w:tcPr>
          <w:p w14:paraId="016377E2" w14:textId="11C0D937" w:rsidR="001B4ADF" w:rsidRDefault="004509E4" w:rsidP="00363B33">
            <w:pPr>
              <w:jc w:val="center"/>
              <w:rPr>
                <w:color w:val="44546A" w:themeColor="text2"/>
              </w:rPr>
            </w:pPr>
            <w:r>
              <w:rPr>
                <w:color w:val="44546A" w:themeColor="text2"/>
              </w:rPr>
              <w:t>0.70m</w:t>
            </w:r>
          </w:p>
        </w:tc>
        <w:tc>
          <w:tcPr>
            <w:tcW w:w="2062" w:type="dxa"/>
          </w:tcPr>
          <w:p w14:paraId="5FFACA2E" w14:textId="7849FAE2" w:rsidR="001B4ADF" w:rsidRDefault="006925B3" w:rsidP="00363B33">
            <w:pPr>
              <w:jc w:val="center"/>
              <w:rPr>
                <w:color w:val="44546A" w:themeColor="text2"/>
              </w:rPr>
            </w:pPr>
            <w:r>
              <w:rPr>
                <w:color w:val="44546A" w:themeColor="text2"/>
              </w:rPr>
              <w:t>+</w:t>
            </w:r>
            <w:r w:rsidR="004509E4">
              <w:rPr>
                <w:color w:val="44546A" w:themeColor="text2"/>
              </w:rPr>
              <w:t>6.5%</w:t>
            </w:r>
          </w:p>
        </w:tc>
      </w:tr>
      <w:tr w:rsidR="001B4ADF" w:rsidRPr="00FD6FDF" w14:paraId="3E4A46A2" w14:textId="77777777" w:rsidTr="004554CC">
        <w:trPr>
          <w:jc w:val="center"/>
        </w:trPr>
        <w:tc>
          <w:tcPr>
            <w:tcW w:w="2830" w:type="dxa"/>
            <w:shd w:val="clear" w:color="auto" w:fill="EFF0F7" w:themeFill="accent4" w:themeFillTint="33"/>
          </w:tcPr>
          <w:p w14:paraId="1DF5F537" w14:textId="0847BD72" w:rsidR="001B4ADF" w:rsidRDefault="001B4ADF" w:rsidP="001B4ADF">
            <w:pPr>
              <w:rPr>
                <w:color w:val="44546A" w:themeColor="text2"/>
              </w:rPr>
            </w:pPr>
            <w:r>
              <w:rPr>
                <w:color w:val="44546A" w:themeColor="text2"/>
              </w:rPr>
              <w:t>Cost ($</w:t>
            </w:r>
            <w:r w:rsidR="006837D8">
              <w:rPr>
                <w:color w:val="44546A" w:themeColor="text2"/>
              </w:rPr>
              <w:t>bn</w:t>
            </w:r>
            <w:r>
              <w:rPr>
                <w:color w:val="44546A" w:themeColor="text2"/>
              </w:rPr>
              <w:t>)</w:t>
            </w:r>
          </w:p>
        </w:tc>
        <w:tc>
          <w:tcPr>
            <w:tcW w:w="2062" w:type="dxa"/>
          </w:tcPr>
          <w:p w14:paraId="7FCD00D7" w14:textId="54974212" w:rsidR="001B4ADF" w:rsidRDefault="004509E4" w:rsidP="00363B33">
            <w:pPr>
              <w:jc w:val="center"/>
              <w:rPr>
                <w:color w:val="44546A" w:themeColor="text2"/>
              </w:rPr>
            </w:pPr>
            <w:r>
              <w:rPr>
                <w:color w:val="44546A" w:themeColor="text2"/>
              </w:rPr>
              <w:t>$4</w:t>
            </w:r>
            <w:r w:rsidR="00E73E18">
              <w:rPr>
                <w:color w:val="44546A" w:themeColor="text2"/>
              </w:rPr>
              <w:t>.</w:t>
            </w:r>
            <w:r>
              <w:rPr>
                <w:color w:val="44546A" w:themeColor="text2"/>
              </w:rPr>
              <w:t>1</w:t>
            </w:r>
            <w:r w:rsidR="00E73E18">
              <w:rPr>
                <w:color w:val="44546A" w:themeColor="text2"/>
              </w:rPr>
              <w:t>3bn</w:t>
            </w:r>
          </w:p>
        </w:tc>
        <w:tc>
          <w:tcPr>
            <w:tcW w:w="2062" w:type="dxa"/>
          </w:tcPr>
          <w:p w14:paraId="76A62B58" w14:textId="5A566BF5" w:rsidR="001B4ADF" w:rsidRDefault="004509E4" w:rsidP="00363B33">
            <w:pPr>
              <w:jc w:val="center"/>
              <w:rPr>
                <w:color w:val="44546A" w:themeColor="text2"/>
              </w:rPr>
            </w:pPr>
            <w:r>
              <w:rPr>
                <w:color w:val="44546A" w:themeColor="text2"/>
              </w:rPr>
              <w:t>$4</w:t>
            </w:r>
            <w:r w:rsidR="00E73E18">
              <w:rPr>
                <w:color w:val="44546A" w:themeColor="text2"/>
              </w:rPr>
              <w:t>.</w:t>
            </w:r>
            <w:r w:rsidR="00CB42B9">
              <w:rPr>
                <w:color w:val="44546A" w:themeColor="text2"/>
              </w:rPr>
              <w:t>58bn</w:t>
            </w:r>
          </w:p>
        </w:tc>
        <w:tc>
          <w:tcPr>
            <w:tcW w:w="2062" w:type="dxa"/>
          </w:tcPr>
          <w:p w14:paraId="5FD9B6E5" w14:textId="407870F8" w:rsidR="001B4ADF" w:rsidRDefault="006925B3" w:rsidP="00363B33">
            <w:pPr>
              <w:jc w:val="center"/>
              <w:rPr>
                <w:color w:val="44546A" w:themeColor="text2"/>
              </w:rPr>
            </w:pPr>
            <w:r>
              <w:rPr>
                <w:color w:val="44546A" w:themeColor="text2"/>
              </w:rPr>
              <w:t>+</w:t>
            </w:r>
            <w:r w:rsidR="00CB42B9">
              <w:rPr>
                <w:color w:val="44546A" w:themeColor="text2"/>
              </w:rPr>
              <w:t>10.8</w:t>
            </w:r>
            <w:r w:rsidR="004509E4">
              <w:rPr>
                <w:color w:val="44546A" w:themeColor="text2"/>
              </w:rPr>
              <w:t>%</w:t>
            </w:r>
          </w:p>
        </w:tc>
      </w:tr>
      <w:tr w:rsidR="001B4ADF" w:rsidRPr="00FD6FDF" w14:paraId="11ABA7D1" w14:textId="77777777" w:rsidTr="004554CC">
        <w:trPr>
          <w:jc w:val="center"/>
        </w:trPr>
        <w:tc>
          <w:tcPr>
            <w:tcW w:w="2830" w:type="dxa"/>
            <w:shd w:val="clear" w:color="auto" w:fill="EFF0F7" w:themeFill="accent4" w:themeFillTint="33"/>
          </w:tcPr>
          <w:p w14:paraId="1C78F1FF" w14:textId="09D867A8" w:rsidR="001B4ADF" w:rsidRDefault="001B4ADF" w:rsidP="001B4ADF">
            <w:pPr>
              <w:rPr>
                <w:color w:val="44546A" w:themeColor="text2"/>
              </w:rPr>
            </w:pPr>
            <w:r>
              <w:rPr>
                <w:color w:val="44546A" w:themeColor="text2"/>
              </w:rPr>
              <w:t>Average cost per GWAU ($)</w:t>
            </w:r>
          </w:p>
        </w:tc>
        <w:tc>
          <w:tcPr>
            <w:tcW w:w="2062" w:type="dxa"/>
          </w:tcPr>
          <w:p w14:paraId="66E8832D" w14:textId="73B88023" w:rsidR="001B4ADF" w:rsidRDefault="004509E4" w:rsidP="00363B33">
            <w:pPr>
              <w:jc w:val="center"/>
              <w:rPr>
                <w:color w:val="44546A" w:themeColor="text2"/>
              </w:rPr>
            </w:pPr>
            <w:r>
              <w:rPr>
                <w:color w:val="44546A" w:themeColor="text2"/>
              </w:rPr>
              <w:t>$6,298</w:t>
            </w:r>
          </w:p>
        </w:tc>
        <w:tc>
          <w:tcPr>
            <w:tcW w:w="2062" w:type="dxa"/>
          </w:tcPr>
          <w:p w14:paraId="00FD3064" w14:textId="6300B37A" w:rsidR="001B4ADF" w:rsidRDefault="004509E4" w:rsidP="00363B33">
            <w:pPr>
              <w:jc w:val="center"/>
              <w:rPr>
                <w:color w:val="44546A" w:themeColor="text2"/>
              </w:rPr>
            </w:pPr>
            <w:r>
              <w:rPr>
                <w:color w:val="44546A" w:themeColor="text2"/>
              </w:rPr>
              <w:t>$6,</w:t>
            </w:r>
            <w:r w:rsidR="00CB42B9">
              <w:rPr>
                <w:color w:val="44546A" w:themeColor="text2"/>
              </w:rPr>
              <w:t>551</w:t>
            </w:r>
          </w:p>
        </w:tc>
        <w:tc>
          <w:tcPr>
            <w:tcW w:w="2062" w:type="dxa"/>
          </w:tcPr>
          <w:p w14:paraId="0C36140B" w14:textId="2CF22D6F" w:rsidR="001B4ADF" w:rsidRDefault="006925B3" w:rsidP="00363B33">
            <w:pPr>
              <w:jc w:val="center"/>
              <w:rPr>
                <w:color w:val="44546A" w:themeColor="text2"/>
              </w:rPr>
            </w:pPr>
            <w:r>
              <w:rPr>
                <w:color w:val="44546A" w:themeColor="text2"/>
              </w:rPr>
              <w:t>+</w:t>
            </w:r>
            <w:r w:rsidR="00CB42B9">
              <w:rPr>
                <w:color w:val="44546A" w:themeColor="text2"/>
              </w:rPr>
              <w:t>4.0</w:t>
            </w:r>
            <w:r w:rsidR="004509E4">
              <w:rPr>
                <w:color w:val="44546A" w:themeColor="text2"/>
              </w:rPr>
              <w:t>%</w:t>
            </w:r>
          </w:p>
        </w:tc>
      </w:tr>
      <w:tr w:rsidR="00A90CB3" w:rsidRPr="00FD6FDF" w14:paraId="333E37FB" w14:textId="77777777" w:rsidTr="004554CC">
        <w:trPr>
          <w:jc w:val="center"/>
        </w:trPr>
        <w:tc>
          <w:tcPr>
            <w:tcW w:w="9016" w:type="dxa"/>
            <w:gridSpan w:val="4"/>
            <w:shd w:val="clear" w:color="auto" w:fill="D6D9E8" w:themeFill="accent2" w:themeFillTint="33"/>
          </w:tcPr>
          <w:p w14:paraId="1A2FB4F7" w14:textId="75D2E038" w:rsidR="00A90CB3" w:rsidRPr="00A90CB3" w:rsidRDefault="00A90CB3" w:rsidP="00A90CB3">
            <w:pPr>
              <w:rPr>
                <w:b/>
                <w:bCs/>
                <w:color w:val="44546A" w:themeColor="text2"/>
              </w:rPr>
            </w:pPr>
            <w:r>
              <w:rPr>
                <w:b/>
                <w:bCs/>
                <w:color w:val="44546A" w:themeColor="text2"/>
              </w:rPr>
              <w:t>Non-admitted</w:t>
            </w:r>
          </w:p>
        </w:tc>
      </w:tr>
      <w:tr w:rsidR="001B4ADF" w:rsidRPr="00FD6FDF" w14:paraId="6A633EC3" w14:textId="77777777" w:rsidTr="004554CC">
        <w:trPr>
          <w:jc w:val="center"/>
        </w:trPr>
        <w:tc>
          <w:tcPr>
            <w:tcW w:w="2830" w:type="dxa"/>
            <w:shd w:val="clear" w:color="auto" w:fill="EFF0F7" w:themeFill="accent4" w:themeFillTint="33"/>
          </w:tcPr>
          <w:p w14:paraId="0F5740A5" w14:textId="2B7F9D8E" w:rsidR="001B4ADF" w:rsidRDefault="00D129DE" w:rsidP="001B4ADF">
            <w:pPr>
              <w:rPr>
                <w:color w:val="44546A" w:themeColor="text2"/>
              </w:rPr>
            </w:pPr>
            <w:r>
              <w:rPr>
                <w:color w:val="44546A" w:themeColor="text2"/>
              </w:rPr>
              <w:t>Service events</w:t>
            </w:r>
            <w:r w:rsidR="001B4ADF">
              <w:rPr>
                <w:color w:val="44546A" w:themeColor="text2"/>
              </w:rPr>
              <w:t xml:space="preserve"> (m)</w:t>
            </w:r>
          </w:p>
        </w:tc>
        <w:tc>
          <w:tcPr>
            <w:tcW w:w="2062" w:type="dxa"/>
          </w:tcPr>
          <w:p w14:paraId="2157A494" w14:textId="7E0C2F5A" w:rsidR="001B4ADF" w:rsidRDefault="00CA6655" w:rsidP="00363B33">
            <w:pPr>
              <w:jc w:val="center"/>
              <w:rPr>
                <w:color w:val="44546A" w:themeColor="text2"/>
              </w:rPr>
            </w:pPr>
            <w:r>
              <w:rPr>
                <w:color w:val="44546A" w:themeColor="text2"/>
              </w:rPr>
              <w:t>24.79m</w:t>
            </w:r>
          </w:p>
        </w:tc>
        <w:tc>
          <w:tcPr>
            <w:tcW w:w="2062" w:type="dxa"/>
          </w:tcPr>
          <w:p w14:paraId="3A5182CE" w14:textId="4A2C77E2" w:rsidR="001B4ADF" w:rsidRDefault="00CA6655" w:rsidP="00363B33">
            <w:pPr>
              <w:jc w:val="center"/>
              <w:rPr>
                <w:color w:val="44546A" w:themeColor="text2"/>
              </w:rPr>
            </w:pPr>
            <w:r>
              <w:rPr>
                <w:color w:val="44546A" w:themeColor="text2"/>
              </w:rPr>
              <w:t>27.75m</w:t>
            </w:r>
          </w:p>
        </w:tc>
        <w:tc>
          <w:tcPr>
            <w:tcW w:w="2062" w:type="dxa"/>
          </w:tcPr>
          <w:p w14:paraId="6413E5C9" w14:textId="332F6063" w:rsidR="001B4ADF" w:rsidRDefault="006925B3" w:rsidP="00363B33">
            <w:pPr>
              <w:jc w:val="center"/>
              <w:rPr>
                <w:color w:val="44546A" w:themeColor="text2"/>
              </w:rPr>
            </w:pPr>
            <w:r>
              <w:rPr>
                <w:color w:val="44546A" w:themeColor="text2"/>
              </w:rPr>
              <w:t>+</w:t>
            </w:r>
            <w:r w:rsidR="007076DF">
              <w:rPr>
                <w:color w:val="44546A" w:themeColor="text2"/>
              </w:rPr>
              <w:t>11.9%</w:t>
            </w:r>
          </w:p>
        </w:tc>
      </w:tr>
      <w:tr w:rsidR="001B4ADF" w:rsidRPr="00FD6FDF" w14:paraId="10CB0816" w14:textId="77777777" w:rsidTr="004554CC">
        <w:trPr>
          <w:jc w:val="center"/>
        </w:trPr>
        <w:tc>
          <w:tcPr>
            <w:tcW w:w="2830" w:type="dxa"/>
            <w:shd w:val="clear" w:color="auto" w:fill="EFF0F7" w:themeFill="accent4" w:themeFillTint="33"/>
          </w:tcPr>
          <w:p w14:paraId="40742961" w14:textId="6B7C0BCF" w:rsidR="001B4ADF" w:rsidRDefault="001B4ADF" w:rsidP="001B4ADF">
            <w:pPr>
              <w:rPr>
                <w:color w:val="44546A" w:themeColor="text2"/>
              </w:rPr>
            </w:pPr>
            <w:r>
              <w:rPr>
                <w:color w:val="44546A" w:themeColor="text2"/>
              </w:rPr>
              <w:t>GWAU (m)</w:t>
            </w:r>
          </w:p>
        </w:tc>
        <w:tc>
          <w:tcPr>
            <w:tcW w:w="2062" w:type="dxa"/>
          </w:tcPr>
          <w:p w14:paraId="43643DBD" w14:textId="59D7636A" w:rsidR="001B4ADF" w:rsidRDefault="004509E4" w:rsidP="00363B33">
            <w:pPr>
              <w:jc w:val="center"/>
              <w:rPr>
                <w:color w:val="44546A" w:themeColor="text2"/>
              </w:rPr>
            </w:pPr>
            <w:r>
              <w:rPr>
                <w:color w:val="44546A" w:themeColor="text2"/>
              </w:rPr>
              <w:t>1.43m</w:t>
            </w:r>
          </w:p>
        </w:tc>
        <w:tc>
          <w:tcPr>
            <w:tcW w:w="2062" w:type="dxa"/>
          </w:tcPr>
          <w:p w14:paraId="77A14AC8" w14:textId="4AADA063" w:rsidR="001B4ADF" w:rsidRDefault="004509E4" w:rsidP="00363B33">
            <w:pPr>
              <w:jc w:val="center"/>
              <w:rPr>
                <w:color w:val="44546A" w:themeColor="text2"/>
              </w:rPr>
            </w:pPr>
            <w:r>
              <w:rPr>
                <w:color w:val="44546A" w:themeColor="text2"/>
              </w:rPr>
              <w:t>1.60m</w:t>
            </w:r>
          </w:p>
        </w:tc>
        <w:tc>
          <w:tcPr>
            <w:tcW w:w="2062" w:type="dxa"/>
          </w:tcPr>
          <w:p w14:paraId="01BED3AB" w14:textId="3B917F2C" w:rsidR="001B4ADF" w:rsidRDefault="006925B3" w:rsidP="00363B33">
            <w:pPr>
              <w:jc w:val="center"/>
              <w:rPr>
                <w:color w:val="44546A" w:themeColor="text2"/>
              </w:rPr>
            </w:pPr>
            <w:r>
              <w:rPr>
                <w:color w:val="44546A" w:themeColor="text2"/>
              </w:rPr>
              <w:t>+</w:t>
            </w:r>
            <w:r w:rsidR="004509E4">
              <w:rPr>
                <w:color w:val="44546A" w:themeColor="text2"/>
              </w:rPr>
              <w:t>12.1%</w:t>
            </w:r>
          </w:p>
        </w:tc>
      </w:tr>
      <w:tr w:rsidR="001B4ADF" w:rsidRPr="00FD6FDF" w14:paraId="09CF2A19" w14:textId="77777777" w:rsidTr="004554CC">
        <w:trPr>
          <w:jc w:val="center"/>
        </w:trPr>
        <w:tc>
          <w:tcPr>
            <w:tcW w:w="2830" w:type="dxa"/>
            <w:shd w:val="clear" w:color="auto" w:fill="EFF0F7" w:themeFill="accent4" w:themeFillTint="33"/>
          </w:tcPr>
          <w:p w14:paraId="433A5036" w14:textId="71750859" w:rsidR="001B4ADF" w:rsidRDefault="001B4ADF" w:rsidP="001B4ADF">
            <w:pPr>
              <w:rPr>
                <w:color w:val="44546A" w:themeColor="text2"/>
              </w:rPr>
            </w:pPr>
            <w:r>
              <w:rPr>
                <w:color w:val="44546A" w:themeColor="text2"/>
              </w:rPr>
              <w:t>Cost ($</w:t>
            </w:r>
            <w:r w:rsidR="006837D8">
              <w:rPr>
                <w:color w:val="44546A" w:themeColor="text2"/>
              </w:rPr>
              <w:t>bn</w:t>
            </w:r>
            <w:r>
              <w:rPr>
                <w:color w:val="44546A" w:themeColor="text2"/>
              </w:rPr>
              <w:t>)</w:t>
            </w:r>
          </w:p>
        </w:tc>
        <w:tc>
          <w:tcPr>
            <w:tcW w:w="2062" w:type="dxa"/>
          </w:tcPr>
          <w:p w14:paraId="2F240714" w14:textId="164A0432" w:rsidR="001B4ADF" w:rsidRDefault="004509E4" w:rsidP="00363B33">
            <w:pPr>
              <w:jc w:val="center"/>
              <w:rPr>
                <w:color w:val="44546A" w:themeColor="text2"/>
              </w:rPr>
            </w:pPr>
            <w:r>
              <w:rPr>
                <w:color w:val="44546A" w:themeColor="text2"/>
              </w:rPr>
              <w:t>$10</w:t>
            </w:r>
            <w:r w:rsidR="002B4C19">
              <w:rPr>
                <w:color w:val="44546A" w:themeColor="text2"/>
              </w:rPr>
              <w:t>.</w:t>
            </w:r>
            <w:r>
              <w:rPr>
                <w:color w:val="44546A" w:themeColor="text2"/>
              </w:rPr>
              <w:t>12</w:t>
            </w:r>
            <w:r w:rsidR="002B4C19">
              <w:rPr>
                <w:color w:val="44546A" w:themeColor="text2"/>
              </w:rPr>
              <w:t>bn</w:t>
            </w:r>
          </w:p>
        </w:tc>
        <w:tc>
          <w:tcPr>
            <w:tcW w:w="2062" w:type="dxa"/>
          </w:tcPr>
          <w:p w14:paraId="14304D7B" w14:textId="31CE28F5" w:rsidR="001B4ADF" w:rsidRDefault="004509E4" w:rsidP="00363B33">
            <w:pPr>
              <w:jc w:val="center"/>
              <w:rPr>
                <w:color w:val="44546A" w:themeColor="text2"/>
              </w:rPr>
            </w:pPr>
            <w:r>
              <w:rPr>
                <w:color w:val="44546A" w:themeColor="text2"/>
              </w:rPr>
              <w:t>$11</w:t>
            </w:r>
            <w:r w:rsidR="002B4C19">
              <w:rPr>
                <w:color w:val="44546A" w:themeColor="text2"/>
              </w:rPr>
              <w:t>.</w:t>
            </w:r>
            <w:r>
              <w:rPr>
                <w:color w:val="44546A" w:themeColor="text2"/>
              </w:rPr>
              <w:t>4</w:t>
            </w:r>
            <w:r w:rsidR="00BF42AB">
              <w:rPr>
                <w:color w:val="44546A" w:themeColor="text2"/>
              </w:rPr>
              <w:t>1</w:t>
            </w:r>
            <w:r w:rsidR="002B4C19">
              <w:rPr>
                <w:color w:val="44546A" w:themeColor="text2"/>
              </w:rPr>
              <w:t>bn</w:t>
            </w:r>
          </w:p>
        </w:tc>
        <w:tc>
          <w:tcPr>
            <w:tcW w:w="2062" w:type="dxa"/>
          </w:tcPr>
          <w:p w14:paraId="1C19188A" w14:textId="4D0604C3" w:rsidR="001B4ADF" w:rsidRDefault="006925B3" w:rsidP="00363B33">
            <w:pPr>
              <w:jc w:val="center"/>
              <w:rPr>
                <w:color w:val="44546A" w:themeColor="text2"/>
              </w:rPr>
            </w:pPr>
            <w:r>
              <w:rPr>
                <w:color w:val="44546A" w:themeColor="text2"/>
              </w:rPr>
              <w:t>+</w:t>
            </w:r>
            <w:r w:rsidR="00BF42AB">
              <w:rPr>
                <w:color w:val="44546A" w:themeColor="text2"/>
              </w:rPr>
              <w:t>12.7</w:t>
            </w:r>
            <w:r w:rsidR="001B4ADF">
              <w:rPr>
                <w:color w:val="44546A" w:themeColor="text2"/>
              </w:rPr>
              <w:t>%</w:t>
            </w:r>
          </w:p>
        </w:tc>
      </w:tr>
      <w:tr w:rsidR="001B4ADF" w:rsidRPr="00FD6FDF" w14:paraId="461EEE98" w14:textId="77777777" w:rsidTr="004554CC">
        <w:trPr>
          <w:jc w:val="center"/>
        </w:trPr>
        <w:tc>
          <w:tcPr>
            <w:tcW w:w="2830" w:type="dxa"/>
            <w:shd w:val="clear" w:color="auto" w:fill="EFF0F7" w:themeFill="accent4" w:themeFillTint="33"/>
          </w:tcPr>
          <w:p w14:paraId="331523BC" w14:textId="61395671" w:rsidR="001B4ADF" w:rsidRDefault="001B4ADF" w:rsidP="001B4ADF">
            <w:pPr>
              <w:rPr>
                <w:color w:val="44546A" w:themeColor="text2"/>
              </w:rPr>
            </w:pPr>
            <w:r>
              <w:rPr>
                <w:color w:val="44546A" w:themeColor="text2"/>
              </w:rPr>
              <w:t>Average cost per GWAU ($)</w:t>
            </w:r>
          </w:p>
        </w:tc>
        <w:tc>
          <w:tcPr>
            <w:tcW w:w="2062" w:type="dxa"/>
          </w:tcPr>
          <w:p w14:paraId="4D08BAAA" w14:textId="428795C9" w:rsidR="001B4ADF" w:rsidRDefault="004509E4" w:rsidP="00363B33">
            <w:pPr>
              <w:jc w:val="center"/>
              <w:rPr>
                <w:color w:val="44546A" w:themeColor="text2"/>
              </w:rPr>
            </w:pPr>
            <w:r>
              <w:rPr>
                <w:color w:val="44546A" w:themeColor="text2"/>
              </w:rPr>
              <w:t>$7,100</w:t>
            </w:r>
          </w:p>
        </w:tc>
        <w:tc>
          <w:tcPr>
            <w:tcW w:w="2062" w:type="dxa"/>
          </w:tcPr>
          <w:p w14:paraId="62EDDDA7" w14:textId="7AF18ACC" w:rsidR="001B4ADF" w:rsidRDefault="004509E4" w:rsidP="00363B33">
            <w:pPr>
              <w:jc w:val="center"/>
              <w:rPr>
                <w:color w:val="44546A" w:themeColor="text2"/>
              </w:rPr>
            </w:pPr>
            <w:r>
              <w:rPr>
                <w:color w:val="44546A" w:themeColor="text2"/>
              </w:rPr>
              <w:t>$7,</w:t>
            </w:r>
            <w:r w:rsidR="00BF42AB">
              <w:rPr>
                <w:color w:val="44546A" w:themeColor="text2"/>
              </w:rPr>
              <w:t>139</w:t>
            </w:r>
          </w:p>
        </w:tc>
        <w:tc>
          <w:tcPr>
            <w:tcW w:w="2062" w:type="dxa"/>
          </w:tcPr>
          <w:p w14:paraId="5A5D3DF6" w14:textId="1F66ABC6" w:rsidR="001B4ADF" w:rsidRDefault="006925B3" w:rsidP="00363B33">
            <w:pPr>
              <w:jc w:val="center"/>
              <w:rPr>
                <w:color w:val="44546A" w:themeColor="text2"/>
              </w:rPr>
            </w:pPr>
            <w:r>
              <w:rPr>
                <w:color w:val="44546A" w:themeColor="text2"/>
              </w:rPr>
              <w:t>+</w:t>
            </w:r>
            <w:r w:rsidR="004509E4">
              <w:rPr>
                <w:color w:val="44546A" w:themeColor="text2"/>
              </w:rPr>
              <w:t>0.</w:t>
            </w:r>
            <w:r w:rsidR="00BF42AB">
              <w:rPr>
                <w:color w:val="44546A" w:themeColor="text2"/>
              </w:rPr>
              <w:t>6</w:t>
            </w:r>
            <w:r w:rsidR="001B4ADF">
              <w:rPr>
                <w:color w:val="44546A" w:themeColor="text2"/>
              </w:rPr>
              <w:t>%</w:t>
            </w:r>
          </w:p>
        </w:tc>
      </w:tr>
      <w:tr w:rsidR="00A90CB3" w:rsidRPr="00FD6FDF" w14:paraId="3C31A1D6" w14:textId="77777777" w:rsidTr="004554CC">
        <w:trPr>
          <w:jc w:val="center"/>
        </w:trPr>
        <w:tc>
          <w:tcPr>
            <w:tcW w:w="9016" w:type="dxa"/>
            <w:gridSpan w:val="4"/>
            <w:shd w:val="clear" w:color="auto" w:fill="D6D9E8" w:themeFill="accent2" w:themeFillTint="33"/>
          </w:tcPr>
          <w:p w14:paraId="37BBD6F1" w14:textId="4E8A5DBF" w:rsidR="00A90CB3" w:rsidRPr="00A90CB3" w:rsidRDefault="009533B4" w:rsidP="00A90CB3">
            <w:pPr>
              <w:rPr>
                <w:b/>
                <w:bCs/>
                <w:color w:val="44546A" w:themeColor="text2"/>
              </w:rPr>
            </w:pPr>
            <w:r>
              <w:rPr>
                <w:b/>
                <w:bCs/>
                <w:color w:val="44546A" w:themeColor="text2"/>
              </w:rPr>
              <w:t>Emergency department (</w:t>
            </w:r>
            <w:r w:rsidR="008272EB">
              <w:rPr>
                <w:b/>
                <w:bCs/>
                <w:color w:val="44546A" w:themeColor="text2"/>
              </w:rPr>
              <w:t>ED</w:t>
            </w:r>
            <w:r>
              <w:rPr>
                <w:b/>
                <w:bCs/>
                <w:color w:val="44546A" w:themeColor="text2"/>
              </w:rPr>
              <w:t>)</w:t>
            </w:r>
          </w:p>
        </w:tc>
      </w:tr>
      <w:tr w:rsidR="001B4ADF" w:rsidRPr="00FD6FDF" w14:paraId="214BCE6D" w14:textId="77777777" w:rsidTr="004554CC">
        <w:trPr>
          <w:jc w:val="center"/>
        </w:trPr>
        <w:tc>
          <w:tcPr>
            <w:tcW w:w="2830" w:type="dxa"/>
            <w:shd w:val="clear" w:color="auto" w:fill="EFF0F7" w:themeFill="accent4" w:themeFillTint="33"/>
          </w:tcPr>
          <w:p w14:paraId="764C1C00" w14:textId="70D52471" w:rsidR="001B4ADF" w:rsidRDefault="00D129DE" w:rsidP="001B4ADF">
            <w:pPr>
              <w:rPr>
                <w:color w:val="44546A" w:themeColor="text2"/>
              </w:rPr>
            </w:pPr>
            <w:r>
              <w:rPr>
                <w:color w:val="44546A" w:themeColor="text2"/>
              </w:rPr>
              <w:t>Presentations</w:t>
            </w:r>
            <w:r w:rsidR="001B4ADF">
              <w:rPr>
                <w:color w:val="44546A" w:themeColor="text2"/>
              </w:rPr>
              <w:t xml:space="preserve"> (m)</w:t>
            </w:r>
          </w:p>
        </w:tc>
        <w:tc>
          <w:tcPr>
            <w:tcW w:w="2062" w:type="dxa"/>
          </w:tcPr>
          <w:p w14:paraId="60DB16B2" w14:textId="6E298F44" w:rsidR="001B4ADF" w:rsidRDefault="00CA6655" w:rsidP="00363B33">
            <w:pPr>
              <w:jc w:val="center"/>
              <w:rPr>
                <w:color w:val="44546A" w:themeColor="text2"/>
              </w:rPr>
            </w:pPr>
            <w:r>
              <w:rPr>
                <w:color w:val="44546A" w:themeColor="text2"/>
              </w:rPr>
              <w:t>7.89m</w:t>
            </w:r>
          </w:p>
        </w:tc>
        <w:tc>
          <w:tcPr>
            <w:tcW w:w="2062" w:type="dxa"/>
          </w:tcPr>
          <w:p w14:paraId="50029DAE" w14:textId="271F56AF" w:rsidR="001B4ADF" w:rsidRDefault="00CA6655" w:rsidP="00363B33">
            <w:pPr>
              <w:jc w:val="center"/>
              <w:rPr>
                <w:color w:val="44546A" w:themeColor="text2"/>
              </w:rPr>
            </w:pPr>
            <w:r>
              <w:rPr>
                <w:color w:val="44546A" w:themeColor="text2"/>
              </w:rPr>
              <w:t>8.0</w:t>
            </w:r>
            <w:r w:rsidR="00D86486">
              <w:rPr>
                <w:color w:val="44546A" w:themeColor="text2"/>
              </w:rPr>
              <w:t>4m</w:t>
            </w:r>
          </w:p>
        </w:tc>
        <w:tc>
          <w:tcPr>
            <w:tcW w:w="2062" w:type="dxa"/>
          </w:tcPr>
          <w:p w14:paraId="0F67EF16" w14:textId="75A9965F" w:rsidR="001B4ADF" w:rsidRDefault="006925B3" w:rsidP="00363B33">
            <w:pPr>
              <w:jc w:val="center"/>
              <w:rPr>
                <w:color w:val="44546A" w:themeColor="text2"/>
              </w:rPr>
            </w:pPr>
            <w:r>
              <w:rPr>
                <w:color w:val="44546A" w:themeColor="text2"/>
              </w:rPr>
              <w:t>+</w:t>
            </w:r>
            <w:r w:rsidR="008E1862">
              <w:rPr>
                <w:color w:val="44546A" w:themeColor="text2"/>
              </w:rPr>
              <w:t>1.9%</w:t>
            </w:r>
          </w:p>
        </w:tc>
      </w:tr>
      <w:tr w:rsidR="001B4ADF" w:rsidRPr="00FD6FDF" w14:paraId="7CFAF7C0" w14:textId="77777777" w:rsidTr="004554CC">
        <w:trPr>
          <w:jc w:val="center"/>
        </w:trPr>
        <w:tc>
          <w:tcPr>
            <w:tcW w:w="2830" w:type="dxa"/>
            <w:shd w:val="clear" w:color="auto" w:fill="EFF0F7" w:themeFill="accent4" w:themeFillTint="33"/>
          </w:tcPr>
          <w:p w14:paraId="0D623B0B" w14:textId="1ABFD9DE" w:rsidR="001B4ADF" w:rsidRDefault="001B4ADF" w:rsidP="001B4ADF">
            <w:pPr>
              <w:rPr>
                <w:color w:val="44546A" w:themeColor="text2"/>
              </w:rPr>
            </w:pPr>
            <w:r>
              <w:rPr>
                <w:color w:val="44546A" w:themeColor="text2"/>
              </w:rPr>
              <w:lastRenderedPageBreak/>
              <w:t>GWAU (m)</w:t>
            </w:r>
          </w:p>
        </w:tc>
        <w:tc>
          <w:tcPr>
            <w:tcW w:w="2062" w:type="dxa"/>
          </w:tcPr>
          <w:p w14:paraId="0C7FDDD4" w14:textId="266063C7" w:rsidR="001B4ADF" w:rsidRDefault="004509E4" w:rsidP="00363B33">
            <w:pPr>
              <w:jc w:val="center"/>
              <w:rPr>
                <w:color w:val="44546A" w:themeColor="text2"/>
              </w:rPr>
            </w:pPr>
            <w:r>
              <w:rPr>
                <w:color w:val="44546A" w:themeColor="text2"/>
              </w:rPr>
              <w:t>1.21m</w:t>
            </w:r>
          </w:p>
        </w:tc>
        <w:tc>
          <w:tcPr>
            <w:tcW w:w="2062" w:type="dxa"/>
          </w:tcPr>
          <w:p w14:paraId="206DD6C6" w14:textId="421591B0" w:rsidR="001B4ADF" w:rsidRDefault="004509E4" w:rsidP="00363B33">
            <w:pPr>
              <w:jc w:val="center"/>
              <w:rPr>
                <w:color w:val="44546A" w:themeColor="text2"/>
              </w:rPr>
            </w:pPr>
            <w:r>
              <w:rPr>
                <w:color w:val="44546A" w:themeColor="text2"/>
              </w:rPr>
              <w:t>1.25m</w:t>
            </w:r>
          </w:p>
        </w:tc>
        <w:tc>
          <w:tcPr>
            <w:tcW w:w="2062" w:type="dxa"/>
          </w:tcPr>
          <w:p w14:paraId="30D52BB8" w14:textId="05FABDDD" w:rsidR="001B4ADF" w:rsidRDefault="006925B3" w:rsidP="00363B33">
            <w:pPr>
              <w:jc w:val="center"/>
              <w:rPr>
                <w:color w:val="44546A" w:themeColor="text2"/>
              </w:rPr>
            </w:pPr>
            <w:r>
              <w:rPr>
                <w:color w:val="44546A" w:themeColor="text2"/>
              </w:rPr>
              <w:t>+</w:t>
            </w:r>
            <w:r w:rsidR="004509E4">
              <w:rPr>
                <w:color w:val="44546A" w:themeColor="text2"/>
              </w:rPr>
              <w:t>3.0%</w:t>
            </w:r>
          </w:p>
        </w:tc>
      </w:tr>
      <w:tr w:rsidR="001B4ADF" w:rsidRPr="00FD6FDF" w14:paraId="285F9841" w14:textId="77777777" w:rsidTr="004554CC">
        <w:trPr>
          <w:jc w:val="center"/>
        </w:trPr>
        <w:tc>
          <w:tcPr>
            <w:tcW w:w="2830" w:type="dxa"/>
            <w:shd w:val="clear" w:color="auto" w:fill="EFF0F7" w:themeFill="accent4" w:themeFillTint="33"/>
          </w:tcPr>
          <w:p w14:paraId="6102B933" w14:textId="551DC53F" w:rsidR="001B4ADF" w:rsidRDefault="001B4ADF" w:rsidP="001B4ADF">
            <w:pPr>
              <w:rPr>
                <w:color w:val="44546A" w:themeColor="text2"/>
              </w:rPr>
            </w:pPr>
            <w:r>
              <w:rPr>
                <w:color w:val="44546A" w:themeColor="text2"/>
              </w:rPr>
              <w:t>Cost ($</w:t>
            </w:r>
            <w:r w:rsidR="006837D8">
              <w:rPr>
                <w:color w:val="44546A" w:themeColor="text2"/>
              </w:rPr>
              <w:t>bn</w:t>
            </w:r>
            <w:r>
              <w:rPr>
                <w:color w:val="44546A" w:themeColor="text2"/>
              </w:rPr>
              <w:t>)</w:t>
            </w:r>
          </w:p>
        </w:tc>
        <w:tc>
          <w:tcPr>
            <w:tcW w:w="2062" w:type="dxa"/>
          </w:tcPr>
          <w:p w14:paraId="4087C978" w14:textId="2100EE14" w:rsidR="001B4ADF" w:rsidRDefault="00E63390" w:rsidP="00363B33">
            <w:pPr>
              <w:jc w:val="center"/>
              <w:rPr>
                <w:color w:val="44546A" w:themeColor="text2"/>
              </w:rPr>
            </w:pPr>
            <w:r>
              <w:rPr>
                <w:color w:val="44546A" w:themeColor="text2"/>
              </w:rPr>
              <w:t>$7</w:t>
            </w:r>
            <w:r w:rsidR="002B4C19">
              <w:rPr>
                <w:color w:val="44546A" w:themeColor="text2"/>
              </w:rPr>
              <w:t>.</w:t>
            </w:r>
            <w:r>
              <w:rPr>
                <w:color w:val="44546A" w:themeColor="text2"/>
              </w:rPr>
              <w:t>7</w:t>
            </w:r>
            <w:r w:rsidR="002B4C19">
              <w:rPr>
                <w:color w:val="44546A" w:themeColor="text2"/>
              </w:rPr>
              <w:t>5bn</w:t>
            </w:r>
          </w:p>
        </w:tc>
        <w:tc>
          <w:tcPr>
            <w:tcW w:w="2062" w:type="dxa"/>
          </w:tcPr>
          <w:p w14:paraId="3448E8AC" w14:textId="7224EB3C" w:rsidR="001B4ADF" w:rsidRDefault="00E63390" w:rsidP="00363B33">
            <w:pPr>
              <w:jc w:val="center"/>
              <w:rPr>
                <w:color w:val="44546A" w:themeColor="text2"/>
              </w:rPr>
            </w:pPr>
            <w:r>
              <w:rPr>
                <w:color w:val="44546A" w:themeColor="text2"/>
              </w:rPr>
              <w:t>$8</w:t>
            </w:r>
            <w:r w:rsidR="002B4C19">
              <w:rPr>
                <w:color w:val="44546A" w:themeColor="text2"/>
              </w:rPr>
              <w:t>.</w:t>
            </w:r>
            <w:r>
              <w:rPr>
                <w:color w:val="44546A" w:themeColor="text2"/>
              </w:rPr>
              <w:t>4</w:t>
            </w:r>
            <w:r w:rsidR="00BF42AB">
              <w:rPr>
                <w:color w:val="44546A" w:themeColor="text2"/>
              </w:rPr>
              <w:t>5</w:t>
            </w:r>
            <w:r w:rsidR="002B4C19">
              <w:rPr>
                <w:color w:val="44546A" w:themeColor="text2"/>
              </w:rPr>
              <w:t>bn</w:t>
            </w:r>
          </w:p>
        </w:tc>
        <w:tc>
          <w:tcPr>
            <w:tcW w:w="2062" w:type="dxa"/>
          </w:tcPr>
          <w:p w14:paraId="6C12CD6C" w14:textId="0D61457A" w:rsidR="001B4ADF" w:rsidRDefault="006925B3" w:rsidP="00363B33">
            <w:pPr>
              <w:jc w:val="center"/>
              <w:rPr>
                <w:color w:val="44546A" w:themeColor="text2"/>
              </w:rPr>
            </w:pPr>
            <w:r>
              <w:rPr>
                <w:color w:val="44546A" w:themeColor="text2"/>
              </w:rPr>
              <w:t>+</w:t>
            </w:r>
            <w:r w:rsidR="00E63390">
              <w:rPr>
                <w:color w:val="44546A" w:themeColor="text2"/>
              </w:rPr>
              <w:t>9.</w:t>
            </w:r>
            <w:r w:rsidR="00BF42AB">
              <w:rPr>
                <w:color w:val="44546A" w:themeColor="text2"/>
              </w:rPr>
              <w:t>1</w:t>
            </w:r>
            <w:r w:rsidR="001B4ADF">
              <w:rPr>
                <w:color w:val="44546A" w:themeColor="text2"/>
              </w:rPr>
              <w:t>%</w:t>
            </w:r>
          </w:p>
        </w:tc>
      </w:tr>
      <w:tr w:rsidR="001B4ADF" w:rsidRPr="00FD6FDF" w14:paraId="471E35B0" w14:textId="77777777" w:rsidTr="004554CC">
        <w:trPr>
          <w:jc w:val="center"/>
        </w:trPr>
        <w:tc>
          <w:tcPr>
            <w:tcW w:w="2830" w:type="dxa"/>
            <w:shd w:val="clear" w:color="auto" w:fill="EFF0F7" w:themeFill="accent4" w:themeFillTint="33"/>
          </w:tcPr>
          <w:p w14:paraId="36A53BEC" w14:textId="6784AD6B" w:rsidR="001B4ADF" w:rsidRDefault="001B4ADF" w:rsidP="001B4ADF">
            <w:pPr>
              <w:rPr>
                <w:color w:val="44546A" w:themeColor="text2"/>
              </w:rPr>
            </w:pPr>
            <w:r>
              <w:rPr>
                <w:color w:val="44546A" w:themeColor="text2"/>
              </w:rPr>
              <w:t>Average cost per GWAU ($)</w:t>
            </w:r>
          </w:p>
        </w:tc>
        <w:tc>
          <w:tcPr>
            <w:tcW w:w="2062" w:type="dxa"/>
          </w:tcPr>
          <w:p w14:paraId="7BF8A705" w14:textId="6801A368" w:rsidR="001B4ADF" w:rsidRDefault="00E63390" w:rsidP="00363B33">
            <w:pPr>
              <w:jc w:val="center"/>
              <w:rPr>
                <w:color w:val="44546A" w:themeColor="text2"/>
              </w:rPr>
            </w:pPr>
            <w:r>
              <w:rPr>
                <w:color w:val="44546A" w:themeColor="text2"/>
              </w:rPr>
              <w:t>$6</w:t>
            </w:r>
            <w:r w:rsidR="00C7616D">
              <w:rPr>
                <w:color w:val="44546A" w:themeColor="text2"/>
              </w:rPr>
              <w:t>,</w:t>
            </w:r>
            <w:r>
              <w:rPr>
                <w:color w:val="44546A" w:themeColor="text2"/>
              </w:rPr>
              <w:t>408</w:t>
            </w:r>
          </w:p>
        </w:tc>
        <w:tc>
          <w:tcPr>
            <w:tcW w:w="2062" w:type="dxa"/>
          </w:tcPr>
          <w:p w14:paraId="0D2C664D" w14:textId="67B3035A" w:rsidR="001B4ADF" w:rsidRDefault="00E63390" w:rsidP="00363B33">
            <w:pPr>
              <w:jc w:val="center"/>
              <w:rPr>
                <w:color w:val="44546A" w:themeColor="text2"/>
              </w:rPr>
            </w:pPr>
            <w:r>
              <w:rPr>
                <w:color w:val="44546A" w:themeColor="text2"/>
              </w:rPr>
              <w:t>$6,</w:t>
            </w:r>
            <w:r w:rsidR="00BF42AB">
              <w:rPr>
                <w:color w:val="44546A" w:themeColor="text2"/>
              </w:rPr>
              <w:t>790</w:t>
            </w:r>
          </w:p>
        </w:tc>
        <w:tc>
          <w:tcPr>
            <w:tcW w:w="2062" w:type="dxa"/>
          </w:tcPr>
          <w:p w14:paraId="7B5D58A2" w14:textId="59949013" w:rsidR="001B4ADF" w:rsidRDefault="006925B3" w:rsidP="00363B33">
            <w:pPr>
              <w:jc w:val="center"/>
              <w:rPr>
                <w:color w:val="44546A" w:themeColor="text2"/>
              </w:rPr>
            </w:pPr>
            <w:r>
              <w:rPr>
                <w:color w:val="44546A" w:themeColor="text2"/>
              </w:rPr>
              <w:t>+</w:t>
            </w:r>
            <w:r w:rsidR="00E63390">
              <w:rPr>
                <w:color w:val="44546A" w:themeColor="text2"/>
              </w:rPr>
              <w:t>6.</w:t>
            </w:r>
            <w:r w:rsidR="00BF42AB">
              <w:rPr>
                <w:color w:val="44546A" w:themeColor="text2"/>
              </w:rPr>
              <w:t>0</w:t>
            </w:r>
            <w:r w:rsidR="001B4ADF">
              <w:rPr>
                <w:color w:val="44546A" w:themeColor="text2"/>
              </w:rPr>
              <w:t>%</w:t>
            </w:r>
          </w:p>
        </w:tc>
      </w:tr>
      <w:tr w:rsidR="00A90CB3" w:rsidRPr="00FD6FDF" w14:paraId="686425E5" w14:textId="77777777" w:rsidTr="004554CC">
        <w:trPr>
          <w:jc w:val="center"/>
        </w:trPr>
        <w:tc>
          <w:tcPr>
            <w:tcW w:w="9016" w:type="dxa"/>
            <w:gridSpan w:val="4"/>
            <w:shd w:val="clear" w:color="auto" w:fill="D6D9E8" w:themeFill="accent2" w:themeFillTint="33"/>
          </w:tcPr>
          <w:p w14:paraId="1352BE88" w14:textId="28070A69" w:rsidR="00A90CB3" w:rsidRPr="00A90CB3" w:rsidRDefault="00A90CB3" w:rsidP="00A90CB3">
            <w:pPr>
              <w:rPr>
                <w:b/>
                <w:bCs/>
                <w:color w:val="44546A" w:themeColor="text2"/>
              </w:rPr>
            </w:pPr>
            <w:r>
              <w:rPr>
                <w:b/>
                <w:bCs/>
                <w:color w:val="44546A" w:themeColor="text2"/>
              </w:rPr>
              <w:t>Admitted mental health</w:t>
            </w:r>
          </w:p>
        </w:tc>
      </w:tr>
      <w:tr w:rsidR="001B4ADF" w:rsidRPr="00FD6FDF" w14:paraId="215DAC89" w14:textId="77777777" w:rsidTr="004554CC">
        <w:trPr>
          <w:jc w:val="center"/>
        </w:trPr>
        <w:tc>
          <w:tcPr>
            <w:tcW w:w="2830" w:type="dxa"/>
            <w:shd w:val="clear" w:color="auto" w:fill="EFF0F7" w:themeFill="accent4" w:themeFillTint="33"/>
          </w:tcPr>
          <w:p w14:paraId="5348A16E" w14:textId="1508E55F" w:rsidR="001B4ADF" w:rsidRDefault="00D129DE" w:rsidP="001B4ADF">
            <w:pPr>
              <w:rPr>
                <w:color w:val="44546A" w:themeColor="text2"/>
              </w:rPr>
            </w:pPr>
            <w:r>
              <w:rPr>
                <w:color w:val="44546A" w:themeColor="text2"/>
              </w:rPr>
              <w:t>Phases</w:t>
            </w:r>
            <w:r w:rsidR="001B4ADF">
              <w:rPr>
                <w:color w:val="44546A" w:themeColor="text2"/>
              </w:rPr>
              <w:t xml:space="preserve"> (m)</w:t>
            </w:r>
          </w:p>
        </w:tc>
        <w:tc>
          <w:tcPr>
            <w:tcW w:w="2062" w:type="dxa"/>
          </w:tcPr>
          <w:p w14:paraId="2465D0EE" w14:textId="51B5F93B" w:rsidR="001B4ADF" w:rsidRDefault="00F05F4B" w:rsidP="00363B33">
            <w:pPr>
              <w:jc w:val="center"/>
              <w:rPr>
                <w:color w:val="44546A" w:themeColor="text2"/>
              </w:rPr>
            </w:pPr>
            <w:r>
              <w:rPr>
                <w:color w:val="44546A" w:themeColor="text2"/>
              </w:rPr>
              <w:t>0.09m</w:t>
            </w:r>
          </w:p>
        </w:tc>
        <w:tc>
          <w:tcPr>
            <w:tcW w:w="2062" w:type="dxa"/>
          </w:tcPr>
          <w:p w14:paraId="710CF760" w14:textId="64E523E9" w:rsidR="001B4ADF" w:rsidRDefault="00F05F4B" w:rsidP="00363B33">
            <w:pPr>
              <w:jc w:val="center"/>
              <w:rPr>
                <w:color w:val="44546A" w:themeColor="text2"/>
              </w:rPr>
            </w:pPr>
            <w:r>
              <w:rPr>
                <w:color w:val="44546A" w:themeColor="text2"/>
              </w:rPr>
              <w:t>0.10m</w:t>
            </w:r>
          </w:p>
        </w:tc>
        <w:tc>
          <w:tcPr>
            <w:tcW w:w="2062" w:type="dxa"/>
          </w:tcPr>
          <w:p w14:paraId="197B1191" w14:textId="0AFA6D9D" w:rsidR="001B4ADF" w:rsidRDefault="006925B3" w:rsidP="00363B33">
            <w:pPr>
              <w:jc w:val="center"/>
              <w:rPr>
                <w:color w:val="44546A" w:themeColor="text2"/>
              </w:rPr>
            </w:pPr>
            <w:r>
              <w:rPr>
                <w:color w:val="44546A" w:themeColor="text2"/>
              </w:rPr>
              <w:t>+</w:t>
            </w:r>
            <w:r w:rsidR="007076DF">
              <w:rPr>
                <w:color w:val="44546A" w:themeColor="text2"/>
              </w:rPr>
              <w:t>11.2</w:t>
            </w:r>
            <w:r w:rsidR="001B4ADF">
              <w:rPr>
                <w:color w:val="44546A" w:themeColor="text2"/>
              </w:rPr>
              <w:t>%</w:t>
            </w:r>
          </w:p>
        </w:tc>
      </w:tr>
      <w:tr w:rsidR="001B4ADF" w:rsidRPr="00FD6FDF" w14:paraId="3156F6E8" w14:textId="77777777" w:rsidTr="004554CC">
        <w:trPr>
          <w:jc w:val="center"/>
        </w:trPr>
        <w:tc>
          <w:tcPr>
            <w:tcW w:w="2830" w:type="dxa"/>
            <w:shd w:val="clear" w:color="auto" w:fill="EFF0F7" w:themeFill="accent4" w:themeFillTint="33"/>
          </w:tcPr>
          <w:p w14:paraId="7723DE67" w14:textId="4539EB20" w:rsidR="001B4ADF" w:rsidRDefault="001B4ADF" w:rsidP="001B4ADF">
            <w:pPr>
              <w:rPr>
                <w:color w:val="44546A" w:themeColor="text2"/>
              </w:rPr>
            </w:pPr>
            <w:r>
              <w:rPr>
                <w:color w:val="44546A" w:themeColor="text2"/>
              </w:rPr>
              <w:t>GWAU (m)</w:t>
            </w:r>
          </w:p>
        </w:tc>
        <w:tc>
          <w:tcPr>
            <w:tcW w:w="2062" w:type="dxa"/>
          </w:tcPr>
          <w:p w14:paraId="361802E4" w14:textId="434A5549" w:rsidR="001B4ADF" w:rsidRDefault="009A0562" w:rsidP="00363B33">
            <w:pPr>
              <w:jc w:val="center"/>
              <w:rPr>
                <w:color w:val="44546A" w:themeColor="text2"/>
              </w:rPr>
            </w:pPr>
            <w:r>
              <w:rPr>
                <w:color w:val="44546A" w:themeColor="text2"/>
              </w:rPr>
              <w:t>0.41m</w:t>
            </w:r>
          </w:p>
        </w:tc>
        <w:tc>
          <w:tcPr>
            <w:tcW w:w="2062" w:type="dxa"/>
          </w:tcPr>
          <w:p w14:paraId="5233A6D7" w14:textId="24B1DAE1" w:rsidR="001B4ADF" w:rsidRDefault="009A0562" w:rsidP="00363B33">
            <w:pPr>
              <w:jc w:val="center"/>
              <w:rPr>
                <w:color w:val="44546A" w:themeColor="text2"/>
              </w:rPr>
            </w:pPr>
            <w:r>
              <w:rPr>
                <w:color w:val="44546A" w:themeColor="text2"/>
              </w:rPr>
              <w:t>0.41m</w:t>
            </w:r>
          </w:p>
        </w:tc>
        <w:tc>
          <w:tcPr>
            <w:tcW w:w="2062" w:type="dxa"/>
          </w:tcPr>
          <w:p w14:paraId="229460EC" w14:textId="444BD3F6" w:rsidR="001B4ADF" w:rsidRDefault="006925B3" w:rsidP="00363B33">
            <w:pPr>
              <w:jc w:val="center"/>
              <w:rPr>
                <w:color w:val="44546A" w:themeColor="text2"/>
              </w:rPr>
            </w:pPr>
            <w:r>
              <w:rPr>
                <w:color w:val="44546A" w:themeColor="text2"/>
              </w:rPr>
              <w:t>+</w:t>
            </w:r>
            <w:r w:rsidR="009A0562">
              <w:rPr>
                <w:color w:val="44546A" w:themeColor="text2"/>
              </w:rPr>
              <w:t>0.5</w:t>
            </w:r>
            <w:r w:rsidR="001B4ADF">
              <w:rPr>
                <w:color w:val="44546A" w:themeColor="text2"/>
              </w:rPr>
              <w:t>%</w:t>
            </w:r>
          </w:p>
        </w:tc>
      </w:tr>
      <w:tr w:rsidR="001B4ADF" w:rsidRPr="00FD6FDF" w14:paraId="6B148F46" w14:textId="77777777" w:rsidTr="004554CC">
        <w:trPr>
          <w:jc w:val="center"/>
        </w:trPr>
        <w:tc>
          <w:tcPr>
            <w:tcW w:w="2830" w:type="dxa"/>
            <w:shd w:val="clear" w:color="auto" w:fill="EFF0F7" w:themeFill="accent4" w:themeFillTint="33"/>
          </w:tcPr>
          <w:p w14:paraId="10CEABA5" w14:textId="00ACAE87" w:rsidR="001B4ADF" w:rsidRDefault="001B4ADF" w:rsidP="001B4ADF">
            <w:pPr>
              <w:rPr>
                <w:color w:val="44546A" w:themeColor="text2"/>
              </w:rPr>
            </w:pPr>
            <w:r>
              <w:rPr>
                <w:color w:val="44546A" w:themeColor="text2"/>
              </w:rPr>
              <w:t>Cost ($</w:t>
            </w:r>
            <w:r w:rsidR="006837D8">
              <w:rPr>
                <w:color w:val="44546A" w:themeColor="text2"/>
              </w:rPr>
              <w:t>bn</w:t>
            </w:r>
            <w:r>
              <w:rPr>
                <w:color w:val="44546A" w:themeColor="text2"/>
              </w:rPr>
              <w:t>)</w:t>
            </w:r>
          </w:p>
        </w:tc>
        <w:tc>
          <w:tcPr>
            <w:tcW w:w="2062" w:type="dxa"/>
          </w:tcPr>
          <w:p w14:paraId="639B916F" w14:textId="059FE48D" w:rsidR="001B4ADF" w:rsidRDefault="009A0562" w:rsidP="00363B33">
            <w:pPr>
              <w:jc w:val="center"/>
              <w:rPr>
                <w:color w:val="44546A" w:themeColor="text2"/>
              </w:rPr>
            </w:pPr>
            <w:r>
              <w:rPr>
                <w:color w:val="44546A" w:themeColor="text2"/>
              </w:rPr>
              <w:t>$2</w:t>
            </w:r>
            <w:r w:rsidR="002B4C19">
              <w:rPr>
                <w:color w:val="44546A" w:themeColor="text2"/>
              </w:rPr>
              <w:t>.</w:t>
            </w:r>
            <w:r>
              <w:rPr>
                <w:color w:val="44546A" w:themeColor="text2"/>
              </w:rPr>
              <w:t>3</w:t>
            </w:r>
            <w:r w:rsidR="002B4C19">
              <w:rPr>
                <w:color w:val="44546A" w:themeColor="text2"/>
              </w:rPr>
              <w:t>9bn</w:t>
            </w:r>
          </w:p>
        </w:tc>
        <w:tc>
          <w:tcPr>
            <w:tcW w:w="2062" w:type="dxa"/>
          </w:tcPr>
          <w:p w14:paraId="62274DE0" w14:textId="3084597C" w:rsidR="001B4ADF" w:rsidRDefault="009A0562" w:rsidP="00363B33">
            <w:pPr>
              <w:jc w:val="center"/>
              <w:rPr>
                <w:color w:val="44546A" w:themeColor="text2"/>
              </w:rPr>
            </w:pPr>
            <w:r>
              <w:rPr>
                <w:color w:val="44546A" w:themeColor="text2"/>
              </w:rPr>
              <w:t>$2</w:t>
            </w:r>
            <w:r w:rsidR="002B4C19">
              <w:rPr>
                <w:color w:val="44546A" w:themeColor="text2"/>
              </w:rPr>
              <w:t>.</w:t>
            </w:r>
            <w:r w:rsidR="00BF42AB">
              <w:rPr>
                <w:color w:val="44546A" w:themeColor="text2"/>
              </w:rPr>
              <w:t>66</w:t>
            </w:r>
            <w:r w:rsidR="008C2334">
              <w:rPr>
                <w:color w:val="44546A" w:themeColor="text2"/>
              </w:rPr>
              <w:t>bn</w:t>
            </w:r>
          </w:p>
        </w:tc>
        <w:tc>
          <w:tcPr>
            <w:tcW w:w="2062" w:type="dxa"/>
          </w:tcPr>
          <w:p w14:paraId="18E38290" w14:textId="1520C999" w:rsidR="001B4ADF" w:rsidRDefault="006925B3" w:rsidP="00363B33">
            <w:pPr>
              <w:jc w:val="center"/>
              <w:rPr>
                <w:color w:val="44546A" w:themeColor="text2"/>
              </w:rPr>
            </w:pPr>
            <w:r>
              <w:rPr>
                <w:color w:val="44546A" w:themeColor="text2"/>
              </w:rPr>
              <w:t>+</w:t>
            </w:r>
            <w:r w:rsidR="00BF42AB">
              <w:rPr>
                <w:color w:val="44546A" w:themeColor="text2"/>
              </w:rPr>
              <w:t>11.4</w:t>
            </w:r>
            <w:r w:rsidR="001B4ADF">
              <w:rPr>
                <w:color w:val="44546A" w:themeColor="text2"/>
              </w:rPr>
              <w:t>%</w:t>
            </w:r>
          </w:p>
        </w:tc>
      </w:tr>
      <w:tr w:rsidR="001B4ADF" w:rsidRPr="00FD6FDF" w14:paraId="762B6E73" w14:textId="77777777" w:rsidTr="004554CC">
        <w:trPr>
          <w:jc w:val="center"/>
        </w:trPr>
        <w:tc>
          <w:tcPr>
            <w:tcW w:w="2830" w:type="dxa"/>
            <w:shd w:val="clear" w:color="auto" w:fill="EFF0F7" w:themeFill="accent4" w:themeFillTint="33"/>
          </w:tcPr>
          <w:p w14:paraId="44512D9F" w14:textId="7B39198D" w:rsidR="001B4ADF" w:rsidRDefault="001B4ADF" w:rsidP="001B4ADF">
            <w:pPr>
              <w:rPr>
                <w:color w:val="44546A" w:themeColor="text2"/>
              </w:rPr>
            </w:pPr>
            <w:r>
              <w:rPr>
                <w:color w:val="44546A" w:themeColor="text2"/>
              </w:rPr>
              <w:t>Average cost per GWAU ($)</w:t>
            </w:r>
          </w:p>
        </w:tc>
        <w:tc>
          <w:tcPr>
            <w:tcW w:w="2062" w:type="dxa"/>
          </w:tcPr>
          <w:p w14:paraId="794FF597" w14:textId="0B993E05" w:rsidR="001B4ADF" w:rsidRDefault="009A0562" w:rsidP="00363B33">
            <w:pPr>
              <w:jc w:val="center"/>
              <w:rPr>
                <w:color w:val="44546A" w:themeColor="text2"/>
              </w:rPr>
            </w:pPr>
            <w:r>
              <w:rPr>
                <w:color w:val="44546A" w:themeColor="text2"/>
              </w:rPr>
              <w:t>$5,858</w:t>
            </w:r>
          </w:p>
        </w:tc>
        <w:tc>
          <w:tcPr>
            <w:tcW w:w="2062" w:type="dxa"/>
          </w:tcPr>
          <w:p w14:paraId="0B8D90FA" w14:textId="25E29CFE" w:rsidR="001B4ADF" w:rsidRDefault="009A0562" w:rsidP="00363B33">
            <w:pPr>
              <w:jc w:val="center"/>
              <w:rPr>
                <w:color w:val="44546A" w:themeColor="text2"/>
              </w:rPr>
            </w:pPr>
            <w:r>
              <w:rPr>
                <w:color w:val="44546A" w:themeColor="text2"/>
              </w:rPr>
              <w:t>$6,</w:t>
            </w:r>
            <w:r w:rsidR="00BF42AB">
              <w:rPr>
                <w:color w:val="44546A" w:themeColor="text2"/>
              </w:rPr>
              <w:t>492</w:t>
            </w:r>
          </w:p>
        </w:tc>
        <w:tc>
          <w:tcPr>
            <w:tcW w:w="2062" w:type="dxa"/>
          </w:tcPr>
          <w:p w14:paraId="50FF88AE" w14:textId="01AD8EC6" w:rsidR="001B4ADF" w:rsidRDefault="006925B3" w:rsidP="00363B33">
            <w:pPr>
              <w:jc w:val="center"/>
              <w:rPr>
                <w:color w:val="44546A" w:themeColor="text2"/>
              </w:rPr>
            </w:pPr>
            <w:r>
              <w:rPr>
                <w:color w:val="44546A" w:themeColor="text2"/>
              </w:rPr>
              <w:t>+</w:t>
            </w:r>
            <w:r w:rsidR="00BF42AB">
              <w:rPr>
                <w:color w:val="44546A" w:themeColor="text2"/>
              </w:rPr>
              <w:t>10.8</w:t>
            </w:r>
            <w:r w:rsidR="001B4ADF">
              <w:rPr>
                <w:color w:val="44546A" w:themeColor="text2"/>
              </w:rPr>
              <w:t>%</w:t>
            </w:r>
          </w:p>
        </w:tc>
      </w:tr>
    </w:tbl>
    <w:p w14:paraId="23F00545" w14:textId="3BB5EA0C" w:rsidR="00AF75B2" w:rsidRPr="00AF75B2" w:rsidRDefault="00AF75B2" w:rsidP="003075C9">
      <w:pPr>
        <w:tabs>
          <w:tab w:val="clear" w:pos="5309"/>
        </w:tabs>
        <w:spacing w:before="240" w:line="279" w:lineRule="auto"/>
        <w:rPr>
          <w:bCs/>
        </w:rPr>
      </w:pPr>
      <w:r w:rsidRPr="003C28DB">
        <w:rPr>
          <w:bCs/>
        </w:rPr>
        <w:t xml:space="preserve">Key </w:t>
      </w:r>
      <w:r>
        <w:rPr>
          <w:bCs/>
        </w:rPr>
        <w:t xml:space="preserve">observations </w:t>
      </w:r>
      <w:r w:rsidR="00175709">
        <w:rPr>
          <w:bCs/>
        </w:rPr>
        <w:t>on</w:t>
      </w:r>
      <w:r>
        <w:rPr>
          <w:bCs/>
        </w:rPr>
        <w:t xml:space="preserve"> the submitted activity and costs for 2023-24 at </w:t>
      </w:r>
      <w:r w:rsidR="00175709">
        <w:rPr>
          <w:bCs/>
        </w:rPr>
        <w:t>a</w:t>
      </w:r>
      <w:r>
        <w:rPr>
          <w:bCs/>
        </w:rPr>
        <w:t xml:space="preserve"> stream level</w:t>
      </w:r>
      <w:r w:rsidR="00175709">
        <w:rPr>
          <w:bCs/>
        </w:rPr>
        <w:t xml:space="preserve"> include:</w:t>
      </w:r>
    </w:p>
    <w:p w14:paraId="5B58D338" w14:textId="1C69AA54" w:rsidR="00251BC7" w:rsidRPr="003C28DB" w:rsidRDefault="00437F33" w:rsidP="003C28DB">
      <w:pPr>
        <w:pStyle w:val="ListParagraph"/>
        <w:numPr>
          <w:ilvl w:val="0"/>
          <w:numId w:val="70"/>
        </w:numPr>
        <w:tabs>
          <w:tab w:val="clear" w:pos="5309"/>
        </w:tabs>
        <w:ind w:left="714" w:hanging="357"/>
        <w:contextualSpacing w:val="0"/>
      </w:pPr>
      <w:r w:rsidRPr="00AF75B2">
        <w:rPr>
          <w:b/>
        </w:rPr>
        <w:t>A</w:t>
      </w:r>
      <w:r w:rsidR="00FE0B39">
        <w:rPr>
          <w:b/>
        </w:rPr>
        <w:t>dmitted a</w:t>
      </w:r>
      <w:r w:rsidRPr="00AF75B2">
        <w:rPr>
          <w:b/>
        </w:rPr>
        <w:t>cute</w:t>
      </w:r>
      <w:r>
        <w:t xml:space="preserve"> contribute</w:t>
      </w:r>
      <w:r w:rsidR="00B54173">
        <w:t xml:space="preserve">d </w:t>
      </w:r>
      <w:r>
        <w:t xml:space="preserve">60.2% to total costs in 2023-24 </w:t>
      </w:r>
      <w:r w:rsidR="000969EA">
        <w:t xml:space="preserve">(15.1% of total episodes) </w:t>
      </w:r>
      <w:r>
        <w:t xml:space="preserve">and it had the lowest </w:t>
      </w:r>
      <w:r w:rsidR="00F96594">
        <w:t xml:space="preserve">increase in total </w:t>
      </w:r>
      <w:r w:rsidRPr="003C28DB">
        <w:t>cost (+7.</w:t>
      </w:r>
      <w:r w:rsidR="00CB0E6F">
        <w:t>4</w:t>
      </w:r>
      <w:r w:rsidRPr="003C28DB">
        <w:t>%)</w:t>
      </w:r>
      <w:r>
        <w:t xml:space="preserve"> compared to other streams. </w:t>
      </w:r>
      <w:r w:rsidR="00F96594">
        <w:t>The increase in total costs was primarily driven by an increase in activity volumes, with the average cost per GWAU increasing by 2.</w:t>
      </w:r>
      <w:r w:rsidR="00CB0E6F">
        <w:t>2</w:t>
      </w:r>
      <w:r w:rsidR="00F96594">
        <w:t>%</w:t>
      </w:r>
      <w:r w:rsidR="00251BC7" w:rsidRPr="003C28DB">
        <w:t>.</w:t>
      </w:r>
    </w:p>
    <w:p w14:paraId="09A096AE" w14:textId="28B7BAC5" w:rsidR="00E90805" w:rsidRDefault="00DB4D1B" w:rsidP="003C28DB">
      <w:pPr>
        <w:pStyle w:val="ListParagraph"/>
        <w:numPr>
          <w:ilvl w:val="0"/>
          <w:numId w:val="70"/>
        </w:numPr>
        <w:tabs>
          <w:tab w:val="clear" w:pos="5309"/>
        </w:tabs>
        <w:ind w:left="714" w:hanging="357"/>
        <w:contextualSpacing w:val="0"/>
        <w:rPr>
          <w:b/>
        </w:rPr>
      </w:pPr>
      <w:r w:rsidRPr="007570C7">
        <w:rPr>
          <w:b/>
        </w:rPr>
        <w:t>Non-admitted</w:t>
      </w:r>
      <w:r>
        <w:t xml:space="preserve"> contribute</w:t>
      </w:r>
      <w:r w:rsidR="00B54173">
        <w:t>d</w:t>
      </w:r>
      <w:r>
        <w:t xml:space="preserve"> </w:t>
      </w:r>
      <w:r w:rsidR="006F151B">
        <w:t>16.</w:t>
      </w:r>
      <w:r w:rsidR="00CB0E6F">
        <w:t>8</w:t>
      </w:r>
      <w:r>
        <w:t>% to total costs in 2023-24</w:t>
      </w:r>
      <w:r w:rsidR="006F151B">
        <w:t xml:space="preserve"> (65.2% of </w:t>
      </w:r>
      <w:r w:rsidR="006B4F9E">
        <w:t xml:space="preserve">total </w:t>
      </w:r>
      <w:r w:rsidR="006F151B">
        <w:t>episodes)</w:t>
      </w:r>
      <w:r>
        <w:t xml:space="preserve"> and it had the </w:t>
      </w:r>
      <w:r w:rsidR="00C80C03">
        <w:t>highest</w:t>
      </w:r>
      <w:r>
        <w:t xml:space="preserve"> </w:t>
      </w:r>
      <w:r w:rsidR="00BA1A7E">
        <w:t xml:space="preserve">increase in total costs compared to 2022-23 </w:t>
      </w:r>
      <w:r w:rsidR="00BA1A7E" w:rsidRPr="003C28DB">
        <w:rPr>
          <w:bCs/>
        </w:rPr>
        <w:t>(</w:t>
      </w:r>
      <w:r w:rsidRPr="003C28DB">
        <w:rPr>
          <w:bCs/>
        </w:rPr>
        <w:t>+</w:t>
      </w:r>
      <w:r w:rsidR="00CB0E6F">
        <w:t>12.7</w:t>
      </w:r>
      <w:r w:rsidRPr="003C28DB">
        <w:t>%)</w:t>
      </w:r>
      <w:r>
        <w:t xml:space="preserve">. The cost growth in </w:t>
      </w:r>
      <w:r w:rsidR="00C80C03">
        <w:t>non-admitted</w:t>
      </w:r>
      <w:r>
        <w:t xml:space="preserve"> was</w:t>
      </w:r>
      <w:r w:rsidR="00BA1A7E">
        <w:t xml:space="preserve"> mainly </w:t>
      </w:r>
      <w:r>
        <w:t xml:space="preserve">driven by </w:t>
      </w:r>
      <w:r w:rsidR="00E90805">
        <w:t xml:space="preserve">an increase in </w:t>
      </w:r>
      <w:r w:rsidRPr="003C28DB">
        <w:t>total GWAU (+</w:t>
      </w:r>
      <w:r w:rsidR="00902BF2" w:rsidRPr="003C28DB">
        <w:t>12.1</w:t>
      </w:r>
      <w:r w:rsidRPr="003C28DB">
        <w:t>%)</w:t>
      </w:r>
      <w:r w:rsidR="00B54173" w:rsidRPr="003C28DB">
        <w:t>.</w:t>
      </w:r>
      <w:r w:rsidR="00B54173">
        <w:t xml:space="preserve"> </w:t>
      </w:r>
      <w:r w:rsidR="006A485F">
        <w:t xml:space="preserve">Prior to 2023-24, some Local Hospital Networks provided non-admitted data in an aggregated form. These service events would not have been captured in the 2022-23 service event level data, </w:t>
      </w:r>
      <w:r w:rsidR="00E90805">
        <w:t xml:space="preserve">and their inclusion in the 2023-24 submission increased service </w:t>
      </w:r>
      <w:r w:rsidR="006A485F">
        <w:t xml:space="preserve">event growth (subsequently the GWAU growth) for this stream. </w:t>
      </w:r>
      <w:r w:rsidR="00B54173" w:rsidRPr="003C28DB">
        <w:t xml:space="preserve">Average cost per GWAU </w:t>
      </w:r>
      <w:r w:rsidR="00B54173">
        <w:t>increased slightly by</w:t>
      </w:r>
      <w:r w:rsidR="00B54173" w:rsidRPr="003C28DB">
        <w:t xml:space="preserve"> +0.</w:t>
      </w:r>
      <w:r w:rsidR="00CB0E6F">
        <w:t>6</w:t>
      </w:r>
      <w:r w:rsidR="00B54173" w:rsidRPr="003C28DB">
        <w:t>%</w:t>
      </w:r>
      <w:r w:rsidR="00042DE2" w:rsidRPr="00042DE2">
        <w:rPr>
          <w:bCs/>
        </w:rPr>
        <w:t>,</w:t>
      </w:r>
      <w:r w:rsidR="000F0F50">
        <w:t xml:space="preserve"> </w:t>
      </w:r>
      <w:r w:rsidR="00E90805">
        <w:t xml:space="preserve">the lowest across the activity </w:t>
      </w:r>
      <w:r w:rsidR="000F0F50">
        <w:t>streams</w:t>
      </w:r>
      <w:r w:rsidR="00E90805">
        <w:t xml:space="preserve"> examined</w:t>
      </w:r>
      <w:r w:rsidR="00B54173">
        <w:t xml:space="preserve">. </w:t>
      </w:r>
    </w:p>
    <w:p w14:paraId="3B760BB4" w14:textId="246D88A1" w:rsidR="000969EA" w:rsidRPr="003C28DB" w:rsidRDefault="008272EB" w:rsidP="003C28DB">
      <w:pPr>
        <w:pStyle w:val="ListParagraph"/>
        <w:numPr>
          <w:ilvl w:val="0"/>
          <w:numId w:val="70"/>
        </w:numPr>
        <w:tabs>
          <w:tab w:val="clear" w:pos="5309"/>
        </w:tabs>
        <w:ind w:left="714" w:hanging="357"/>
        <w:contextualSpacing w:val="0"/>
      </w:pPr>
      <w:r>
        <w:rPr>
          <w:b/>
        </w:rPr>
        <w:t>ED</w:t>
      </w:r>
      <w:r w:rsidR="000969EA">
        <w:t xml:space="preserve"> contributed </w:t>
      </w:r>
      <w:r w:rsidR="00507FD2">
        <w:t>12.4</w:t>
      </w:r>
      <w:r w:rsidR="000969EA">
        <w:t>% to total costs in 2023-24 (</w:t>
      </w:r>
      <w:r w:rsidR="00507FD2">
        <w:t>18.9</w:t>
      </w:r>
      <w:r w:rsidR="000969EA">
        <w:t>% of total episodes)</w:t>
      </w:r>
      <w:r w:rsidR="00BB5568">
        <w:t>. Although the increase in the total costs of 9.</w:t>
      </w:r>
      <w:r w:rsidR="00AA1147">
        <w:t>1</w:t>
      </w:r>
      <w:r w:rsidR="00BB5568">
        <w:t xml:space="preserve">% was the </w:t>
      </w:r>
      <w:r w:rsidR="006F45E2">
        <w:t xml:space="preserve">second </w:t>
      </w:r>
      <w:r w:rsidR="000969EA">
        <w:t xml:space="preserve">lowest </w:t>
      </w:r>
      <w:r w:rsidR="00BB5568" w:rsidRPr="003C28DB">
        <w:rPr>
          <w:bCs/>
        </w:rPr>
        <w:t>across the</w:t>
      </w:r>
      <w:r w:rsidR="00BB5568">
        <w:t xml:space="preserve"> </w:t>
      </w:r>
      <w:r w:rsidR="000969EA">
        <w:t>streams</w:t>
      </w:r>
      <w:r w:rsidR="00BB5568">
        <w:t xml:space="preserve">, </w:t>
      </w:r>
      <w:r w:rsidR="00097EAA">
        <w:t>this far exceeded the growth in GWAU volumes, resulting in a relatively large increase in average cost per GWAU of 6.</w:t>
      </w:r>
      <w:r w:rsidR="00AA1147">
        <w:t>0</w:t>
      </w:r>
      <w:r w:rsidR="00097EAA">
        <w:t xml:space="preserve">%, </w:t>
      </w:r>
      <w:r w:rsidR="00B211C9">
        <w:t>being</w:t>
      </w:r>
      <w:r w:rsidR="00FB2D06">
        <w:t xml:space="preserve"> the second highest increase </w:t>
      </w:r>
      <w:r w:rsidR="00203AC4">
        <w:t>behind</w:t>
      </w:r>
      <w:r w:rsidR="00097EAA">
        <w:t xml:space="preserve"> admitted mental health</w:t>
      </w:r>
      <w:r w:rsidR="006A528E">
        <w:t>.</w:t>
      </w:r>
    </w:p>
    <w:p w14:paraId="11BA45B8" w14:textId="46BAD561" w:rsidR="00203AC4" w:rsidRDefault="00375B2C" w:rsidP="003C28DB">
      <w:pPr>
        <w:pStyle w:val="ListParagraph"/>
        <w:numPr>
          <w:ilvl w:val="0"/>
          <w:numId w:val="70"/>
        </w:numPr>
        <w:tabs>
          <w:tab w:val="clear" w:pos="5309"/>
        </w:tabs>
        <w:spacing w:line="279" w:lineRule="auto"/>
      </w:pPr>
      <w:r>
        <w:rPr>
          <w:bCs/>
        </w:rPr>
        <w:t>The volume of s</w:t>
      </w:r>
      <w:r w:rsidR="00F648B9" w:rsidRPr="003C28DB">
        <w:rPr>
          <w:bCs/>
        </w:rPr>
        <w:t xml:space="preserve">ubmitted phases </w:t>
      </w:r>
      <w:r w:rsidR="00F648B9">
        <w:rPr>
          <w:bCs/>
        </w:rPr>
        <w:t xml:space="preserve">for </w:t>
      </w:r>
      <w:r w:rsidR="00F648B9" w:rsidRPr="003C28DB">
        <w:rPr>
          <w:b/>
        </w:rPr>
        <w:t>a</w:t>
      </w:r>
      <w:r w:rsidR="00203AC4">
        <w:rPr>
          <w:b/>
        </w:rPr>
        <w:t xml:space="preserve">dmitted </w:t>
      </w:r>
      <w:r w:rsidR="00DC2E12">
        <w:rPr>
          <w:b/>
        </w:rPr>
        <w:t>mental health</w:t>
      </w:r>
      <w:r w:rsidR="00DC2E12" w:rsidRPr="003C28DB">
        <w:t xml:space="preserve"> </w:t>
      </w:r>
      <w:r w:rsidRPr="003C28DB">
        <w:rPr>
          <w:bCs/>
        </w:rPr>
        <w:t>increa</w:t>
      </w:r>
      <w:r>
        <w:rPr>
          <w:bCs/>
        </w:rPr>
        <w:t>s</w:t>
      </w:r>
      <w:r w:rsidRPr="003C28DB">
        <w:rPr>
          <w:bCs/>
        </w:rPr>
        <w:t>ed</w:t>
      </w:r>
      <w:r w:rsidR="000C051C">
        <w:rPr>
          <w:bCs/>
        </w:rPr>
        <w:t xml:space="preserve"> significantly </w:t>
      </w:r>
      <w:r w:rsidR="009C33EA">
        <w:rPr>
          <w:bCs/>
        </w:rPr>
        <w:t>by 11.2%</w:t>
      </w:r>
      <w:r w:rsidR="000C051C">
        <w:rPr>
          <w:bCs/>
        </w:rPr>
        <w:t xml:space="preserve"> </w:t>
      </w:r>
      <w:r w:rsidR="005C5FAA">
        <w:rPr>
          <w:bCs/>
        </w:rPr>
        <w:t xml:space="preserve">between </w:t>
      </w:r>
      <w:r w:rsidR="000C051C">
        <w:rPr>
          <w:bCs/>
        </w:rPr>
        <w:t>2022-23 and 2023-24</w:t>
      </w:r>
      <w:r w:rsidR="001323D0">
        <w:rPr>
          <w:bCs/>
        </w:rPr>
        <w:t>, with s</w:t>
      </w:r>
      <w:r w:rsidR="009D3885">
        <w:rPr>
          <w:bCs/>
        </w:rPr>
        <w:t xml:space="preserve">everal jurisdictions </w:t>
      </w:r>
      <w:r w:rsidR="00A51D8A">
        <w:rPr>
          <w:bCs/>
        </w:rPr>
        <w:t>reported efforts</w:t>
      </w:r>
      <w:r w:rsidR="006D68AB">
        <w:rPr>
          <w:bCs/>
        </w:rPr>
        <w:t xml:space="preserve"> to improve </w:t>
      </w:r>
      <w:r w:rsidR="00A51D8A">
        <w:rPr>
          <w:bCs/>
        </w:rPr>
        <w:t xml:space="preserve">phase level </w:t>
      </w:r>
      <w:r w:rsidR="006D68AB">
        <w:rPr>
          <w:bCs/>
        </w:rPr>
        <w:t>data</w:t>
      </w:r>
      <w:r w:rsidR="009D3885">
        <w:rPr>
          <w:bCs/>
        </w:rPr>
        <w:t xml:space="preserve"> reporting</w:t>
      </w:r>
      <w:r w:rsidR="00A51D8A">
        <w:rPr>
          <w:bCs/>
        </w:rPr>
        <w:t xml:space="preserve"> in 2023-24</w:t>
      </w:r>
      <w:r w:rsidR="001323D0">
        <w:rPr>
          <w:bCs/>
        </w:rPr>
        <w:t xml:space="preserve">. Correspondingly, total costs submitted for admitted mental health also increase by </w:t>
      </w:r>
      <w:r w:rsidR="00F9237A">
        <w:rPr>
          <w:bCs/>
        </w:rPr>
        <w:t>11.4</w:t>
      </w:r>
      <w:r w:rsidR="001323D0">
        <w:rPr>
          <w:bCs/>
        </w:rPr>
        <w:t>%</w:t>
      </w:r>
      <w:r w:rsidR="005F05E6">
        <w:rPr>
          <w:bCs/>
        </w:rPr>
        <w:t xml:space="preserve">. However, despite the increase in activity, the corresponding GWAU volumes only increased by 0.5%, which may have been impacted by a change in the casemix and </w:t>
      </w:r>
      <w:r w:rsidR="00CF51F2">
        <w:rPr>
          <w:bCs/>
        </w:rPr>
        <w:t>reporting</w:t>
      </w:r>
      <w:r w:rsidR="0008051C">
        <w:rPr>
          <w:bCs/>
        </w:rPr>
        <w:t xml:space="preserve"> quality of admitted mental health phase data. As a result, there was a significant increase in the average cost per GWAU of </w:t>
      </w:r>
      <w:r w:rsidR="00B36F30">
        <w:rPr>
          <w:bCs/>
        </w:rPr>
        <w:t>10.8</w:t>
      </w:r>
      <w:r w:rsidR="0008051C">
        <w:rPr>
          <w:bCs/>
        </w:rPr>
        <w:t>%</w:t>
      </w:r>
      <w:r w:rsidR="004554CC">
        <w:rPr>
          <w:bCs/>
        </w:rPr>
        <w:t>.</w:t>
      </w:r>
    </w:p>
    <w:p w14:paraId="0B64D10F" w14:textId="77777777" w:rsidR="004554CC" w:rsidRDefault="004554CC">
      <w:pPr>
        <w:tabs>
          <w:tab w:val="clear" w:pos="5309"/>
        </w:tabs>
        <w:spacing w:line="279" w:lineRule="auto"/>
        <w:rPr>
          <w:bCs/>
        </w:rPr>
      </w:pPr>
      <w:r>
        <w:rPr>
          <w:bCs/>
        </w:rPr>
        <w:br w:type="page"/>
      </w:r>
    </w:p>
    <w:p w14:paraId="1958096E" w14:textId="69BBCDAC" w:rsidR="00036400" w:rsidRDefault="00EE0407" w:rsidP="00101B44">
      <w:pPr>
        <w:pStyle w:val="Heading2"/>
      </w:pPr>
      <w:r>
        <w:lastRenderedPageBreak/>
        <w:t>Result</w:t>
      </w:r>
      <w:r w:rsidR="00EF2059">
        <w:t>s</w:t>
      </w:r>
      <w:r w:rsidR="00036400">
        <w:t xml:space="preserve"> by </w:t>
      </w:r>
      <w:r w:rsidR="00353E5A">
        <w:t>NHCDC C</w:t>
      </w:r>
      <w:r w:rsidR="00036400">
        <w:t xml:space="preserve">ost </w:t>
      </w:r>
      <w:r w:rsidR="00353E5A">
        <w:t>B</w:t>
      </w:r>
      <w:r w:rsidR="00036400">
        <w:t>ucket</w:t>
      </w:r>
    </w:p>
    <w:p w14:paraId="5147D75B" w14:textId="6147A8A3" w:rsidR="00EF2059" w:rsidRDefault="006D50F9" w:rsidP="00CC61E1">
      <w:pPr>
        <w:tabs>
          <w:tab w:val="clear" w:pos="5309"/>
        </w:tabs>
        <w:spacing w:line="279" w:lineRule="auto"/>
      </w:pPr>
      <w:r>
        <w:t xml:space="preserve">Direct costs and overhead costs contribute approximately 75% and 25% respectively towards the average cost per </w:t>
      </w:r>
      <w:r w:rsidR="007E6646">
        <w:t xml:space="preserve">GWAU. </w:t>
      </w:r>
      <w:r w:rsidR="00EF2059">
        <w:t xml:space="preserve">As previously shown, the increase in </w:t>
      </w:r>
      <w:r w:rsidR="00A579ED">
        <w:t xml:space="preserve">average cost per GWAU was </w:t>
      </w:r>
      <w:r w:rsidR="00B36F30">
        <w:t>2.9</w:t>
      </w:r>
      <w:r w:rsidR="00A579ED">
        <w:t xml:space="preserve">% </w:t>
      </w:r>
      <w:r w:rsidR="008C6B97">
        <w:t xml:space="preserve">in </w:t>
      </w:r>
      <w:r w:rsidR="00EF2059">
        <w:t>total, though this</w:t>
      </w:r>
      <w:r w:rsidR="008C6B97">
        <w:t xml:space="preserve"> was higher </w:t>
      </w:r>
      <w:r w:rsidR="00EF2059">
        <w:t xml:space="preserve">when considering the increase </w:t>
      </w:r>
      <w:r w:rsidR="008C6B97">
        <w:t xml:space="preserve">in </w:t>
      </w:r>
      <w:r w:rsidR="008C6B97" w:rsidRPr="007570C7">
        <w:rPr>
          <w:b/>
        </w:rPr>
        <w:t>overhead costs (+</w:t>
      </w:r>
      <w:r w:rsidR="007E4A30">
        <w:rPr>
          <w:b/>
        </w:rPr>
        <w:t>4.6</w:t>
      </w:r>
      <w:r w:rsidR="008C6B97" w:rsidRPr="007570C7">
        <w:rPr>
          <w:b/>
        </w:rPr>
        <w:t>%)</w:t>
      </w:r>
      <w:r w:rsidR="008C6B97">
        <w:t xml:space="preserve"> compared to </w:t>
      </w:r>
      <w:r w:rsidR="008C6B97" w:rsidRPr="007570C7">
        <w:rPr>
          <w:b/>
        </w:rPr>
        <w:t>direct costs (+2.</w:t>
      </w:r>
      <w:r w:rsidR="007E4A30">
        <w:rPr>
          <w:b/>
        </w:rPr>
        <w:t>4</w:t>
      </w:r>
      <w:r w:rsidR="008C6B97" w:rsidRPr="007570C7">
        <w:rPr>
          <w:b/>
        </w:rPr>
        <w:t>%).</w:t>
      </w:r>
      <w:r w:rsidR="008C6B97">
        <w:t xml:space="preserve"> </w:t>
      </w:r>
    </w:p>
    <w:p w14:paraId="013B6DF9" w14:textId="66BBC470" w:rsidR="000A042D" w:rsidRPr="0065660C" w:rsidRDefault="00094C11" w:rsidP="00EF2059">
      <w:pPr>
        <w:tabs>
          <w:tab w:val="clear" w:pos="5309"/>
        </w:tabs>
        <w:spacing w:line="279" w:lineRule="auto"/>
      </w:pPr>
      <w:r w:rsidRPr="00B36F30">
        <w:fldChar w:fldCharType="begin" w:fldLock="1"/>
      </w:r>
      <w:r w:rsidRPr="00B36F30">
        <w:instrText xml:space="preserve"> REF _Ref208845446 \h </w:instrText>
      </w:r>
      <w:r w:rsidR="00280E7E" w:rsidRPr="00B36F30">
        <w:instrText xml:space="preserve"> \* MERGEFORMAT </w:instrText>
      </w:r>
      <w:r w:rsidRPr="00B36F30">
        <w:fldChar w:fldCharType="separate"/>
      </w:r>
      <w:r w:rsidR="00084503">
        <w:t>Table 3</w:t>
      </w:r>
      <w:r w:rsidRPr="00B36F30">
        <w:fldChar w:fldCharType="end"/>
      </w:r>
      <w:r w:rsidR="00EF2059" w:rsidRPr="00B36F30">
        <w:t xml:space="preserve"> b</w:t>
      </w:r>
      <w:r w:rsidR="00EF2059">
        <w:t xml:space="preserve">reaks down the changes </w:t>
      </w:r>
      <w:r w:rsidR="001E6F85">
        <w:t xml:space="preserve">in average cost </w:t>
      </w:r>
      <w:r w:rsidR="006A528E">
        <w:t>p</w:t>
      </w:r>
      <w:r w:rsidR="001E6F85">
        <w:t xml:space="preserve">er GWAU at an NHCDC </w:t>
      </w:r>
      <w:r w:rsidR="00AB3EC0">
        <w:t>C</w:t>
      </w:r>
      <w:r w:rsidR="001E6F85">
        <w:t xml:space="preserve">ost </w:t>
      </w:r>
      <w:r w:rsidR="00AB3EC0">
        <w:t>B</w:t>
      </w:r>
      <w:r w:rsidR="001E6F85">
        <w:t xml:space="preserve">ucket level to </w:t>
      </w:r>
      <w:r w:rsidR="00DB6D7E">
        <w:t>understand potential drivers in the cost increases for 2023-24.</w:t>
      </w:r>
    </w:p>
    <w:p w14:paraId="6F9A3F37" w14:textId="6C0422DA" w:rsidR="00550D38" w:rsidRDefault="00550D38" w:rsidP="0034558A">
      <w:pPr>
        <w:pStyle w:val="Caption"/>
        <w:keepNext/>
      </w:pPr>
      <w:bookmarkStart w:id="21" w:name="_Ref208845446"/>
      <w:r>
        <w:t xml:space="preserve">Table </w:t>
      </w:r>
      <w:r>
        <w:fldChar w:fldCharType="begin"/>
      </w:r>
      <w:r>
        <w:instrText xml:space="preserve"> SEQ Table \* ARABIC </w:instrText>
      </w:r>
      <w:r>
        <w:fldChar w:fldCharType="separate"/>
      </w:r>
      <w:r w:rsidR="00CE6F96">
        <w:rPr>
          <w:noProof/>
        </w:rPr>
        <w:t>3</w:t>
      </w:r>
      <w:r>
        <w:fldChar w:fldCharType="end"/>
      </w:r>
      <w:bookmarkEnd w:id="21"/>
      <w:r>
        <w:t>: Average cost per GWAU in 2023-24 and growth from 2022-23 to 2023-24 by cost bucket</w:t>
      </w:r>
      <w:r w:rsidR="00F076AF">
        <w:t xml:space="preserve"> – all participating jurisdictions</w:t>
      </w:r>
    </w:p>
    <w:tbl>
      <w:tblPr>
        <w:tblStyle w:val="TableGrid"/>
        <w:tblW w:w="8895" w:type="dxa"/>
        <w:jc w:val="center"/>
        <w:tblBorders>
          <w:top w:val="single" w:sz="6" w:space="0" w:color="EFF0F7" w:themeColor="accent4" w:themeTint="33"/>
          <w:left w:val="single" w:sz="6" w:space="0" w:color="EFF0F7" w:themeColor="accent4" w:themeTint="33"/>
          <w:bottom w:val="single" w:sz="6" w:space="0" w:color="EFF0F7" w:themeColor="accent4" w:themeTint="33"/>
          <w:right w:val="single" w:sz="6" w:space="0" w:color="EFF0F7" w:themeColor="accent4" w:themeTint="33"/>
          <w:insideH w:val="single" w:sz="6" w:space="0" w:color="EFF0F7" w:themeColor="accent4" w:themeTint="33"/>
          <w:insideV w:val="single" w:sz="6" w:space="0" w:color="EFF0F7" w:themeColor="accent4" w:themeTint="33"/>
        </w:tblBorders>
        <w:tblCellMar>
          <w:top w:w="57" w:type="dxa"/>
          <w:bottom w:w="57" w:type="dxa"/>
        </w:tblCellMar>
        <w:tblLook w:val="04A0" w:firstRow="1" w:lastRow="0" w:firstColumn="1" w:lastColumn="0" w:noHBand="0" w:noVBand="1"/>
      </w:tblPr>
      <w:tblGrid>
        <w:gridCol w:w="1413"/>
        <w:gridCol w:w="1247"/>
        <w:gridCol w:w="1247"/>
        <w:gridCol w:w="1247"/>
        <w:gridCol w:w="1247"/>
        <w:gridCol w:w="1247"/>
        <w:gridCol w:w="1247"/>
      </w:tblGrid>
      <w:tr w:rsidR="00152344" w:rsidRPr="00152344" w14:paraId="1B1818A1" w14:textId="77777777" w:rsidTr="00094C11">
        <w:trPr>
          <w:trHeight w:val="290"/>
          <w:jc w:val="center"/>
        </w:trPr>
        <w:tc>
          <w:tcPr>
            <w:tcW w:w="1413" w:type="dxa"/>
            <w:vMerge w:val="restart"/>
            <w:shd w:val="clear" w:color="auto" w:fill="464E7E" w:themeFill="accent2"/>
            <w:noWrap/>
            <w:vAlign w:val="center"/>
          </w:tcPr>
          <w:p w14:paraId="058EBC0F" w14:textId="5E67F0CF" w:rsidR="00152344" w:rsidRPr="00094C11" w:rsidRDefault="00603B56" w:rsidP="00DB6D7E">
            <w:pPr>
              <w:keepNext/>
              <w:spacing w:line="279" w:lineRule="auto"/>
              <w:rPr>
                <w:b/>
                <w:color w:val="FFFFFF" w:themeColor="background1"/>
              </w:rPr>
            </w:pPr>
            <w:r w:rsidRPr="00094C11">
              <w:rPr>
                <w:b/>
                <w:color w:val="FFFFFF" w:themeColor="background1"/>
              </w:rPr>
              <w:t>Cost Bucket</w:t>
            </w:r>
          </w:p>
        </w:tc>
        <w:tc>
          <w:tcPr>
            <w:tcW w:w="3741" w:type="dxa"/>
            <w:gridSpan w:val="3"/>
            <w:shd w:val="clear" w:color="auto" w:fill="464E7E" w:themeFill="accent2"/>
            <w:noWrap/>
            <w:vAlign w:val="center"/>
          </w:tcPr>
          <w:p w14:paraId="2426853D" w14:textId="779A3FE4" w:rsidR="00152344" w:rsidRPr="00094C11" w:rsidRDefault="00550D38" w:rsidP="00DB6D7E">
            <w:pPr>
              <w:keepNext/>
              <w:tabs>
                <w:tab w:val="clear" w:pos="5309"/>
              </w:tabs>
              <w:spacing w:line="279" w:lineRule="auto"/>
              <w:jc w:val="center"/>
              <w:rPr>
                <w:b/>
                <w:color w:val="FFFFFF" w:themeColor="background1"/>
              </w:rPr>
            </w:pPr>
            <w:r w:rsidRPr="00094C11">
              <w:rPr>
                <w:b/>
                <w:color w:val="FFFFFF" w:themeColor="background1"/>
              </w:rPr>
              <w:t>Average cost per GWAU (2023-24)</w:t>
            </w:r>
          </w:p>
        </w:tc>
        <w:tc>
          <w:tcPr>
            <w:tcW w:w="3741" w:type="dxa"/>
            <w:gridSpan w:val="3"/>
            <w:shd w:val="clear" w:color="auto" w:fill="464E7E" w:themeFill="accent2"/>
            <w:noWrap/>
            <w:vAlign w:val="center"/>
          </w:tcPr>
          <w:p w14:paraId="62636B4B" w14:textId="57EB8EFD" w:rsidR="00152344" w:rsidRPr="00094C11" w:rsidRDefault="00550D38" w:rsidP="00DB6D7E">
            <w:pPr>
              <w:keepNext/>
              <w:tabs>
                <w:tab w:val="clear" w:pos="5309"/>
              </w:tabs>
              <w:spacing w:line="279" w:lineRule="auto"/>
              <w:jc w:val="center"/>
              <w:rPr>
                <w:b/>
                <w:color w:val="FFFFFF" w:themeColor="background1"/>
              </w:rPr>
            </w:pPr>
            <w:r w:rsidRPr="00094C11">
              <w:rPr>
                <w:b/>
                <w:color w:val="FFFFFF" w:themeColor="background1"/>
              </w:rPr>
              <w:t>Growth (%)</w:t>
            </w:r>
          </w:p>
        </w:tc>
      </w:tr>
      <w:tr w:rsidR="00152344" w:rsidRPr="00152344" w14:paraId="612F17AA" w14:textId="77777777" w:rsidTr="00094C11">
        <w:trPr>
          <w:trHeight w:val="290"/>
          <w:jc w:val="center"/>
        </w:trPr>
        <w:tc>
          <w:tcPr>
            <w:tcW w:w="1413" w:type="dxa"/>
            <w:vMerge/>
            <w:shd w:val="clear" w:color="auto" w:fill="464E7E" w:themeFill="accent2"/>
            <w:noWrap/>
            <w:vAlign w:val="center"/>
            <w:hideMark/>
          </w:tcPr>
          <w:p w14:paraId="039E12D0" w14:textId="6D442592" w:rsidR="00152344" w:rsidRPr="00094C11" w:rsidRDefault="00152344" w:rsidP="00DB6D7E">
            <w:pPr>
              <w:keepNext/>
              <w:tabs>
                <w:tab w:val="clear" w:pos="5309"/>
              </w:tabs>
              <w:spacing w:line="279" w:lineRule="auto"/>
              <w:rPr>
                <w:b/>
                <w:color w:val="FFFFFF" w:themeColor="background1"/>
              </w:rPr>
            </w:pPr>
          </w:p>
        </w:tc>
        <w:tc>
          <w:tcPr>
            <w:tcW w:w="1247" w:type="dxa"/>
            <w:shd w:val="clear" w:color="auto" w:fill="464E7E" w:themeFill="accent2"/>
            <w:noWrap/>
            <w:vAlign w:val="center"/>
            <w:hideMark/>
          </w:tcPr>
          <w:p w14:paraId="62446AC3" w14:textId="208D322B" w:rsidR="00152344" w:rsidRPr="00094C11" w:rsidRDefault="00152344" w:rsidP="00DB6D7E">
            <w:pPr>
              <w:keepNext/>
              <w:tabs>
                <w:tab w:val="clear" w:pos="5309"/>
              </w:tabs>
              <w:spacing w:line="279" w:lineRule="auto"/>
              <w:jc w:val="center"/>
              <w:rPr>
                <w:b/>
                <w:color w:val="FFFFFF" w:themeColor="background1"/>
              </w:rPr>
            </w:pPr>
            <w:r w:rsidRPr="00094C11">
              <w:rPr>
                <w:b/>
                <w:color w:val="FFFFFF" w:themeColor="background1"/>
              </w:rPr>
              <w:t>D</w:t>
            </w:r>
            <w:r w:rsidR="00550D38" w:rsidRPr="00094C11">
              <w:rPr>
                <w:b/>
                <w:color w:val="FFFFFF" w:themeColor="background1"/>
              </w:rPr>
              <w:t>irect</w:t>
            </w:r>
          </w:p>
        </w:tc>
        <w:tc>
          <w:tcPr>
            <w:tcW w:w="1247" w:type="dxa"/>
            <w:shd w:val="clear" w:color="auto" w:fill="464E7E" w:themeFill="accent2"/>
            <w:noWrap/>
            <w:vAlign w:val="center"/>
            <w:hideMark/>
          </w:tcPr>
          <w:p w14:paraId="75C09354" w14:textId="3C8EC683" w:rsidR="00152344" w:rsidRPr="00094C11" w:rsidRDefault="00152344" w:rsidP="00DB6D7E">
            <w:pPr>
              <w:keepNext/>
              <w:tabs>
                <w:tab w:val="clear" w:pos="5309"/>
              </w:tabs>
              <w:spacing w:line="279" w:lineRule="auto"/>
              <w:jc w:val="center"/>
              <w:rPr>
                <w:b/>
                <w:color w:val="FFFFFF" w:themeColor="background1"/>
              </w:rPr>
            </w:pPr>
            <w:r w:rsidRPr="00094C11">
              <w:rPr>
                <w:b/>
                <w:color w:val="FFFFFF" w:themeColor="background1"/>
              </w:rPr>
              <w:t>O</w:t>
            </w:r>
            <w:r w:rsidR="00550D38" w:rsidRPr="00094C11">
              <w:rPr>
                <w:b/>
                <w:color w:val="FFFFFF" w:themeColor="background1"/>
              </w:rPr>
              <w:t>verhead</w:t>
            </w:r>
          </w:p>
        </w:tc>
        <w:tc>
          <w:tcPr>
            <w:tcW w:w="1247" w:type="dxa"/>
            <w:shd w:val="clear" w:color="auto" w:fill="464E7E" w:themeFill="accent2"/>
            <w:noWrap/>
            <w:vAlign w:val="center"/>
            <w:hideMark/>
          </w:tcPr>
          <w:p w14:paraId="77E0EB35" w14:textId="77777777" w:rsidR="00152344" w:rsidRPr="00094C11" w:rsidRDefault="00152344" w:rsidP="00DB6D7E">
            <w:pPr>
              <w:keepNext/>
              <w:tabs>
                <w:tab w:val="clear" w:pos="5309"/>
              </w:tabs>
              <w:spacing w:line="279" w:lineRule="auto"/>
              <w:jc w:val="center"/>
              <w:rPr>
                <w:b/>
                <w:color w:val="FFFFFF" w:themeColor="background1"/>
              </w:rPr>
            </w:pPr>
            <w:r w:rsidRPr="00094C11">
              <w:rPr>
                <w:b/>
                <w:color w:val="FFFFFF" w:themeColor="background1"/>
              </w:rPr>
              <w:t>Total</w:t>
            </w:r>
          </w:p>
        </w:tc>
        <w:tc>
          <w:tcPr>
            <w:tcW w:w="1247" w:type="dxa"/>
            <w:shd w:val="clear" w:color="auto" w:fill="464E7E" w:themeFill="accent2"/>
            <w:noWrap/>
            <w:vAlign w:val="center"/>
            <w:hideMark/>
          </w:tcPr>
          <w:p w14:paraId="0AAC4D76" w14:textId="5007AF78" w:rsidR="00152344" w:rsidRPr="00094C11" w:rsidRDefault="00152344" w:rsidP="00DB6D7E">
            <w:pPr>
              <w:keepNext/>
              <w:tabs>
                <w:tab w:val="clear" w:pos="5309"/>
              </w:tabs>
              <w:spacing w:line="279" w:lineRule="auto"/>
              <w:jc w:val="center"/>
              <w:rPr>
                <w:b/>
                <w:color w:val="FFFFFF" w:themeColor="background1"/>
              </w:rPr>
            </w:pPr>
            <w:r w:rsidRPr="00094C11">
              <w:rPr>
                <w:b/>
                <w:color w:val="FFFFFF" w:themeColor="background1"/>
              </w:rPr>
              <w:t>D</w:t>
            </w:r>
            <w:r w:rsidR="00550D38" w:rsidRPr="00094C11">
              <w:rPr>
                <w:b/>
                <w:color w:val="FFFFFF" w:themeColor="background1"/>
              </w:rPr>
              <w:t>irect</w:t>
            </w:r>
          </w:p>
        </w:tc>
        <w:tc>
          <w:tcPr>
            <w:tcW w:w="1247" w:type="dxa"/>
            <w:shd w:val="clear" w:color="auto" w:fill="464E7E" w:themeFill="accent2"/>
            <w:noWrap/>
            <w:vAlign w:val="center"/>
            <w:hideMark/>
          </w:tcPr>
          <w:p w14:paraId="0F246F6D" w14:textId="6BC1467A" w:rsidR="00152344" w:rsidRPr="00094C11" w:rsidRDefault="00152344" w:rsidP="00DB6D7E">
            <w:pPr>
              <w:keepNext/>
              <w:tabs>
                <w:tab w:val="clear" w:pos="5309"/>
              </w:tabs>
              <w:spacing w:line="279" w:lineRule="auto"/>
              <w:jc w:val="center"/>
              <w:rPr>
                <w:b/>
                <w:color w:val="FFFFFF" w:themeColor="background1"/>
              </w:rPr>
            </w:pPr>
            <w:r w:rsidRPr="00094C11">
              <w:rPr>
                <w:b/>
                <w:color w:val="FFFFFF" w:themeColor="background1"/>
              </w:rPr>
              <w:t>O</w:t>
            </w:r>
            <w:r w:rsidR="00550D38" w:rsidRPr="00094C11">
              <w:rPr>
                <w:b/>
                <w:color w:val="FFFFFF" w:themeColor="background1"/>
              </w:rPr>
              <w:t>verhead</w:t>
            </w:r>
          </w:p>
        </w:tc>
        <w:tc>
          <w:tcPr>
            <w:tcW w:w="1247" w:type="dxa"/>
            <w:shd w:val="clear" w:color="auto" w:fill="464E7E" w:themeFill="accent2"/>
            <w:noWrap/>
            <w:vAlign w:val="center"/>
            <w:hideMark/>
          </w:tcPr>
          <w:p w14:paraId="03D36DFC" w14:textId="77777777" w:rsidR="00152344" w:rsidRPr="00094C11" w:rsidRDefault="00152344" w:rsidP="00DB6D7E">
            <w:pPr>
              <w:keepNext/>
              <w:tabs>
                <w:tab w:val="clear" w:pos="5309"/>
              </w:tabs>
              <w:spacing w:line="279" w:lineRule="auto"/>
              <w:jc w:val="center"/>
              <w:rPr>
                <w:b/>
                <w:color w:val="FFFFFF" w:themeColor="background1"/>
              </w:rPr>
            </w:pPr>
            <w:r w:rsidRPr="00094C11">
              <w:rPr>
                <w:b/>
                <w:color w:val="FFFFFF" w:themeColor="background1"/>
              </w:rPr>
              <w:t>Total</w:t>
            </w:r>
          </w:p>
        </w:tc>
      </w:tr>
      <w:tr w:rsidR="00152344" w:rsidRPr="00152344" w14:paraId="43427794" w14:textId="77777777" w:rsidTr="00094C11">
        <w:trPr>
          <w:trHeight w:val="290"/>
          <w:jc w:val="center"/>
        </w:trPr>
        <w:tc>
          <w:tcPr>
            <w:tcW w:w="1413" w:type="dxa"/>
            <w:shd w:val="clear" w:color="auto" w:fill="EFF0F7" w:themeFill="accent4" w:themeFillTint="33"/>
            <w:noWrap/>
            <w:vAlign w:val="center"/>
            <w:hideMark/>
          </w:tcPr>
          <w:p w14:paraId="66ABBAA9" w14:textId="0ECD1702" w:rsidR="00152344" w:rsidRPr="00152344" w:rsidRDefault="00603B56" w:rsidP="00DB6D7E">
            <w:pPr>
              <w:keepNext/>
              <w:tabs>
                <w:tab w:val="clear" w:pos="5309"/>
              </w:tabs>
              <w:spacing w:line="279" w:lineRule="auto"/>
              <w:rPr>
                <w:color w:val="44546A" w:themeColor="text2"/>
              </w:rPr>
            </w:pPr>
            <w:r>
              <w:rPr>
                <w:color w:val="44546A" w:themeColor="text2"/>
              </w:rPr>
              <w:t>Allied Health</w:t>
            </w:r>
          </w:p>
        </w:tc>
        <w:tc>
          <w:tcPr>
            <w:tcW w:w="1247" w:type="dxa"/>
            <w:noWrap/>
            <w:vAlign w:val="center"/>
            <w:hideMark/>
          </w:tcPr>
          <w:p w14:paraId="6524C06E" w14:textId="50C5EC28"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$25</w:t>
            </w:r>
            <w:r w:rsidR="00EF50CA">
              <w:rPr>
                <w:color w:val="44546A" w:themeColor="text2"/>
              </w:rPr>
              <w:t>6</w:t>
            </w:r>
          </w:p>
        </w:tc>
        <w:tc>
          <w:tcPr>
            <w:tcW w:w="1247" w:type="dxa"/>
            <w:noWrap/>
            <w:vAlign w:val="center"/>
            <w:hideMark/>
          </w:tcPr>
          <w:p w14:paraId="4DF73066" w14:textId="77777777"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$70</w:t>
            </w:r>
          </w:p>
        </w:tc>
        <w:tc>
          <w:tcPr>
            <w:tcW w:w="1247" w:type="dxa"/>
            <w:noWrap/>
            <w:vAlign w:val="center"/>
            <w:hideMark/>
          </w:tcPr>
          <w:p w14:paraId="1F089D3C" w14:textId="5401A89A" w:rsidR="00152344" w:rsidRPr="00550D38" w:rsidRDefault="00152344" w:rsidP="00DB6D7E">
            <w:pPr>
              <w:keepNext/>
              <w:tabs>
                <w:tab w:val="clear" w:pos="5309"/>
              </w:tabs>
              <w:spacing w:line="279" w:lineRule="auto"/>
              <w:jc w:val="center"/>
              <w:rPr>
                <w:b/>
                <w:color w:val="44546A" w:themeColor="text2"/>
              </w:rPr>
            </w:pPr>
            <w:r w:rsidRPr="00550D38">
              <w:rPr>
                <w:b/>
                <w:color w:val="44546A" w:themeColor="text2"/>
              </w:rPr>
              <w:t>$32</w:t>
            </w:r>
            <w:r w:rsidR="00EF50CA">
              <w:rPr>
                <w:b/>
                <w:color w:val="44546A" w:themeColor="text2"/>
              </w:rPr>
              <w:t>6</w:t>
            </w:r>
          </w:p>
        </w:tc>
        <w:tc>
          <w:tcPr>
            <w:tcW w:w="1247" w:type="dxa"/>
            <w:noWrap/>
            <w:vAlign w:val="center"/>
            <w:hideMark/>
          </w:tcPr>
          <w:p w14:paraId="2884DB05" w14:textId="5EADEF44"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EF50CA">
              <w:rPr>
                <w:color w:val="44546A" w:themeColor="text2"/>
              </w:rPr>
              <w:t>5.4</w:t>
            </w:r>
            <w:r w:rsidR="00152344" w:rsidRPr="00152344">
              <w:rPr>
                <w:color w:val="44546A" w:themeColor="text2"/>
              </w:rPr>
              <w:t>%</w:t>
            </w:r>
          </w:p>
        </w:tc>
        <w:tc>
          <w:tcPr>
            <w:tcW w:w="1247" w:type="dxa"/>
            <w:noWrap/>
            <w:vAlign w:val="center"/>
            <w:hideMark/>
          </w:tcPr>
          <w:p w14:paraId="0BD30897" w14:textId="51C0DCF1"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EF50CA">
              <w:rPr>
                <w:color w:val="44546A" w:themeColor="text2"/>
              </w:rPr>
              <w:t>3.6</w:t>
            </w:r>
            <w:r w:rsidR="00152344" w:rsidRPr="00152344">
              <w:rPr>
                <w:color w:val="44546A" w:themeColor="text2"/>
              </w:rPr>
              <w:t>%</w:t>
            </w:r>
          </w:p>
        </w:tc>
        <w:tc>
          <w:tcPr>
            <w:tcW w:w="1247" w:type="dxa"/>
            <w:noWrap/>
            <w:vAlign w:val="center"/>
            <w:hideMark/>
          </w:tcPr>
          <w:p w14:paraId="39FD3E0E" w14:textId="6EE8F033" w:rsidR="00152344" w:rsidRPr="00550D38" w:rsidRDefault="00EB5D46" w:rsidP="00DB6D7E">
            <w:pPr>
              <w:keepNext/>
              <w:tabs>
                <w:tab w:val="clear" w:pos="5309"/>
              </w:tabs>
              <w:spacing w:line="279" w:lineRule="auto"/>
              <w:jc w:val="center"/>
              <w:rPr>
                <w:b/>
                <w:color w:val="44546A" w:themeColor="text2"/>
              </w:rPr>
            </w:pPr>
            <w:r>
              <w:rPr>
                <w:b/>
                <w:color w:val="44546A" w:themeColor="text2"/>
              </w:rPr>
              <w:t>+</w:t>
            </w:r>
            <w:r w:rsidR="00152344" w:rsidRPr="00550D38" w:rsidDel="00EF50CA">
              <w:rPr>
                <w:b/>
                <w:color w:val="44546A" w:themeColor="text2"/>
              </w:rPr>
              <w:t>5.</w:t>
            </w:r>
            <w:r w:rsidR="00EF50CA">
              <w:rPr>
                <w:b/>
                <w:color w:val="44546A" w:themeColor="text2"/>
              </w:rPr>
              <w:t>0</w:t>
            </w:r>
            <w:r w:rsidR="00152344" w:rsidRPr="00550D38">
              <w:rPr>
                <w:b/>
                <w:color w:val="44546A" w:themeColor="text2"/>
              </w:rPr>
              <w:t>%</w:t>
            </w:r>
          </w:p>
        </w:tc>
      </w:tr>
      <w:tr w:rsidR="00152344" w:rsidRPr="00152344" w14:paraId="57BDA11D" w14:textId="77777777" w:rsidTr="00094C11">
        <w:trPr>
          <w:trHeight w:val="290"/>
          <w:jc w:val="center"/>
        </w:trPr>
        <w:tc>
          <w:tcPr>
            <w:tcW w:w="1413" w:type="dxa"/>
            <w:shd w:val="clear" w:color="auto" w:fill="EFF0F7" w:themeFill="accent4" w:themeFillTint="33"/>
            <w:noWrap/>
            <w:vAlign w:val="center"/>
            <w:hideMark/>
          </w:tcPr>
          <w:p w14:paraId="67F23018" w14:textId="632C9792" w:rsidR="00152344" w:rsidRPr="00152344" w:rsidRDefault="00603B56" w:rsidP="00DB6D7E">
            <w:pPr>
              <w:keepNext/>
              <w:tabs>
                <w:tab w:val="clear" w:pos="5309"/>
              </w:tabs>
              <w:spacing w:line="279" w:lineRule="auto"/>
              <w:rPr>
                <w:color w:val="44546A" w:themeColor="text2"/>
              </w:rPr>
            </w:pPr>
            <w:r>
              <w:rPr>
                <w:color w:val="44546A" w:themeColor="text2"/>
              </w:rPr>
              <w:t>Critical</w:t>
            </w:r>
          </w:p>
        </w:tc>
        <w:tc>
          <w:tcPr>
            <w:tcW w:w="1247" w:type="dxa"/>
            <w:noWrap/>
            <w:vAlign w:val="center"/>
            <w:hideMark/>
          </w:tcPr>
          <w:p w14:paraId="512C05EC" w14:textId="7953CEE2"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$25</w:t>
            </w:r>
            <w:r w:rsidR="00905547">
              <w:rPr>
                <w:color w:val="44546A" w:themeColor="text2"/>
              </w:rPr>
              <w:t>4</w:t>
            </w:r>
          </w:p>
        </w:tc>
        <w:tc>
          <w:tcPr>
            <w:tcW w:w="1247" w:type="dxa"/>
            <w:noWrap/>
            <w:vAlign w:val="center"/>
            <w:hideMark/>
          </w:tcPr>
          <w:p w14:paraId="20EC1C95" w14:textId="77777777"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$66</w:t>
            </w:r>
          </w:p>
        </w:tc>
        <w:tc>
          <w:tcPr>
            <w:tcW w:w="1247" w:type="dxa"/>
            <w:noWrap/>
            <w:vAlign w:val="center"/>
            <w:hideMark/>
          </w:tcPr>
          <w:p w14:paraId="1D113E8C" w14:textId="77777777" w:rsidR="00152344" w:rsidRPr="00550D38" w:rsidRDefault="00152344" w:rsidP="00DB6D7E">
            <w:pPr>
              <w:keepNext/>
              <w:tabs>
                <w:tab w:val="clear" w:pos="5309"/>
              </w:tabs>
              <w:spacing w:line="279" w:lineRule="auto"/>
              <w:jc w:val="center"/>
              <w:rPr>
                <w:b/>
                <w:color w:val="44546A" w:themeColor="text2"/>
              </w:rPr>
            </w:pPr>
            <w:r w:rsidRPr="00550D38">
              <w:rPr>
                <w:b/>
                <w:color w:val="44546A" w:themeColor="text2"/>
              </w:rPr>
              <w:t>$321</w:t>
            </w:r>
          </w:p>
        </w:tc>
        <w:tc>
          <w:tcPr>
            <w:tcW w:w="1247" w:type="dxa"/>
            <w:noWrap/>
            <w:vAlign w:val="center"/>
            <w:hideMark/>
          </w:tcPr>
          <w:p w14:paraId="39994019" w14:textId="1F34A5C5"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-0.</w:t>
            </w:r>
            <w:r w:rsidR="00905547">
              <w:rPr>
                <w:color w:val="44546A" w:themeColor="text2"/>
              </w:rPr>
              <w:t>5</w:t>
            </w:r>
            <w:r w:rsidRPr="00152344">
              <w:rPr>
                <w:color w:val="44546A" w:themeColor="text2"/>
              </w:rPr>
              <w:t>%</w:t>
            </w:r>
          </w:p>
        </w:tc>
        <w:tc>
          <w:tcPr>
            <w:tcW w:w="1247" w:type="dxa"/>
            <w:noWrap/>
            <w:vAlign w:val="center"/>
            <w:hideMark/>
          </w:tcPr>
          <w:p w14:paraId="473CE49C" w14:textId="41C83F2C"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905547">
              <w:rPr>
                <w:color w:val="44546A" w:themeColor="text2"/>
              </w:rPr>
              <w:t>6.7</w:t>
            </w:r>
            <w:r w:rsidR="00152344" w:rsidRPr="00152344">
              <w:rPr>
                <w:color w:val="44546A" w:themeColor="text2"/>
              </w:rPr>
              <w:t>%</w:t>
            </w:r>
          </w:p>
        </w:tc>
        <w:tc>
          <w:tcPr>
            <w:tcW w:w="1247" w:type="dxa"/>
            <w:noWrap/>
            <w:vAlign w:val="center"/>
            <w:hideMark/>
          </w:tcPr>
          <w:p w14:paraId="061B133C" w14:textId="3A2C5533" w:rsidR="00152344" w:rsidRPr="00550D38" w:rsidRDefault="00EB5D46" w:rsidP="00DB6D7E">
            <w:pPr>
              <w:keepNext/>
              <w:tabs>
                <w:tab w:val="clear" w:pos="5309"/>
              </w:tabs>
              <w:spacing w:line="279" w:lineRule="auto"/>
              <w:jc w:val="center"/>
              <w:rPr>
                <w:b/>
                <w:color w:val="44546A" w:themeColor="text2"/>
              </w:rPr>
            </w:pPr>
            <w:r>
              <w:rPr>
                <w:b/>
                <w:color w:val="44546A" w:themeColor="text2"/>
              </w:rPr>
              <w:t>+</w:t>
            </w:r>
            <w:r w:rsidR="00905547">
              <w:rPr>
                <w:b/>
                <w:color w:val="44546A" w:themeColor="text2"/>
              </w:rPr>
              <w:t>0.9</w:t>
            </w:r>
            <w:r w:rsidR="00152344" w:rsidRPr="00550D38">
              <w:rPr>
                <w:b/>
                <w:color w:val="44546A" w:themeColor="text2"/>
              </w:rPr>
              <w:t>%</w:t>
            </w:r>
          </w:p>
        </w:tc>
      </w:tr>
      <w:tr w:rsidR="00152344" w:rsidRPr="00152344" w14:paraId="2E7472A9" w14:textId="77777777" w:rsidTr="00094C11">
        <w:trPr>
          <w:trHeight w:val="290"/>
          <w:jc w:val="center"/>
        </w:trPr>
        <w:tc>
          <w:tcPr>
            <w:tcW w:w="1413" w:type="dxa"/>
            <w:shd w:val="clear" w:color="auto" w:fill="EFF0F7" w:themeFill="accent4" w:themeFillTint="33"/>
            <w:noWrap/>
            <w:vAlign w:val="center"/>
            <w:hideMark/>
          </w:tcPr>
          <w:p w14:paraId="20DAB7D8" w14:textId="44765460" w:rsidR="00152344" w:rsidRPr="00152344" w:rsidRDefault="00550D38" w:rsidP="00DB6D7E">
            <w:pPr>
              <w:keepNext/>
              <w:tabs>
                <w:tab w:val="clear" w:pos="5309"/>
              </w:tabs>
              <w:spacing w:line="279" w:lineRule="auto"/>
              <w:rPr>
                <w:color w:val="44546A" w:themeColor="text2"/>
              </w:rPr>
            </w:pPr>
            <w:r>
              <w:rPr>
                <w:color w:val="44546A" w:themeColor="text2"/>
              </w:rPr>
              <w:t>Medical</w:t>
            </w:r>
          </w:p>
        </w:tc>
        <w:tc>
          <w:tcPr>
            <w:tcW w:w="1247" w:type="dxa"/>
            <w:noWrap/>
            <w:vAlign w:val="center"/>
            <w:hideMark/>
          </w:tcPr>
          <w:p w14:paraId="01CB98F0" w14:textId="51CD53AD"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$93</w:t>
            </w:r>
            <w:r w:rsidR="007E02D8">
              <w:rPr>
                <w:color w:val="44546A" w:themeColor="text2"/>
              </w:rPr>
              <w:t>0</w:t>
            </w:r>
          </w:p>
        </w:tc>
        <w:tc>
          <w:tcPr>
            <w:tcW w:w="1247" w:type="dxa"/>
            <w:noWrap/>
            <w:vAlign w:val="center"/>
            <w:hideMark/>
          </w:tcPr>
          <w:p w14:paraId="7AB6DCE4" w14:textId="77777777"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$36</w:t>
            </w:r>
          </w:p>
        </w:tc>
        <w:tc>
          <w:tcPr>
            <w:tcW w:w="1247" w:type="dxa"/>
            <w:noWrap/>
            <w:vAlign w:val="center"/>
            <w:hideMark/>
          </w:tcPr>
          <w:p w14:paraId="54450F64" w14:textId="4D0FFEFF" w:rsidR="00152344" w:rsidRPr="00550D38" w:rsidRDefault="00152344" w:rsidP="00DB6D7E">
            <w:pPr>
              <w:keepNext/>
              <w:tabs>
                <w:tab w:val="clear" w:pos="5309"/>
              </w:tabs>
              <w:spacing w:line="279" w:lineRule="auto"/>
              <w:jc w:val="center"/>
              <w:rPr>
                <w:b/>
                <w:color w:val="44546A" w:themeColor="text2"/>
              </w:rPr>
            </w:pPr>
            <w:r w:rsidRPr="00550D38">
              <w:rPr>
                <w:b/>
                <w:color w:val="44546A" w:themeColor="text2"/>
              </w:rPr>
              <w:t>$9</w:t>
            </w:r>
            <w:r w:rsidR="007E02D8">
              <w:rPr>
                <w:b/>
                <w:color w:val="44546A" w:themeColor="text2"/>
              </w:rPr>
              <w:t>66</w:t>
            </w:r>
          </w:p>
        </w:tc>
        <w:tc>
          <w:tcPr>
            <w:tcW w:w="1247" w:type="dxa"/>
            <w:noWrap/>
            <w:vAlign w:val="center"/>
            <w:hideMark/>
          </w:tcPr>
          <w:p w14:paraId="786C43C5" w14:textId="79B64CBB"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152344" w:rsidRPr="00152344">
              <w:rPr>
                <w:color w:val="44546A" w:themeColor="text2"/>
              </w:rPr>
              <w:t>2.</w:t>
            </w:r>
            <w:r w:rsidR="007E02D8">
              <w:rPr>
                <w:color w:val="44546A" w:themeColor="text2"/>
              </w:rPr>
              <w:t>3</w:t>
            </w:r>
            <w:r w:rsidR="00152344" w:rsidRPr="00152344">
              <w:rPr>
                <w:color w:val="44546A" w:themeColor="text2"/>
              </w:rPr>
              <w:t>%</w:t>
            </w:r>
          </w:p>
        </w:tc>
        <w:tc>
          <w:tcPr>
            <w:tcW w:w="1247" w:type="dxa"/>
            <w:noWrap/>
            <w:vAlign w:val="center"/>
            <w:hideMark/>
          </w:tcPr>
          <w:p w14:paraId="6C70D19A" w14:textId="61AAA8CE"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w:t>
            </w:r>
            <w:r w:rsidR="007E02D8">
              <w:rPr>
                <w:color w:val="44546A" w:themeColor="text2"/>
              </w:rPr>
              <w:t>12.5</w:t>
            </w:r>
            <w:r w:rsidRPr="00152344">
              <w:rPr>
                <w:color w:val="44546A" w:themeColor="text2"/>
              </w:rPr>
              <w:t>%</w:t>
            </w:r>
          </w:p>
        </w:tc>
        <w:tc>
          <w:tcPr>
            <w:tcW w:w="1247" w:type="dxa"/>
            <w:noWrap/>
            <w:vAlign w:val="center"/>
            <w:hideMark/>
          </w:tcPr>
          <w:p w14:paraId="3F25F6A8" w14:textId="6B1ABEE0" w:rsidR="00152344" w:rsidRPr="00550D38" w:rsidRDefault="00EB5D46" w:rsidP="00DB6D7E">
            <w:pPr>
              <w:keepNext/>
              <w:tabs>
                <w:tab w:val="clear" w:pos="5309"/>
              </w:tabs>
              <w:spacing w:line="279" w:lineRule="auto"/>
              <w:jc w:val="center"/>
              <w:rPr>
                <w:b/>
                <w:color w:val="44546A" w:themeColor="text2"/>
              </w:rPr>
            </w:pPr>
            <w:r>
              <w:rPr>
                <w:b/>
                <w:color w:val="44546A" w:themeColor="text2"/>
              </w:rPr>
              <w:t>+</w:t>
            </w:r>
            <w:r w:rsidR="007E02D8">
              <w:rPr>
                <w:b/>
                <w:color w:val="44546A" w:themeColor="text2"/>
              </w:rPr>
              <w:t>1.6</w:t>
            </w:r>
            <w:r w:rsidR="00152344" w:rsidRPr="00550D38">
              <w:rPr>
                <w:b/>
                <w:color w:val="44546A" w:themeColor="text2"/>
              </w:rPr>
              <w:t>%</w:t>
            </w:r>
          </w:p>
        </w:tc>
      </w:tr>
      <w:tr w:rsidR="00152344" w:rsidRPr="00152344" w14:paraId="6FA68778" w14:textId="77777777" w:rsidTr="00094C11">
        <w:trPr>
          <w:trHeight w:val="290"/>
          <w:jc w:val="center"/>
        </w:trPr>
        <w:tc>
          <w:tcPr>
            <w:tcW w:w="1413" w:type="dxa"/>
            <w:shd w:val="clear" w:color="auto" w:fill="EFF0F7" w:themeFill="accent4" w:themeFillTint="33"/>
            <w:noWrap/>
            <w:vAlign w:val="center"/>
            <w:hideMark/>
          </w:tcPr>
          <w:p w14:paraId="445F78E3" w14:textId="45CA313F" w:rsidR="00152344" w:rsidRPr="00152344" w:rsidRDefault="00550D38" w:rsidP="00DB6D7E">
            <w:pPr>
              <w:keepNext/>
              <w:tabs>
                <w:tab w:val="clear" w:pos="5309"/>
              </w:tabs>
              <w:spacing w:line="279" w:lineRule="auto"/>
              <w:rPr>
                <w:color w:val="44546A" w:themeColor="text2"/>
              </w:rPr>
            </w:pPr>
            <w:r>
              <w:rPr>
                <w:color w:val="44546A" w:themeColor="text2"/>
              </w:rPr>
              <w:t>Non-Clinical</w:t>
            </w:r>
          </w:p>
        </w:tc>
        <w:tc>
          <w:tcPr>
            <w:tcW w:w="1247" w:type="dxa"/>
            <w:noWrap/>
            <w:vAlign w:val="center"/>
            <w:hideMark/>
          </w:tcPr>
          <w:p w14:paraId="1DAD7ED9" w14:textId="7C19819F"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$17</w:t>
            </w:r>
            <w:r w:rsidR="00C25370">
              <w:rPr>
                <w:color w:val="44546A" w:themeColor="text2"/>
              </w:rPr>
              <w:t>5</w:t>
            </w:r>
          </w:p>
        </w:tc>
        <w:tc>
          <w:tcPr>
            <w:tcW w:w="1247" w:type="dxa"/>
            <w:noWrap/>
            <w:vAlign w:val="center"/>
            <w:hideMark/>
          </w:tcPr>
          <w:p w14:paraId="23E81144" w14:textId="798EA07A"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$31</w:t>
            </w:r>
            <w:r w:rsidR="00C25370">
              <w:rPr>
                <w:color w:val="44546A" w:themeColor="text2"/>
              </w:rPr>
              <w:t>4</w:t>
            </w:r>
          </w:p>
        </w:tc>
        <w:tc>
          <w:tcPr>
            <w:tcW w:w="1247" w:type="dxa"/>
            <w:noWrap/>
            <w:vAlign w:val="center"/>
            <w:hideMark/>
          </w:tcPr>
          <w:p w14:paraId="18EB2DA8" w14:textId="6FAF61ED" w:rsidR="00152344" w:rsidRPr="00550D38" w:rsidRDefault="00152344" w:rsidP="00DB6D7E">
            <w:pPr>
              <w:keepNext/>
              <w:tabs>
                <w:tab w:val="clear" w:pos="5309"/>
              </w:tabs>
              <w:spacing w:line="279" w:lineRule="auto"/>
              <w:jc w:val="center"/>
              <w:rPr>
                <w:b/>
                <w:color w:val="44546A" w:themeColor="text2"/>
              </w:rPr>
            </w:pPr>
            <w:r w:rsidRPr="00550D38">
              <w:rPr>
                <w:b/>
                <w:color w:val="44546A" w:themeColor="text2"/>
              </w:rPr>
              <w:t>$4</w:t>
            </w:r>
            <w:r w:rsidR="00C25370">
              <w:rPr>
                <w:b/>
                <w:color w:val="44546A" w:themeColor="text2"/>
              </w:rPr>
              <w:t>89</w:t>
            </w:r>
          </w:p>
        </w:tc>
        <w:tc>
          <w:tcPr>
            <w:tcW w:w="1247" w:type="dxa"/>
            <w:noWrap/>
            <w:vAlign w:val="center"/>
            <w:hideMark/>
          </w:tcPr>
          <w:p w14:paraId="1143323E" w14:textId="364CB9CF"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w:t>
            </w:r>
            <w:r w:rsidR="00C25370">
              <w:rPr>
                <w:color w:val="44546A" w:themeColor="text2"/>
              </w:rPr>
              <w:t>1.0</w:t>
            </w:r>
            <w:r w:rsidRPr="00152344">
              <w:rPr>
                <w:color w:val="44546A" w:themeColor="text2"/>
              </w:rPr>
              <w:t>%</w:t>
            </w:r>
          </w:p>
        </w:tc>
        <w:tc>
          <w:tcPr>
            <w:tcW w:w="1247" w:type="dxa"/>
            <w:noWrap/>
            <w:vAlign w:val="center"/>
            <w:hideMark/>
          </w:tcPr>
          <w:p w14:paraId="59EB2E71" w14:textId="388105A7"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152344" w:rsidRPr="00152344">
              <w:rPr>
                <w:color w:val="44546A" w:themeColor="text2"/>
              </w:rPr>
              <w:t>0.</w:t>
            </w:r>
            <w:r w:rsidR="00C25370">
              <w:rPr>
                <w:color w:val="44546A" w:themeColor="text2"/>
              </w:rPr>
              <w:t>5</w:t>
            </w:r>
            <w:r w:rsidR="00152344" w:rsidRPr="00152344">
              <w:rPr>
                <w:color w:val="44546A" w:themeColor="text2"/>
              </w:rPr>
              <w:t>%</w:t>
            </w:r>
          </w:p>
        </w:tc>
        <w:tc>
          <w:tcPr>
            <w:tcW w:w="1247" w:type="dxa"/>
            <w:noWrap/>
            <w:vAlign w:val="center"/>
            <w:hideMark/>
          </w:tcPr>
          <w:p w14:paraId="2E618E8D" w14:textId="6F9F3FB7" w:rsidR="00152344" w:rsidRPr="00550D38" w:rsidRDefault="00C25370" w:rsidP="00DB6D7E">
            <w:pPr>
              <w:keepNext/>
              <w:tabs>
                <w:tab w:val="clear" w:pos="5309"/>
              </w:tabs>
              <w:spacing w:line="279" w:lineRule="auto"/>
              <w:jc w:val="center"/>
              <w:rPr>
                <w:b/>
                <w:color w:val="44546A" w:themeColor="text2"/>
              </w:rPr>
            </w:pPr>
            <w:r>
              <w:rPr>
                <w:b/>
                <w:color w:val="44546A" w:themeColor="text2"/>
              </w:rPr>
              <w:t>-0.1</w:t>
            </w:r>
            <w:r w:rsidR="00152344" w:rsidRPr="00550D38">
              <w:rPr>
                <w:b/>
                <w:color w:val="44546A" w:themeColor="text2"/>
              </w:rPr>
              <w:t>%</w:t>
            </w:r>
          </w:p>
        </w:tc>
      </w:tr>
      <w:tr w:rsidR="00152344" w:rsidRPr="00152344" w14:paraId="59EA35FC" w14:textId="77777777" w:rsidTr="00094C11">
        <w:trPr>
          <w:trHeight w:val="290"/>
          <w:jc w:val="center"/>
        </w:trPr>
        <w:tc>
          <w:tcPr>
            <w:tcW w:w="1413" w:type="dxa"/>
            <w:shd w:val="clear" w:color="auto" w:fill="EFF0F7" w:themeFill="accent4" w:themeFillTint="33"/>
            <w:noWrap/>
            <w:vAlign w:val="center"/>
            <w:hideMark/>
          </w:tcPr>
          <w:p w14:paraId="62A7F509" w14:textId="3FB9D1A5" w:rsidR="00152344" w:rsidRPr="00152344" w:rsidRDefault="00550D38" w:rsidP="00DB6D7E">
            <w:pPr>
              <w:keepNext/>
              <w:tabs>
                <w:tab w:val="clear" w:pos="5309"/>
              </w:tabs>
              <w:spacing w:line="279" w:lineRule="auto"/>
              <w:rPr>
                <w:color w:val="44546A" w:themeColor="text2"/>
              </w:rPr>
            </w:pPr>
            <w:r>
              <w:rPr>
                <w:color w:val="44546A" w:themeColor="text2"/>
              </w:rPr>
              <w:t>Nursing</w:t>
            </w:r>
          </w:p>
        </w:tc>
        <w:tc>
          <w:tcPr>
            <w:tcW w:w="1247" w:type="dxa"/>
            <w:noWrap/>
            <w:vAlign w:val="center"/>
            <w:hideMark/>
          </w:tcPr>
          <w:p w14:paraId="60705094" w14:textId="4B5C48DD"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$1,18</w:t>
            </w:r>
            <w:r w:rsidR="00A609BE">
              <w:rPr>
                <w:color w:val="44546A" w:themeColor="text2"/>
              </w:rPr>
              <w:t>2</w:t>
            </w:r>
          </w:p>
        </w:tc>
        <w:tc>
          <w:tcPr>
            <w:tcW w:w="1247" w:type="dxa"/>
            <w:noWrap/>
            <w:vAlign w:val="center"/>
            <w:hideMark/>
          </w:tcPr>
          <w:p w14:paraId="4FD036B3" w14:textId="77777777"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$94</w:t>
            </w:r>
          </w:p>
        </w:tc>
        <w:tc>
          <w:tcPr>
            <w:tcW w:w="1247" w:type="dxa"/>
            <w:noWrap/>
            <w:vAlign w:val="center"/>
            <w:hideMark/>
          </w:tcPr>
          <w:p w14:paraId="01CF5150" w14:textId="2E642A04" w:rsidR="00152344" w:rsidRPr="00550D38" w:rsidRDefault="00152344" w:rsidP="00DB6D7E">
            <w:pPr>
              <w:keepNext/>
              <w:tabs>
                <w:tab w:val="clear" w:pos="5309"/>
              </w:tabs>
              <w:spacing w:line="279" w:lineRule="auto"/>
              <w:jc w:val="center"/>
              <w:rPr>
                <w:b/>
                <w:color w:val="44546A" w:themeColor="text2"/>
              </w:rPr>
            </w:pPr>
            <w:r w:rsidRPr="00550D38">
              <w:rPr>
                <w:b/>
                <w:color w:val="44546A" w:themeColor="text2"/>
              </w:rPr>
              <w:t>$1,2</w:t>
            </w:r>
            <w:r w:rsidR="00A609BE">
              <w:rPr>
                <w:b/>
                <w:color w:val="44546A" w:themeColor="text2"/>
              </w:rPr>
              <w:t>76</w:t>
            </w:r>
          </w:p>
        </w:tc>
        <w:tc>
          <w:tcPr>
            <w:tcW w:w="1247" w:type="dxa"/>
            <w:noWrap/>
            <w:vAlign w:val="center"/>
            <w:hideMark/>
          </w:tcPr>
          <w:p w14:paraId="096F2D34" w14:textId="53ACAC3A"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152344" w:rsidRPr="00152344">
              <w:rPr>
                <w:color w:val="44546A" w:themeColor="text2"/>
              </w:rPr>
              <w:t>0.</w:t>
            </w:r>
            <w:r w:rsidR="00A609BE">
              <w:rPr>
                <w:color w:val="44546A" w:themeColor="text2"/>
              </w:rPr>
              <w:t>4</w:t>
            </w:r>
            <w:r w:rsidR="00152344" w:rsidRPr="00152344">
              <w:rPr>
                <w:color w:val="44546A" w:themeColor="text2"/>
              </w:rPr>
              <w:t>%</w:t>
            </w:r>
          </w:p>
        </w:tc>
        <w:tc>
          <w:tcPr>
            <w:tcW w:w="1247" w:type="dxa"/>
            <w:noWrap/>
            <w:vAlign w:val="center"/>
            <w:hideMark/>
          </w:tcPr>
          <w:p w14:paraId="0925CDC8" w14:textId="2257FF92"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w:t>
            </w:r>
            <w:r w:rsidR="00A609BE">
              <w:rPr>
                <w:color w:val="44546A" w:themeColor="text2"/>
              </w:rPr>
              <w:t>2.1</w:t>
            </w:r>
            <w:r w:rsidRPr="00152344">
              <w:rPr>
                <w:color w:val="44546A" w:themeColor="text2"/>
              </w:rPr>
              <w:t>%</w:t>
            </w:r>
          </w:p>
        </w:tc>
        <w:tc>
          <w:tcPr>
            <w:tcW w:w="1247" w:type="dxa"/>
            <w:noWrap/>
            <w:vAlign w:val="center"/>
            <w:hideMark/>
          </w:tcPr>
          <w:p w14:paraId="0A542A5F" w14:textId="24F436FE" w:rsidR="00152344" w:rsidRPr="00550D38" w:rsidRDefault="00EB5D46" w:rsidP="00DB6D7E">
            <w:pPr>
              <w:keepNext/>
              <w:tabs>
                <w:tab w:val="clear" w:pos="5309"/>
              </w:tabs>
              <w:spacing w:line="279" w:lineRule="auto"/>
              <w:jc w:val="center"/>
              <w:rPr>
                <w:b/>
                <w:color w:val="44546A" w:themeColor="text2"/>
              </w:rPr>
            </w:pPr>
            <w:r>
              <w:rPr>
                <w:b/>
                <w:color w:val="44546A" w:themeColor="text2"/>
              </w:rPr>
              <w:t>+</w:t>
            </w:r>
            <w:r w:rsidR="00152344" w:rsidRPr="00550D38">
              <w:rPr>
                <w:b/>
                <w:color w:val="44546A" w:themeColor="text2"/>
              </w:rPr>
              <w:t>0.</w:t>
            </w:r>
            <w:r w:rsidR="00A609BE">
              <w:rPr>
                <w:b/>
                <w:color w:val="44546A" w:themeColor="text2"/>
              </w:rPr>
              <w:t>2</w:t>
            </w:r>
            <w:r w:rsidR="00152344" w:rsidRPr="00550D38">
              <w:rPr>
                <w:b/>
                <w:color w:val="44546A" w:themeColor="text2"/>
              </w:rPr>
              <w:t>%</w:t>
            </w:r>
          </w:p>
        </w:tc>
      </w:tr>
      <w:tr w:rsidR="00152344" w:rsidRPr="00152344" w14:paraId="1EAD4DF1" w14:textId="77777777" w:rsidTr="00094C11">
        <w:trPr>
          <w:trHeight w:val="290"/>
          <w:jc w:val="center"/>
        </w:trPr>
        <w:tc>
          <w:tcPr>
            <w:tcW w:w="1413" w:type="dxa"/>
            <w:shd w:val="clear" w:color="auto" w:fill="EFF0F7" w:themeFill="accent4" w:themeFillTint="33"/>
            <w:noWrap/>
            <w:vAlign w:val="center"/>
            <w:hideMark/>
          </w:tcPr>
          <w:p w14:paraId="0925F5AF" w14:textId="053BD5B3" w:rsidR="00152344" w:rsidRPr="00152344" w:rsidRDefault="00550D38" w:rsidP="00DB6D7E">
            <w:pPr>
              <w:keepNext/>
              <w:tabs>
                <w:tab w:val="clear" w:pos="5309"/>
              </w:tabs>
              <w:spacing w:line="279" w:lineRule="auto"/>
              <w:rPr>
                <w:color w:val="44546A" w:themeColor="text2"/>
              </w:rPr>
            </w:pPr>
            <w:r>
              <w:rPr>
                <w:color w:val="44546A" w:themeColor="text2"/>
              </w:rPr>
              <w:t>Oncosts</w:t>
            </w:r>
          </w:p>
        </w:tc>
        <w:tc>
          <w:tcPr>
            <w:tcW w:w="1247" w:type="dxa"/>
            <w:noWrap/>
            <w:vAlign w:val="center"/>
            <w:hideMark/>
          </w:tcPr>
          <w:p w14:paraId="104EE968" w14:textId="47EE7588"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$47</w:t>
            </w:r>
            <w:r w:rsidR="0002173F">
              <w:rPr>
                <w:color w:val="44546A" w:themeColor="text2"/>
              </w:rPr>
              <w:t>2</w:t>
            </w:r>
          </w:p>
        </w:tc>
        <w:tc>
          <w:tcPr>
            <w:tcW w:w="1247" w:type="dxa"/>
            <w:noWrap/>
            <w:vAlign w:val="center"/>
            <w:hideMark/>
          </w:tcPr>
          <w:p w14:paraId="3E5D026A" w14:textId="221FB248" w:rsidR="00152344" w:rsidRPr="00152344" w:rsidRDefault="00152344" w:rsidP="00DB6D7E">
            <w:pPr>
              <w:keepNext/>
              <w:tabs>
                <w:tab w:val="clear" w:pos="5309"/>
              </w:tabs>
              <w:spacing w:line="279" w:lineRule="auto"/>
              <w:jc w:val="center"/>
              <w:rPr>
                <w:color w:val="44546A" w:themeColor="text2"/>
              </w:rPr>
            </w:pPr>
            <w:r w:rsidRPr="00152344">
              <w:rPr>
                <w:color w:val="44546A" w:themeColor="text2"/>
              </w:rPr>
              <w:t>$17</w:t>
            </w:r>
            <w:r w:rsidR="0002173F">
              <w:rPr>
                <w:color w:val="44546A" w:themeColor="text2"/>
              </w:rPr>
              <w:t>8</w:t>
            </w:r>
          </w:p>
        </w:tc>
        <w:tc>
          <w:tcPr>
            <w:tcW w:w="1247" w:type="dxa"/>
            <w:noWrap/>
            <w:vAlign w:val="center"/>
            <w:hideMark/>
          </w:tcPr>
          <w:p w14:paraId="113268DD" w14:textId="35073FC3" w:rsidR="00152344" w:rsidRPr="00550D38" w:rsidRDefault="00152344" w:rsidP="00DB6D7E">
            <w:pPr>
              <w:keepNext/>
              <w:tabs>
                <w:tab w:val="clear" w:pos="5309"/>
              </w:tabs>
              <w:spacing w:line="279" w:lineRule="auto"/>
              <w:jc w:val="center"/>
              <w:rPr>
                <w:b/>
                <w:color w:val="44546A" w:themeColor="text2"/>
              </w:rPr>
            </w:pPr>
            <w:r w:rsidRPr="00550D38">
              <w:rPr>
                <w:b/>
                <w:color w:val="44546A" w:themeColor="text2"/>
              </w:rPr>
              <w:t>$</w:t>
            </w:r>
            <w:r w:rsidR="0002173F" w:rsidRPr="00550D38">
              <w:rPr>
                <w:b/>
                <w:color w:val="44546A" w:themeColor="text2"/>
              </w:rPr>
              <w:t>6</w:t>
            </w:r>
            <w:r w:rsidR="0002173F">
              <w:rPr>
                <w:b/>
                <w:color w:val="44546A" w:themeColor="text2"/>
              </w:rPr>
              <w:t>49</w:t>
            </w:r>
          </w:p>
        </w:tc>
        <w:tc>
          <w:tcPr>
            <w:tcW w:w="1247" w:type="dxa"/>
            <w:noWrap/>
            <w:vAlign w:val="center"/>
            <w:hideMark/>
          </w:tcPr>
          <w:p w14:paraId="55ED9D48" w14:textId="7225D9E1"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02173F">
              <w:rPr>
                <w:color w:val="44546A" w:themeColor="text2"/>
              </w:rPr>
              <w:t>13.6</w:t>
            </w:r>
            <w:r w:rsidR="00152344" w:rsidRPr="00152344">
              <w:rPr>
                <w:color w:val="44546A" w:themeColor="text2"/>
              </w:rPr>
              <w:t>%</w:t>
            </w:r>
          </w:p>
        </w:tc>
        <w:tc>
          <w:tcPr>
            <w:tcW w:w="1247" w:type="dxa"/>
            <w:noWrap/>
            <w:vAlign w:val="center"/>
            <w:hideMark/>
          </w:tcPr>
          <w:p w14:paraId="17B7B970" w14:textId="312475DD" w:rsidR="00152344" w:rsidRPr="00152344" w:rsidRDefault="00EB5D46" w:rsidP="00DB6D7E">
            <w:pPr>
              <w:keepNext/>
              <w:tabs>
                <w:tab w:val="clear" w:pos="5309"/>
              </w:tabs>
              <w:spacing w:line="279" w:lineRule="auto"/>
              <w:jc w:val="center"/>
              <w:rPr>
                <w:color w:val="44546A" w:themeColor="text2"/>
              </w:rPr>
            </w:pPr>
            <w:r>
              <w:rPr>
                <w:color w:val="44546A" w:themeColor="text2"/>
              </w:rPr>
              <w:t>+</w:t>
            </w:r>
            <w:r w:rsidR="0002173F">
              <w:rPr>
                <w:color w:val="44546A" w:themeColor="text2"/>
              </w:rPr>
              <w:t>24.5</w:t>
            </w:r>
            <w:r w:rsidR="00152344" w:rsidRPr="00152344">
              <w:rPr>
                <w:color w:val="44546A" w:themeColor="text2"/>
              </w:rPr>
              <w:t>%</w:t>
            </w:r>
          </w:p>
        </w:tc>
        <w:tc>
          <w:tcPr>
            <w:tcW w:w="1247" w:type="dxa"/>
            <w:noWrap/>
            <w:vAlign w:val="center"/>
            <w:hideMark/>
          </w:tcPr>
          <w:p w14:paraId="7E51AED6" w14:textId="17AF9CA5" w:rsidR="00152344" w:rsidRPr="00550D38" w:rsidRDefault="00EB5D46" w:rsidP="00DB6D7E">
            <w:pPr>
              <w:keepNext/>
              <w:tabs>
                <w:tab w:val="clear" w:pos="5309"/>
              </w:tabs>
              <w:spacing w:line="279" w:lineRule="auto"/>
              <w:jc w:val="center"/>
              <w:rPr>
                <w:b/>
                <w:color w:val="44546A" w:themeColor="text2"/>
              </w:rPr>
            </w:pPr>
            <w:r>
              <w:rPr>
                <w:b/>
                <w:color w:val="44546A" w:themeColor="text2"/>
              </w:rPr>
              <w:t>+</w:t>
            </w:r>
            <w:r w:rsidR="00152344" w:rsidRPr="00550D38">
              <w:rPr>
                <w:b/>
                <w:color w:val="44546A" w:themeColor="text2"/>
              </w:rPr>
              <w:t>1</w:t>
            </w:r>
            <w:r w:rsidR="0002173F">
              <w:rPr>
                <w:b/>
                <w:color w:val="44546A" w:themeColor="text2"/>
              </w:rPr>
              <w:t>6</w:t>
            </w:r>
            <w:r w:rsidR="00152344" w:rsidRPr="00550D38">
              <w:rPr>
                <w:b/>
                <w:color w:val="44546A" w:themeColor="text2"/>
              </w:rPr>
              <w:t>.</w:t>
            </w:r>
            <w:r w:rsidR="0002173F">
              <w:rPr>
                <w:b/>
                <w:color w:val="44546A" w:themeColor="text2"/>
              </w:rPr>
              <w:t>4</w:t>
            </w:r>
            <w:r w:rsidR="00152344" w:rsidRPr="00550D38">
              <w:rPr>
                <w:b/>
                <w:color w:val="44546A" w:themeColor="text2"/>
              </w:rPr>
              <w:t>%</w:t>
            </w:r>
          </w:p>
        </w:tc>
      </w:tr>
      <w:tr w:rsidR="00152344" w:rsidRPr="00152344" w14:paraId="37BF3642" w14:textId="77777777" w:rsidTr="00094C11">
        <w:trPr>
          <w:trHeight w:val="290"/>
          <w:jc w:val="center"/>
        </w:trPr>
        <w:tc>
          <w:tcPr>
            <w:tcW w:w="1413" w:type="dxa"/>
            <w:shd w:val="clear" w:color="auto" w:fill="EFF0F7" w:themeFill="accent4" w:themeFillTint="33"/>
            <w:noWrap/>
            <w:vAlign w:val="center"/>
            <w:hideMark/>
          </w:tcPr>
          <w:p w14:paraId="7993D650" w14:textId="77777777" w:rsidR="00152344" w:rsidRPr="000A042D" w:rsidRDefault="00152344" w:rsidP="00152344">
            <w:pPr>
              <w:tabs>
                <w:tab w:val="clear" w:pos="5309"/>
              </w:tabs>
              <w:spacing w:line="279" w:lineRule="auto"/>
              <w:rPr>
                <w:i/>
                <w:color w:val="44546A" w:themeColor="text2"/>
              </w:rPr>
            </w:pPr>
            <w:r w:rsidRPr="000A042D">
              <w:rPr>
                <w:i/>
                <w:color w:val="44546A" w:themeColor="text2"/>
              </w:rPr>
              <w:t>All other</w:t>
            </w:r>
          </w:p>
        </w:tc>
        <w:tc>
          <w:tcPr>
            <w:tcW w:w="1247" w:type="dxa"/>
            <w:noWrap/>
            <w:vAlign w:val="center"/>
            <w:hideMark/>
          </w:tcPr>
          <w:p w14:paraId="3791AB02" w14:textId="47192FBF" w:rsidR="00152344" w:rsidRPr="000A042D" w:rsidRDefault="00152344" w:rsidP="00094C11">
            <w:pPr>
              <w:tabs>
                <w:tab w:val="clear" w:pos="5309"/>
              </w:tabs>
              <w:spacing w:line="279" w:lineRule="auto"/>
              <w:jc w:val="center"/>
              <w:rPr>
                <w:i/>
                <w:color w:val="44546A" w:themeColor="text2"/>
              </w:rPr>
            </w:pPr>
            <w:r w:rsidRPr="000A042D">
              <w:rPr>
                <w:i/>
                <w:color w:val="44546A" w:themeColor="text2"/>
              </w:rPr>
              <w:t>$1,</w:t>
            </w:r>
            <w:r w:rsidR="00142EE6">
              <w:rPr>
                <w:i/>
                <w:color w:val="44546A" w:themeColor="text2"/>
              </w:rPr>
              <w:t>856</w:t>
            </w:r>
          </w:p>
        </w:tc>
        <w:tc>
          <w:tcPr>
            <w:tcW w:w="1247" w:type="dxa"/>
            <w:noWrap/>
            <w:vAlign w:val="center"/>
            <w:hideMark/>
          </w:tcPr>
          <w:p w14:paraId="6A5A2D96" w14:textId="2C498901" w:rsidR="00152344" w:rsidRPr="000A042D" w:rsidRDefault="00152344" w:rsidP="00094C11">
            <w:pPr>
              <w:tabs>
                <w:tab w:val="clear" w:pos="5309"/>
              </w:tabs>
              <w:spacing w:line="279" w:lineRule="auto"/>
              <w:jc w:val="center"/>
              <w:rPr>
                <w:i/>
                <w:color w:val="44546A" w:themeColor="text2"/>
              </w:rPr>
            </w:pPr>
            <w:r w:rsidRPr="000A042D">
              <w:rPr>
                <w:i/>
                <w:color w:val="44546A" w:themeColor="text2"/>
              </w:rPr>
              <w:t>$82</w:t>
            </w:r>
            <w:r w:rsidR="00142EE6">
              <w:rPr>
                <w:i/>
                <w:color w:val="44546A" w:themeColor="text2"/>
              </w:rPr>
              <w:t>4</w:t>
            </w:r>
          </w:p>
        </w:tc>
        <w:tc>
          <w:tcPr>
            <w:tcW w:w="1247" w:type="dxa"/>
            <w:noWrap/>
            <w:vAlign w:val="center"/>
            <w:hideMark/>
          </w:tcPr>
          <w:p w14:paraId="2093C6BC" w14:textId="1C19C44E" w:rsidR="00152344" w:rsidRPr="00550D38" w:rsidRDefault="00152344" w:rsidP="00094C11">
            <w:pPr>
              <w:tabs>
                <w:tab w:val="clear" w:pos="5309"/>
              </w:tabs>
              <w:spacing w:line="279" w:lineRule="auto"/>
              <w:jc w:val="center"/>
              <w:rPr>
                <w:b/>
                <w:i/>
                <w:color w:val="44546A" w:themeColor="text2"/>
              </w:rPr>
            </w:pPr>
            <w:r w:rsidRPr="00550D38">
              <w:rPr>
                <w:b/>
                <w:i/>
                <w:color w:val="44546A" w:themeColor="text2"/>
              </w:rPr>
              <w:t>$2,6</w:t>
            </w:r>
            <w:r w:rsidR="00142EE6">
              <w:rPr>
                <w:b/>
                <w:i/>
                <w:color w:val="44546A" w:themeColor="text2"/>
              </w:rPr>
              <w:t>80</w:t>
            </w:r>
          </w:p>
        </w:tc>
        <w:tc>
          <w:tcPr>
            <w:tcW w:w="1247" w:type="dxa"/>
            <w:noWrap/>
            <w:vAlign w:val="center"/>
            <w:hideMark/>
          </w:tcPr>
          <w:p w14:paraId="603BDBB5" w14:textId="238CAF1E" w:rsidR="00152344" w:rsidRPr="000A042D" w:rsidRDefault="00EB5D46" w:rsidP="00094C11">
            <w:pPr>
              <w:tabs>
                <w:tab w:val="clear" w:pos="5309"/>
              </w:tabs>
              <w:spacing w:line="279" w:lineRule="auto"/>
              <w:jc w:val="center"/>
              <w:rPr>
                <w:i/>
                <w:color w:val="44546A" w:themeColor="text2"/>
              </w:rPr>
            </w:pPr>
            <w:r>
              <w:rPr>
                <w:i/>
                <w:color w:val="44546A" w:themeColor="text2"/>
              </w:rPr>
              <w:t>+</w:t>
            </w:r>
            <w:r w:rsidR="00152344" w:rsidRPr="000A042D">
              <w:rPr>
                <w:i/>
                <w:color w:val="44546A" w:themeColor="text2"/>
              </w:rPr>
              <w:t>1.</w:t>
            </w:r>
            <w:r w:rsidR="00142EE6">
              <w:rPr>
                <w:i/>
                <w:color w:val="44546A" w:themeColor="text2"/>
              </w:rPr>
              <w:t>5</w:t>
            </w:r>
            <w:r w:rsidR="00152344" w:rsidRPr="000A042D">
              <w:rPr>
                <w:i/>
                <w:color w:val="44546A" w:themeColor="text2"/>
              </w:rPr>
              <w:t>%</w:t>
            </w:r>
          </w:p>
        </w:tc>
        <w:tc>
          <w:tcPr>
            <w:tcW w:w="1247" w:type="dxa"/>
            <w:noWrap/>
            <w:vAlign w:val="center"/>
            <w:hideMark/>
          </w:tcPr>
          <w:p w14:paraId="73689E8B" w14:textId="6726D003" w:rsidR="00152344" w:rsidRPr="000A042D" w:rsidRDefault="00EB5D46" w:rsidP="00094C11">
            <w:pPr>
              <w:tabs>
                <w:tab w:val="clear" w:pos="5309"/>
              </w:tabs>
              <w:spacing w:line="279" w:lineRule="auto"/>
              <w:jc w:val="center"/>
              <w:rPr>
                <w:i/>
                <w:color w:val="44546A" w:themeColor="text2"/>
              </w:rPr>
            </w:pPr>
            <w:r>
              <w:rPr>
                <w:i/>
                <w:color w:val="44546A" w:themeColor="text2"/>
              </w:rPr>
              <w:t>+</w:t>
            </w:r>
            <w:r w:rsidR="00152344" w:rsidRPr="000A042D">
              <w:rPr>
                <w:i/>
                <w:color w:val="44546A" w:themeColor="text2"/>
              </w:rPr>
              <w:t>4.</w:t>
            </w:r>
            <w:r w:rsidR="00142EE6">
              <w:rPr>
                <w:i/>
                <w:color w:val="44546A" w:themeColor="text2"/>
              </w:rPr>
              <w:t>3</w:t>
            </w:r>
            <w:r w:rsidR="00152344" w:rsidRPr="000A042D">
              <w:rPr>
                <w:i/>
                <w:color w:val="44546A" w:themeColor="text2"/>
              </w:rPr>
              <w:t>%</w:t>
            </w:r>
          </w:p>
        </w:tc>
        <w:tc>
          <w:tcPr>
            <w:tcW w:w="1247" w:type="dxa"/>
            <w:noWrap/>
            <w:vAlign w:val="center"/>
            <w:hideMark/>
          </w:tcPr>
          <w:p w14:paraId="0F973B00" w14:textId="5706F32E" w:rsidR="00152344" w:rsidRPr="00550D38" w:rsidRDefault="00EB5D46" w:rsidP="00094C11">
            <w:pPr>
              <w:tabs>
                <w:tab w:val="clear" w:pos="5309"/>
              </w:tabs>
              <w:spacing w:line="279" w:lineRule="auto"/>
              <w:jc w:val="center"/>
              <w:rPr>
                <w:b/>
                <w:i/>
                <w:color w:val="44546A" w:themeColor="text2"/>
              </w:rPr>
            </w:pPr>
            <w:r>
              <w:rPr>
                <w:b/>
                <w:i/>
                <w:color w:val="44546A" w:themeColor="text2"/>
              </w:rPr>
              <w:t>+</w:t>
            </w:r>
            <w:r w:rsidR="00152344" w:rsidRPr="00550D38">
              <w:rPr>
                <w:b/>
                <w:i/>
                <w:color w:val="44546A" w:themeColor="text2"/>
              </w:rPr>
              <w:t>2.</w:t>
            </w:r>
            <w:r w:rsidR="00142EE6">
              <w:rPr>
                <w:b/>
                <w:i/>
                <w:color w:val="44546A" w:themeColor="text2"/>
              </w:rPr>
              <w:t>3</w:t>
            </w:r>
            <w:r w:rsidR="00152344" w:rsidRPr="00550D38">
              <w:rPr>
                <w:b/>
                <w:i/>
                <w:color w:val="44546A" w:themeColor="text2"/>
              </w:rPr>
              <w:t>%</w:t>
            </w:r>
          </w:p>
        </w:tc>
      </w:tr>
      <w:tr w:rsidR="00152344" w:rsidRPr="00152344" w14:paraId="248D5DC8" w14:textId="77777777" w:rsidTr="00094C11">
        <w:trPr>
          <w:trHeight w:val="290"/>
          <w:jc w:val="center"/>
        </w:trPr>
        <w:tc>
          <w:tcPr>
            <w:tcW w:w="1413" w:type="dxa"/>
            <w:shd w:val="clear" w:color="auto" w:fill="EFF0F7" w:themeFill="accent4" w:themeFillTint="33"/>
            <w:noWrap/>
            <w:vAlign w:val="center"/>
            <w:hideMark/>
          </w:tcPr>
          <w:p w14:paraId="3D9151DA" w14:textId="6E96F1A3" w:rsidR="00152344" w:rsidRPr="00550D38" w:rsidRDefault="00152344" w:rsidP="00152344">
            <w:pPr>
              <w:tabs>
                <w:tab w:val="clear" w:pos="5309"/>
              </w:tabs>
              <w:spacing w:line="279" w:lineRule="auto"/>
              <w:rPr>
                <w:b/>
                <w:color w:val="44546A" w:themeColor="text2"/>
              </w:rPr>
            </w:pPr>
            <w:r w:rsidRPr="00550D38">
              <w:rPr>
                <w:b/>
                <w:color w:val="44546A" w:themeColor="text2"/>
              </w:rPr>
              <w:t>Total</w:t>
            </w:r>
            <w:r w:rsidR="00CE6F96">
              <w:rPr>
                <w:rFonts w:ascii="ZWAdobeF" w:hAnsi="ZWAdobeF" w:cs="ZWAdobeF"/>
                <w:color w:val="auto"/>
                <w:sz w:val="2"/>
                <w:szCs w:val="2"/>
              </w:rPr>
              <w:t>8F</w:t>
            </w:r>
            <w:r w:rsidR="000A042D" w:rsidRPr="00550D38">
              <w:rPr>
                <w:rStyle w:val="FootnoteReference"/>
                <w:b/>
                <w:color w:val="44546A" w:themeColor="text2"/>
              </w:rPr>
              <w:footnoteReference w:id="10"/>
            </w:r>
          </w:p>
        </w:tc>
        <w:tc>
          <w:tcPr>
            <w:tcW w:w="1247" w:type="dxa"/>
            <w:noWrap/>
            <w:vAlign w:val="center"/>
            <w:hideMark/>
          </w:tcPr>
          <w:p w14:paraId="0AFDE3CD" w14:textId="40AC21B9" w:rsidR="00152344" w:rsidRPr="00550D38" w:rsidRDefault="00152344" w:rsidP="00094C11">
            <w:pPr>
              <w:tabs>
                <w:tab w:val="clear" w:pos="5309"/>
              </w:tabs>
              <w:spacing w:line="279" w:lineRule="auto"/>
              <w:jc w:val="center"/>
              <w:rPr>
                <w:b/>
                <w:color w:val="44546A" w:themeColor="text2"/>
              </w:rPr>
            </w:pPr>
            <w:r w:rsidRPr="00550D38">
              <w:rPr>
                <w:b/>
                <w:color w:val="44546A" w:themeColor="text2"/>
              </w:rPr>
              <w:t>$5,</w:t>
            </w:r>
            <w:r w:rsidR="00E66AB2" w:rsidRPr="00550D38">
              <w:rPr>
                <w:b/>
                <w:color w:val="44546A" w:themeColor="text2"/>
              </w:rPr>
              <w:t>1</w:t>
            </w:r>
            <w:r w:rsidR="00E66AB2">
              <w:rPr>
                <w:b/>
                <w:color w:val="44546A" w:themeColor="text2"/>
              </w:rPr>
              <w:t>26</w:t>
            </w:r>
          </w:p>
        </w:tc>
        <w:tc>
          <w:tcPr>
            <w:tcW w:w="1247" w:type="dxa"/>
            <w:noWrap/>
            <w:vAlign w:val="center"/>
            <w:hideMark/>
          </w:tcPr>
          <w:p w14:paraId="4918ED83" w14:textId="26969345" w:rsidR="00152344" w:rsidRPr="00550D38" w:rsidRDefault="00152344" w:rsidP="00094C11">
            <w:pPr>
              <w:tabs>
                <w:tab w:val="clear" w:pos="5309"/>
              </w:tabs>
              <w:spacing w:line="279" w:lineRule="auto"/>
              <w:jc w:val="center"/>
              <w:rPr>
                <w:b/>
                <w:color w:val="44546A" w:themeColor="text2"/>
              </w:rPr>
            </w:pPr>
            <w:r w:rsidRPr="00550D38">
              <w:rPr>
                <w:b/>
                <w:color w:val="44546A" w:themeColor="text2"/>
              </w:rPr>
              <w:t>$1,58</w:t>
            </w:r>
            <w:r w:rsidR="00E66AB2">
              <w:rPr>
                <w:b/>
                <w:color w:val="44546A" w:themeColor="text2"/>
              </w:rPr>
              <w:t>1</w:t>
            </w:r>
          </w:p>
        </w:tc>
        <w:tc>
          <w:tcPr>
            <w:tcW w:w="1247" w:type="dxa"/>
            <w:noWrap/>
            <w:vAlign w:val="center"/>
            <w:hideMark/>
          </w:tcPr>
          <w:p w14:paraId="5C5CA3B6" w14:textId="799C8878" w:rsidR="00152344" w:rsidRPr="00550D38" w:rsidRDefault="00152344" w:rsidP="00094C11">
            <w:pPr>
              <w:tabs>
                <w:tab w:val="clear" w:pos="5309"/>
              </w:tabs>
              <w:spacing w:line="279" w:lineRule="auto"/>
              <w:jc w:val="center"/>
              <w:rPr>
                <w:b/>
                <w:color w:val="44546A" w:themeColor="text2"/>
              </w:rPr>
            </w:pPr>
            <w:r w:rsidRPr="00550D38">
              <w:rPr>
                <w:b/>
                <w:color w:val="44546A" w:themeColor="text2"/>
              </w:rPr>
              <w:t>$6,7</w:t>
            </w:r>
            <w:r w:rsidR="00E66AB2">
              <w:rPr>
                <w:b/>
                <w:color w:val="44546A" w:themeColor="text2"/>
              </w:rPr>
              <w:t>07</w:t>
            </w:r>
          </w:p>
        </w:tc>
        <w:tc>
          <w:tcPr>
            <w:tcW w:w="1247" w:type="dxa"/>
            <w:noWrap/>
            <w:vAlign w:val="center"/>
            <w:hideMark/>
          </w:tcPr>
          <w:p w14:paraId="69017740" w14:textId="052C4B99" w:rsidR="00152344" w:rsidRPr="00550D38" w:rsidRDefault="00EB5D46" w:rsidP="00094C11">
            <w:pPr>
              <w:tabs>
                <w:tab w:val="clear" w:pos="5309"/>
              </w:tabs>
              <w:spacing w:line="279" w:lineRule="auto"/>
              <w:jc w:val="center"/>
              <w:rPr>
                <w:b/>
                <w:color w:val="44546A" w:themeColor="text2"/>
              </w:rPr>
            </w:pPr>
            <w:r>
              <w:rPr>
                <w:b/>
                <w:color w:val="44546A" w:themeColor="text2"/>
              </w:rPr>
              <w:t>+</w:t>
            </w:r>
            <w:r w:rsidR="00152344" w:rsidRPr="00550D38">
              <w:rPr>
                <w:b/>
                <w:color w:val="44546A" w:themeColor="text2"/>
              </w:rPr>
              <w:t>2.</w:t>
            </w:r>
            <w:r w:rsidR="00E66AB2">
              <w:rPr>
                <w:b/>
                <w:color w:val="44546A" w:themeColor="text2"/>
              </w:rPr>
              <w:t>4</w:t>
            </w:r>
            <w:r w:rsidR="00152344" w:rsidRPr="00550D38">
              <w:rPr>
                <w:b/>
                <w:color w:val="44546A" w:themeColor="text2"/>
              </w:rPr>
              <w:t>%</w:t>
            </w:r>
          </w:p>
        </w:tc>
        <w:tc>
          <w:tcPr>
            <w:tcW w:w="1247" w:type="dxa"/>
            <w:noWrap/>
            <w:vAlign w:val="center"/>
            <w:hideMark/>
          </w:tcPr>
          <w:p w14:paraId="7848AEEF" w14:textId="0F5CE48F" w:rsidR="00152344" w:rsidRPr="00550D38" w:rsidRDefault="00EB5D46" w:rsidP="00094C11">
            <w:pPr>
              <w:tabs>
                <w:tab w:val="clear" w:pos="5309"/>
              </w:tabs>
              <w:spacing w:line="279" w:lineRule="auto"/>
              <w:jc w:val="center"/>
              <w:rPr>
                <w:b/>
                <w:color w:val="44546A" w:themeColor="text2"/>
              </w:rPr>
            </w:pPr>
            <w:r>
              <w:rPr>
                <w:b/>
                <w:color w:val="44546A" w:themeColor="text2"/>
              </w:rPr>
              <w:t>+</w:t>
            </w:r>
            <w:r w:rsidR="00E66AB2">
              <w:rPr>
                <w:b/>
                <w:color w:val="44546A" w:themeColor="text2"/>
              </w:rPr>
              <w:t>4.6</w:t>
            </w:r>
            <w:r w:rsidR="00152344" w:rsidRPr="00550D38">
              <w:rPr>
                <w:b/>
                <w:color w:val="44546A" w:themeColor="text2"/>
              </w:rPr>
              <w:t>%</w:t>
            </w:r>
          </w:p>
        </w:tc>
        <w:tc>
          <w:tcPr>
            <w:tcW w:w="1247" w:type="dxa"/>
            <w:noWrap/>
            <w:vAlign w:val="center"/>
            <w:hideMark/>
          </w:tcPr>
          <w:p w14:paraId="176BFB1E" w14:textId="79B8E95C" w:rsidR="00152344" w:rsidRPr="00550D38" w:rsidRDefault="00EB5D46" w:rsidP="00094C11">
            <w:pPr>
              <w:tabs>
                <w:tab w:val="clear" w:pos="5309"/>
              </w:tabs>
              <w:spacing w:line="279" w:lineRule="auto"/>
              <w:jc w:val="center"/>
              <w:rPr>
                <w:b/>
                <w:color w:val="44546A" w:themeColor="text2"/>
              </w:rPr>
            </w:pPr>
            <w:r>
              <w:rPr>
                <w:b/>
                <w:color w:val="44546A" w:themeColor="text2"/>
              </w:rPr>
              <w:t>+</w:t>
            </w:r>
            <w:r w:rsidR="00E66AB2">
              <w:rPr>
                <w:b/>
                <w:color w:val="44546A" w:themeColor="text2"/>
              </w:rPr>
              <w:t>2.9</w:t>
            </w:r>
            <w:r w:rsidR="00152344" w:rsidRPr="00550D38">
              <w:rPr>
                <w:b/>
                <w:color w:val="44546A" w:themeColor="text2"/>
              </w:rPr>
              <w:t>%</w:t>
            </w:r>
          </w:p>
        </w:tc>
      </w:tr>
    </w:tbl>
    <w:p w14:paraId="18F33E86" w14:textId="77777777" w:rsidR="00152344" w:rsidRDefault="00152344" w:rsidP="00437F33">
      <w:pPr>
        <w:tabs>
          <w:tab w:val="clear" w:pos="5309"/>
        </w:tabs>
        <w:spacing w:line="279" w:lineRule="auto"/>
      </w:pPr>
    </w:p>
    <w:p w14:paraId="4AC3850E" w14:textId="571BA5AD" w:rsidR="00D65956" w:rsidRDefault="00D65956" w:rsidP="00DB6D7E">
      <w:pPr>
        <w:pStyle w:val="ListParagraph"/>
        <w:numPr>
          <w:ilvl w:val="0"/>
          <w:numId w:val="71"/>
        </w:numPr>
        <w:tabs>
          <w:tab w:val="clear" w:pos="5309"/>
        </w:tabs>
        <w:ind w:left="714" w:hanging="357"/>
        <w:contextualSpacing w:val="0"/>
      </w:pPr>
      <w:r w:rsidRPr="007570C7">
        <w:rPr>
          <w:b/>
        </w:rPr>
        <w:t>Nursing</w:t>
      </w:r>
      <w:r>
        <w:t xml:space="preserve"> </w:t>
      </w:r>
      <w:r w:rsidR="00804B7D">
        <w:t>was</w:t>
      </w:r>
      <w:r w:rsidR="0030379A">
        <w:t xml:space="preserve"> the largest cost bucket, contributing approximately</w:t>
      </w:r>
      <w:r w:rsidR="00271E59">
        <w:t xml:space="preserve"> 19% </w:t>
      </w:r>
      <w:r w:rsidR="0030379A">
        <w:t xml:space="preserve">to 2023-24 average cost per GWAU. The </w:t>
      </w:r>
      <w:r w:rsidR="001B797E">
        <w:t xml:space="preserve">cost increased by </w:t>
      </w:r>
      <w:r w:rsidR="00804B7D">
        <w:t xml:space="preserve">a relatively small growth rate of </w:t>
      </w:r>
      <w:r w:rsidR="001B797E" w:rsidRPr="00FF5B23">
        <w:t>0.</w:t>
      </w:r>
      <w:r w:rsidR="00E750E1">
        <w:t>2</w:t>
      </w:r>
      <w:r w:rsidR="001B797E" w:rsidRPr="00FF5B23">
        <w:t>%</w:t>
      </w:r>
      <w:r w:rsidR="00804B7D" w:rsidRPr="00FF5B23">
        <w:t>,</w:t>
      </w:r>
      <w:r w:rsidR="00804B7D">
        <w:t xml:space="preserve"> driven by a 0.</w:t>
      </w:r>
      <w:r w:rsidR="00E750E1">
        <w:t>4</w:t>
      </w:r>
      <w:r w:rsidR="00804B7D">
        <w:t xml:space="preserve">% increase in direct costs. </w:t>
      </w:r>
      <w:r w:rsidR="00EC3E3A">
        <w:t>The increase in the average</w:t>
      </w:r>
      <w:r w:rsidR="00A24B74">
        <w:t xml:space="preserve"> nursing cost per GWAU varied by NHCDC activity stream, with larger increases in both </w:t>
      </w:r>
      <w:r w:rsidR="00C05084">
        <w:t>ED</w:t>
      </w:r>
      <w:r w:rsidR="00A24B74">
        <w:t xml:space="preserve"> (+4.</w:t>
      </w:r>
      <w:r w:rsidR="00D87B2C">
        <w:t>0</w:t>
      </w:r>
      <w:r w:rsidR="00A24B74">
        <w:t>%) and non-admitted (+</w:t>
      </w:r>
      <w:r w:rsidR="008D1AE9">
        <w:t>2.6</w:t>
      </w:r>
      <w:r w:rsidR="00A24B74">
        <w:t>%), offset by a reduction in admitted acute (-1.</w:t>
      </w:r>
      <w:r w:rsidR="008D1AE9">
        <w:t>7</w:t>
      </w:r>
      <w:r w:rsidR="00A24B74">
        <w:t>%).</w:t>
      </w:r>
    </w:p>
    <w:p w14:paraId="34BDD01E" w14:textId="5EC0F28E" w:rsidR="00804B7D" w:rsidRDefault="00804B7D" w:rsidP="00DB6D7E">
      <w:pPr>
        <w:pStyle w:val="ListParagraph"/>
        <w:numPr>
          <w:ilvl w:val="0"/>
          <w:numId w:val="71"/>
        </w:numPr>
        <w:tabs>
          <w:tab w:val="clear" w:pos="5309"/>
        </w:tabs>
        <w:ind w:left="714" w:hanging="357"/>
        <w:contextualSpacing w:val="0"/>
      </w:pPr>
      <w:r w:rsidRPr="007570C7">
        <w:rPr>
          <w:b/>
        </w:rPr>
        <w:t>Medical</w:t>
      </w:r>
      <w:r>
        <w:t xml:space="preserve"> was the second largest cost bucket, contributing approximately 14% to 2023-24 average cost per GWAU. The cost increased by </w:t>
      </w:r>
      <w:r w:rsidR="008D1AE9">
        <w:t>1.6</w:t>
      </w:r>
      <w:r w:rsidRPr="00FF5B23">
        <w:t>%,</w:t>
      </w:r>
      <w:r>
        <w:t xml:space="preserve"> driven by a 2.</w:t>
      </w:r>
      <w:r w:rsidR="008D1AE9">
        <w:t>3</w:t>
      </w:r>
      <w:r>
        <w:t>% increase in direct costs</w:t>
      </w:r>
      <w:r w:rsidR="00841CFD">
        <w:t xml:space="preserve">, </w:t>
      </w:r>
      <w:r w:rsidR="004564D7">
        <w:t>offset by</w:t>
      </w:r>
      <w:r w:rsidR="00841CFD">
        <w:t xml:space="preserve"> a reduction in the </w:t>
      </w:r>
      <w:r w:rsidR="004564D7">
        <w:t xml:space="preserve">average </w:t>
      </w:r>
      <w:r w:rsidR="00841CFD">
        <w:t xml:space="preserve">overhead cost per GWAU of </w:t>
      </w:r>
      <w:r w:rsidR="00E4132F">
        <w:t>12.5</w:t>
      </w:r>
      <w:r w:rsidR="00841CFD">
        <w:t>%</w:t>
      </w:r>
      <w:r>
        <w:t xml:space="preserve">. </w:t>
      </w:r>
      <w:r w:rsidR="000648B8">
        <w:t xml:space="preserve">Similar to nursing, there was variation in the average medical cost per GWAU by NHCDC activity stream, with increases in </w:t>
      </w:r>
      <w:r w:rsidR="00C05084">
        <w:t>ED</w:t>
      </w:r>
      <w:r w:rsidR="000648B8">
        <w:t xml:space="preserve"> (+</w:t>
      </w:r>
      <w:r w:rsidR="00E4132F">
        <w:t>6.7</w:t>
      </w:r>
      <w:r w:rsidR="000648B8">
        <w:t>%)</w:t>
      </w:r>
      <w:r w:rsidR="00273F0C">
        <w:t>,</w:t>
      </w:r>
      <w:r w:rsidR="000648B8">
        <w:t xml:space="preserve"> and offset by a reduction in </w:t>
      </w:r>
      <w:r w:rsidR="00951EEB">
        <w:t xml:space="preserve">admitted </w:t>
      </w:r>
      <w:r w:rsidR="00273F0C">
        <w:t xml:space="preserve">acute (-0.3%), and </w:t>
      </w:r>
      <w:r w:rsidR="000648B8">
        <w:t>non</w:t>
      </w:r>
      <w:r w:rsidR="00562770">
        <w:noBreakHyphen/>
      </w:r>
      <w:r w:rsidR="000648B8">
        <w:t>admitted (-2.</w:t>
      </w:r>
      <w:r w:rsidR="00273F0C">
        <w:t>2</w:t>
      </w:r>
      <w:r w:rsidR="000648B8">
        <w:t>%).</w:t>
      </w:r>
    </w:p>
    <w:p w14:paraId="5729AE67" w14:textId="5632BFD4" w:rsidR="00804B7D" w:rsidRDefault="00804B7D" w:rsidP="00DB6D7E">
      <w:pPr>
        <w:pStyle w:val="ListParagraph"/>
        <w:numPr>
          <w:ilvl w:val="0"/>
          <w:numId w:val="71"/>
        </w:numPr>
        <w:tabs>
          <w:tab w:val="clear" w:pos="5309"/>
        </w:tabs>
        <w:ind w:left="714" w:hanging="357"/>
        <w:contextualSpacing w:val="0"/>
      </w:pPr>
      <w:r w:rsidRPr="007570C7">
        <w:rPr>
          <w:b/>
        </w:rPr>
        <w:t>Oncost</w:t>
      </w:r>
      <w:r>
        <w:t xml:space="preserve"> was the third largest cost bucket, contributing approximately 10% to 2023-24 average cost per GWAU. The cost increased </w:t>
      </w:r>
      <w:r w:rsidR="00F60DB5">
        <w:t xml:space="preserve">significantly </w:t>
      </w:r>
      <w:r>
        <w:t xml:space="preserve">by </w:t>
      </w:r>
      <w:r w:rsidR="008D5C5A">
        <w:t>16.4</w:t>
      </w:r>
      <w:r w:rsidRPr="00FF5B23">
        <w:t>%,</w:t>
      </w:r>
      <w:r>
        <w:t xml:space="preserve"> driven by </w:t>
      </w:r>
      <w:r w:rsidR="00904B6D">
        <w:t>both an</w:t>
      </w:r>
      <w:r>
        <w:t xml:space="preserve"> increase </w:t>
      </w:r>
      <w:r w:rsidR="00C655ED">
        <w:t>in</w:t>
      </w:r>
      <w:r>
        <w:t xml:space="preserve"> direct costs</w:t>
      </w:r>
      <w:r w:rsidR="00904B6D">
        <w:t xml:space="preserve"> </w:t>
      </w:r>
      <w:r w:rsidR="00FF5B23">
        <w:t>(</w:t>
      </w:r>
      <w:r w:rsidR="008D5C5A">
        <w:t>13.6</w:t>
      </w:r>
      <w:r w:rsidR="00904B6D">
        <w:t>%</w:t>
      </w:r>
      <w:r w:rsidR="00FF5B23">
        <w:t>)</w:t>
      </w:r>
      <w:r w:rsidR="00904B6D">
        <w:t xml:space="preserve"> and overhead costs </w:t>
      </w:r>
      <w:r w:rsidR="00FF5B23">
        <w:t>(</w:t>
      </w:r>
      <w:r w:rsidR="008D5C5A">
        <w:t>24.5</w:t>
      </w:r>
      <w:r w:rsidR="00904B6D">
        <w:t>%</w:t>
      </w:r>
      <w:r w:rsidR="00FF5B23">
        <w:t xml:space="preserve">). </w:t>
      </w:r>
      <w:r w:rsidR="006F37F9">
        <w:t xml:space="preserve">Increases in the average </w:t>
      </w:r>
      <w:r w:rsidR="00CF51F2" w:rsidRPr="00B64277">
        <w:rPr>
          <w:i/>
        </w:rPr>
        <w:t>O</w:t>
      </w:r>
      <w:r w:rsidR="006F37F9" w:rsidRPr="00B64277">
        <w:rPr>
          <w:i/>
        </w:rPr>
        <w:t>ncost</w:t>
      </w:r>
      <w:r w:rsidR="006F37F9">
        <w:t xml:space="preserve"> per GWAU were </w:t>
      </w:r>
      <w:r w:rsidR="001D222A">
        <w:t>observed</w:t>
      </w:r>
      <w:r w:rsidR="006F37F9">
        <w:t xml:space="preserve"> </w:t>
      </w:r>
      <w:r w:rsidR="00A20BC2">
        <w:t xml:space="preserve">across all activity streams. </w:t>
      </w:r>
      <w:r w:rsidR="00A20BC2">
        <w:br/>
      </w:r>
      <w:r w:rsidR="00A20BC2">
        <w:lastRenderedPageBreak/>
        <w:br/>
      </w:r>
      <w:r w:rsidR="00FF5B23">
        <w:t xml:space="preserve">Through the IFR consultations, it was observed that </w:t>
      </w:r>
      <w:r w:rsidR="00A77377">
        <w:t xml:space="preserve">there was variation in </w:t>
      </w:r>
      <w:r w:rsidR="00572A45">
        <w:t>what</w:t>
      </w:r>
      <w:r w:rsidR="00A77377">
        <w:t xml:space="preserve"> </w:t>
      </w:r>
      <w:r w:rsidR="00A77377" w:rsidRPr="00A77377">
        <w:t xml:space="preserve">costs </w:t>
      </w:r>
      <w:r w:rsidR="00A77377">
        <w:t xml:space="preserve">were included in the </w:t>
      </w:r>
      <w:r w:rsidR="00A77377" w:rsidRPr="00A77377">
        <w:rPr>
          <w:i/>
          <w:iCs/>
        </w:rPr>
        <w:t>Oncost</w:t>
      </w:r>
      <w:r w:rsidR="00A77377" w:rsidRPr="00A77377">
        <w:t xml:space="preserve"> category</w:t>
      </w:r>
      <w:r w:rsidR="000C2173">
        <w:t>. As a result, changes in</w:t>
      </w:r>
      <w:r w:rsidR="00572A45">
        <w:t xml:space="preserve"> reporting by jurisdictions will have impacted this growth rate. Further discussion on this finding is presented in </w:t>
      </w:r>
      <w:r w:rsidR="00572A45" w:rsidRPr="00B234B0">
        <w:t>Section</w:t>
      </w:r>
      <w:r w:rsidR="00572A45" w:rsidRPr="008D5C5A">
        <w:t xml:space="preserve"> </w:t>
      </w:r>
      <w:r w:rsidR="00572A45" w:rsidRPr="00F5765E">
        <w:fldChar w:fldCharType="begin" w:fldLock="1"/>
      </w:r>
      <w:r w:rsidR="00572A45" w:rsidRPr="00D81518">
        <w:instrText xml:space="preserve"> REF _Ref208916637 \r \h </w:instrText>
      </w:r>
      <w:r w:rsidR="00280E7E" w:rsidRPr="00D81518">
        <w:instrText xml:space="preserve"> \* MERGEFORMAT </w:instrText>
      </w:r>
      <w:r w:rsidR="00572A45" w:rsidRPr="00F5765E">
        <w:fldChar w:fldCharType="separate"/>
      </w:r>
      <w:r w:rsidR="00084503">
        <w:t>4.4</w:t>
      </w:r>
      <w:r w:rsidR="00572A45" w:rsidRPr="00F5765E">
        <w:fldChar w:fldCharType="end"/>
      </w:r>
      <w:r w:rsidR="00FC4EDB">
        <w:t>.</w:t>
      </w:r>
    </w:p>
    <w:p w14:paraId="4393EBA3" w14:textId="321688A2" w:rsidR="00E10683" w:rsidRDefault="00E10683">
      <w:pPr>
        <w:tabs>
          <w:tab w:val="clear" w:pos="5309"/>
        </w:tabs>
        <w:spacing w:line="279" w:lineRule="auto"/>
      </w:pPr>
      <w:r>
        <w:br w:type="page"/>
      </w:r>
    </w:p>
    <w:p w14:paraId="435A370A" w14:textId="77777777" w:rsidR="00B178C4" w:rsidRDefault="00B178C4">
      <w:pPr>
        <w:tabs>
          <w:tab w:val="clear" w:pos="5309"/>
        </w:tabs>
        <w:spacing w:line="279" w:lineRule="auto"/>
        <w:sectPr w:rsidR="00B178C4" w:rsidSect="007A2B79">
          <w:headerReference w:type="default" r:id="rId27"/>
          <w:footnotePr>
            <w:pos w:val="beneathText"/>
          </w:footnotePr>
          <w:endnotePr>
            <w:numFmt w:val="decimal"/>
          </w:endnotePr>
          <w:pgSz w:w="11906" w:h="16838" w:code="9"/>
          <w:pgMar w:top="1440" w:right="1440" w:bottom="1440" w:left="1440" w:header="720" w:footer="720" w:gutter="0"/>
          <w:cols w:space="720"/>
          <w:docGrid w:linePitch="360"/>
        </w:sectPr>
      </w:pPr>
    </w:p>
    <w:p w14:paraId="1756B0D6" w14:textId="05FFEE91" w:rsidR="00856ABF" w:rsidRDefault="0008226B" w:rsidP="00101B44">
      <w:pPr>
        <w:pStyle w:val="Heading1"/>
      </w:pPr>
      <w:bookmarkStart w:id="22" w:name="_Ref209511246"/>
      <w:bookmarkStart w:id="23" w:name="_Toc209517822"/>
      <w:r>
        <w:lastRenderedPageBreak/>
        <w:t>Key findings</w:t>
      </w:r>
      <w:r w:rsidR="00B178C4">
        <w:t xml:space="preserve"> &amp; recommendations</w:t>
      </w:r>
      <w:bookmarkEnd w:id="22"/>
      <w:bookmarkEnd w:id="23"/>
    </w:p>
    <w:p w14:paraId="7EE3F025" w14:textId="76B5D4F2" w:rsidR="00CC1533" w:rsidRDefault="00CC1533" w:rsidP="00CC1533">
      <w:pPr>
        <w:pStyle w:val="Heading2"/>
      </w:pPr>
      <w:r>
        <w:t xml:space="preserve">Overall robustness of the </w:t>
      </w:r>
      <w:r w:rsidR="004C0D43">
        <w:t>National Hospital Cost Data Collection (</w:t>
      </w:r>
      <w:r>
        <w:t>NHCDC</w:t>
      </w:r>
      <w:r w:rsidR="004C0D43">
        <w:t>)</w:t>
      </w:r>
      <w:r>
        <w:t xml:space="preserve"> 2023-24</w:t>
      </w:r>
    </w:p>
    <w:p w14:paraId="53F403FE" w14:textId="17D7CF68" w:rsidR="00152124" w:rsidRPr="00085389" w:rsidRDefault="00152124" w:rsidP="00EC0C63">
      <w:r w:rsidRPr="00EC0C63">
        <w:rPr>
          <w:u w:val="single"/>
        </w:rPr>
        <w:t xml:space="preserve">Finding 1.1: </w:t>
      </w:r>
      <w:r w:rsidR="00C812F4" w:rsidRPr="00EC0C63">
        <w:rPr>
          <w:u w:val="single"/>
        </w:rPr>
        <w:t xml:space="preserve">NHCDC is suitable for the purpose of </w:t>
      </w:r>
      <w:r w:rsidR="00B47923" w:rsidRPr="00EC0C63">
        <w:rPr>
          <w:u w:val="single"/>
        </w:rPr>
        <w:t xml:space="preserve">developing the </w:t>
      </w:r>
      <w:r w:rsidR="00951EEB">
        <w:rPr>
          <w:u w:val="single"/>
        </w:rPr>
        <w:t>national efficient price (</w:t>
      </w:r>
      <w:r w:rsidR="00B47923" w:rsidRPr="00EC0C63">
        <w:rPr>
          <w:u w:val="single"/>
        </w:rPr>
        <w:t>NEP</w:t>
      </w:r>
      <w:r w:rsidR="00951EEB">
        <w:rPr>
          <w:u w:val="single"/>
        </w:rPr>
        <w:t>)</w:t>
      </w:r>
    </w:p>
    <w:p w14:paraId="4C730D2B" w14:textId="06D8BE98" w:rsidR="009B7C4A" w:rsidRDefault="009B7C4A" w:rsidP="009B7C4A">
      <w:r>
        <w:t xml:space="preserve">One of the key objectives of the </w:t>
      </w:r>
      <w:r w:rsidR="00951EEB">
        <w:t>Independent Financial Review (</w:t>
      </w:r>
      <w:r>
        <w:t>IFR</w:t>
      </w:r>
      <w:r w:rsidR="00951EEB">
        <w:t>)</w:t>
      </w:r>
      <w:r>
        <w:t xml:space="preserve"> is to assess the robustness of the NHCDC and its suitability to inform the NEP. The development of the NEP utilises submitted activity and cost data across all NHCDC activity streams.</w:t>
      </w:r>
    </w:p>
    <w:p w14:paraId="74CD1A09" w14:textId="28E53EBD" w:rsidR="009B7C4A" w:rsidRDefault="009B7C4A" w:rsidP="009B7C4A">
      <w:r>
        <w:t xml:space="preserve">The admitted acute stream is the most mature stream and accounts for the largest proportion of submitted costs. In the context of the NEP development, it is also the most important stream as it is used for the development of the Reference Cost (the average cost per weighted activity unit underpinning the </w:t>
      </w:r>
      <w:r w:rsidR="00B64277">
        <w:t>NEP</w:t>
      </w:r>
      <w:r>
        <w:t xml:space="preserve">), against which all other streams are compared to for developing price weights. </w:t>
      </w:r>
    </w:p>
    <w:p w14:paraId="7B6CCF4A" w14:textId="77777777" w:rsidR="009B7C4A" w:rsidRDefault="009B7C4A" w:rsidP="009B7C4A">
      <w:r>
        <w:t>Other streams such as non-admitted and mental health (especially community mental health) are still maturing and jurisdictions continue to make refinements to data collection and costing processes.</w:t>
      </w:r>
    </w:p>
    <w:p w14:paraId="250A1926" w14:textId="7DC32CBC" w:rsidR="00DD0CBE" w:rsidRDefault="003D0027" w:rsidP="009B7C4A">
      <w:r>
        <w:t xml:space="preserve">It is also important to note that only 5 jurisdictions participated in a full IFR process this year, nominating one to </w:t>
      </w:r>
      <w:r w:rsidR="00253DF9">
        <w:t>3 hospitals across</w:t>
      </w:r>
      <w:r w:rsidDel="00CC067B">
        <w:t xml:space="preserve"> </w:t>
      </w:r>
      <w:r>
        <w:t xml:space="preserve">one to 2 </w:t>
      </w:r>
      <w:r w:rsidR="00882BE6">
        <w:t>Local Health Networks (</w:t>
      </w:r>
      <w:r>
        <w:t>LHNs</w:t>
      </w:r>
      <w:r w:rsidR="00882BE6">
        <w:t>)</w:t>
      </w:r>
      <w:r>
        <w:t>.</w:t>
      </w:r>
      <w:r w:rsidR="00DD0CBE">
        <w:t xml:space="preserve"> From the review of the participating jurisdictions, t</w:t>
      </w:r>
      <w:r w:rsidR="009B7C4A">
        <w:t>he IFR did identify some reporting inconsistencies and some opportunities for improvement in cost allocation processes</w:t>
      </w:r>
      <w:r w:rsidR="00456DD9">
        <w:t xml:space="preserve">. </w:t>
      </w:r>
    </w:p>
    <w:p w14:paraId="51AA6C0A" w14:textId="2FC0F7DF" w:rsidR="0090266F" w:rsidRDefault="00456DD9" w:rsidP="009B7C4A">
      <w:r>
        <w:t>When considering the quantum of NHCDC submitted costs ($70.67 billion in 2022-23</w:t>
      </w:r>
      <w:r w:rsidR="00CE6F96">
        <w:rPr>
          <w:rFonts w:ascii="ZWAdobeF" w:hAnsi="ZWAdobeF" w:cs="ZWAdobeF"/>
          <w:color w:val="auto"/>
          <w:sz w:val="2"/>
          <w:szCs w:val="2"/>
        </w:rPr>
        <w:t>9F</w:t>
      </w:r>
      <w:r w:rsidR="00275E3D">
        <w:rPr>
          <w:rStyle w:val="FootnoteReference"/>
        </w:rPr>
        <w:footnoteReference w:id="11"/>
      </w:r>
      <w:r>
        <w:t>), none of the findings from the IFR were considered material enough to impact on the suitability of the NHCDC</w:t>
      </w:r>
      <w:r w:rsidR="00882BE6">
        <w:t xml:space="preserve"> 2023-24 </w:t>
      </w:r>
      <w:r>
        <w:t>to be used for the development of the NEP.</w:t>
      </w:r>
      <w:r w:rsidR="00F30EFD">
        <w:t xml:space="preserve"> Some of the findings and considerations </w:t>
      </w:r>
      <w:r w:rsidR="0090266F">
        <w:t>include:</w:t>
      </w:r>
    </w:p>
    <w:p w14:paraId="7D1FDFB5" w14:textId="5C958528" w:rsidR="0090266F" w:rsidRDefault="0090266F" w:rsidP="00985174">
      <w:pPr>
        <w:pStyle w:val="ListParagraph"/>
        <w:numPr>
          <w:ilvl w:val="0"/>
          <w:numId w:val="81"/>
        </w:numPr>
      </w:pPr>
      <w:r>
        <w:t xml:space="preserve">Some </w:t>
      </w:r>
      <w:r w:rsidR="007E533E">
        <w:t>critical care costs or</w:t>
      </w:r>
      <w:r w:rsidR="00882BE6">
        <w:t xml:space="preserve"> </w:t>
      </w:r>
      <w:r w:rsidR="000463BE">
        <w:t>I</w:t>
      </w:r>
      <w:r w:rsidR="00096BA6">
        <w:t xml:space="preserve">ntensive </w:t>
      </w:r>
      <w:r w:rsidR="000463BE">
        <w:t>C</w:t>
      </w:r>
      <w:r w:rsidR="00096BA6">
        <w:t xml:space="preserve">are </w:t>
      </w:r>
      <w:r w:rsidR="000463BE">
        <w:t>U</w:t>
      </w:r>
      <w:r w:rsidR="00096BA6">
        <w:t>nit (</w:t>
      </w:r>
      <w:r w:rsidR="007E533E">
        <w:t>ICU</w:t>
      </w:r>
      <w:r w:rsidR="00096BA6">
        <w:t>)</w:t>
      </w:r>
      <w:r w:rsidR="007E533E">
        <w:t xml:space="preserve"> hours that were erroneously reported in the wrong </w:t>
      </w:r>
      <w:r w:rsidR="00E55F58">
        <w:t>NHCDC C</w:t>
      </w:r>
      <w:r w:rsidR="007E533E">
        <w:t xml:space="preserve">ost </w:t>
      </w:r>
      <w:r w:rsidR="00E55F58">
        <w:t>C</w:t>
      </w:r>
      <w:r w:rsidR="007E533E">
        <w:t>entre</w:t>
      </w:r>
      <w:r w:rsidR="00EE51DA">
        <w:t>.</w:t>
      </w:r>
      <w:r w:rsidR="007E533E">
        <w:t xml:space="preserve"> This did not impact the episode cost, but the </w:t>
      </w:r>
      <w:r w:rsidR="00EE51DA">
        <w:t>NHCDC</w:t>
      </w:r>
      <w:r w:rsidR="007E533E">
        <w:t xml:space="preserve"> </w:t>
      </w:r>
      <w:r w:rsidR="00EE51DA">
        <w:t>C</w:t>
      </w:r>
      <w:r w:rsidR="00FE0024">
        <w:t xml:space="preserve">ost </w:t>
      </w:r>
      <w:r w:rsidR="00EE51DA">
        <w:t>C</w:t>
      </w:r>
      <w:r w:rsidR="00FE0024">
        <w:t xml:space="preserve">entre </w:t>
      </w:r>
      <w:r w:rsidR="00EE51DA">
        <w:t>G</w:t>
      </w:r>
      <w:r w:rsidR="00FE0024">
        <w:t>roup that these costs were reported in</w:t>
      </w:r>
      <w:r w:rsidR="00DA05D2">
        <w:t>.</w:t>
      </w:r>
    </w:p>
    <w:p w14:paraId="070F8303" w14:textId="44147A7A" w:rsidR="00DA05D2" w:rsidRDefault="00DA05D2" w:rsidP="00985174">
      <w:pPr>
        <w:pStyle w:val="ListParagraph"/>
        <w:numPr>
          <w:ilvl w:val="0"/>
          <w:numId w:val="81"/>
        </w:numPr>
      </w:pPr>
      <w:r>
        <w:t xml:space="preserve">Some jurisdictions report agency nursing in the </w:t>
      </w:r>
      <w:r w:rsidR="00780C9E">
        <w:t xml:space="preserve">line item of </w:t>
      </w:r>
      <w:r w:rsidR="00882BE6">
        <w:rPr>
          <w:i/>
          <w:iCs/>
        </w:rPr>
        <w:t>G</w:t>
      </w:r>
      <w:r w:rsidRPr="003C28DB">
        <w:rPr>
          <w:i/>
          <w:iCs/>
        </w:rPr>
        <w:t xml:space="preserve">oods </w:t>
      </w:r>
      <w:r w:rsidR="000107BD">
        <w:rPr>
          <w:i/>
          <w:iCs/>
        </w:rPr>
        <w:t>&amp;</w:t>
      </w:r>
      <w:r w:rsidR="000107BD" w:rsidRPr="003C28DB">
        <w:rPr>
          <w:i/>
          <w:iCs/>
        </w:rPr>
        <w:t xml:space="preserve"> </w:t>
      </w:r>
      <w:r w:rsidR="00882BE6">
        <w:rPr>
          <w:i/>
          <w:iCs/>
        </w:rPr>
        <w:t>S</w:t>
      </w:r>
      <w:r w:rsidRPr="003C28DB">
        <w:rPr>
          <w:i/>
          <w:iCs/>
        </w:rPr>
        <w:t>ervices</w:t>
      </w:r>
      <w:r>
        <w:t xml:space="preserve"> or </w:t>
      </w:r>
      <w:r w:rsidR="00882BE6">
        <w:rPr>
          <w:i/>
          <w:iCs/>
        </w:rPr>
        <w:t>H</w:t>
      </w:r>
      <w:r w:rsidRPr="003C28DB">
        <w:rPr>
          <w:i/>
          <w:iCs/>
        </w:rPr>
        <w:t>otel</w:t>
      </w:r>
      <w:r w:rsidR="00780C9E">
        <w:rPr>
          <w:i/>
          <w:iCs/>
        </w:rPr>
        <w:t xml:space="preserve">. </w:t>
      </w:r>
      <w:r w:rsidR="00780C9E" w:rsidRPr="003C28DB">
        <w:t xml:space="preserve">This did not impact the episode cost but </w:t>
      </w:r>
      <w:r w:rsidR="00715E9A" w:rsidRPr="003C28DB">
        <w:t xml:space="preserve">the </w:t>
      </w:r>
      <w:r w:rsidR="00933E3D">
        <w:t>NHCDC C</w:t>
      </w:r>
      <w:r w:rsidR="00715E9A" w:rsidRPr="003C28DB">
        <w:t xml:space="preserve">ost </w:t>
      </w:r>
      <w:r w:rsidR="00933E3D">
        <w:t>C</w:t>
      </w:r>
      <w:r w:rsidR="00715E9A" w:rsidRPr="003C28DB">
        <w:t xml:space="preserve">entre </w:t>
      </w:r>
      <w:r w:rsidR="00933E3D">
        <w:t>G</w:t>
      </w:r>
      <w:r w:rsidR="00715E9A" w:rsidRPr="003C28DB">
        <w:t>roup these costs were allocated to.</w:t>
      </w:r>
    </w:p>
    <w:p w14:paraId="3254F959" w14:textId="278989DA" w:rsidR="00DA05D2" w:rsidRPr="00DD0CBE" w:rsidRDefault="00DA05D2" w:rsidP="00985174">
      <w:pPr>
        <w:pStyle w:val="ListParagraph"/>
        <w:numPr>
          <w:ilvl w:val="0"/>
          <w:numId w:val="81"/>
        </w:numPr>
      </w:pPr>
      <w:r w:rsidRPr="00DD0CBE">
        <w:t>Two LHNs in a jurisdiction who were unable to allocate high-cost drugs to patients</w:t>
      </w:r>
      <w:r w:rsidR="00715E9A" w:rsidRPr="00DD0CBE">
        <w:t xml:space="preserve"> </w:t>
      </w:r>
      <w:r w:rsidR="0027370B" w:rsidRPr="00DD0CBE">
        <w:t xml:space="preserve">and </w:t>
      </w:r>
      <w:r w:rsidRPr="00DD0CBE">
        <w:t>excluded the</w:t>
      </w:r>
      <w:r w:rsidR="00715E9A" w:rsidRPr="00DD0CBE">
        <w:t>se</w:t>
      </w:r>
      <w:r w:rsidRPr="00DD0CBE">
        <w:t xml:space="preserve"> costs.</w:t>
      </w:r>
      <w:r w:rsidR="003A1C5D" w:rsidRPr="00DD0CBE">
        <w:t xml:space="preserve"> This is not considered material, and we note that </w:t>
      </w:r>
      <w:r w:rsidRPr="00DD0CBE">
        <w:t>IHACPA makes an adjustment for</w:t>
      </w:r>
      <w:r w:rsidR="00882BE6">
        <w:t xml:space="preserve"> pharmaceutical benefits scheme</w:t>
      </w:r>
      <w:r w:rsidRPr="00DD0CBE">
        <w:t xml:space="preserve"> </w:t>
      </w:r>
      <w:r w:rsidR="00882BE6">
        <w:t>(</w:t>
      </w:r>
      <w:r w:rsidRPr="00DD0CBE">
        <w:t>PBS</w:t>
      </w:r>
      <w:r w:rsidR="00882BE6">
        <w:t>)</w:t>
      </w:r>
      <w:r w:rsidRPr="00DD0CBE">
        <w:t xml:space="preserve"> costs as part of the NEP development.</w:t>
      </w:r>
    </w:p>
    <w:p w14:paraId="22987BD4" w14:textId="60AB6911" w:rsidR="003C6338" w:rsidRPr="00DD0CBE" w:rsidRDefault="003C6338" w:rsidP="003C6338">
      <w:pPr>
        <w:pStyle w:val="ListParagraph"/>
        <w:numPr>
          <w:ilvl w:val="0"/>
          <w:numId w:val="81"/>
        </w:numPr>
      </w:pPr>
      <w:r w:rsidRPr="00DD0CBE">
        <w:t>Two jurisdictions excluded costs and activity for Public</w:t>
      </w:r>
      <w:r w:rsidR="00FE3818">
        <w:t>-</w:t>
      </w:r>
      <w:r w:rsidRPr="00DD0CBE">
        <w:t>Private Partnership arrangements</w:t>
      </w:r>
      <w:r w:rsidR="00F57969" w:rsidRPr="00DD0CBE">
        <w:t xml:space="preserve">, </w:t>
      </w:r>
      <w:r w:rsidR="008F2FE5" w:rsidRPr="00DD0CBE">
        <w:t>consistent with the treatment in prior years</w:t>
      </w:r>
      <w:r w:rsidR="00F57969" w:rsidRPr="00DD0CBE">
        <w:t>. Whilst the</w:t>
      </w:r>
      <w:r w:rsidR="00BC0D2E" w:rsidRPr="00DD0CBE">
        <w:t xml:space="preserve"> costs and activity from these arrangements</w:t>
      </w:r>
      <w:r w:rsidR="00C50015" w:rsidRPr="00DD0CBE">
        <w:t xml:space="preserve"> are something IHACPA should consider collecting for future submissions, </w:t>
      </w:r>
      <w:r w:rsidR="00D86E98" w:rsidRPr="00DD0CBE">
        <w:lastRenderedPageBreak/>
        <w:t>they would need a</w:t>
      </w:r>
      <w:r w:rsidR="00BB2247" w:rsidRPr="00DD0CBE">
        <w:t xml:space="preserve"> significantly different casemix and cost of delivery to the rest of the NHCDC to have </w:t>
      </w:r>
      <w:r w:rsidR="00D86E98" w:rsidRPr="00DD0CBE">
        <w:t>a material impact on the NEP determination</w:t>
      </w:r>
      <w:r w:rsidR="00BB2247" w:rsidRPr="00DD0CBE">
        <w:t>.</w:t>
      </w:r>
      <w:r w:rsidR="00513B4B" w:rsidRPr="003C28DB">
        <w:t xml:space="preserve"> </w:t>
      </w:r>
    </w:p>
    <w:p w14:paraId="3F53D4AD" w14:textId="2AEAADB5" w:rsidR="00F222B2" w:rsidRDefault="003B05B9" w:rsidP="003B6015">
      <w:r w:rsidRPr="00DD0CBE">
        <w:t xml:space="preserve">As part of the review from </w:t>
      </w:r>
      <w:r w:rsidR="00403705">
        <w:t>general ledger (</w:t>
      </w:r>
      <w:r w:rsidR="005661F1">
        <w:t>GL</w:t>
      </w:r>
      <w:r w:rsidR="00403705">
        <w:t xml:space="preserve">) </w:t>
      </w:r>
      <w:r w:rsidRPr="00DD0CBE">
        <w:t>reconciliation to submitted costs, we identified some costs that were</w:t>
      </w:r>
      <w:r>
        <w:t xml:space="preserve"> excluded from the NHCDC</w:t>
      </w:r>
      <w:r w:rsidR="00464A19">
        <w:t xml:space="preserve"> submission due to the availability of data to link costs to patient records. Whilst this could not be </w:t>
      </w:r>
      <w:r w:rsidR="005D55B6">
        <w:t>quantified</w:t>
      </w:r>
      <w:r w:rsidR="00EE3E08">
        <w:t xml:space="preserve"> and is an area to consider in future IFRs</w:t>
      </w:r>
      <w:r w:rsidR="002652E9">
        <w:t xml:space="preserve"> and NHCDC submissions</w:t>
      </w:r>
      <w:r w:rsidR="00EE3E08">
        <w:t xml:space="preserve">, </w:t>
      </w:r>
      <w:r w:rsidR="00E670CE">
        <w:t xml:space="preserve">it is not expected that these unlinked exclusions would have a material impact on the submitted costs. This </w:t>
      </w:r>
      <w:r w:rsidR="00F222B2">
        <w:t xml:space="preserve">conclusion </w:t>
      </w:r>
      <w:r w:rsidR="009C5FA7">
        <w:t>considers</w:t>
      </w:r>
      <w:r w:rsidR="00F222B2">
        <w:t>:</w:t>
      </w:r>
    </w:p>
    <w:p w14:paraId="50A4A011" w14:textId="77777777" w:rsidR="006B2226" w:rsidRDefault="00F222B2" w:rsidP="00F222B2">
      <w:pPr>
        <w:pStyle w:val="ListParagraph"/>
        <w:numPr>
          <w:ilvl w:val="0"/>
          <w:numId w:val="82"/>
        </w:numPr>
      </w:pPr>
      <w:r>
        <w:t>The quality assurance checks performed at both the LHN and jurisdiction level before submitting costs</w:t>
      </w:r>
      <w:r w:rsidR="006B2226">
        <w:t>.</w:t>
      </w:r>
    </w:p>
    <w:p w14:paraId="30870F39" w14:textId="0816CE40" w:rsidR="00030829" w:rsidRDefault="006B2226" w:rsidP="00F222B2">
      <w:pPr>
        <w:pStyle w:val="ListParagraph"/>
        <w:numPr>
          <w:ilvl w:val="0"/>
          <w:numId w:val="82"/>
        </w:numPr>
      </w:pPr>
      <w:r>
        <w:t xml:space="preserve">The reconciliations performed by the LHN and jurisdictions between the GL and submitted costs, </w:t>
      </w:r>
      <w:r w:rsidR="00030829">
        <w:t xml:space="preserve">identifying </w:t>
      </w:r>
      <w:r>
        <w:t>exclu</w:t>
      </w:r>
      <w:r w:rsidR="00030829">
        <w:t xml:space="preserve">ded costs and reconciling these to prior years and other LHNs within that </w:t>
      </w:r>
      <w:r w:rsidR="00403705">
        <w:t>jurisdiction</w:t>
      </w:r>
      <w:r w:rsidR="00030829">
        <w:t>.</w:t>
      </w:r>
    </w:p>
    <w:p w14:paraId="5A1B9A31" w14:textId="13822298" w:rsidR="00975710" w:rsidRDefault="00030829" w:rsidP="00F222B2">
      <w:pPr>
        <w:pStyle w:val="ListParagraph"/>
        <w:numPr>
          <w:ilvl w:val="0"/>
          <w:numId w:val="82"/>
        </w:numPr>
      </w:pPr>
      <w:r>
        <w:t xml:space="preserve">The </w:t>
      </w:r>
      <w:r w:rsidR="00975710">
        <w:t xml:space="preserve">process of obtaining </w:t>
      </w:r>
      <w:r w:rsidR="00DC39D9">
        <w:t xml:space="preserve">sign-off </w:t>
      </w:r>
      <w:r w:rsidR="00975710">
        <w:t xml:space="preserve">from LHN chief executives </w:t>
      </w:r>
      <w:r w:rsidR="00DC39D9">
        <w:t>o</w:t>
      </w:r>
      <w:r w:rsidR="00975710">
        <w:t>n</w:t>
      </w:r>
      <w:r w:rsidR="00DC39D9">
        <w:t xml:space="preserve"> the costed outputs</w:t>
      </w:r>
      <w:r w:rsidR="00975710">
        <w:t xml:space="preserve"> where jurisdictions have this process in place.</w:t>
      </w:r>
    </w:p>
    <w:p w14:paraId="0DE25D70" w14:textId="24EC7813" w:rsidR="003F1B27" w:rsidRDefault="00975710" w:rsidP="007D5E04">
      <w:pPr>
        <w:pStyle w:val="ListParagraph"/>
        <w:numPr>
          <w:ilvl w:val="0"/>
          <w:numId w:val="81"/>
        </w:numPr>
      </w:pPr>
      <w:r>
        <w:t xml:space="preserve">The </w:t>
      </w:r>
      <w:r w:rsidR="00DF07A3">
        <w:t>provision of the Data Quality Statement</w:t>
      </w:r>
      <w:r w:rsidR="00EA210F">
        <w:t xml:space="preserve">s </w:t>
      </w:r>
      <w:r w:rsidR="000107BD">
        <w:t xml:space="preserve">(DQS) </w:t>
      </w:r>
      <w:r w:rsidR="00EA210F">
        <w:t>from jurisdictions</w:t>
      </w:r>
      <w:r w:rsidR="00DF07A3">
        <w:t xml:space="preserve"> </w:t>
      </w:r>
      <w:r w:rsidR="007D5E04">
        <w:t>confirming the accuracy of their submissions</w:t>
      </w:r>
      <w:r w:rsidR="00CE4D06">
        <w:t>.</w:t>
      </w:r>
    </w:p>
    <w:p w14:paraId="44F5206C" w14:textId="2D5E9806" w:rsidR="00E10683" w:rsidRDefault="0008226B" w:rsidP="00101B44">
      <w:pPr>
        <w:pStyle w:val="Heading2"/>
      </w:pPr>
      <w:r>
        <w:t>Critical Care Focused Review</w:t>
      </w:r>
    </w:p>
    <w:p w14:paraId="22A514AE" w14:textId="137998C9" w:rsidR="00EB69B4" w:rsidRDefault="003A745C" w:rsidP="003A745C">
      <w:r>
        <w:t xml:space="preserve">Critical </w:t>
      </w:r>
      <w:r w:rsidR="0062194B">
        <w:t>care</w:t>
      </w:r>
      <w:r>
        <w:t xml:space="preserve"> was selected as the focus area for this year’s IFR. The purpose of this review was to identify variation in </w:t>
      </w:r>
      <w:r w:rsidR="00794009">
        <w:t xml:space="preserve">the costs that were included in the </w:t>
      </w:r>
      <w:r w:rsidR="00794009" w:rsidRPr="00794009">
        <w:rPr>
          <w:i/>
          <w:iCs/>
        </w:rPr>
        <w:t>Critical</w:t>
      </w:r>
      <w:r w:rsidR="00794009">
        <w:rPr>
          <w:i/>
        </w:rPr>
        <w:t xml:space="preserve"> </w:t>
      </w:r>
      <w:r w:rsidR="00FD64CD" w:rsidRPr="00EC0C63">
        <w:t>NHCDC</w:t>
      </w:r>
      <w:r w:rsidR="00794009">
        <w:t xml:space="preserve"> Cost Centre Group, understand the allocation methods being used</w:t>
      </w:r>
      <w:r w:rsidR="00CA68F8">
        <w:t xml:space="preserve"> to understand the steps that can be taken to drive consistency in costing practices and maximise utility of the data. The selection of </w:t>
      </w:r>
      <w:r w:rsidR="00E72ADF">
        <w:t>c</w:t>
      </w:r>
      <w:r w:rsidR="00CA68F8">
        <w:t xml:space="preserve">ritical </w:t>
      </w:r>
      <w:r w:rsidR="00567194">
        <w:t>c</w:t>
      </w:r>
      <w:r w:rsidR="00CA68F8">
        <w:t>are aligns</w:t>
      </w:r>
      <w:r w:rsidR="00EB69B4">
        <w:t xml:space="preserve"> to IHACPA’s ongoing work on the ICU pricing adjustment.</w:t>
      </w:r>
    </w:p>
    <w:p w14:paraId="679312BE" w14:textId="255AE15A" w:rsidR="001D13C9" w:rsidRDefault="001D13C9" w:rsidP="001D13C9">
      <w:r>
        <w:t xml:space="preserve">IHACPA provides definitions in its </w:t>
      </w:r>
      <w:r w:rsidR="005F6231">
        <w:t>D</w:t>
      </w:r>
      <w:r>
        <w:t xml:space="preserve">ata </w:t>
      </w:r>
      <w:r w:rsidR="005F6231">
        <w:t>R</w:t>
      </w:r>
      <w:r>
        <w:t xml:space="preserve">equest </w:t>
      </w:r>
      <w:r w:rsidR="005F6231">
        <w:t>S</w:t>
      </w:r>
      <w:r>
        <w:t>pecifications</w:t>
      </w:r>
      <w:r w:rsidR="00505B84">
        <w:t xml:space="preserve"> (DRS)</w:t>
      </w:r>
      <w:r>
        <w:t xml:space="preserve"> for the reporting of critical care costs and activity. These include:</w:t>
      </w:r>
    </w:p>
    <w:p w14:paraId="0E63BCE5" w14:textId="3BAB8E98" w:rsidR="000B4E86" w:rsidRPr="000B4E86" w:rsidRDefault="001D13C9" w:rsidP="00CC61E1">
      <w:pPr>
        <w:pStyle w:val="ListParagraph"/>
        <w:numPr>
          <w:ilvl w:val="0"/>
          <w:numId w:val="73"/>
        </w:numPr>
        <w:rPr>
          <w:i/>
        </w:rPr>
      </w:pPr>
      <w:r>
        <w:t xml:space="preserve">The NHCDC </w:t>
      </w:r>
      <w:r w:rsidR="008A3E8E">
        <w:t>P</w:t>
      </w:r>
      <w:r>
        <w:t xml:space="preserve">ublic </w:t>
      </w:r>
      <w:r w:rsidR="008A3E8E">
        <w:t>S</w:t>
      </w:r>
      <w:r>
        <w:t>ector DRS Cost Centre Group</w:t>
      </w:r>
      <w:r w:rsidR="00123E70">
        <w:t>s</w:t>
      </w:r>
      <w:r>
        <w:t xml:space="preserve"> contain 10 codes to capture the types of critical care costs</w:t>
      </w:r>
      <w:r w:rsidR="00586DA4">
        <w:t>:</w:t>
      </w:r>
    </w:p>
    <w:p w14:paraId="5B8F6DD2" w14:textId="11C15B88" w:rsidR="000B4E86" w:rsidRPr="00765022" w:rsidRDefault="000B4E86" w:rsidP="000B4E86">
      <w:pPr>
        <w:pStyle w:val="ListParagraph"/>
        <w:numPr>
          <w:ilvl w:val="1"/>
          <w:numId w:val="73"/>
        </w:numPr>
      </w:pPr>
      <w:r>
        <w:t>Coronary Care Unit</w:t>
      </w:r>
      <w:r w:rsidR="006620F6">
        <w:t>s</w:t>
      </w:r>
      <w:r>
        <w:t xml:space="preserve"> (</w:t>
      </w:r>
      <w:r w:rsidR="001D13C9" w:rsidRPr="00CE5105">
        <w:rPr>
          <w:i/>
          <w:iCs/>
        </w:rPr>
        <w:t>C</w:t>
      </w:r>
      <w:r w:rsidR="00CE5105" w:rsidRPr="00CE5105">
        <w:rPr>
          <w:i/>
          <w:iCs/>
        </w:rPr>
        <w:t>cu</w:t>
      </w:r>
      <w:r w:rsidRPr="00765022">
        <w:t>)</w:t>
      </w:r>
    </w:p>
    <w:p w14:paraId="738A5498" w14:textId="3AE5ECC7" w:rsidR="00944629" w:rsidRPr="00765022" w:rsidRDefault="006620F6" w:rsidP="000B4E86">
      <w:pPr>
        <w:pStyle w:val="ListParagraph"/>
        <w:numPr>
          <w:ilvl w:val="1"/>
          <w:numId w:val="73"/>
        </w:numPr>
      </w:pPr>
      <w:r w:rsidRPr="00765022">
        <w:t>High Dependency Units (</w:t>
      </w:r>
      <w:r w:rsidR="001D13C9" w:rsidRPr="00CE5105">
        <w:rPr>
          <w:i/>
        </w:rPr>
        <w:t>Hdicu</w:t>
      </w:r>
      <w:r w:rsidRPr="00765022">
        <w:t>)</w:t>
      </w:r>
    </w:p>
    <w:p w14:paraId="1ABAC89B" w14:textId="1D5965A6" w:rsidR="00160F26" w:rsidRPr="00765022" w:rsidRDefault="00944629" w:rsidP="000B4E86">
      <w:pPr>
        <w:pStyle w:val="ListParagraph"/>
        <w:numPr>
          <w:ilvl w:val="1"/>
          <w:numId w:val="73"/>
        </w:numPr>
      </w:pPr>
      <w:r w:rsidRPr="00765022">
        <w:t xml:space="preserve">Adult </w:t>
      </w:r>
      <w:r w:rsidR="00765022">
        <w:rPr>
          <w:iCs/>
        </w:rPr>
        <w:t>I</w:t>
      </w:r>
      <w:r w:rsidRPr="00765022">
        <w:rPr>
          <w:iCs/>
        </w:rPr>
        <w:t xml:space="preserve">ntensive </w:t>
      </w:r>
      <w:r w:rsidR="00765022">
        <w:rPr>
          <w:iCs/>
        </w:rPr>
        <w:t>C</w:t>
      </w:r>
      <w:r w:rsidRPr="00765022">
        <w:rPr>
          <w:iCs/>
        </w:rPr>
        <w:t xml:space="preserve">are </w:t>
      </w:r>
      <w:r w:rsidR="00765022">
        <w:rPr>
          <w:iCs/>
        </w:rPr>
        <w:t>U</w:t>
      </w:r>
      <w:r w:rsidRPr="00765022">
        <w:rPr>
          <w:iCs/>
        </w:rPr>
        <w:t>nit</w:t>
      </w:r>
      <w:r w:rsidR="00765022">
        <w:rPr>
          <w:iCs/>
        </w:rPr>
        <w:t>s</w:t>
      </w:r>
      <w:r w:rsidR="00160F26" w:rsidRPr="00765022">
        <w:t xml:space="preserve"> (</w:t>
      </w:r>
      <w:r w:rsidR="001D13C9" w:rsidRPr="00CE5105">
        <w:rPr>
          <w:i/>
        </w:rPr>
        <w:t>Aicu</w:t>
      </w:r>
      <w:r w:rsidR="00160F26" w:rsidRPr="00765022">
        <w:t>)</w:t>
      </w:r>
    </w:p>
    <w:p w14:paraId="57B17C2F" w14:textId="02716B16" w:rsidR="00160F26" w:rsidRPr="00DD1FEB" w:rsidRDefault="00765022" w:rsidP="000B4E86">
      <w:pPr>
        <w:pStyle w:val="ListParagraph"/>
        <w:numPr>
          <w:ilvl w:val="1"/>
          <w:numId w:val="73"/>
        </w:numPr>
      </w:pPr>
      <w:r w:rsidRPr="00DD1FEB">
        <w:t>Cardiothoracic Intensive Care Units (</w:t>
      </w:r>
      <w:r w:rsidR="001D13C9" w:rsidRPr="00CE5105">
        <w:rPr>
          <w:i/>
        </w:rPr>
        <w:t>Cticu</w:t>
      </w:r>
      <w:r w:rsidRPr="00DD1FEB">
        <w:t>)</w:t>
      </w:r>
    </w:p>
    <w:p w14:paraId="2B8490D6" w14:textId="77777777" w:rsidR="00765022" w:rsidRPr="00DD1FEB" w:rsidRDefault="00765022" w:rsidP="000B4E86">
      <w:pPr>
        <w:pStyle w:val="ListParagraph"/>
        <w:numPr>
          <w:ilvl w:val="1"/>
          <w:numId w:val="73"/>
        </w:numPr>
      </w:pPr>
      <w:r w:rsidRPr="00DD1FEB">
        <w:t>General Critical Care Units (</w:t>
      </w:r>
      <w:r w:rsidR="001D13C9" w:rsidRPr="00CE5105">
        <w:rPr>
          <w:i/>
        </w:rPr>
        <w:t>Gencritcare</w:t>
      </w:r>
      <w:r w:rsidRPr="00DD1FEB">
        <w:t>)</w:t>
      </w:r>
    </w:p>
    <w:p w14:paraId="48E2D7C2" w14:textId="5DC09585" w:rsidR="00765022" w:rsidRPr="00DD1FEB" w:rsidRDefault="00765022" w:rsidP="000B4E86">
      <w:pPr>
        <w:pStyle w:val="ListParagraph"/>
        <w:numPr>
          <w:ilvl w:val="1"/>
          <w:numId w:val="73"/>
        </w:numPr>
      </w:pPr>
      <w:r w:rsidRPr="00DD1FEB">
        <w:t>Neonatal Intensive Care Units (</w:t>
      </w:r>
      <w:r w:rsidR="003B610E">
        <w:rPr>
          <w:i/>
        </w:rPr>
        <w:t>N</w:t>
      </w:r>
      <w:r w:rsidR="00DB56BA">
        <w:rPr>
          <w:i/>
        </w:rPr>
        <w:t>icu</w:t>
      </w:r>
      <w:r w:rsidRPr="00DD1FEB">
        <w:t>)</w:t>
      </w:r>
    </w:p>
    <w:p w14:paraId="24AA3C73" w14:textId="77777777" w:rsidR="00765022" w:rsidRPr="00DD1FEB" w:rsidRDefault="00765022" w:rsidP="000B4E86">
      <w:pPr>
        <w:pStyle w:val="ListParagraph"/>
        <w:numPr>
          <w:ilvl w:val="1"/>
          <w:numId w:val="73"/>
        </w:numPr>
      </w:pPr>
      <w:r w:rsidRPr="00DD1FEB">
        <w:t>Other Critical Care Units (</w:t>
      </w:r>
      <w:r w:rsidR="001D13C9" w:rsidRPr="00CE5105">
        <w:rPr>
          <w:i/>
        </w:rPr>
        <w:t>OtherCritCare</w:t>
      </w:r>
      <w:r w:rsidRPr="00DD1FEB">
        <w:t>)</w:t>
      </w:r>
    </w:p>
    <w:p w14:paraId="757C4741" w14:textId="77777777" w:rsidR="00765022" w:rsidRPr="00DD1FEB" w:rsidRDefault="00765022" w:rsidP="000B4E86">
      <w:pPr>
        <w:pStyle w:val="ListParagraph"/>
        <w:numPr>
          <w:ilvl w:val="1"/>
          <w:numId w:val="73"/>
        </w:numPr>
      </w:pPr>
      <w:r w:rsidRPr="00DD1FEB">
        <w:t>Paediatric Intensive Care Units (</w:t>
      </w:r>
      <w:r w:rsidR="001D13C9" w:rsidRPr="00CE5105">
        <w:rPr>
          <w:i/>
        </w:rPr>
        <w:t>Paedicu</w:t>
      </w:r>
      <w:r w:rsidRPr="00DD1FEB">
        <w:t>)</w:t>
      </w:r>
    </w:p>
    <w:p w14:paraId="0F03EB4C" w14:textId="7E753B09" w:rsidR="00765022" w:rsidRPr="00DD1FEB" w:rsidRDefault="00765022" w:rsidP="000B4E86">
      <w:pPr>
        <w:pStyle w:val="ListParagraph"/>
        <w:numPr>
          <w:ilvl w:val="1"/>
          <w:numId w:val="73"/>
        </w:numPr>
      </w:pPr>
      <w:r w:rsidRPr="00DD1FEB">
        <w:t xml:space="preserve">Psychiatric Intensive Care </w:t>
      </w:r>
      <w:r w:rsidR="00D423B7">
        <w:rPr>
          <w:iCs/>
        </w:rPr>
        <w:t xml:space="preserve">Units </w:t>
      </w:r>
      <w:r w:rsidRPr="00DD1FEB">
        <w:t>(</w:t>
      </w:r>
      <w:r w:rsidR="001D13C9" w:rsidRPr="00CE5105">
        <w:rPr>
          <w:i/>
        </w:rPr>
        <w:t>Psychicu</w:t>
      </w:r>
      <w:r w:rsidRPr="00DD1FEB">
        <w:t>)</w:t>
      </w:r>
    </w:p>
    <w:p w14:paraId="1042F571" w14:textId="40551441" w:rsidR="001D13C9" w:rsidRPr="007508C0" w:rsidRDefault="00DD1FEB" w:rsidP="00017176">
      <w:pPr>
        <w:pStyle w:val="ListParagraph"/>
        <w:numPr>
          <w:ilvl w:val="1"/>
          <w:numId w:val="73"/>
        </w:numPr>
      </w:pPr>
      <w:r w:rsidRPr="00DD1FEB">
        <w:rPr>
          <w:iCs/>
        </w:rPr>
        <w:t xml:space="preserve">Special Care Nursery </w:t>
      </w:r>
      <w:r w:rsidR="00D423B7">
        <w:rPr>
          <w:iCs/>
        </w:rPr>
        <w:t xml:space="preserve">Units </w:t>
      </w:r>
      <w:r w:rsidRPr="00DD1FEB">
        <w:rPr>
          <w:iCs/>
        </w:rPr>
        <w:t>(</w:t>
      </w:r>
      <w:r w:rsidR="001D13C9" w:rsidRPr="00CE5105">
        <w:rPr>
          <w:i/>
        </w:rPr>
        <w:t>Scnicu</w:t>
      </w:r>
      <w:r w:rsidRPr="00DD1FEB">
        <w:rPr>
          <w:iCs/>
        </w:rPr>
        <w:t>)</w:t>
      </w:r>
    </w:p>
    <w:p w14:paraId="1476A340" w14:textId="77777777" w:rsidR="00F92C45" w:rsidRDefault="00F92C45" w:rsidP="00F92C45">
      <w:pPr>
        <w:pStyle w:val="ListParagraph"/>
        <w:ind w:left="1440"/>
      </w:pPr>
    </w:p>
    <w:p w14:paraId="66E69B9B" w14:textId="6669FE7C" w:rsidR="00E80DF4" w:rsidRDefault="001D13C9" w:rsidP="00E80DF4">
      <w:pPr>
        <w:pStyle w:val="ListParagraph"/>
        <w:numPr>
          <w:ilvl w:val="0"/>
          <w:numId w:val="73"/>
        </w:numPr>
      </w:pPr>
      <w:r>
        <w:t xml:space="preserve">The </w:t>
      </w:r>
      <w:r w:rsidR="008A3E8E">
        <w:t>Activity Based Funding (</w:t>
      </w:r>
      <w:r>
        <w:t>ABF</w:t>
      </w:r>
      <w:r w:rsidR="008A3E8E">
        <w:t>)</w:t>
      </w:r>
      <w:r>
        <w:t xml:space="preserve"> Admitted Patient Care DRS contains </w:t>
      </w:r>
      <w:r w:rsidR="008A3E8E">
        <w:t xml:space="preserve">2 </w:t>
      </w:r>
      <w:r>
        <w:t>data items for ICU hours. These are</w:t>
      </w:r>
      <w:r w:rsidR="00586DA4">
        <w:t>:</w:t>
      </w:r>
    </w:p>
    <w:p w14:paraId="4AF528AE" w14:textId="340BB65F" w:rsidR="004E7892" w:rsidRDefault="001D13C9" w:rsidP="00E80DF4">
      <w:pPr>
        <w:pStyle w:val="ListParagraph"/>
        <w:numPr>
          <w:ilvl w:val="1"/>
          <w:numId w:val="73"/>
        </w:numPr>
      </w:pPr>
      <w:r>
        <w:t>‘</w:t>
      </w:r>
      <w:r w:rsidRPr="003C28DB">
        <w:rPr>
          <w:i/>
          <w:iCs/>
        </w:rPr>
        <w:t xml:space="preserve">Length of stay in </w:t>
      </w:r>
      <w:r w:rsidRPr="003C28DB">
        <w:rPr>
          <w:i/>
        </w:rPr>
        <w:t>ICU</w:t>
      </w:r>
      <w:r w:rsidR="00AD7291">
        <w:rPr>
          <w:i/>
        </w:rPr>
        <w:t>’</w:t>
      </w:r>
      <w:r>
        <w:t xml:space="preserve"> defined as the number of hours reported by a hospital with approved Adult ICU </w:t>
      </w:r>
      <w:r w:rsidR="00996163">
        <w:t>L</w:t>
      </w:r>
      <w:r>
        <w:t>evel 3 or Paediatric ICU</w:t>
      </w:r>
      <w:r w:rsidR="004E7892">
        <w:t xml:space="preserve">, and </w:t>
      </w:r>
    </w:p>
    <w:p w14:paraId="46639749" w14:textId="191F5897" w:rsidR="001D13C9" w:rsidRDefault="001D13C9" w:rsidP="00E80DF4">
      <w:pPr>
        <w:pStyle w:val="ListParagraph"/>
        <w:numPr>
          <w:ilvl w:val="1"/>
          <w:numId w:val="73"/>
        </w:numPr>
      </w:pPr>
      <w:r>
        <w:lastRenderedPageBreak/>
        <w:t xml:space="preserve"> ‘</w:t>
      </w:r>
      <w:r w:rsidRPr="003C28DB">
        <w:rPr>
          <w:i/>
          <w:iCs/>
        </w:rPr>
        <w:t>Length of stay in ICU</w:t>
      </w:r>
      <w:r w:rsidR="00630C9C">
        <w:rPr>
          <w:i/>
        </w:rPr>
        <w:t xml:space="preserve"> –</w:t>
      </w:r>
      <w:r w:rsidRPr="003C28DB">
        <w:rPr>
          <w:i/>
          <w:iCs/>
        </w:rPr>
        <w:t xml:space="preserve"> Other’</w:t>
      </w:r>
      <w:r>
        <w:t xml:space="preserve"> defined as hours reported by hospitals with approved </w:t>
      </w:r>
      <w:r w:rsidR="002F7C92">
        <w:t>ICU</w:t>
      </w:r>
      <w:r>
        <w:t xml:space="preserve">s other than </w:t>
      </w:r>
      <w:r w:rsidR="00AD7291">
        <w:t>L</w:t>
      </w:r>
      <w:r>
        <w:t>evel 3 or Paediatric ICU.</w:t>
      </w:r>
    </w:p>
    <w:p w14:paraId="016B8C44" w14:textId="3DA9FA19" w:rsidR="00A07646" w:rsidRDefault="00A07646" w:rsidP="00A07646">
      <w:r w:rsidRPr="003926DF">
        <w:t>Nationally</w:t>
      </w:r>
      <w:r w:rsidR="00404CC7" w:rsidRPr="003926DF">
        <w:t xml:space="preserve">, across the jurisdictions </w:t>
      </w:r>
      <w:r w:rsidR="00EE0A80" w:rsidRPr="003926DF">
        <w:t xml:space="preserve">fully </w:t>
      </w:r>
      <w:r w:rsidR="00404CC7" w:rsidRPr="003926DF">
        <w:t xml:space="preserve">participating in the IFR, </w:t>
      </w:r>
      <w:r w:rsidR="0073024F" w:rsidRPr="003926DF">
        <w:t xml:space="preserve">submitted costs in the </w:t>
      </w:r>
      <w:r w:rsidR="0073024F" w:rsidRPr="00EE51DA">
        <w:rPr>
          <w:i/>
        </w:rPr>
        <w:t>Critical</w:t>
      </w:r>
      <w:r w:rsidR="0073024F" w:rsidRPr="003926DF">
        <w:t xml:space="preserve"> NHCDC Cost Centre Group</w:t>
      </w:r>
      <w:r w:rsidR="00C759D1" w:rsidRPr="003926DF">
        <w:t xml:space="preserve"> totalled $</w:t>
      </w:r>
      <w:r w:rsidR="006D08CF">
        <w:t>3.26 billion,</w:t>
      </w:r>
      <w:r w:rsidR="0005615E">
        <w:t xml:space="preserve"> representing 4.</w:t>
      </w:r>
      <w:r w:rsidR="0005615E" w:rsidDel="00AD7291">
        <w:t>7</w:t>
      </w:r>
      <w:r w:rsidR="0005615E">
        <w:t>% of NHCDC 2023-24 costs.</w:t>
      </w:r>
      <w:r w:rsidR="00EE0A80">
        <w:t xml:space="preserve"> Costs in </w:t>
      </w:r>
      <w:r w:rsidR="00EE0A80" w:rsidRPr="00EE0A80">
        <w:rPr>
          <w:i/>
          <w:iCs/>
        </w:rPr>
        <w:t xml:space="preserve">Critical </w:t>
      </w:r>
      <w:r w:rsidR="008A2CB5" w:rsidRPr="008A2CB5">
        <w:t xml:space="preserve">increased by </w:t>
      </w:r>
      <w:r w:rsidR="001F5069">
        <w:t>7% from the prior year.</w:t>
      </w:r>
    </w:p>
    <w:p w14:paraId="0D29CF83" w14:textId="629652FF" w:rsidR="00084DCE" w:rsidRDefault="0031314C" w:rsidP="003A745C">
      <w:r w:rsidRPr="00084DCE">
        <w:t xml:space="preserve">The </w:t>
      </w:r>
      <w:r w:rsidR="0034558A" w:rsidRPr="00084DCE">
        <w:t>focused</w:t>
      </w:r>
      <w:r w:rsidRPr="00084DCE">
        <w:t xml:space="preserve"> review involved consultation with operational, finance</w:t>
      </w:r>
      <w:r w:rsidR="00742EAB">
        <w:t>,</w:t>
      </w:r>
      <w:r w:rsidRPr="00084DCE">
        <w:t xml:space="preserve"> and costing stakeholders across </w:t>
      </w:r>
      <w:r w:rsidR="00D20CEC">
        <w:t>9</w:t>
      </w:r>
      <w:r w:rsidRPr="00084DCE">
        <w:t xml:space="preserve"> </w:t>
      </w:r>
      <w:r w:rsidR="00084DCE" w:rsidRPr="00084DCE">
        <w:t xml:space="preserve">hospitals delivering various critical care services. The scope of the review included areas of the hospital </w:t>
      </w:r>
      <w:r w:rsidR="007E5583">
        <w:t>that</w:t>
      </w:r>
      <w:r w:rsidR="007E5583" w:rsidRPr="00084DCE">
        <w:t xml:space="preserve"> </w:t>
      </w:r>
      <w:r w:rsidR="00084DCE" w:rsidRPr="00084DCE">
        <w:t>provide higher acuity ward</w:t>
      </w:r>
      <w:r w:rsidR="0034558A" w:rsidRPr="00084DCE">
        <w:t>-</w:t>
      </w:r>
      <w:r w:rsidR="00084DCE" w:rsidRPr="00084DCE">
        <w:t xml:space="preserve">based care and is described in one of the </w:t>
      </w:r>
      <w:r w:rsidR="00996163">
        <w:t>10</w:t>
      </w:r>
      <w:r w:rsidR="00084DCE" w:rsidRPr="00084DCE">
        <w:t xml:space="preserve"> cost centres in the </w:t>
      </w:r>
      <w:r w:rsidR="00084DCE" w:rsidRPr="009C11C0">
        <w:rPr>
          <w:i/>
        </w:rPr>
        <w:t>Critical</w:t>
      </w:r>
      <w:r w:rsidR="00084DCE" w:rsidRPr="00084DCE">
        <w:t xml:space="preserve"> NHCDC Cost Centre Group </w:t>
      </w:r>
      <w:r w:rsidR="00BE5F48">
        <w:t>(listed above).</w:t>
      </w:r>
    </w:p>
    <w:p w14:paraId="5EC52D85" w14:textId="2DA6D4F9" w:rsidR="00A13278" w:rsidRDefault="00084DCE" w:rsidP="003A745C">
      <w:r>
        <w:t xml:space="preserve">A summary of the sites and </w:t>
      </w:r>
      <w:r w:rsidR="009C11C0">
        <w:t xml:space="preserve">their respective </w:t>
      </w:r>
      <w:r w:rsidR="00A26226">
        <w:t xml:space="preserve">reported </w:t>
      </w:r>
      <w:r>
        <w:t xml:space="preserve">critical care </w:t>
      </w:r>
      <w:r w:rsidR="00A26226">
        <w:t>costs</w:t>
      </w:r>
      <w:r>
        <w:t xml:space="preserve"> included in the scope of this review </w:t>
      </w:r>
      <w:r w:rsidR="009C11C0">
        <w:t>(as reported in the NHCDC 2023-24)</w:t>
      </w:r>
      <w:r>
        <w:t xml:space="preserve"> is </w:t>
      </w:r>
      <w:r w:rsidRPr="004E7892">
        <w:t>shown bel</w:t>
      </w:r>
      <w:r>
        <w:t xml:space="preserve">ow. </w:t>
      </w:r>
    </w:p>
    <w:p w14:paraId="2334B923" w14:textId="11C5D131" w:rsidR="00D8367C" w:rsidRDefault="00D8367C"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3</w:t>
      </w:r>
      <w:r w:rsidR="00BD5B5E">
        <w:fldChar w:fldCharType="end"/>
      </w:r>
      <w:r>
        <w:t xml:space="preserve">: </w:t>
      </w:r>
      <w:r w:rsidRPr="00CF0BF4">
        <w:t>Critical services at participating sites</w:t>
      </w:r>
    </w:p>
    <w:p w14:paraId="080962CE" w14:textId="2D462847" w:rsidR="00D20CEC" w:rsidRDefault="001C1766" w:rsidP="003A745C">
      <w:r w:rsidRPr="001C1766">
        <w:rPr>
          <w:noProof/>
        </w:rPr>
        <w:drawing>
          <wp:inline distT="0" distB="0" distL="0" distR="0" wp14:anchorId="087E813C" wp14:editId="38DEF49D">
            <wp:extent cx="5731510" cy="3053080"/>
            <wp:effectExtent l="0" t="0" r="2540" b="0"/>
            <wp:docPr id="394017850" name="Picture 3" descr="P7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17850" name="Picture 3" descr="P707#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53080"/>
                    </a:xfrm>
                    <a:prstGeom prst="rect">
                      <a:avLst/>
                    </a:prstGeom>
                    <a:noFill/>
                    <a:ln>
                      <a:noFill/>
                    </a:ln>
                  </pic:spPr>
                </pic:pic>
              </a:graphicData>
            </a:graphic>
          </wp:inline>
        </w:drawing>
      </w:r>
    </w:p>
    <w:p w14:paraId="18009EC6" w14:textId="2B8DEC03" w:rsidR="00A316F5" w:rsidRDefault="00A316F5" w:rsidP="003A745C">
      <w:r w:rsidRPr="006D7C7E">
        <w:t xml:space="preserve">Of the 9 sites participating in the Critical Care Focused Review, </w:t>
      </w:r>
      <w:r w:rsidR="00C226C8" w:rsidRPr="00C759D1">
        <w:t>$</w:t>
      </w:r>
      <w:r w:rsidR="003216CD">
        <w:t xml:space="preserve">7.91 </w:t>
      </w:r>
      <w:r w:rsidR="00DF7FB9">
        <w:t>million</w:t>
      </w:r>
      <w:r w:rsidR="00C226C8">
        <w:t xml:space="preserve"> </w:t>
      </w:r>
      <w:r w:rsidR="00C226C8" w:rsidRPr="006D7C7E">
        <w:t xml:space="preserve">of </w:t>
      </w:r>
      <w:r w:rsidR="00D1390D" w:rsidRPr="006D7C7E">
        <w:t xml:space="preserve">costs were reported within </w:t>
      </w:r>
      <w:r w:rsidR="00C226C8" w:rsidRPr="006D7C7E">
        <w:t xml:space="preserve">the </w:t>
      </w:r>
      <w:r w:rsidR="00C226C8" w:rsidRPr="008D60C3">
        <w:rPr>
          <w:i/>
        </w:rPr>
        <w:t>Critical</w:t>
      </w:r>
      <w:r w:rsidR="00C226C8" w:rsidRPr="006D7C7E">
        <w:t xml:space="preserve"> NHCDC Cost Centre Group. </w:t>
      </w:r>
      <w:r w:rsidR="00366626">
        <w:t xml:space="preserve">Six of IHACPA’s 10 </w:t>
      </w:r>
      <w:r w:rsidR="00366626" w:rsidRPr="00EE51DA">
        <w:rPr>
          <w:i/>
        </w:rPr>
        <w:t>Critical</w:t>
      </w:r>
      <w:r w:rsidR="00366626">
        <w:t xml:space="preserve"> NHCDC Cost Centres </w:t>
      </w:r>
      <w:r w:rsidR="00C226C8">
        <w:t>were us</w:t>
      </w:r>
      <w:r w:rsidR="00525DE7">
        <w:t xml:space="preserve">ed </w:t>
      </w:r>
      <w:r w:rsidR="008D60C3">
        <w:t xml:space="preserve">materially. No costs were reported under </w:t>
      </w:r>
      <w:r w:rsidR="008D60C3" w:rsidRPr="00331DFD">
        <w:rPr>
          <w:i/>
          <w:iCs/>
        </w:rPr>
        <w:t>Othercritcare, Cticu</w:t>
      </w:r>
      <w:r w:rsidR="008D60C3">
        <w:t xml:space="preserve"> and </w:t>
      </w:r>
      <w:r w:rsidR="008D60C3" w:rsidRPr="00331DFD">
        <w:rPr>
          <w:i/>
          <w:iCs/>
        </w:rPr>
        <w:t>Hdicu</w:t>
      </w:r>
      <w:r w:rsidR="008D60C3">
        <w:t xml:space="preserve">. </w:t>
      </w:r>
      <w:r w:rsidR="007113CA">
        <w:t>(</w:t>
      </w:r>
      <w:r w:rsidR="00525DE7" w:rsidRPr="00525DE7">
        <w:rPr>
          <w:i/>
          <w:iCs/>
        </w:rPr>
        <w:t>Psychicu</w:t>
      </w:r>
      <w:r w:rsidR="00525DE7">
        <w:t xml:space="preserve"> was only used by one site, Flinders Medical Centre, and comprised only 0.04% of </w:t>
      </w:r>
      <w:r w:rsidR="00366626">
        <w:t>their</w:t>
      </w:r>
      <w:r w:rsidR="00525DE7">
        <w:t xml:space="preserve"> submitted </w:t>
      </w:r>
      <w:r w:rsidR="00525DE7" w:rsidRPr="00525DE7">
        <w:rPr>
          <w:i/>
          <w:iCs/>
        </w:rPr>
        <w:t>Critical</w:t>
      </w:r>
      <w:r w:rsidR="00525DE7">
        <w:t xml:space="preserve"> </w:t>
      </w:r>
      <w:r w:rsidR="007113CA">
        <w:t>c</w:t>
      </w:r>
      <w:r w:rsidR="00525DE7">
        <w:t>osts</w:t>
      </w:r>
      <w:r w:rsidR="007113CA">
        <w:t>)</w:t>
      </w:r>
      <w:r w:rsidR="0054792E">
        <w:t>.</w:t>
      </w:r>
    </w:p>
    <w:p w14:paraId="0DE7AD89" w14:textId="5D4CB705" w:rsidR="00FA5912" w:rsidRDefault="0016651E" w:rsidP="00FA5912">
      <w:r w:rsidRPr="00CE75B7">
        <w:t xml:space="preserve">Our findings from conducting the </w:t>
      </w:r>
      <w:r w:rsidR="0034558A" w:rsidRPr="00CE75B7">
        <w:t>focused</w:t>
      </w:r>
      <w:r w:rsidRPr="00CE75B7">
        <w:t xml:space="preserve"> review are set out below. </w:t>
      </w:r>
    </w:p>
    <w:p w14:paraId="74EAF954" w14:textId="43B6ACFA" w:rsidR="00970FA2" w:rsidRPr="008E0BFF" w:rsidRDefault="00970FA2" w:rsidP="008E0BFF">
      <w:pPr>
        <w:rPr>
          <w:u w:val="single"/>
        </w:rPr>
      </w:pPr>
      <w:bookmarkStart w:id="24" w:name="_Ref209507856"/>
      <w:r w:rsidRPr="008E0BFF">
        <w:rPr>
          <w:u w:val="single"/>
        </w:rPr>
        <w:t xml:space="preserve">Finding </w:t>
      </w:r>
      <w:r w:rsidR="00B47923" w:rsidRPr="008E0BFF">
        <w:rPr>
          <w:u w:val="single"/>
        </w:rPr>
        <w:t>2</w:t>
      </w:r>
      <w:r w:rsidR="003F6026" w:rsidRPr="008E0BFF">
        <w:rPr>
          <w:u w:val="single"/>
        </w:rPr>
        <w:t>.</w:t>
      </w:r>
      <w:r w:rsidRPr="008E0BFF">
        <w:rPr>
          <w:u w:val="single"/>
        </w:rPr>
        <w:t>1:</w:t>
      </w:r>
      <w:r w:rsidR="00606490" w:rsidRPr="008E0BFF">
        <w:rPr>
          <w:u w:val="single"/>
        </w:rPr>
        <w:t xml:space="preserve"> Variation in cost reporting with the </w:t>
      </w:r>
      <w:r w:rsidR="00606490" w:rsidRPr="00F8415E">
        <w:rPr>
          <w:i/>
          <w:iCs/>
          <w:u w:val="single"/>
        </w:rPr>
        <w:t>Critical</w:t>
      </w:r>
      <w:r w:rsidR="00606490" w:rsidRPr="008E0BFF">
        <w:rPr>
          <w:u w:val="single"/>
        </w:rPr>
        <w:t xml:space="preserve"> </w:t>
      </w:r>
      <w:r w:rsidR="00C759D1" w:rsidRPr="008E0BFF">
        <w:rPr>
          <w:u w:val="single"/>
        </w:rPr>
        <w:t xml:space="preserve">NHCDC </w:t>
      </w:r>
      <w:r w:rsidR="00606490" w:rsidRPr="008E0BFF">
        <w:rPr>
          <w:u w:val="single"/>
        </w:rPr>
        <w:t>Cost Centre Group</w:t>
      </w:r>
      <w:bookmarkEnd w:id="24"/>
    </w:p>
    <w:p w14:paraId="37CE27B6" w14:textId="1BDA591F" w:rsidR="00011F42" w:rsidRDefault="00970FA2" w:rsidP="00772337">
      <w:r>
        <w:t>There is variation across jurisdictions in how costs are reported within the</w:t>
      </w:r>
      <w:r w:rsidR="00011F42">
        <w:t xml:space="preserve"> 10</w:t>
      </w:r>
      <w:r>
        <w:t xml:space="preserve"> </w:t>
      </w:r>
      <w:r w:rsidRPr="00690DE4">
        <w:rPr>
          <w:i/>
          <w:iCs/>
        </w:rPr>
        <w:t>Critical</w:t>
      </w:r>
      <w:r>
        <w:t xml:space="preserve"> </w:t>
      </w:r>
      <w:r w:rsidR="002C07BF">
        <w:t xml:space="preserve">NHCDC </w:t>
      </w:r>
      <w:r>
        <w:t>Centre Group</w:t>
      </w:r>
      <w:r w:rsidR="00011F42">
        <w:t>s</w:t>
      </w:r>
      <w:r>
        <w:t xml:space="preserve">. Analysis of NHCDC data shows that 6 of IHACPA’s </w:t>
      </w:r>
      <w:r w:rsidR="001073A9">
        <w:t xml:space="preserve">10 </w:t>
      </w:r>
      <w:r>
        <w:t xml:space="preserve">designated </w:t>
      </w:r>
      <w:r w:rsidRPr="00690DE4">
        <w:rPr>
          <w:i/>
          <w:iCs/>
        </w:rPr>
        <w:t>Critical</w:t>
      </w:r>
      <w:r>
        <w:t xml:space="preserve"> Cost Centres (</w:t>
      </w:r>
      <w:r w:rsidRPr="00690DE4">
        <w:rPr>
          <w:i/>
          <w:iCs/>
        </w:rPr>
        <w:t>OtherCritCare</w:t>
      </w:r>
      <w:r>
        <w:t xml:space="preserve">, </w:t>
      </w:r>
      <w:r w:rsidRPr="00690DE4">
        <w:rPr>
          <w:i/>
          <w:iCs/>
        </w:rPr>
        <w:t>Gencritcare</w:t>
      </w:r>
      <w:r>
        <w:t xml:space="preserve">, </w:t>
      </w:r>
      <w:r w:rsidRPr="00690DE4">
        <w:rPr>
          <w:i/>
          <w:iCs/>
        </w:rPr>
        <w:t>H</w:t>
      </w:r>
      <w:r>
        <w:rPr>
          <w:i/>
          <w:iCs/>
        </w:rPr>
        <w:t>dicu</w:t>
      </w:r>
      <w:r>
        <w:t xml:space="preserve">, </w:t>
      </w:r>
      <w:r>
        <w:rPr>
          <w:i/>
          <w:iCs/>
        </w:rPr>
        <w:t>Cticu</w:t>
      </w:r>
      <w:r>
        <w:t xml:space="preserve">, </w:t>
      </w:r>
      <w:r w:rsidRPr="00690DE4">
        <w:rPr>
          <w:i/>
          <w:iCs/>
        </w:rPr>
        <w:t>Psychicu</w:t>
      </w:r>
      <w:r>
        <w:t xml:space="preserve">, and </w:t>
      </w:r>
      <w:r w:rsidR="00993605" w:rsidRPr="00690DE4">
        <w:rPr>
          <w:i/>
          <w:iCs/>
        </w:rPr>
        <w:t>Scnicu</w:t>
      </w:r>
      <w:r>
        <w:rPr>
          <w:i/>
          <w:iCs/>
        </w:rPr>
        <w:t xml:space="preserve">) </w:t>
      </w:r>
      <w:r>
        <w:t xml:space="preserve">are not widely utilised. </w:t>
      </w:r>
    </w:p>
    <w:p w14:paraId="6C5EA0F2" w14:textId="64EE1361" w:rsidR="00970FA2" w:rsidRDefault="004351D5" w:rsidP="00772337">
      <w:r>
        <w:t xml:space="preserve">From our discussions </w:t>
      </w:r>
      <w:r w:rsidR="005F3A14">
        <w:t xml:space="preserve">with participating sites, we heard that </w:t>
      </w:r>
      <w:r w:rsidR="00D42F70">
        <w:t xml:space="preserve">ICU units are often structured to support </w:t>
      </w:r>
      <w:r w:rsidR="007206DC">
        <w:t xml:space="preserve">patient needs at </w:t>
      </w:r>
      <w:r w:rsidR="00D42F70">
        <w:t xml:space="preserve">both </w:t>
      </w:r>
      <w:r w:rsidR="00542734">
        <w:t xml:space="preserve">an </w:t>
      </w:r>
      <w:r w:rsidR="00D42F70">
        <w:t xml:space="preserve">ICU level and </w:t>
      </w:r>
      <w:r w:rsidR="007206DC">
        <w:t xml:space="preserve">an intermediate level of care between ICU and </w:t>
      </w:r>
      <w:r w:rsidR="009B57BA">
        <w:lastRenderedPageBreak/>
        <w:t>general, medical or surgical wards</w:t>
      </w:r>
      <w:r w:rsidR="006F01EE">
        <w:t>, with the latter described as High Dependency</w:t>
      </w:r>
      <w:r w:rsidR="00F732D1">
        <w:t xml:space="preserve"> </w:t>
      </w:r>
      <w:r w:rsidR="00D42F70">
        <w:t>/</w:t>
      </w:r>
      <w:r w:rsidR="00F732D1">
        <w:t xml:space="preserve"> </w:t>
      </w:r>
      <w:r w:rsidR="006F01EE">
        <w:t>S</w:t>
      </w:r>
      <w:r w:rsidR="00D42F70">
        <w:t xml:space="preserve">tep </w:t>
      </w:r>
      <w:r w:rsidR="006F01EE">
        <w:t>D</w:t>
      </w:r>
      <w:r w:rsidR="0087659E">
        <w:t>own care</w:t>
      </w:r>
      <w:r w:rsidR="007206DC">
        <w:t xml:space="preserve">. </w:t>
      </w:r>
      <w:r w:rsidR="00124A2C">
        <w:t xml:space="preserve">These different levels </w:t>
      </w:r>
      <w:r w:rsidR="005E0687">
        <w:t xml:space="preserve">attract different nurse to patient ratios, and as a result </w:t>
      </w:r>
      <w:r w:rsidR="00542734">
        <w:t xml:space="preserve">may </w:t>
      </w:r>
      <w:r w:rsidR="005E0687">
        <w:t xml:space="preserve">have a different consumption of costs. </w:t>
      </w:r>
      <w:r w:rsidR="007206DC">
        <w:t xml:space="preserve">While a high proportion of </w:t>
      </w:r>
      <w:r w:rsidR="005F3A14">
        <w:t xml:space="preserve">the patients </w:t>
      </w:r>
      <w:r w:rsidR="00E041DC">
        <w:t xml:space="preserve">admitted </w:t>
      </w:r>
      <w:r w:rsidR="005F3A14">
        <w:t>in</w:t>
      </w:r>
      <w:r w:rsidR="00E041DC">
        <w:t>to</w:t>
      </w:r>
      <w:r w:rsidR="005F3A14">
        <w:t xml:space="preserve"> ICUs</w:t>
      </w:r>
      <w:r w:rsidR="00E041DC">
        <w:t xml:space="preserve"> required ICU level of care</w:t>
      </w:r>
      <w:r w:rsidR="00CA33EB">
        <w:t xml:space="preserve">, </w:t>
      </w:r>
      <w:r w:rsidR="00375448">
        <w:t>m</w:t>
      </w:r>
      <w:r w:rsidR="00970FA2">
        <w:t xml:space="preserve">ost jurisdictions report all </w:t>
      </w:r>
      <w:r w:rsidR="00BA5E5D">
        <w:t>ICU</w:t>
      </w:r>
      <w:r w:rsidR="00970FA2">
        <w:t xml:space="preserve"> costs under </w:t>
      </w:r>
      <w:r w:rsidR="00970FA2" w:rsidRPr="00DE5CB3">
        <w:rPr>
          <w:i/>
          <w:iCs/>
        </w:rPr>
        <w:t>Aicu</w:t>
      </w:r>
      <w:r w:rsidR="00970FA2">
        <w:t xml:space="preserve"> due to challenges in distinguishing between ICU and High Dependency (HDU) / Step Down care. However, </w:t>
      </w:r>
      <w:r w:rsidR="001073A9">
        <w:t>New South Wales (</w:t>
      </w:r>
      <w:r w:rsidR="00970FA2">
        <w:t>NSW</w:t>
      </w:r>
      <w:r w:rsidR="001073A9">
        <w:t>)</w:t>
      </w:r>
      <w:r w:rsidR="00970FA2">
        <w:t xml:space="preserve"> has implemented detailed mapping of local bed types to NHCDC </w:t>
      </w:r>
      <w:r w:rsidR="00F8415E">
        <w:t>C</w:t>
      </w:r>
      <w:r w:rsidR="00970FA2">
        <w:t xml:space="preserve">ost </w:t>
      </w:r>
      <w:r w:rsidR="00F8415E">
        <w:t>C</w:t>
      </w:r>
      <w:r w:rsidR="00970FA2">
        <w:t xml:space="preserve">entres and reports HDU / Step Down care under </w:t>
      </w:r>
      <w:r w:rsidR="00970FA2" w:rsidRPr="00DE5CB3">
        <w:rPr>
          <w:i/>
          <w:iCs/>
        </w:rPr>
        <w:t>Gencritcare</w:t>
      </w:r>
      <w:r w:rsidR="00970FA2">
        <w:t>.</w:t>
      </w:r>
      <w:r w:rsidR="006E122C">
        <w:t xml:space="preserve"> </w:t>
      </w:r>
    </w:p>
    <w:p w14:paraId="1F7F64BB" w14:textId="2299C052" w:rsidR="006E122C" w:rsidRDefault="006E122C" w:rsidP="00772337">
      <w:r>
        <w:t>For the 2023-24 year</w:t>
      </w:r>
      <w:r w:rsidR="00751C62">
        <w:t xml:space="preserve"> for </w:t>
      </w:r>
      <w:r w:rsidR="00AF41EA">
        <w:t>L</w:t>
      </w:r>
      <w:r w:rsidR="00751C62">
        <w:t>evel 3 ICU facil</w:t>
      </w:r>
      <w:r w:rsidR="0019025B">
        <w:t>i</w:t>
      </w:r>
      <w:r w:rsidR="00751C62">
        <w:t>ties in NSW</w:t>
      </w:r>
      <w:r>
        <w:t xml:space="preserve">, </w:t>
      </w:r>
      <w:r w:rsidR="00DF3122">
        <w:t>utilising this approach</w:t>
      </w:r>
      <w:r w:rsidR="00751C62">
        <w:t xml:space="preserve"> </w:t>
      </w:r>
      <w:r>
        <w:t xml:space="preserve">NSW reported </w:t>
      </w:r>
      <w:r w:rsidR="007613BD">
        <w:t>83.5</w:t>
      </w:r>
      <w:r w:rsidR="006C6E86">
        <w:t>%</w:t>
      </w:r>
      <w:r w:rsidR="00DF3122">
        <w:t xml:space="preserve"> of their </w:t>
      </w:r>
      <w:r w:rsidR="00BA0E20">
        <w:t xml:space="preserve">critical care costs as </w:t>
      </w:r>
      <w:r w:rsidR="00BA0E20" w:rsidRPr="003C28DB">
        <w:rPr>
          <w:i/>
          <w:iCs/>
        </w:rPr>
        <w:t>A</w:t>
      </w:r>
      <w:r w:rsidR="001C24A4" w:rsidRPr="003C28DB">
        <w:rPr>
          <w:i/>
          <w:iCs/>
        </w:rPr>
        <w:t>icu</w:t>
      </w:r>
      <w:r w:rsidR="00BA0E20">
        <w:t xml:space="preserve"> and </w:t>
      </w:r>
      <w:r w:rsidR="00834A52">
        <w:t>16.5</w:t>
      </w:r>
      <w:r w:rsidR="006C6E86">
        <w:t>%</w:t>
      </w:r>
      <w:r w:rsidR="00BA0E20">
        <w:t xml:space="preserve"> as </w:t>
      </w:r>
      <w:r w:rsidR="00BA0E20" w:rsidRPr="003C28DB">
        <w:rPr>
          <w:i/>
          <w:iCs/>
        </w:rPr>
        <w:t>Gen</w:t>
      </w:r>
      <w:r w:rsidR="00663719" w:rsidRPr="003C28DB">
        <w:rPr>
          <w:i/>
          <w:iCs/>
        </w:rPr>
        <w:t>critcare</w:t>
      </w:r>
      <w:r w:rsidR="00663719">
        <w:t xml:space="preserve">. </w:t>
      </w:r>
    </w:p>
    <w:p w14:paraId="055151B0" w14:textId="1C5BE40A" w:rsidR="00970FA2" w:rsidRDefault="00970FA2" w:rsidP="00C91BCB">
      <w:r>
        <w:t>The focused review also identified several inconsistencies in ICU cost reporting</w:t>
      </w:r>
      <w:r w:rsidR="0019025B">
        <w:t xml:space="preserve"> in the 2023-24 year</w:t>
      </w:r>
      <w:r>
        <w:t>, including:</w:t>
      </w:r>
    </w:p>
    <w:p w14:paraId="1BB78476" w14:textId="4908FD02" w:rsidR="00970FA2" w:rsidRDefault="00970FA2" w:rsidP="00C91BCB">
      <w:pPr>
        <w:pStyle w:val="ListParagraph"/>
        <w:numPr>
          <w:ilvl w:val="0"/>
          <w:numId w:val="76"/>
        </w:numPr>
      </w:pPr>
      <w:r>
        <w:t xml:space="preserve">A NSW site mapping NICU costs to </w:t>
      </w:r>
      <w:r w:rsidR="00F33EE9" w:rsidRPr="00A409AF">
        <w:rPr>
          <w:i/>
          <w:iCs/>
        </w:rPr>
        <w:t>S</w:t>
      </w:r>
      <w:r w:rsidR="00A409AF" w:rsidRPr="00A409AF">
        <w:rPr>
          <w:i/>
          <w:iCs/>
        </w:rPr>
        <w:t>cnicu</w:t>
      </w:r>
      <w:r>
        <w:t xml:space="preserve"> in error.</w:t>
      </w:r>
    </w:p>
    <w:p w14:paraId="6A616D32" w14:textId="118B9D6E" w:rsidR="00970FA2" w:rsidRDefault="00970FA2" w:rsidP="00C91BCB">
      <w:pPr>
        <w:pStyle w:val="ListParagraph"/>
        <w:numPr>
          <w:ilvl w:val="0"/>
          <w:numId w:val="76"/>
        </w:numPr>
      </w:pPr>
      <w:r>
        <w:t xml:space="preserve">A </w:t>
      </w:r>
      <w:r w:rsidR="00480AC9">
        <w:t>Western Australia</w:t>
      </w:r>
      <w:r w:rsidR="00EE51DA">
        <w:t>n</w:t>
      </w:r>
      <w:r>
        <w:t xml:space="preserve"> site mapping </w:t>
      </w:r>
      <w:r w:rsidRPr="00B66CDC">
        <w:rPr>
          <w:i/>
          <w:iCs/>
        </w:rPr>
        <w:t>Paedicu</w:t>
      </w:r>
      <w:r>
        <w:t xml:space="preserve"> costs to the </w:t>
      </w:r>
      <w:r w:rsidRPr="00B66CDC">
        <w:rPr>
          <w:i/>
          <w:iCs/>
        </w:rPr>
        <w:t>Hdicu</w:t>
      </w:r>
      <w:r>
        <w:t xml:space="preserve"> </w:t>
      </w:r>
      <w:r w:rsidR="00C5000B">
        <w:t>NHCDC C</w:t>
      </w:r>
      <w:r>
        <w:t xml:space="preserve">ost </w:t>
      </w:r>
      <w:r w:rsidR="00C5000B">
        <w:t>C</w:t>
      </w:r>
      <w:r>
        <w:t>entre</w:t>
      </w:r>
      <w:r w:rsidR="00480AC9">
        <w:t>.</w:t>
      </w:r>
    </w:p>
    <w:p w14:paraId="3E8C789F" w14:textId="3BFAFF0B" w:rsidR="00970FA2" w:rsidRDefault="00970FA2" w:rsidP="00C91BCB">
      <w:pPr>
        <w:pStyle w:val="ListParagraph"/>
        <w:numPr>
          <w:ilvl w:val="0"/>
          <w:numId w:val="76"/>
        </w:numPr>
      </w:pPr>
      <w:r>
        <w:t xml:space="preserve">A </w:t>
      </w:r>
      <w:r w:rsidR="00480AC9">
        <w:t xml:space="preserve">Queensland </w:t>
      </w:r>
      <w:r>
        <w:t xml:space="preserve">site </w:t>
      </w:r>
      <w:r w:rsidR="007E5583">
        <w:t xml:space="preserve">that </w:t>
      </w:r>
      <w:r>
        <w:t xml:space="preserve">mapped nursing costs to </w:t>
      </w:r>
      <w:r w:rsidRPr="007838CC">
        <w:rPr>
          <w:i/>
          <w:iCs/>
        </w:rPr>
        <w:t>Gencritcare</w:t>
      </w:r>
      <w:r>
        <w:rPr>
          <w:i/>
          <w:iCs/>
        </w:rPr>
        <w:t xml:space="preserve"> </w:t>
      </w:r>
      <w:r w:rsidRPr="007838CC">
        <w:t xml:space="preserve">and other ward-based costs to </w:t>
      </w:r>
      <w:r>
        <w:rPr>
          <w:i/>
          <w:iCs/>
        </w:rPr>
        <w:t>Aicu</w:t>
      </w:r>
      <w:r w:rsidR="00480AC9">
        <w:rPr>
          <w:i/>
          <w:iCs/>
        </w:rPr>
        <w:t>.</w:t>
      </w:r>
    </w:p>
    <w:p w14:paraId="2AEA6C99" w14:textId="3F0EF57F" w:rsidR="00772337" w:rsidRDefault="00970FA2" w:rsidP="00772337">
      <w:r>
        <w:t xml:space="preserve">While these issues did not materially affect total costs reported under the </w:t>
      </w:r>
      <w:r w:rsidRPr="000A306A">
        <w:rPr>
          <w:i/>
        </w:rPr>
        <w:t>Critical</w:t>
      </w:r>
      <w:r>
        <w:t xml:space="preserve"> </w:t>
      </w:r>
      <w:r w:rsidR="000A306A" w:rsidRPr="000A306A">
        <w:t>NHCDC</w:t>
      </w:r>
      <w:r>
        <w:t xml:space="preserve"> Cost Centre Group, they did impact the granularity and comparability of data at the individual NHCDC Cost Centre level. </w:t>
      </w:r>
      <w:r w:rsidR="008F0413">
        <w:t>In addition, they would impact the calculation of the I</w:t>
      </w:r>
      <w:r w:rsidR="002F7C92">
        <w:t>CU</w:t>
      </w:r>
      <w:r w:rsidR="008F0413">
        <w:t xml:space="preserve"> </w:t>
      </w:r>
      <w:r w:rsidR="00487EB6">
        <w:t>a</w:t>
      </w:r>
      <w:r w:rsidR="008F0413">
        <w:t xml:space="preserve">djustment applied by IHACPA in the NEP calculation, </w:t>
      </w:r>
      <w:r w:rsidR="00496762">
        <w:t xml:space="preserve">which uses </w:t>
      </w:r>
      <w:r w:rsidR="008F0413">
        <w:t>t</w:t>
      </w:r>
      <w:r>
        <w:t>h</w:t>
      </w:r>
      <w:r w:rsidR="00416D84">
        <w:t xml:space="preserve">e </w:t>
      </w:r>
      <w:r w:rsidR="008F0413">
        <w:rPr>
          <w:i/>
          <w:iCs/>
        </w:rPr>
        <w:t xml:space="preserve">Aicu </w:t>
      </w:r>
      <w:r w:rsidR="00416D84">
        <w:t xml:space="preserve">costs and </w:t>
      </w:r>
      <w:r w:rsidR="00D964CA" w:rsidRPr="00637F60">
        <w:rPr>
          <w:i/>
          <w:iCs/>
        </w:rPr>
        <w:t xml:space="preserve">Length of stay in ICU </w:t>
      </w:r>
      <w:r w:rsidR="00416D84" w:rsidRPr="00637F60">
        <w:rPr>
          <w:i/>
          <w:iCs/>
        </w:rPr>
        <w:t>hours</w:t>
      </w:r>
      <w:r w:rsidR="00F05B0E">
        <w:t xml:space="preserve"> </w:t>
      </w:r>
      <w:r>
        <w:t xml:space="preserve">(see Finding </w:t>
      </w:r>
      <w:r w:rsidR="00C25157">
        <w:t>2</w:t>
      </w:r>
      <w:r>
        <w:t>.2).</w:t>
      </w:r>
    </w:p>
    <w:p w14:paraId="7CD08966" w14:textId="6C099CE0" w:rsidR="005B7871" w:rsidRDefault="005B7871" w:rsidP="00772337">
      <w:r>
        <w:t xml:space="preserve">The table below sets out the proportion of costs with the </w:t>
      </w:r>
      <w:r w:rsidRPr="005B7871">
        <w:rPr>
          <w:i/>
          <w:iCs/>
        </w:rPr>
        <w:t>Critical</w:t>
      </w:r>
      <w:r>
        <w:t xml:space="preserve"> NHCDC Cost Centre Group at the cost centre level, for each of the participating sites. </w:t>
      </w:r>
    </w:p>
    <w:p w14:paraId="51859916" w14:textId="4CC7E2EC" w:rsidR="00F92F7B" w:rsidRDefault="00A13278" w:rsidP="00F92F7B">
      <w:pPr>
        <w:pStyle w:val="Caption"/>
        <w:keepNext/>
      </w:pPr>
      <w:r>
        <w:t>Figure</w:t>
      </w:r>
      <w:r w:rsidR="00F92F7B">
        <w:t xml:space="preserve"> </w:t>
      </w:r>
      <w:r w:rsidR="00BD5B5E">
        <w:fldChar w:fldCharType="begin"/>
      </w:r>
      <w:r w:rsidR="00BD5B5E">
        <w:instrText xml:space="preserve"> SEQ Figure \* ARABIC </w:instrText>
      </w:r>
      <w:r w:rsidR="00BD5B5E">
        <w:fldChar w:fldCharType="separate"/>
      </w:r>
      <w:r w:rsidR="00CE6F96">
        <w:rPr>
          <w:noProof/>
        </w:rPr>
        <w:t>4</w:t>
      </w:r>
      <w:r w:rsidR="00BD5B5E">
        <w:fldChar w:fldCharType="end"/>
      </w:r>
      <w:r w:rsidR="00F92F7B">
        <w:t xml:space="preserve">: </w:t>
      </w:r>
      <w:r w:rsidR="006B08BA">
        <w:t>Critical Costs by Cost Centre</w:t>
      </w:r>
      <w:r w:rsidR="00F92F7B">
        <w:t xml:space="preserve"> across </w:t>
      </w:r>
      <w:r w:rsidR="006B08BA">
        <w:t>participating sites</w:t>
      </w:r>
      <w:r w:rsidR="00E9277F">
        <w:t xml:space="preserve"> – </w:t>
      </w:r>
      <w:r w:rsidR="00421FDF">
        <w:t>a</w:t>
      </w:r>
      <w:r w:rsidR="00E9277F">
        <w:t xml:space="preserve">ll </w:t>
      </w:r>
      <w:r w:rsidR="0068436D">
        <w:t xml:space="preserve">participating </w:t>
      </w:r>
      <w:r w:rsidR="00E9277F">
        <w:t>jurisdictions</w:t>
      </w:r>
    </w:p>
    <w:p w14:paraId="6BCA78B5" w14:textId="33C44309" w:rsidR="00F92F7B" w:rsidRDefault="00F67695" w:rsidP="00772337">
      <w:r>
        <w:rPr>
          <w:noProof/>
        </w:rPr>
        <w:drawing>
          <wp:inline distT="0" distB="0" distL="0" distR="0" wp14:anchorId="1CDE6324" wp14:editId="30D43744">
            <wp:extent cx="6313170" cy="2149417"/>
            <wp:effectExtent l="0" t="0" r="0" b="3810"/>
            <wp:docPr id="165764642" name="Picture 2" descr="P7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4642" name="Picture 2" descr="P721#yIS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46051" cy="2160612"/>
                    </a:xfrm>
                    <a:prstGeom prst="rect">
                      <a:avLst/>
                    </a:prstGeom>
                    <a:noFill/>
                  </pic:spPr>
                </pic:pic>
              </a:graphicData>
            </a:graphic>
          </wp:inline>
        </w:drawing>
      </w:r>
      <w:r w:rsidR="00B0691E" w:rsidRPr="00B0691E">
        <w:rPr>
          <w:noProof/>
        </w:rPr>
        <mc:AlternateContent>
          <mc:Choice Requires="wps">
            <w:drawing>
              <wp:anchor distT="0" distB="0" distL="114300" distR="114300" simplePos="0" relativeHeight="251658259" behindDoc="0" locked="0" layoutInCell="1" allowOverlap="1" wp14:anchorId="517542A4" wp14:editId="1A8A6000">
                <wp:simplePos x="0" y="0"/>
                <wp:positionH relativeFrom="column">
                  <wp:posOffset>6957060</wp:posOffset>
                </wp:positionH>
                <wp:positionV relativeFrom="paragraph">
                  <wp:posOffset>-635</wp:posOffset>
                </wp:positionV>
                <wp:extent cx="936000" cy="3195392"/>
                <wp:effectExtent l="0" t="0" r="16510" b="24130"/>
                <wp:wrapNone/>
                <wp:docPr id="1627986535" name="Rectangle: Rounded Corners 9" descr="P721TB32#y1"/>
                <wp:cNvGraphicFramePr/>
                <a:graphic xmlns:a="http://schemas.openxmlformats.org/drawingml/2006/main">
                  <a:graphicData uri="http://schemas.microsoft.com/office/word/2010/wordprocessingShape">
                    <wps:wsp>
                      <wps:cNvSpPr/>
                      <wps:spPr>
                        <a:xfrm>
                          <a:off x="0" y="0"/>
                          <a:ext cx="936000" cy="3195392"/>
                        </a:xfrm>
                        <a:prstGeom prst="roundRect">
                          <a:avLst>
                            <a:gd name="adj" fmla="val 18661"/>
                          </a:avLst>
                        </a:prstGeom>
                        <a:noFill/>
                        <a:ln w="19050">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D75732" w14:textId="77777777" w:rsidR="00B0691E" w:rsidRDefault="00B0691E" w:rsidP="00B0691E">
                            <w:pPr>
                              <w:jc w:val="center"/>
                              <w:rPr>
                                <w:rFonts w:asciiTheme="minorHAnsi"/>
                                <w:color w:val="000000" w:themeColor="text1"/>
                                <w:kern w:val="24"/>
                                <w:sz w:val="22"/>
                                <w:szCs w:val="22"/>
                              </w:rPr>
                            </w:pPr>
                            <w:r>
                              <w:rPr>
                                <w:rFonts w:asciiTheme="minorHAnsi"/>
                                <w:color w:val="000000" w:themeColor="text1"/>
                                <w:kern w:val="24"/>
                                <w:sz w:val="22"/>
                                <w:szCs w:val="22"/>
                              </w:rPr>
                              <w:t>SA</w:t>
                            </w:r>
                          </w:p>
                          <w:p w14:paraId="70EDD264" w14:textId="1FB92A32" w:rsidR="009F4640" w:rsidRDefault="009F4640"/>
                        </w:txbxContent>
                      </wps:txbx>
                      <wps:bodyPr rtlCol="0" anchor="t" anchorCtr="0"/>
                    </wps:wsp>
                  </a:graphicData>
                </a:graphic>
              </wp:anchor>
            </w:drawing>
          </mc:Choice>
          <mc:Fallback>
            <w:pict>
              <v:roundrect w14:anchorId="517542A4" id="Rectangle: Rounded Corners 9" o:spid="_x0000_s1058" alt="P721TB32#y1" style="position:absolute;margin-left:547.8pt;margin-top:-.05pt;width:73.7pt;height:251.6pt;z-index:251658259;visibility:visible;mso-wrap-style:square;mso-wrap-distance-left:9pt;mso-wrap-distance-top:0;mso-wrap-distance-right:9pt;mso-wrap-distance-bottom:0;mso-position-horizontal:absolute;mso-position-horizontal-relative:text;mso-position-vertical:absolute;mso-position-vertical-relative:text;v-text-anchor:top" arcsize="122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" filled="f" strokecolor="#f2efed [3214]" strokeweight="1.5pt">
                <v:stroke joinstyle="miter"/>
                <v:textbox>
                  <w:txbxContent>
                    <w:p w14:paraId="39D75732" w14:textId="77777777" w:rsidR="00B0691E" w:rsidRDefault="00B0691E" w:rsidP="00B0691E">
                      <w:pPr>
                        <w:jc w:val="center"/>
                        <w:rPr>
                          <w:rFonts w:asciiTheme="minorHAnsi"/>
                          <w:color w:val="000000" w:themeColor="text1"/>
                          <w:kern w:val="24"/>
                          <w:sz w:val="22"/>
                          <w:szCs w:val="22"/>
                        </w:rPr>
                      </w:pPr>
                      <w:r>
                        <w:rPr>
                          <w:rFonts w:asciiTheme="minorHAnsi"/>
                          <w:color w:val="000000" w:themeColor="text1"/>
                          <w:kern w:val="24"/>
                          <w:sz w:val="22"/>
                          <w:szCs w:val="22"/>
                        </w:rPr>
                        <w:t>SA</w:t>
                      </w:r>
                    </w:p>
                    <w:p w14:paraId="70EDD264" w14:textId="1FB92A32" w:rsidR="009F4640" w:rsidRDefault="009F4640"/>
                  </w:txbxContent>
                </v:textbox>
              </v:roundrect>
            </w:pict>
          </mc:Fallback>
        </mc:AlternateContent>
      </w:r>
    </w:p>
    <w:p w14:paraId="654E2365" w14:textId="44C2D7A2" w:rsidR="00606490" w:rsidRPr="00085389" w:rsidRDefault="00606490" w:rsidP="00EC0C63">
      <w:pPr>
        <w:keepNext/>
      </w:pPr>
      <w:bookmarkStart w:id="25" w:name="_Ref209507868"/>
      <w:r w:rsidRPr="00EC0C63">
        <w:rPr>
          <w:u w:val="single"/>
        </w:rPr>
        <w:t xml:space="preserve">Finding </w:t>
      </w:r>
      <w:r w:rsidR="00B47923" w:rsidRPr="00EC0C63">
        <w:rPr>
          <w:u w:val="single"/>
        </w:rPr>
        <w:t>2</w:t>
      </w:r>
      <w:r w:rsidR="003F6026" w:rsidRPr="00EC0C63">
        <w:rPr>
          <w:u w:val="single"/>
        </w:rPr>
        <w:t>.</w:t>
      </w:r>
      <w:r w:rsidRPr="00EC0C63">
        <w:rPr>
          <w:u w:val="single"/>
        </w:rPr>
        <w:t xml:space="preserve">2: </w:t>
      </w:r>
      <w:r w:rsidR="003C34E8" w:rsidRPr="00EC0C63">
        <w:rPr>
          <w:u w:val="single"/>
        </w:rPr>
        <w:t xml:space="preserve">Variation </w:t>
      </w:r>
      <w:r w:rsidRPr="00EC0C63">
        <w:rPr>
          <w:u w:val="single"/>
        </w:rPr>
        <w:t xml:space="preserve">in </w:t>
      </w:r>
      <w:r w:rsidR="001158DF" w:rsidRPr="00EC0C63">
        <w:rPr>
          <w:u w:val="single"/>
        </w:rPr>
        <w:t xml:space="preserve">ICU </w:t>
      </w:r>
      <w:r w:rsidR="003C34E8" w:rsidRPr="00EC0C63">
        <w:rPr>
          <w:u w:val="single"/>
        </w:rPr>
        <w:t xml:space="preserve">hours </w:t>
      </w:r>
      <w:r w:rsidR="001158DF" w:rsidRPr="00EC0C63">
        <w:rPr>
          <w:u w:val="single"/>
        </w:rPr>
        <w:t>report</w:t>
      </w:r>
      <w:r w:rsidR="00B4488E" w:rsidRPr="00EC0C63">
        <w:rPr>
          <w:u w:val="single"/>
        </w:rPr>
        <w:t>ed</w:t>
      </w:r>
      <w:r w:rsidR="001158DF" w:rsidRPr="00EC0C63">
        <w:rPr>
          <w:u w:val="single"/>
        </w:rPr>
        <w:t xml:space="preserve"> in</w:t>
      </w:r>
      <w:r w:rsidR="001158DF" w:rsidRPr="00EC0C63" w:rsidDel="00A77202">
        <w:rPr>
          <w:u w:val="single"/>
        </w:rPr>
        <w:t xml:space="preserve"> </w:t>
      </w:r>
      <w:r w:rsidRPr="00EC0C63">
        <w:rPr>
          <w:u w:val="single"/>
        </w:rPr>
        <w:t xml:space="preserve">the </w:t>
      </w:r>
      <w:r w:rsidR="0012632F" w:rsidRPr="00EC0C63">
        <w:rPr>
          <w:u w:val="single"/>
        </w:rPr>
        <w:t xml:space="preserve">ICU </w:t>
      </w:r>
      <w:r w:rsidR="003C34E8" w:rsidRPr="00EC0C63">
        <w:rPr>
          <w:u w:val="single"/>
        </w:rPr>
        <w:t>activity dataset</w:t>
      </w:r>
      <w:r w:rsidR="003E7329" w:rsidRPr="00EC0C63">
        <w:rPr>
          <w:u w:val="single"/>
        </w:rPr>
        <w:t xml:space="preserve"> and inconsistency between treatment of critical care costs and hours</w:t>
      </w:r>
      <w:bookmarkEnd w:id="25"/>
      <w:r w:rsidR="0012632F" w:rsidRPr="00EC0C63">
        <w:rPr>
          <w:u w:val="single"/>
        </w:rPr>
        <w:t xml:space="preserve"> </w:t>
      </w:r>
    </w:p>
    <w:p w14:paraId="240E3F01" w14:textId="5529BE39" w:rsidR="00C2420E" w:rsidRDefault="00772337" w:rsidP="00171870">
      <w:pPr>
        <w:rPr>
          <w:i/>
          <w:iCs/>
        </w:rPr>
      </w:pPr>
      <w:r w:rsidRPr="00342325">
        <w:t xml:space="preserve">There is </w:t>
      </w:r>
      <w:r w:rsidR="002154C7">
        <w:t xml:space="preserve">significant </w:t>
      </w:r>
      <w:r w:rsidRPr="00342325">
        <w:t xml:space="preserve">variation </w:t>
      </w:r>
      <w:r w:rsidR="00D26CEC">
        <w:t xml:space="preserve">across jurisdictions </w:t>
      </w:r>
      <w:r w:rsidRPr="00342325">
        <w:t xml:space="preserve">in </w:t>
      </w:r>
      <w:r w:rsidR="00402A2D">
        <w:t xml:space="preserve">both </w:t>
      </w:r>
      <w:r w:rsidRPr="00342325">
        <w:t xml:space="preserve">which hours are reported </w:t>
      </w:r>
      <w:r w:rsidR="00402A2D">
        <w:t>and which category the</w:t>
      </w:r>
      <w:r w:rsidR="00D26CEC">
        <w:t xml:space="preserve"> ICU hours </w:t>
      </w:r>
      <w:r w:rsidR="00402A2D">
        <w:t xml:space="preserve">are reported </w:t>
      </w:r>
      <w:r w:rsidR="00D26CEC">
        <w:t>under</w:t>
      </w:r>
      <w:r w:rsidR="008822CE">
        <w:t xml:space="preserve"> between </w:t>
      </w:r>
      <w:r w:rsidR="002154C7">
        <w:t>the 2</w:t>
      </w:r>
      <w:r w:rsidR="00041494">
        <w:t xml:space="preserve"> ICU activity</w:t>
      </w:r>
      <w:r w:rsidR="00987C21">
        <w:t xml:space="preserve"> fields</w:t>
      </w:r>
      <w:r w:rsidR="005B3E96">
        <w:t xml:space="preserve">, </w:t>
      </w:r>
      <w:r w:rsidR="005B3E96" w:rsidRPr="005B3E96">
        <w:t>‘Length of stay in ICU</w:t>
      </w:r>
      <w:r w:rsidR="00987C21">
        <w:t>’ (referred to hereafter as</w:t>
      </w:r>
      <w:r w:rsidRPr="00342325">
        <w:t xml:space="preserve"> </w:t>
      </w:r>
      <w:r w:rsidRPr="00342325">
        <w:rPr>
          <w:i/>
          <w:iCs/>
        </w:rPr>
        <w:t>Level 3 ICU Hours</w:t>
      </w:r>
      <w:r w:rsidR="00987C21">
        <w:rPr>
          <w:i/>
          <w:iCs/>
        </w:rPr>
        <w:t>)</w:t>
      </w:r>
      <w:r w:rsidRPr="00342325">
        <w:t xml:space="preserve"> and </w:t>
      </w:r>
      <w:r w:rsidR="00A61F8C">
        <w:t>‘</w:t>
      </w:r>
      <w:r w:rsidR="00987C21" w:rsidRPr="00987C21">
        <w:t>Length of stay in ICU</w:t>
      </w:r>
      <w:r w:rsidR="00F25AFE">
        <w:t xml:space="preserve"> –</w:t>
      </w:r>
      <w:r w:rsidR="00987C21" w:rsidRPr="00987C21">
        <w:t xml:space="preserve"> Other</w:t>
      </w:r>
      <w:r w:rsidR="00A61F8C">
        <w:t>’</w:t>
      </w:r>
      <w:r w:rsidR="00987C21" w:rsidRPr="00987C21">
        <w:t xml:space="preserve"> </w:t>
      </w:r>
      <w:r w:rsidR="00987C21">
        <w:t>(</w:t>
      </w:r>
      <w:r w:rsidRPr="005F6D76">
        <w:rPr>
          <w:i/>
          <w:iCs/>
        </w:rPr>
        <w:t>O</w:t>
      </w:r>
      <w:r w:rsidRPr="00342325">
        <w:rPr>
          <w:i/>
          <w:iCs/>
        </w:rPr>
        <w:t>ther ICU Hours</w:t>
      </w:r>
      <w:r w:rsidR="00A61F8C">
        <w:rPr>
          <w:i/>
          <w:iCs/>
        </w:rPr>
        <w:t>).</w:t>
      </w:r>
      <w:r w:rsidR="001F6D08">
        <w:rPr>
          <w:i/>
          <w:iCs/>
        </w:rPr>
        <w:t xml:space="preserve"> </w:t>
      </w:r>
    </w:p>
    <w:p w14:paraId="2FE24FB0" w14:textId="31A44130" w:rsidR="00D41AA8" w:rsidRDefault="00B82988" w:rsidP="00171870">
      <w:r w:rsidRPr="003C28DB">
        <w:lastRenderedPageBreak/>
        <w:t xml:space="preserve">The table below sets out </w:t>
      </w:r>
      <w:r>
        <w:t>the current treatment in each jurisdiction</w:t>
      </w:r>
      <w:r w:rsidR="00D41AA8">
        <w:t xml:space="preserve"> and demonstrates the inconsistent approach to capturing and reporting ICU hours.</w:t>
      </w:r>
    </w:p>
    <w:p w14:paraId="09E6612A" w14:textId="0832C22F" w:rsidR="00171870" w:rsidRDefault="00171870" w:rsidP="00171870">
      <w:pPr>
        <w:pStyle w:val="Caption"/>
        <w:keepNext/>
      </w:pPr>
      <w:r>
        <w:t xml:space="preserve">Table </w:t>
      </w:r>
      <w:r>
        <w:fldChar w:fldCharType="begin"/>
      </w:r>
      <w:r>
        <w:instrText xml:space="preserve"> SEQ Table \* ARABIC </w:instrText>
      </w:r>
      <w:r>
        <w:fldChar w:fldCharType="separate"/>
      </w:r>
      <w:r w:rsidR="00CE6F96">
        <w:rPr>
          <w:noProof/>
        </w:rPr>
        <w:t>4</w:t>
      </w:r>
      <w:r>
        <w:fldChar w:fldCharType="end"/>
      </w:r>
      <w:r>
        <w:t>:</w:t>
      </w:r>
      <w:r w:rsidR="00C91BCB">
        <w:t xml:space="preserve"> </w:t>
      </w:r>
      <w:r w:rsidR="00C91BCB" w:rsidRPr="00572BD3">
        <w:t xml:space="preserve">Comparison of reporting approaches </w:t>
      </w:r>
      <w:r w:rsidR="00572BD3" w:rsidRPr="00572BD3">
        <w:t xml:space="preserve">for ICU Hours </w:t>
      </w:r>
      <w:r w:rsidR="00C91BCB" w:rsidRPr="00572BD3">
        <w:t xml:space="preserve">across </w:t>
      </w:r>
      <w:r w:rsidR="00BF16A3">
        <w:t>all participating</w:t>
      </w:r>
      <w:r w:rsidR="00C91BCB" w:rsidRPr="00572BD3">
        <w:t xml:space="preserve"> jurisdictions</w:t>
      </w:r>
    </w:p>
    <w:tbl>
      <w:tblPr>
        <w:tblStyle w:val="TableGrid"/>
        <w:tblW w:w="9351" w:type="dxa"/>
        <w:tblBorders>
          <w:top w:val="single" w:sz="6" w:space="0" w:color="EFF0F7" w:themeColor="accent4" w:themeTint="33"/>
          <w:left w:val="single" w:sz="6" w:space="0" w:color="EFF0F7" w:themeColor="accent4" w:themeTint="33"/>
          <w:bottom w:val="single" w:sz="6" w:space="0" w:color="EFF0F7" w:themeColor="accent4" w:themeTint="33"/>
          <w:right w:val="single" w:sz="6" w:space="0" w:color="EFF0F7" w:themeColor="accent4" w:themeTint="33"/>
          <w:insideH w:val="single" w:sz="6" w:space="0" w:color="EFF0F7" w:themeColor="accent4" w:themeTint="33"/>
          <w:insideV w:val="single" w:sz="6" w:space="0" w:color="EFF0F7" w:themeColor="accent4" w:themeTint="33"/>
        </w:tblBorders>
        <w:tblCellMar>
          <w:top w:w="57" w:type="dxa"/>
          <w:bottom w:w="57" w:type="dxa"/>
        </w:tblCellMar>
        <w:tblLook w:val="04A0" w:firstRow="1" w:lastRow="0" w:firstColumn="1" w:lastColumn="0" w:noHBand="0" w:noVBand="1"/>
      </w:tblPr>
      <w:tblGrid>
        <w:gridCol w:w="1410"/>
        <w:gridCol w:w="2616"/>
        <w:gridCol w:w="1636"/>
        <w:gridCol w:w="2268"/>
        <w:gridCol w:w="1421"/>
      </w:tblGrid>
      <w:tr w:rsidR="00E9277F" w14:paraId="4E311F7A" w14:textId="77777777" w:rsidTr="00AD1F32">
        <w:trPr>
          <w:tblHeader/>
        </w:trPr>
        <w:tc>
          <w:tcPr>
            <w:tcW w:w="1410" w:type="dxa"/>
            <w:vMerge w:val="restart"/>
            <w:shd w:val="clear" w:color="auto" w:fill="464E7E" w:themeFill="accent2"/>
            <w:vAlign w:val="center"/>
          </w:tcPr>
          <w:p w14:paraId="45379593" w14:textId="3A0401C2" w:rsidR="00E9277F" w:rsidRPr="00171870" w:rsidRDefault="00E9277F" w:rsidP="00C475EF">
            <w:pPr>
              <w:rPr>
                <w:rFonts w:ascii="Avenir Next LT Pro Demi" w:hAnsi="Avenir Next LT Pro Demi"/>
                <w:color w:val="FFFFFF" w:themeColor="background1"/>
              </w:rPr>
            </w:pPr>
            <w:r w:rsidRPr="003C28DB">
              <w:rPr>
                <w:rFonts w:ascii="Avenir Next LT Pro Demi" w:hAnsi="Avenir Next LT Pro Demi"/>
                <w:color w:val="FFFFFF" w:themeColor="background1"/>
              </w:rPr>
              <w:t>Jurisdiction</w:t>
            </w:r>
          </w:p>
        </w:tc>
        <w:tc>
          <w:tcPr>
            <w:tcW w:w="4252" w:type="dxa"/>
            <w:gridSpan w:val="2"/>
            <w:shd w:val="clear" w:color="auto" w:fill="464E7E" w:themeFill="accent2"/>
            <w:vAlign w:val="center"/>
          </w:tcPr>
          <w:p w14:paraId="371009F1" w14:textId="77777777" w:rsidR="00E9277F" w:rsidRPr="00171870" w:rsidRDefault="00E9277F" w:rsidP="00CC61E1">
            <w:pPr>
              <w:rPr>
                <w:rFonts w:ascii="Avenir Next LT Pro Demi" w:hAnsi="Avenir Next LT Pro Demi"/>
                <w:color w:val="FFFFFF" w:themeColor="background1"/>
              </w:rPr>
            </w:pPr>
            <w:r w:rsidRPr="00171870">
              <w:rPr>
                <w:rFonts w:ascii="Avenir Next LT Pro Demi" w:hAnsi="Avenir Next LT Pro Demi"/>
                <w:color w:val="FFFFFF" w:themeColor="background1"/>
              </w:rPr>
              <w:t>Level 3 ICU hours are reported for:</w:t>
            </w:r>
          </w:p>
        </w:tc>
        <w:tc>
          <w:tcPr>
            <w:tcW w:w="3689" w:type="dxa"/>
            <w:gridSpan w:val="2"/>
            <w:shd w:val="clear" w:color="auto" w:fill="464E7E" w:themeFill="accent2"/>
            <w:vAlign w:val="center"/>
          </w:tcPr>
          <w:p w14:paraId="6EC672DB" w14:textId="7BDE2417" w:rsidR="00E9277F" w:rsidRPr="003C28DB" w:rsidRDefault="00E9277F" w:rsidP="00171870">
            <w:pPr>
              <w:rPr>
                <w:rFonts w:ascii="Avenir Next LT Pro Demi" w:hAnsi="Avenir Next LT Pro Demi"/>
                <w:color w:val="FFFFFF" w:themeColor="background1"/>
              </w:rPr>
            </w:pPr>
            <w:r w:rsidRPr="003C28DB">
              <w:rPr>
                <w:rFonts w:ascii="Avenir Next LT Pro Demi" w:hAnsi="Avenir Next LT Pro Demi"/>
                <w:color w:val="FFFFFF" w:themeColor="background1"/>
              </w:rPr>
              <w:t>Other ICU hours are reported for:</w:t>
            </w:r>
          </w:p>
        </w:tc>
      </w:tr>
      <w:tr w:rsidR="00E9277F" w14:paraId="3B9BD9D7" w14:textId="77777777" w:rsidTr="00171870">
        <w:trPr>
          <w:tblHeader/>
        </w:trPr>
        <w:tc>
          <w:tcPr>
            <w:tcW w:w="1410" w:type="dxa"/>
            <w:vMerge/>
            <w:shd w:val="clear" w:color="auto" w:fill="464E7E" w:themeFill="accent2"/>
          </w:tcPr>
          <w:p w14:paraId="299C3217" w14:textId="4C27A2EE" w:rsidR="00E9277F" w:rsidRPr="003C28DB" w:rsidRDefault="00E9277F" w:rsidP="00772337">
            <w:pPr>
              <w:rPr>
                <w:rFonts w:ascii="Avenir Next LT Pro Demi" w:hAnsi="Avenir Next LT Pro Demi"/>
                <w:color w:val="FFFFFF" w:themeColor="background1"/>
              </w:rPr>
            </w:pPr>
          </w:p>
        </w:tc>
        <w:tc>
          <w:tcPr>
            <w:tcW w:w="2616" w:type="dxa"/>
            <w:shd w:val="clear" w:color="auto" w:fill="464E7E" w:themeFill="accent2"/>
          </w:tcPr>
          <w:p w14:paraId="683A5513" w14:textId="64CF67FC" w:rsidR="00E9277F" w:rsidRPr="003C28DB" w:rsidRDefault="00E9277F" w:rsidP="00772337">
            <w:pPr>
              <w:rPr>
                <w:rFonts w:ascii="Avenir Next LT Pro Demi" w:hAnsi="Avenir Next LT Pro Demi"/>
                <w:color w:val="FFFFFF" w:themeColor="background1"/>
              </w:rPr>
            </w:pPr>
            <w:r w:rsidRPr="00171870">
              <w:rPr>
                <w:rFonts w:ascii="Avenir Next LT Pro Demi" w:hAnsi="Avenir Next LT Pro Demi"/>
                <w:color w:val="FFFFFF" w:themeColor="background1"/>
              </w:rPr>
              <w:t>Hours</w:t>
            </w:r>
          </w:p>
        </w:tc>
        <w:tc>
          <w:tcPr>
            <w:tcW w:w="1636" w:type="dxa"/>
            <w:shd w:val="clear" w:color="auto" w:fill="464E7E" w:themeFill="accent2"/>
          </w:tcPr>
          <w:p w14:paraId="742A2E44" w14:textId="25FFBFF2" w:rsidR="00E9277F" w:rsidRPr="00171870" w:rsidRDefault="00E9277F" w:rsidP="00772337">
            <w:pPr>
              <w:rPr>
                <w:rFonts w:ascii="Avenir Next LT Pro Demi" w:hAnsi="Avenir Next LT Pro Demi"/>
                <w:color w:val="FFFFFF" w:themeColor="background1"/>
              </w:rPr>
            </w:pPr>
            <w:r w:rsidRPr="00171870">
              <w:rPr>
                <w:rFonts w:ascii="Avenir Next LT Pro Demi" w:hAnsi="Avenir Next LT Pro Demi"/>
                <w:color w:val="FFFFFF" w:themeColor="background1"/>
              </w:rPr>
              <w:t>Facilities</w:t>
            </w:r>
          </w:p>
        </w:tc>
        <w:tc>
          <w:tcPr>
            <w:tcW w:w="2268" w:type="dxa"/>
            <w:shd w:val="clear" w:color="auto" w:fill="464E7E" w:themeFill="accent2"/>
          </w:tcPr>
          <w:p w14:paraId="20DEA700" w14:textId="12FB5E58" w:rsidR="00E9277F" w:rsidRPr="003C28DB" w:rsidRDefault="00E9277F" w:rsidP="00772337">
            <w:pPr>
              <w:rPr>
                <w:rFonts w:ascii="Avenir Next LT Pro Demi" w:hAnsi="Avenir Next LT Pro Demi"/>
                <w:color w:val="FFFFFF" w:themeColor="background1"/>
              </w:rPr>
            </w:pPr>
            <w:r w:rsidRPr="00171870">
              <w:rPr>
                <w:rFonts w:ascii="Avenir Next LT Pro Demi" w:hAnsi="Avenir Next LT Pro Demi"/>
                <w:color w:val="FFFFFF" w:themeColor="background1"/>
              </w:rPr>
              <w:t>H</w:t>
            </w:r>
            <w:r w:rsidRPr="003C28DB">
              <w:rPr>
                <w:rFonts w:ascii="Avenir Next LT Pro Demi" w:hAnsi="Avenir Next LT Pro Demi"/>
                <w:color w:val="FFFFFF" w:themeColor="background1"/>
              </w:rPr>
              <w:t>ours</w:t>
            </w:r>
          </w:p>
        </w:tc>
        <w:tc>
          <w:tcPr>
            <w:tcW w:w="1421" w:type="dxa"/>
            <w:shd w:val="clear" w:color="auto" w:fill="464E7E" w:themeFill="accent2"/>
          </w:tcPr>
          <w:p w14:paraId="18B97076" w14:textId="2E2C9F95" w:rsidR="00E9277F" w:rsidRPr="003C28DB" w:rsidRDefault="00E9277F" w:rsidP="00772337">
            <w:pPr>
              <w:rPr>
                <w:rFonts w:ascii="Avenir Next LT Pro Demi" w:hAnsi="Avenir Next LT Pro Demi"/>
                <w:color w:val="FFFFFF" w:themeColor="background1"/>
              </w:rPr>
            </w:pPr>
            <w:r w:rsidRPr="003C28DB">
              <w:rPr>
                <w:rFonts w:ascii="Avenir Next LT Pro Demi" w:hAnsi="Avenir Next LT Pro Demi"/>
                <w:color w:val="FFFFFF" w:themeColor="background1"/>
              </w:rPr>
              <w:t>Facilities</w:t>
            </w:r>
          </w:p>
        </w:tc>
      </w:tr>
      <w:tr w:rsidR="003C28DB" w14:paraId="6386873A" w14:textId="77777777" w:rsidTr="00171870">
        <w:tc>
          <w:tcPr>
            <w:tcW w:w="1410" w:type="dxa"/>
            <w:shd w:val="clear" w:color="auto" w:fill="EFF0F7" w:themeFill="accent4" w:themeFillTint="33"/>
          </w:tcPr>
          <w:p w14:paraId="5B29126C" w14:textId="3FE16C00" w:rsidR="00DF2E85" w:rsidRDefault="00DF2E85" w:rsidP="00772337">
            <w:r>
              <w:t>NSW</w:t>
            </w:r>
          </w:p>
        </w:tc>
        <w:tc>
          <w:tcPr>
            <w:tcW w:w="2616" w:type="dxa"/>
          </w:tcPr>
          <w:p w14:paraId="51B494A5" w14:textId="56C67C35" w:rsidR="00DF2E85" w:rsidRDefault="00DF2E85" w:rsidP="00772337">
            <w:r>
              <w:t xml:space="preserve">Adult ICU </w:t>
            </w:r>
            <w:r w:rsidR="0054792E">
              <w:t xml:space="preserve">(AICU) </w:t>
            </w:r>
            <w:r>
              <w:t xml:space="preserve">and Paediatric ICU </w:t>
            </w:r>
            <w:r w:rsidR="00A77202">
              <w:t xml:space="preserve">(PICU) </w:t>
            </w:r>
            <w:r>
              <w:t>hours for all patients in a bed type 91 (ICU level of care</w:t>
            </w:r>
            <w:r w:rsidR="00531EE3">
              <w:t xml:space="preserve"> need</w:t>
            </w:r>
            <w:r>
              <w:t xml:space="preserve">). </w:t>
            </w:r>
          </w:p>
        </w:tc>
        <w:tc>
          <w:tcPr>
            <w:tcW w:w="1636" w:type="dxa"/>
          </w:tcPr>
          <w:p w14:paraId="384EF9CB" w14:textId="55CE2D42" w:rsidR="00DF2E85" w:rsidRPr="005F6D76" w:rsidRDefault="00DF2E85" w:rsidP="00772337">
            <w:r>
              <w:t>All facilities regardless of designation</w:t>
            </w:r>
          </w:p>
        </w:tc>
        <w:tc>
          <w:tcPr>
            <w:tcW w:w="2268" w:type="dxa"/>
          </w:tcPr>
          <w:p w14:paraId="17B76EDC" w14:textId="23326DAB" w:rsidR="00DF2E85" w:rsidRDefault="00435E11" w:rsidP="00772337">
            <w:r>
              <w:t>A</w:t>
            </w:r>
            <w:r w:rsidR="00DF2E85">
              <w:t xml:space="preserve">ICU and </w:t>
            </w:r>
            <w:r>
              <w:t>P</w:t>
            </w:r>
            <w:r w:rsidR="00DF2E85">
              <w:t>ICU hours for all patients in a bed type 92 (HDU/Step down)</w:t>
            </w:r>
          </w:p>
        </w:tc>
        <w:tc>
          <w:tcPr>
            <w:tcW w:w="1421" w:type="dxa"/>
          </w:tcPr>
          <w:p w14:paraId="7324BD7E" w14:textId="1057BF52" w:rsidR="00DF2E85" w:rsidRDefault="00DF2E85" w:rsidP="00772337">
            <w:r>
              <w:t>All facilities regardless of designation</w:t>
            </w:r>
          </w:p>
        </w:tc>
      </w:tr>
      <w:tr w:rsidR="003C28DB" w14:paraId="218DFCA6" w14:textId="77777777" w:rsidTr="00171870">
        <w:trPr>
          <w:cantSplit/>
        </w:trPr>
        <w:tc>
          <w:tcPr>
            <w:tcW w:w="1410" w:type="dxa"/>
            <w:shd w:val="clear" w:color="auto" w:fill="EFF0F7" w:themeFill="accent4" w:themeFillTint="33"/>
          </w:tcPr>
          <w:p w14:paraId="3AFEB109" w14:textId="544F4A0E" w:rsidR="00DF2E85" w:rsidRDefault="00DF2E85" w:rsidP="00772337">
            <w:r>
              <w:t>Victoria</w:t>
            </w:r>
          </w:p>
        </w:tc>
        <w:tc>
          <w:tcPr>
            <w:tcW w:w="2616" w:type="dxa"/>
          </w:tcPr>
          <w:p w14:paraId="005FCD19" w14:textId="7BC7BC3C" w:rsidR="00DF2E85" w:rsidRDefault="00E62477" w:rsidP="00772337">
            <w:r>
              <w:t>AICU</w:t>
            </w:r>
            <w:r w:rsidR="00DF2E85">
              <w:t xml:space="preserve"> hours,</w:t>
            </w:r>
          </w:p>
          <w:p w14:paraId="58D875FD" w14:textId="7527B45F" w:rsidR="00DF2E85" w:rsidRDefault="00B45191" w:rsidP="00772337">
            <w:r>
              <w:t>PICU</w:t>
            </w:r>
            <w:r w:rsidR="00C51834">
              <w:t xml:space="preserve"> hours</w:t>
            </w:r>
            <w:r w:rsidR="00EF4717">
              <w:t>,</w:t>
            </w:r>
          </w:p>
          <w:p w14:paraId="3D7D26B3" w14:textId="50135AAA" w:rsidR="00DF2E85" w:rsidRDefault="00DF2E85" w:rsidP="00772337">
            <w:r>
              <w:t>Gencritcare hours,</w:t>
            </w:r>
          </w:p>
          <w:p w14:paraId="26E61CED" w14:textId="77777777" w:rsidR="00DF2E85" w:rsidRDefault="00DF2E85" w:rsidP="00772337">
            <w:r>
              <w:t>NICU hours,</w:t>
            </w:r>
          </w:p>
          <w:p w14:paraId="57DA6E80" w14:textId="57BA48B1" w:rsidR="00DF2E85" w:rsidRDefault="00DF2E85" w:rsidP="00772337">
            <w:r>
              <w:t>CCU hours.</w:t>
            </w:r>
          </w:p>
        </w:tc>
        <w:tc>
          <w:tcPr>
            <w:tcW w:w="1636" w:type="dxa"/>
          </w:tcPr>
          <w:p w14:paraId="1B647420" w14:textId="355240F5" w:rsidR="00DF2E85" w:rsidRDefault="00DF2E85" w:rsidP="00772337">
            <w:pPr>
              <w:rPr>
                <w:lang w:val="en-US"/>
              </w:rPr>
            </w:pPr>
            <w:r>
              <w:rPr>
                <w:lang w:val="en-US"/>
              </w:rPr>
              <w:t>Level 3 ICU facilities only</w:t>
            </w:r>
          </w:p>
        </w:tc>
        <w:tc>
          <w:tcPr>
            <w:tcW w:w="2268" w:type="dxa"/>
          </w:tcPr>
          <w:p w14:paraId="050733D9" w14:textId="59E54A92" w:rsidR="00DF2E85" w:rsidRDefault="00435E11" w:rsidP="008B112D">
            <w:r>
              <w:t>A</w:t>
            </w:r>
            <w:r w:rsidR="00DF2E85">
              <w:t>ICU hours,</w:t>
            </w:r>
          </w:p>
          <w:p w14:paraId="005CD1D2" w14:textId="77777777" w:rsidR="00DF2E85" w:rsidRDefault="00DF2E85" w:rsidP="008B112D">
            <w:r>
              <w:t>PICU hours,</w:t>
            </w:r>
          </w:p>
          <w:p w14:paraId="03EA0B6E" w14:textId="77777777" w:rsidR="00DF2E85" w:rsidRDefault="00DF2E85" w:rsidP="008B112D">
            <w:r>
              <w:t>Gencritcare hours,</w:t>
            </w:r>
          </w:p>
          <w:p w14:paraId="44C53FE5" w14:textId="77777777" w:rsidR="00DF2E85" w:rsidRDefault="00DF2E85" w:rsidP="008B112D">
            <w:r>
              <w:t>NICU hours,</w:t>
            </w:r>
          </w:p>
          <w:p w14:paraId="71CE023C" w14:textId="5E312099" w:rsidR="00DF2E85" w:rsidRDefault="00DF2E85" w:rsidP="008B112D">
            <w:r>
              <w:t>CCU hours.</w:t>
            </w:r>
          </w:p>
        </w:tc>
        <w:tc>
          <w:tcPr>
            <w:tcW w:w="1421" w:type="dxa"/>
          </w:tcPr>
          <w:p w14:paraId="07389A8E" w14:textId="5C98D98E" w:rsidR="00DF2E85" w:rsidRDefault="00DF2E85" w:rsidP="00772337">
            <w:r>
              <w:t>Non-level 3 ICU facilities</w:t>
            </w:r>
          </w:p>
        </w:tc>
      </w:tr>
      <w:tr w:rsidR="003C28DB" w14:paraId="2BCE895C" w14:textId="77777777" w:rsidTr="00171870">
        <w:tc>
          <w:tcPr>
            <w:tcW w:w="1410" w:type="dxa"/>
            <w:shd w:val="clear" w:color="auto" w:fill="EFF0F7" w:themeFill="accent4" w:themeFillTint="33"/>
          </w:tcPr>
          <w:p w14:paraId="5F223595" w14:textId="3F7118CB" w:rsidR="00DF2E85" w:rsidRDefault="00DF2E85" w:rsidP="00772337">
            <w:r>
              <w:t>Queensland</w:t>
            </w:r>
          </w:p>
        </w:tc>
        <w:tc>
          <w:tcPr>
            <w:tcW w:w="2616" w:type="dxa"/>
          </w:tcPr>
          <w:p w14:paraId="6B3021F9" w14:textId="3DF4BC52" w:rsidR="00DF2E85" w:rsidRDefault="00E62477" w:rsidP="00DF2E85">
            <w:r>
              <w:t>AICU</w:t>
            </w:r>
            <w:r w:rsidR="00DF2E85">
              <w:t xml:space="preserve"> hours,</w:t>
            </w:r>
          </w:p>
          <w:p w14:paraId="309446C4" w14:textId="77777777" w:rsidR="00DF2E85" w:rsidRDefault="00DF2E85" w:rsidP="00DF2E85">
            <w:r>
              <w:t>PICU hours,</w:t>
            </w:r>
          </w:p>
          <w:p w14:paraId="436BAA0A" w14:textId="77777777" w:rsidR="00DF2E85" w:rsidRDefault="00DF2E85" w:rsidP="00DF2E85">
            <w:r>
              <w:t>Gencritcare hours,</w:t>
            </w:r>
          </w:p>
          <w:p w14:paraId="14671D7F" w14:textId="77777777" w:rsidR="00DF2E85" w:rsidRDefault="00DF2E85" w:rsidP="00DF2E85">
            <w:r>
              <w:t>NICU hours,</w:t>
            </w:r>
          </w:p>
          <w:p w14:paraId="3178B262" w14:textId="797529D5" w:rsidR="00512EB9" w:rsidRDefault="00935BAE" w:rsidP="00DF2E85">
            <w:r>
              <w:t>Special Care Nursery (</w:t>
            </w:r>
            <w:r w:rsidR="006D7916">
              <w:t>SCN</w:t>
            </w:r>
            <w:r>
              <w:t>)</w:t>
            </w:r>
            <w:r w:rsidR="00512EB9">
              <w:t xml:space="preserve"> hours</w:t>
            </w:r>
            <w:r w:rsidR="00325CB4">
              <w:t>,</w:t>
            </w:r>
          </w:p>
          <w:p w14:paraId="241E295A" w14:textId="66F8C6CA" w:rsidR="00DF2E85" w:rsidRDefault="00DF2E85" w:rsidP="00DF2E85">
            <w:r>
              <w:t>CCU hours</w:t>
            </w:r>
            <w:r w:rsidR="00A77202">
              <w:t>,</w:t>
            </w:r>
          </w:p>
          <w:p w14:paraId="3E6E87B2" w14:textId="4C6AA1E6" w:rsidR="00325CB4" w:rsidRDefault="00325CB4" w:rsidP="00DF2E85">
            <w:r>
              <w:t>Other</w:t>
            </w:r>
            <w:r w:rsidR="005F463F">
              <w:t>critcare</w:t>
            </w:r>
            <w:r>
              <w:t xml:space="preserve"> hours</w:t>
            </w:r>
            <w:r w:rsidR="00435E11">
              <w:t>.</w:t>
            </w:r>
          </w:p>
        </w:tc>
        <w:tc>
          <w:tcPr>
            <w:tcW w:w="1636" w:type="dxa"/>
          </w:tcPr>
          <w:p w14:paraId="2652B76C" w14:textId="3CF07A7D" w:rsidR="00DF2E85" w:rsidRDefault="005C6BB1" w:rsidP="00772337">
            <w:pPr>
              <w:rPr>
                <w:lang w:val="en-US"/>
              </w:rPr>
            </w:pPr>
            <w:r>
              <w:rPr>
                <w:lang w:val="en-US"/>
              </w:rPr>
              <w:t>All facilities regardless of designation</w:t>
            </w:r>
          </w:p>
        </w:tc>
        <w:tc>
          <w:tcPr>
            <w:tcW w:w="2268" w:type="dxa"/>
          </w:tcPr>
          <w:p w14:paraId="31588717" w14:textId="22ACF4CD" w:rsidR="00DF2E85" w:rsidRDefault="00F92F7B" w:rsidP="00772337">
            <w:r>
              <w:t>None</w:t>
            </w:r>
          </w:p>
        </w:tc>
        <w:tc>
          <w:tcPr>
            <w:tcW w:w="1421" w:type="dxa"/>
          </w:tcPr>
          <w:p w14:paraId="2C434583" w14:textId="597FCFEB" w:rsidR="00DF2E85" w:rsidRDefault="00F92F7B" w:rsidP="00772337">
            <w:r>
              <w:t>None</w:t>
            </w:r>
          </w:p>
        </w:tc>
      </w:tr>
      <w:tr w:rsidR="003C28DB" w14:paraId="631AE79F" w14:textId="77777777" w:rsidTr="00171870">
        <w:tc>
          <w:tcPr>
            <w:tcW w:w="1410" w:type="dxa"/>
            <w:shd w:val="clear" w:color="auto" w:fill="EFF0F7" w:themeFill="accent4" w:themeFillTint="33"/>
          </w:tcPr>
          <w:p w14:paraId="2D784EF0" w14:textId="7D95A802" w:rsidR="00DF2E85" w:rsidRDefault="005C6BB1" w:rsidP="00772337">
            <w:r>
              <w:t>South Australia</w:t>
            </w:r>
          </w:p>
        </w:tc>
        <w:tc>
          <w:tcPr>
            <w:tcW w:w="2616" w:type="dxa"/>
          </w:tcPr>
          <w:p w14:paraId="1AF38506" w14:textId="31D1CCBF" w:rsidR="00DF2E85" w:rsidRDefault="00E62477" w:rsidP="00772337">
            <w:r>
              <w:t>AICU</w:t>
            </w:r>
            <w:r w:rsidR="004A08D3">
              <w:t xml:space="preserve"> hours</w:t>
            </w:r>
            <w:r w:rsidR="00435E11">
              <w:t>,</w:t>
            </w:r>
          </w:p>
          <w:p w14:paraId="7B790FB8" w14:textId="58A88D35" w:rsidR="004A08D3" w:rsidRDefault="004A08D3" w:rsidP="00772337">
            <w:r>
              <w:t>PICU hours</w:t>
            </w:r>
            <w:r w:rsidR="00435E11">
              <w:t>.</w:t>
            </w:r>
          </w:p>
        </w:tc>
        <w:tc>
          <w:tcPr>
            <w:tcW w:w="1636" w:type="dxa"/>
          </w:tcPr>
          <w:p w14:paraId="52217F87" w14:textId="3DC19BDA" w:rsidR="00DF2E85" w:rsidRDefault="00245E72" w:rsidP="00772337">
            <w:pPr>
              <w:rPr>
                <w:lang w:val="en-US"/>
              </w:rPr>
            </w:pPr>
            <w:r>
              <w:rPr>
                <w:lang w:val="en-US"/>
              </w:rPr>
              <w:t>Level 3 ICU facilities only</w:t>
            </w:r>
          </w:p>
        </w:tc>
        <w:tc>
          <w:tcPr>
            <w:tcW w:w="2268" w:type="dxa"/>
          </w:tcPr>
          <w:p w14:paraId="6E5D116F" w14:textId="1DC15A93" w:rsidR="00DF2E85" w:rsidRDefault="00F92F7B" w:rsidP="00772337">
            <w:r>
              <w:t>None</w:t>
            </w:r>
          </w:p>
        </w:tc>
        <w:tc>
          <w:tcPr>
            <w:tcW w:w="1421" w:type="dxa"/>
          </w:tcPr>
          <w:p w14:paraId="0372B874" w14:textId="76642C24" w:rsidR="00DF2E85" w:rsidRDefault="00F92F7B" w:rsidP="00772337">
            <w:r>
              <w:t>None</w:t>
            </w:r>
          </w:p>
        </w:tc>
      </w:tr>
      <w:tr w:rsidR="003C28DB" w14:paraId="63390FC3" w14:textId="77777777" w:rsidTr="00171870">
        <w:tc>
          <w:tcPr>
            <w:tcW w:w="1410" w:type="dxa"/>
            <w:shd w:val="clear" w:color="auto" w:fill="EFF0F7" w:themeFill="accent4" w:themeFillTint="33"/>
          </w:tcPr>
          <w:p w14:paraId="1A34A26B" w14:textId="123B70AD" w:rsidR="00DF2E85" w:rsidRDefault="005C6BB1" w:rsidP="00772337">
            <w:r>
              <w:t>Western Australia</w:t>
            </w:r>
          </w:p>
        </w:tc>
        <w:tc>
          <w:tcPr>
            <w:tcW w:w="2616" w:type="dxa"/>
          </w:tcPr>
          <w:p w14:paraId="5F5F0586" w14:textId="553E1194" w:rsidR="00C05842" w:rsidRDefault="00E62477" w:rsidP="00C05842">
            <w:r>
              <w:t>AICU</w:t>
            </w:r>
            <w:r w:rsidR="00C05842">
              <w:t xml:space="preserve"> hours</w:t>
            </w:r>
            <w:r w:rsidR="00435E11">
              <w:t>,</w:t>
            </w:r>
          </w:p>
          <w:p w14:paraId="7047ACAC" w14:textId="4935471D" w:rsidR="00DF2E85" w:rsidRDefault="00A77202" w:rsidP="00C05842">
            <w:r>
              <w:t>PI</w:t>
            </w:r>
            <w:r w:rsidR="00C05842">
              <w:t>CU hours</w:t>
            </w:r>
            <w:r w:rsidR="00435E11">
              <w:t>.</w:t>
            </w:r>
          </w:p>
        </w:tc>
        <w:tc>
          <w:tcPr>
            <w:tcW w:w="1636" w:type="dxa"/>
          </w:tcPr>
          <w:p w14:paraId="571A5890" w14:textId="70C8947A" w:rsidR="00DF2E85" w:rsidRDefault="00245E72" w:rsidP="00772337">
            <w:pPr>
              <w:rPr>
                <w:lang w:val="en-US"/>
              </w:rPr>
            </w:pPr>
            <w:r>
              <w:rPr>
                <w:lang w:val="en-US"/>
              </w:rPr>
              <w:t>Level 3 ICU facilities only</w:t>
            </w:r>
          </w:p>
        </w:tc>
        <w:tc>
          <w:tcPr>
            <w:tcW w:w="2268" w:type="dxa"/>
          </w:tcPr>
          <w:p w14:paraId="08B83F78" w14:textId="65E79366" w:rsidR="00DF2E85" w:rsidRDefault="00F92F7B" w:rsidP="00772337">
            <w:r>
              <w:t>None</w:t>
            </w:r>
          </w:p>
        </w:tc>
        <w:tc>
          <w:tcPr>
            <w:tcW w:w="1421" w:type="dxa"/>
          </w:tcPr>
          <w:p w14:paraId="1F67912C" w14:textId="7248A862" w:rsidR="00DF2E85" w:rsidRDefault="00F92F7B" w:rsidP="00772337">
            <w:r>
              <w:t>None</w:t>
            </w:r>
          </w:p>
        </w:tc>
      </w:tr>
    </w:tbl>
    <w:p w14:paraId="40AC09F0" w14:textId="77777777" w:rsidR="00D41AA8" w:rsidRPr="003C28DB" w:rsidRDefault="00D41AA8" w:rsidP="00772337">
      <w:pPr>
        <w:spacing w:after="0"/>
      </w:pPr>
    </w:p>
    <w:p w14:paraId="6F787F97" w14:textId="534BBDAC" w:rsidR="00A9708E" w:rsidRDefault="00C9340B" w:rsidP="00CC61E1">
      <w:pPr>
        <w:spacing w:after="0"/>
      </w:pPr>
      <w:r>
        <w:t>In summary, o</w:t>
      </w:r>
      <w:r w:rsidR="00772337" w:rsidRPr="005F6D76">
        <w:t xml:space="preserve">nly NSW and </w:t>
      </w:r>
      <w:r w:rsidR="00A77202">
        <w:t>Victoria (</w:t>
      </w:r>
      <w:r w:rsidR="007F7510">
        <w:t>Vic</w:t>
      </w:r>
      <w:r w:rsidR="00A77202">
        <w:t>)</w:t>
      </w:r>
      <w:r w:rsidR="00772337" w:rsidRPr="005F6D76">
        <w:t xml:space="preserve"> are using the </w:t>
      </w:r>
      <w:r w:rsidR="00772337" w:rsidRPr="005F6D76">
        <w:rPr>
          <w:i/>
          <w:iCs/>
        </w:rPr>
        <w:t>Other ICU Hours</w:t>
      </w:r>
      <w:r w:rsidR="00772337" w:rsidRPr="005F6D76">
        <w:t xml:space="preserve"> field to capture ICU activity</w:t>
      </w:r>
      <w:r w:rsidR="006E3351">
        <w:t xml:space="preserve">. Within the </w:t>
      </w:r>
      <w:r w:rsidR="0078328B" w:rsidRPr="00EE51DA">
        <w:rPr>
          <w:i/>
        </w:rPr>
        <w:t>L</w:t>
      </w:r>
      <w:r w:rsidR="006E3351" w:rsidRPr="00EE51DA">
        <w:rPr>
          <w:i/>
        </w:rPr>
        <w:t xml:space="preserve">evel 3 ICU </w:t>
      </w:r>
      <w:r w:rsidR="00A77202" w:rsidRPr="00EE51DA">
        <w:rPr>
          <w:i/>
          <w:iCs/>
        </w:rPr>
        <w:t>H</w:t>
      </w:r>
      <w:r w:rsidR="006E3351" w:rsidRPr="00EE51DA">
        <w:rPr>
          <w:i/>
          <w:iCs/>
        </w:rPr>
        <w:t>ours</w:t>
      </w:r>
      <w:r w:rsidR="006E3351">
        <w:t xml:space="preserve"> field</w:t>
      </w:r>
      <w:r>
        <w:t xml:space="preserve">, the </w:t>
      </w:r>
      <w:r w:rsidR="00314F11">
        <w:t xml:space="preserve">type of </w:t>
      </w:r>
      <w:r>
        <w:t>hours</w:t>
      </w:r>
      <w:r w:rsidR="00314F11">
        <w:t xml:space="preserve"> </w:t>
      </w:r>
      <w:r w:rsidR="00556AA6">
        <w:t xml:space="preserve">reported </w:t>
      </w:r>
      <w:r w:rsidR="00314F11">
        <w:t xml:space="preserve">and </w:t>
      </w:r>
      <w:r w:rsidR="00556AA6">
        <w:t xml:space="preserve">inclusion of </w:t>
      </w:r>
      <w:r w:rsidR="00A9708E">
        <w:t>facilities</w:t>
      </w:r>
      <w:r w:rsidR="00556AA6">
        <w:t xml:space="preserve"> differ</w:t>
      </w:r>
      <w:r w:rsidR="006E3351">
        <w:t xml:space="preserve"> significantly</w:t>
      </w:r>
      <w:r w:rsidR="00A9708E">
        <w:t>.</w:t>
      </w:r>
    </w:p>
    <w:p w14:paraId="5F826F6C" w14:textId="23CBE2DB" w:rsidR="00660FF3" w:rsidRDefault="00A62166" w:rsidP="00660FF3">
      <w:pPr>
        <w:pStyle w:val="Caption"/>
        <w:keepNext/>
      </w:pPr>
      <w:r>
        <w:lastRenderedPageBreak/>
        <w:t>Figure</w:t>
      </w:r>
      <w:r w:rsidR="00660FF3">
        <w:t xml:space="preserve"> </w:t>
      </w:r>
      <w:r w:rsidR="00660FF3">
        <w:fldChar w:fldCharType="begin"/>
      </w:r>
      <w:r w:rsidR="00660FF3">
        <w:instrText xml:space="preserve"> SEQ Table \* ARABIC </w:instrText>
      </w:r>
      <w:r w:rsidR="00660FF3">
        <w:fldChar w:fldCharType="separate"/>
      </w:r>
      <w:r w:rsidR="00CE6F96">
        <w:rPr>
          <w:noProof/>
        </w:rPr>
        <w:t>5</w:t>
      </w:r>
      <w:r w:rsidR="00660FF3">
        <w:fldChar w:fldCharType="end"/>
      </w:r>
      <w:r w:rsidR="00660FF3">
        <w:t xml:space="preserve">: </w:t>
      </w:r>
      <w:r w:rsidR="003408D0">
        <w:t>Proportion</w:t>
      </w:r>
      <w:r w:rsidR="00660FF3" w:rsidRPr="00572BD3">
        <w:t xml:space="preserve"> of ICU </w:t>
      </w:r>
      <w:r w:rsidR="003408D0">
        <w:t xml:space="preserve">hours </w:t>
      </w:r>
      <w:r w:rsidR="00225CDB">
        <w:t>by Level 3 and Other ICU hours by participating site</w:t>
      </w:r>
    </w:p>
    <w:p w14:paraId="6EE1979E" w14:textId="17B264A9" w:rsidR="00660FF3" w:rsidRDefault="00AC036B" w:rsidP="00CC61E1">
      <w:pPr>
        <w:spacing w:after="0"/>
      </w:pPr>
      <w:r>
        <w:rPr>
          <w:noProof/>
        </w:rPr>
        <w:drawing>
          <wp:inline distT="0" distB="0" distL="0" distR="0" wp14:anchorId="1432BCE3" wp14:editId="76E4566B">
            <wp:extent cx="6210561" cy="2166226"/>
            <wp:effectExtent l="0" t="0" r="0" b="5715"/>
            <wp:docPr id="865820095" name="Picture 3" descr="P7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20095" name="Picture 3" descr="P785#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0923" cy="2169840"/>
                    </a:xfrm>
                    <a:prstGeom prst="rect">
                      <a:avLst/>
                    </a:prstGeom>
                    <a:noFill/>
                  </pic:spPr>
                </pic:pic>
              </a:graphicData>
            </a:graphic>
          </wp:inline>
        </w:drawing>
      </w:r>
    </w:p>
    <w:p w14:paraId="2377BD0B" w14:textId="77777777" w:rsidR="00A9708E" w:rsidRDefault="00A9708E" w:rsidP="00CC61E1">
      <w:pPr>
        <w:spacing w:after="0"/>
      </w:pPr>
    </w:p>
    <w:p w14:paraId="331D56B9" w14:textId="6BA8BC2C" w:rsidR="00225CDB" w:rsidRDefault="00225CDB" w:rsidP="00772337">
      <w:r>
        <w:t xml:space="preserve">Note that while </w:t>
      </w:r>
      <w:r w:rsidR="00C83695">
        <w:t xml:space="preserve">Victoria </w:t>
      </w:r>
      <w:r>
        <w:t xml:space="preserve">utilises the </w:t>
      </w:r>
      <w:r w:rsidRPr="00225CDB">
        <w:rPr>
          <w:i/>
          <w:iCs/>
        </w:rPr>
        <w:t>Other ICU Hours</w:t>
      </w:r>
      <w:r w:rsidR="00F90A13">
        <w:rPr>
          <w:i/>
          <w:iCs/>
        </w:rPr>
        <w:t xml:space="preserve"> category</w:t>
      </w:r>
      <w:r w:rsidR="00F90A13" w:rsidRPr="00F90A13">
        <w:t>, both of the sites participating in the IFR are Level 3</w:t>
      </w:r>
      <w:r w:rsidR="00A77202">
        <w:t xml:space="preserve"> ICU</w:t>
      </w:r>
      <w:r w:rsidR="00F90A13" w:rsidRPr="00F90A13">
        <w:t xml:space="preserve"> designated facilities.</w:t>
      </w:r>
    </w:p>
    <w:p w14:paraId="01EAF02D" w14:textId="1C27399B" w:rsidR="00606490" w:rsidRDefault="001D1B23" w:rsidP="00772337">
      <w:r>
        <w:t xml:space="preserve">The review also identified the inconsistency </w:t>
      </w:r>
      <w:r w:rsidR="00687EB3">
        <w:t xml:space="preserve">between </w:t>
      </w:r>
      <w:r w:rsidR="00570153">
        <w:t xml:space="preserve">the reporting of </w:t>
      </w:r>
      <w:r w:rsidR="00687EB3">
        <w:t>critical care costs and hours, with some</w:t>
      </w:r>
      <w:r>
        <w:t xml:space="preserve"> jurisdiction</w:t>
      </w:r>
      <w:r w:rsidR="00687EB3">
        <w:t>s</w:t>
      </w:r>
      <w:r>
        <w:t xml:space="preserve"> </w:t>
      </w:r>
      <w:r w:rsidR="0048584A">
        <w:t>re</w:t>
      </w:r>
      <w:r w:rsidR="00F90521">
        <w:t>port</w:t>
      </w:r>
      <w:r w:rsidR="00570153">
        <w:t>ing</w:t>
      </w:r>
      <w:r w:rsidR="0048584A">
        <w:t xml:space="preserve"> </w:t>
      </w:r>
      <w:r w:rsidR="0001400E">
        <w:t xml:space="preserve">critical care costs </w:t>
      </w:r>
      <w:r w:rsidR="00687EB3">
        <w:t>in t</w:t>
      </w:r>
      <w:r w:rsidR="002C0EFF">
        <w:t xml:space="preserve">he </w:t>
      </w:r>
      <w:r w:rsidR="00D05FFF" w:rsidRPr="00D05FFF">
        <w:rPr>
          <w:i/>
          <w:iCs/>
        </w:rPr>
        <w:t xml:space="preserve">Critical </w:t>
      </w:r>
      <w:r w:rsidR="002C0EFF">
        <w:t xml:space="preserve">NHCDC </w:t>
      </w:r>
      <w:r w:rsidR="00D05FFF">
        <w:t>C</w:t>
      </w:r>
      <w:r w:rsidR="002C0EFF">
        <w:t xml:space="preserve">ost </w:t>
      </w:r>
      <w:r w:rsidR="00D05FFF">
        <w:t>C</w:t>
      </w:r>
      <w:r w:rsidR="002C0EFF">
        <w:t xml:space="preserve">entre </w:t>
      </w:r>
      <w:r w:rsidR="00D05FFF">
        <w:t>G</w:t>
      </w:r>
      <w:r w:rsidR="00D01DE3">
        <w:t>roup</w:t>
      </w:r>
      <w:r w:rsidR="00687EB3">
        <w:t xml:space="preserve"> but no ICU hours</w:t>
      </w:r>
      <w:r w:rsidR="008500E0">
        <w:t>, or report</w:t>
      </w:r>
      <w:r w:rsidR="00570153">
        <w:t>ing</w:t>
      </w:r>
      <w:r w:rsidR="008500E0">
        <w:t xml:space="preserve"> the </w:t>
      </w:r>
      <w:r w:rsidR="00570153">
        <w:t>relevant</w:t>
      </w:r>
      <w:r w:rsidR="008500E0">
        <w:t xml:space="preserve"> ICU hours in a different activity field</w:t>
      </w:r>
      <w:r w:rsidR="00754A4A">
        <w:t xml:space="preserve"> to what IHACPA </w:t>
      </w:r>
      <w:r w:rsidR="00D87B47">
        <w:t>has specified in</w:t>
      </w:r>
      <w:r w:rsidR="00754A4A">
        <w:t xml:space="preserve"> their DRS.</w:t>
      </w:r>
      <w:r w:rsidR="0001400E">
        <w:t xml:space="preserve">  </w:t>
      </w:r>
      <w:r w:rsidR="0085103C">
        <w:t xml:space="preserve">This would </w:t>
      </w:r>
      <w:r w:rsidR="009A66C9">
        <w:t xml:space="preserve">make it difficult to accurately compare average ICU costs per hour across jurisdictions, and impact on the IHACPA’s ability to </w:t>
      </w:r>
      <w:r w:rsidR="0085103C">
        <w:t xml:space="preserve">utilise </w:t>
      </w:r>
      <w:r w:rsidR="009A66C9">
        <w:t xml:space="preserve">the hours </w:t>
      </w:r>
      <w:r w:rsidR="0085103C">
        <w:t xml:space="preserve">in their </w:t>
      </w:r>
      <w:r w:rsidR="002F7C92">
        <w:t>ICU</w:t>
      </w:r>
      <w:r w:rsidR="004B1E1E">
        <w:t xml:space="preserve"> adjustment in the NEP calculation</w:t>
      </w:r>
      <w:r w:rsidR="009A66C9">
        <w:t>.</w:t>
      </w:r>
    </w:p>
    <w:p w14:paraId="27BFB717" w14:textId="3F1200CC" w:rsidR="0049244D" w:rsidRPr="00085389" w:rsidRDefault="0049244D" w:rsidP="00EC0C63">
      <w:bookmarkStart w:id="26" w:name="_Ref209507879"/>
      <w:r w:rsidRPr="00EC0C63">
        <w:rPr>
          <w:u w:val="single"/>
        </w:rPr>
        <w:t xml:space="preserve">Finding </w:t>
      </w:r>
      <w:r w:rsidR="00B47923" w:rsidRPr="00EC0C63">
        <w:rPr>
          <w:u w:val="single"/>
        </w:rPr>
        <w:t>2</w:t>
      </w:r>
      <w:r w:rsidR="003F6026" w:rsidRPr="00EC0C63">
        <w:rPr>
          <w:u w:val="single"/>
        </w:rPr>
        <w:t>.</w:t>
      </w:r>
      <w:r w:rsidRPr="00EC0C63">
        <w:rPr>
          <w:u w:val="single"/>
        </w:rPr>
        <w:t xml:space="preserve">3: Consistency of costing within </w:t>
      </w:r>
      <w:r w:rsidR="00B357BC" w:rsidRPr="00EC0C63">
        <w:rPr>
          <w:u w:val="single"/>
        </w:rPr>
        <w:t>CCUs</w:t>
      </w:r>
      <w:bookmarkEnd w:id="26"/>
    </w:p>
    <w:p w14:paraId="08344D71" w14:textId="48C62573" w:rsidR="0049244D" w:rsidRDefault="00B357BC" w:rsidP="0049244D">
      <w:r>
        <w:t>CCUs</w:t>
      </w:r>
      <w:r w:rsidR="0049244D">
        <w:t xml:space="preserve"> are often combined with broader cardiology / cardiothoracic services. Operationally, resources are frequently shared across these areas (e.g.</w:t>
      </w:r>
      <w:r w:rsidR="00935BAE">
        <w:t>,</w:t>
      </w:r>
      <w:r w:rsidR="0049244D">
        <w:t xml:space="preserve"> shared rosters, ward areas, cardiac monitoring equipment, pharmacy storerooms) and GL costs sit within the same cost centre(s). As a result, it is challenging to accurately identify the CCU portion of the</w:t>
      </w:r>
      <w:r w:rsidR="00C831DD">
        <w:t>se</w:t>
      </w:r>
      <w:r w:rsidR="0049244D">
        <w:t xml:space="preserve"> costs. </w:t>
      </w:r>
    </w:p>
    <w:p w14:paraId="598BA8DD" w14:textId="4FE38906" w:rsidR="0049244D" w:rsidRDefault="0049244D" w:rsidP="0049244D">
      <w:r>
        <w:t xml:space="preserve">In terms of costing practices, there is inconsistency in how CCU-related costs are reported. Some sites estimated and fractioned a portion of the nursing / ward expenses </w:t>
      </w:r>
      <w:r w:rsidR="0020360F">
        <w:t xml:space="preserve">and report </w:t>
      </w:r>
      <w:r>
        <w:t xml:space="preserve">this within </w:t>
      </w:r>
      <w:r w:rsidR="0020360F">
        <w:t xml:space="preserve">the </w:t>
      </w:r>
      <w:r w:rsidRPr="003C28DB">
        <w:rPr>
          <w:i/>
          <w:iCs/>
        </w:rPr>
        <w:t>Critical</w:t>
      </w:r>
      <w:r w:rsidR="0020360F">
        <w:rPr>
          <w:i/>
        </w:rPr>
        <w:t xml:space="preserve"> </w:t>
      </w:r>
      <w:r w:rsidR="0036040A" w:rsidRPr="00EC0C63">
        <w:t>NHCDC</w:t>
      </w:r>
      <w:r w:rsidR="0020360F">
        <w:t xml:space="preserve"> </w:t>
      </w:r>
      <w:r w:rsidR="00A77202">
        <w:t>C</w:t>
      </w:r>
      <w:r w:rsidR="0020360F">
        <w:t xml:space="preserve">ost </w:t>
      </w:r>
      <w:r w:rsidR="00A77202">
        <w:t>C</w:t>
      </w:r>
      <w:r w:rsidR="0020360F">
        <w:t xml:space="preserve">entre </w:t>
      </w:r>
      <w:r w:rsidR="00A77202">
        <w:t>G</w:t>
      </w:r>
      <w:r w:rsidR="0020360F">
        <w:t>roup</w:t>
      </w:r>
      <w:r>
        <w:t>, and others report all CCU</w:t>
      </w:r>
      <w:r w:rsidR="00B357BC">
        <w:t>-</w:t>
      </w:r>
      <w:r>
        <w:t xml:space="preserve">related costs under </w:t>
      </w:r>
      <w:r w:rsidR="0020360F">
        <w:t xml:space="preserve">the </w:t>
      </w:r>
      <w:r w:rsidRPr="003C28DB">
        <w:rPr>
          <w:i/>
          <w:iCs/>
        </w:rPr>
        <w:t>Clinical</w:t>
      </w:r>
      <w:r w:rsidR="0020360F">
        <w:t xml:space="preserve"> </w:t>
      </w:r>
      <w:r w:rsidR="00A77202">
        <w:t>C</w:t>
      </w:r>
      <w:r w:rsidR="0020360F">
        <w:t xml:space="preserve">ost </w:t>
      </w:r>
      <w:r w:rsidR="00A77202">
        <w:t>C</w:t>
      </w:r>
      <w:r w:rsidR="0020360F">
        <w:t xml:space="preserve">entre </w:t>
      </w:r>
      <w:r w:rsidR="00A77202">
        <w:t>G</w:t>
      </w:r>
      <w:r w:rsidR="0020360F">
        <w:t>roup</w:t>
      </w:r>
      <w:r>
        <w:t xml:space="preserve">. </w:t>
      </w:r>
    </w:p>
    <w:p w14:paraId="0FF2F569" w14:textId="0AB02C22" w:rsidR="0049244D" w:rsidRDefault="0049244D" w:rsidP="0049244D">
      <w:r>
        <w:t xml:space="preserve">All sites reviewed included CCU medical costs in a separate cardiology clinicians </w:t>
      </w:r>
      <w:r w:rsidR="0020360F">
        <w:t xml:space="preserve">GL </w:t>
      </w:r>
      <w:r>
        <w:t xml:space="preserve">cost centre, and in the costing process, these costs were allocated to </w:t>
      </w:r>
      <w:r w:rsidRPr="003C28DB">
        <w:rPr>
          <w:i/>
          <w:iCs/>
        </w:rPr>
        <w:t xml:space="preserve">Clinical </w:t>
      </w:r>
      <w:r w:rsidR="00D87B47">
        <w:rPr>
          <w:i/>
          <w:iCs/>
        </w:rPr>
        <w:t xml:space="preserve">NHCDC </w:t>
      </w:r>
      <w:r>
        <w:t xml:space="preserve">Cost Centre Group and Medical </w:t>
      </w:r>
      <w:r w:rsidR="00B939AF">
        <w:t>Salary &amp; Wages (</w:t>
      </w:r>
      <w:r w:rsidR="00404603">
        <w:rPr>
          <w:i/>
          <w:iCs/>
        </w:rPr>
        <w:t>S&amp;W</w:t>
      </w:r>
      <w:r w:rsidR="00B939AF">
        <w:rPr>
          <w:i/>
          <w:iCs/>
        </w:rPr>
        <w:t>)</w:t>
      </w:r>
      <w:r>
        <w:t xml:space="preserve"> line item.</w:t>
      </w:r>
    </w:p>
    <w:p w14:paraId="217340E0" w14:textId="6805C319" w:rsidR="00FA5912" w:rsidRDefault="0049244D" w:rsidP="0049244D">
      <w:r>
        <w:t xml:space="preserve">Jurisdictions were unclear on the appropriate treatment of the CCU portion of costs. While </w:t>
      </w:r>
      <w:r w:rsidRPr="002C54CB">
        <w:rPr>
          <w:i/>
          <w:iCs/>
        </w:rPr>
        <w:t>Ccu</w:t>
      </w:r>
      <w:r>
        <w:t xml:space="preserve"> is listed as a cost centre within the</w:t>
      </w:r>
      <w:r w:rsidR="00E62477">
        <w:t xml:space="preserve"> </w:t>
      </w:r>
      <w:r w:rsidRPr="002C54CB">
        <w:rPr>
          <w:i/>
          <w:iCs/>
        </w:rPr>
        <w:t>Critical</w:t>
      </w:r>
      <w:r>
        <w:t xml:space="preserve"> </w:t>
      </w:r>
      <w:r w:rsidR="00787125">
        <w:t xml:space="preserve">NHCDC </w:t>
      </w:r>
      <w:r>
        <w:t xml:space="preserve">Cost Centre Group, there is no clear guidance on whether it should be reported under </w:t>
      </w:r>
      <w:r w:rsidRPr="002C54CB">
        <w:rPr>
          <w:i/>
          <w:iCs/>
        </w:rPr>
        <w:t>Critical</w:t>
      </w:r>
      <w:r>
        <w:t xml:space="preserve"> or </w:t>
      </w:r>
      <w:r w:rsidRPr="002C54CB">
        <w:rPr>
          <w:i/>
          <w:iCs/>
        </w:rPr>
        <w:t>Clinical</w:t>
      </w:r>
      <w:r>
        <w:t xml:space="preserve">. This ambiguity is further complicated by the exclusion of CCU hours from </w:t>
      </w:r>
      <w:r w:rsidRPr="002C54CB">
        <w:rPr>
          <w:i/>
          <w:iCs/>
        </w:rPr>
        <w:t xml:space="preserve">Level 3 ICU </w:t>
      </w:r>
      <w:r w:rsidR="002C54CB" w:rsidRPr="002C54CB">
        <w:rPr>
          <w:i/>
          <w:iCs/>
        </w:rPr>
        <w:t>Hours</w:t>
      </w:r>
      <w:r w:rsidR="002C54CB">
        <w:t xml:space="preserve"> </w:t>
      </w:r>
      <w:r>
        <w:t>reporting definitions, creating inconsistency between activity and cost reporting.</w:t>
      </w:r>
    </w:p>
    <w:p w14:paraId="0D4D11B4" w14:textId="48437943" w:rsidR="006E7BC1" w:rsidRPr="00A438EE" w:rsidRDefault="006E7BC1" w:rsidP="00EC0C63">
      <w:pPr>
        <w:keepNext/>
        <w:rPr>
          <w:u w:val="single"/>
        </w:rPr>
      </w:pPr>
      <w:bookmarkStart w:id="27" w:name="_Ref209507967"/>
      <w:r w:rsidRPr="00A438EE">
        <w:rPr>
          <w:u w:val="single"/>
        </w:rPr>
        <w:lastRenderedPageBreak/>
        <w:t xml:space="preserve">Finding </w:t>
      </w:r>
      <w:r w:rsidR="00B47923" w:rsidRPr="00A438EE">
        <w:rPr>
          <w:u w:val="single"/>
        </w:rPr>
        <w:t>2</w:t>
      </w:r>
      <w:r w:rsidR="003F6026" w:rsidRPr="00A438EE">
        <w:rPr>
          <w:u w:val="single"/>
        </w:rPr>
        <w:t>.</w:t>
      </w:r>
      <w:r w:rsidRPr="00A438EE">
        <w:rPr>
          <w:u w:val="single"/>
        </w:rPr>
        <w:t xml:space="preserve">4: </w:t>
      </w:r>
      <w:r w:rsidR="00124DBF" w:rsidRPr="00A438EE">
        <w:rPr>
          <w:u w:val="single"/>
        </w:rPr>
        <w:t xml:space="preserve">Pathology, </w:t>
      </w:r>
      <w:r w:rsidR="00B939AF">
        <w:rPr>
          <w:u w:val="single"/>
        </w:rPr>
        <w:t>i</w:t>
      </w:r>
      <w:r w:rsidR="00124DBF" w:rsidRPr="00A438EE">
        <w:rPr>
          <w:u w:val="single"/>
        </w:rPr>
        <w:t xml:space="preserve">maging, </w:t>
      </w:r>
      <w:r w:rsidR="00B939AF">
        <w:rPr>
          <w:u w:val="single"/>
        </w:rPr>
        <w:t>a</w:t>
      </w:r>
      <w:r w:rsidR="00124DBF" w:rsidRPr="00A438EE">
        <w:rPr>
          <w:u w:val="single"/>
        </w:rPr>
        <w:t xml:space="preserve">llied </w:t>
      </w:r>
      <w:r w:rsidR="00B939AF">
        <w:rPr>
          <w:u w:val="single"/>
        </w:rPr>
        <w:t>h</w:t>
      </w:r>
      <w:r w:rsidR="00124DBF" w:rsidRPr="00A438EE">
        <w:rPr>
          <w:u w:val="single"/>
        </w:rPr>
        <w:t xml:space="preserve">ealth and majority of </w:t>
      </w:r>
      <w:r w:rsidR="00B939AF">
        <w:rPr>
          <w:u w:val="single"/>
        </w:rPr>
        <w:t>p</w:t>
      </w:r>
      <w:r w:rsidR="00124DBF" w:rsidRPr="00A438EE">
        <w:rPr>
          <w:u w:val="single"/>
        </w:rPr>
        <w:t xml:space="preserve">harmacy costs consumed in </w:t>
      </w:r>
      <w:r w:rsidR="00567194" w:rsidRPr="00A438EE">
        <w:rPr>
          <w:u w:val="single"/>
        </w:rPr>
        <w:t>c</w:t>
      </w:r>
      <w:r w:rsidR="00124DBF" w:rsidRPr="00A438EE">
        <w:rPr>
          <w:u w:val="single"/>
        </w:rPr>
        <w:t xml:space="preserve">ritical </w:t>
      </w:r>
      <w:r w:rsidR="00567194" w:rsidRPr="00A438EE">
        <w:rPr>
          <w:u w:val="single"/>
        </w:rPr>
        <w:t>c</w:t>
      </w:r>
      <w:r w:rsidR="00124DBF" w:rsidRPr="00A438EE">
        <w:rPr>
          <w:u w:val="single"/>
        </w:rPr>
        <w:t>are department</w:t>
      </w:r>
      <w:r w:rsidR="00567194" w:rsidRPr="00A438EE">
        <w:rPr>
          <w:u w:val="single"/>
        </w:rPr>
        <w:t>s</w:t>
      </w:r>
      <w:r w:rsidR="00124DBF" w:rsidRPr="00A438EE">
        <w:rPr>
          <w:u w:val="single"/>
        </w:rPr>
        <w:t xml:space="preserve"> are not reported in </w:t>
      </w:r>
      <w:r w:rsidR="00124DBF" w:rsidRPr="00BA5FB3">
        <w:rPr>
          <w:i/>
          <w:iCs/>
          <w:u w:val="single"/>
        </w:rPr>
        <w:t>Critical</w:t>
      </w:r>
      <w:r w:rsidR="00124DBF" w:rsidRPr="00A438EE">
        <w:rPr>
          <w:u w:val="single"/>
        </w:rPr>
        <w:t xml:space="preserve"> </w:t>
      </w:r>
      <w:r w:rsidR="002C07BF" w:rsidRPr="00A438EE">
        <w:rPr>
          <w:u w:val="single"/>
        </w:rPr>
        <w:t xml:space="preserve">NHCDC </w:t>
      </w:r>
      <w:r w:rsidR="00124DBF" w:rsidRPr="00A438EE">
        <w:rPr>
          <w:u w:val="single"/>
        </w:rPr>
        <w:t>Cost Centre Group</w:t>
      </w:r>
      <w:bookmarkEnd w:id="27"/>
    </w:p>
    <w:p w14:paraId="2C7AFFEC" w14:textId="2847A8A7" w:rsidR="006E7BC1" w:rsidRPr="005E603E" w:rsidRDefault="006E7BC1" w:rsidP="006E7BC1">
      <w:r w:rsidRPr="00342325">
        <w:t xml:space="preserve">Pathology, </w:t>
      </w:r>
      <w:r w:rsidR="00B939AF">
        <w:t>i</w:t>
      </w:r>
      <w:r w:rsidRPr="00342325">
        <w:t xml:space="preserve">maging, </w:t>
      </w:r>
      <w:r w:rsidR="00B939AF">
        <w:t>a</w:t>
      </w:r>
      <w:r w:rsidRPr="00342325">
        <w:t xml:space="preserve">llied </w:t>
      </w:r>
      <w:r w:rsidR="00B939AF">
        <w:t>h</w:t>
      </w:r>
      <w:r w:rsidRPr="00342325">
        <w:t xml:space="preserve">ealth and </w:t>
      </w:r>
      <w:r w:rsidR="00B939AF">
        <w:t>p</w:t>
      </w:r>
      <w:r w:rsidRPr="00342325">
        <w:t xml:space="preserve">harmacy costs </w:t>
      </w:r>
      <w:r w:rsidRPr="005E603E">
        <w:t xml:space="preserve">(dispensed) </w:t>
      </w:r>
      <w:r w:rsidRPr="00342325">
        <w:t xml:space="preserve">consumed in </w:t>
      </w:r>
      <w:r w:rsidR="00FC7CCD">
        <w:t>c</w:t>
      </w:r>
      <w:r w:rsidRPr="00342325">
        <w:t xml:space="preserve">ritical </w:t>
      </w:r>
      <w:r w:rsidR="00FC7CCD">
        <w:t>c</w:t>
      </w:r>
      <w:r w:rsidRPr="00342325">
        <w:t>are department</w:t>
      </w:r>
      <w:r w:rsidR="008F58EC">
        <w:t>s</w:t>
      </w:r>
      <w:r w:rsidRPr="00342325">
        <w:t xml:space="preserve"> </w:t>
      </w:r>
      <w:r w:rsidR="00124DBF">
        <w:t xml:space="preserve">were </w:t>
      </w:r>
      <w:r w:rsidR="00551448">
        <w:t>not</w:t>
      </w:r>
      <w:r w:rsidR="00551448" w:rsidRPr="00342325">
        <w:t xml:space="preserve"> reported</w:t>
      </w:r>
      <w:r w:rsidRPr="00342325">
        <w:t xml:space="preserve"> in </w:t>
      </w:r>
      <w:r w:rsidR="00791B8A">
        <w:t xml:space="preserve">the </w:t>
      </w:r>
      <w:r w:rsidRPr="00342325">
        <w:rPr>
          <w:i/>
          <w:iCs/>
        </w:rPr>
        <w:t>Critical</w:t>
      </w:r>
      <w:r w:rsidRPr="00342325">
        <w:t xml:space="preserve"> </w:t>
      </w:r>
      <w:r w:rsidR="00FC7CCD">
        <w:t xml:space="preserve">NHCDC </w:t>
      </w:r>
      <w:r w:rsidRPr="00342325">
        <w:t>Cost Centre Group</w:t>
      </w:r>
      <w:r w:rsidR="00124DBF">
        <w:t xml:space="preserve"> in any of the sites </w:t>
      </w:r>
      <w:r w:rsidR="00551448">
        <w:t xml:space="preserve">participating in the </w:t>
      </w:r>
      <w:r w:rsidR="0034558A">
        <w:t>focused</w:t>
      </w:r>
      <w:r w:rsidR="00551448">
        <w:t xml:space="preserve"> review</w:t>
      </w:r>
      <w:r w:rsidRPr="00342325">
        <w:t>.</w:t>
      </w:r>
      <w:r w:rsidRPr="005E603E">
        <w:t xml:space="preserve"> </w:t>
      </w:r>
      <w:r w:rsidR="008F58EC">
        <w:t>Typically</w:t>
      </w:r>
      <w:r w:rsidR="0034558A">
        <w:t>,</w:t>
      </w:r>
      <w:r w:rsidR="008F58EC">
        <w:t xml:space="preserve"> only </w:t>
      </w:r>
      <w:r w:rsidR="005E1678">
        <w:t>staffing</w:t>
      </w:r>
      <w:r w:rsidRPr="005E603E">
        <w:t xml:space="preserve"> costs</w:t>
      </w:r>
      <w:r w:rsidR="005E1678">
        <w:t xml:space="preserve"> (nursing</w:t>
      </w:r>
      <w:r w:rsidR="00B939AF">
        <w:t>,</w:t>
      </w:r>
      <w:r w:rsidR="005E1678">
        <w:t xml:space="preserve"> medical and other)</w:t>
      </w:r>
      <w:r w:rsidRPr="005E603E">
        <w:t>, some consumables, imprest drugs</w:t>
      </w:r>
      <w:r w:rsidR="0034558A">
        <w:t>,</w:t>
      </w:r>
      <w:r w:rsidRPr="005E603E">
        <w:t xml:space="preserve"> and some overhead allocations</w:t>
      </w:r>
      <w:r w:rsidR="008F58EC">
        <w:t xml:space="preserve"> are captured in this area.</w:t>
      </w:r>
    </w:p>
    <w:p w14:paraId="4C03170C" w14:textId="7C629B2C" w:rsidR="00737315" w:rsidRDefault="00E54B95" w:rsidP="006E7BC1">
      <w:r>
        <w:t>T</w:t>
      </w:r>
      <w:r w:rsidRPr="00E54B95">
        <w:t>he AHPCS v4.2 allows for judgement by costing practitioners on how costs are assigned to NHCDC Cost Centres and line items</w:t>
      </w:r>
      <w:r>
        <w:t xml:space="preserve">, </w:t>
      </w:r>
      <w:r w:rsidRPr="005E603E">
        <w:t>stat</w:t>
      </w:r>
      <w:r>
        <w:t>ing that</w:t>
      </w:r>
      <w:r w:rsidRPr="005E603E">
        <w:rPr>
          <w:i/>
          <w:iCs/>
        </w:rPr>
        <w:t xml:space="preserve"> “the final NCHDC Cost Centre will build on the organisations existing cost centre and management reporting structure… Where possible, costs will also share a physical location, space or service area within an organisation.”</w:t>
      </w:r>
      <w:r>
        <w:rPr>
          <w:i/>
          <w:iCs/>
        </w:rPr>
        <w:t xml:space="preserve"> </w:t>
      </w:r>
      <w:r w:rsidRPr="00AD1F32">
        <w:t>However</w:t>
      </w:r>
      <w:r>
        <w:rPr>
          <w:i/>
          <w:iCs/>
        </w:rPr>
        <w:t xml:space="preserve"> </w:t>
      </w:r>
      <w:r w:rsidRPr="000726B3">
        <w:t>t</w:t>
      </w:r>
      <w:r w:rsidR="008C3B39">
        <w:t>here is no definitive guidance on</w:t>
      </w:r>
      <w:r w:rsidR="007A2F6D" w:rsidRPr="00AD1F32">
        <w:t xml:space="preserve"> </w:t>
      </w:r>
      <w:r w:rsidR="00F51887" w:rsidRPr="00AD1F32">
        <w:t>how</w:t>
      </w:r>
      <w:r w:rsidR="007A2F6D" w:rsidRPr="00AD1F32">
        <w:t xml:space="preserve"> NHCDC Cost Centres and line items are reported and rolled up </w:t>
      </w:r>
      <w:r w:rsidR="008C3B39">
        <w:t>within IHACPA</w:t>
      </w:r>
      <w:r w:rsidR="00B12B20">
        <w:t>’s</w:t>
      </w:r>
      <w:r w:rsidR="007A2F6D" w:rsidRPr="00AD1F32">
        <w:t xml:space="preserve"> Cost Bucket Matrix. As a result, the visual representation of the matrix does not </w:t>
      </w:r>
      <w:r w:rsidR="004D46BA" w:rsidRPr="00AD1F32">
        <w:t>clearly define which</w:t>
      </w:r>
      <w:r w:rsidR="007A2F6D" w:rsidRPr="00AD1F32">
        <w:t xml:space="preserve"> costs </w:t>
      </w:r>
      <w:r w:rsidR="004027ED">
        <w:t xml:space="preserve">should </w:t>
      </w:r>
      <w:r w:rsidR="00B12B20">
        <w:t>ultimately</w:t>
      </w:r>
      <w:r w:rsidR="004027ED">
        <w:t xml:space="preserve"> be</w:t>
      </w:r>
      <w:r w:rsidR="00B12B20">
        <w:t xml:space="preserve"> </w:t>
      </w:r>
      <w:r w:rsidR="007A2F6D" w:rsidRPr="00AD1F32">
        <w:t xml:space="preserve">included within </w:t>
      </w:r>
      <w:r w:rsidR="00F51887" w:rsidRPr="00AD1F32">
        <w:t xml:space="preserve">the </w:t>
      </w:r>
      <w:r w:rsidR="00F51887" w:rsidRPr="00B12B20">
        <w:rPr>
          <w:i/>
          <w:iCs/>
        </w:rPr>
        <w:t>Critical</w:t>
      </w:r>
      <w:r w:rsidR="00F51887" w:rsidRPr="00AD1F32">
        <w:t xml:space="preserve"> </w:t>
      </w:r>
      <w:r w:rsidR="007A2F6D" w:rsidRPr="00AD1F32">
        <w:t>bucket</w:t>
      </w:r>
      <w:r w:rsidR="004F40B7" w:rsidRPr="00F51887">
        <w:t>.</w:t>
      </w:r>
      <w:r w:rsidR="006E7BC1" w:rsidRPr="005E603E">
        <w:t xml:space="preserve"> </w:t>
      </w:r>
    </w:p>
    <w:p w14:paraId="257EA49A" w14:textId="5A5C9DFD" w:rsidR="006E7BC1" w:rsidRPr="00DB22F3" w:rsidRDefault="006E7BC1" w:rsidP="006E7BC1">
      <w:r w:rsidRPr="00DB22F3">
        <w:t>In calculating the</w:t>
      </w:r>
      <w:r>
        <w:t xml:space="preserve"> appropriate</w:t>
      </w:r>
      <w:r w:rsidRPr="00DB22F3">
        <w:t xml:space="preserve"> ICU </w:t>
      </w:r>
      <w:r w:rsidR="00B66D6A">
        <w:t>NEP adjustment</w:t>
      </w:r>
      <w:r w:rsidRPr="00DB22F3">
        <w:t xml:space="preserve">, </w:t>
      </w:r>
      <w:r>
        <w:t xml:space="preserve">IHACPA advised that </w:t>
      </w:r>
      <w:r w:rsidRPr="00DB22F3">
        <w:t>it would be helpful to have visibility of all costs consumed within critical care setting</w:t>
      </w:r>
      <w:r w:rsidR="001021C3">
        <w:t>, but</w:t>
      </w:r>
      <w:r>
        <w:t xml:space="preserve"> it currently calculates the loading without this information. </w:t>
      </w:r>
      <w:r w:rsidRPr="00DB22F3">
        <w:t xml:space="preserve"> </w:t>
      </w:r>
      <w:r w:rsidR="00D20EDE">
        <w:t>Some j</w:t>
      </w:r>
      <w:r w:rsidRPr="00DB22F3">
        <w:t xml:space="preserve">urisdictions also </w:t>
      </w:r>
      <w:r>
        <w:t>noted</w:t>
      </w:r>
      <w:r w:rsidRPr="00DB22F3">
        <w:t xml:space="preserve"> that under their local funding models</w:t>
      </w:r>
      <w:r>
        <w:t xml:space="preserve">, </w:t>
      </w:r>
      <w:r w:rsidRPr="00DB22F3">
        <w:t>visibility of the true total costs of a critical care bed (including pathology, pharmacy, allied health</w:t>
      </w:r>
      <w:r w:rsidR="00353739">
        <w:t>,</w:t>
      </w:r>
      <w:r w:rsidRPr="00DB22F3">
        <w:t xml:space="preserve"> and imaging elements</w:t>
      </w:r>
      <w:r>
        <w:t xml:space="preserve">) </w:t>
      </w:r>
      <w:r w:rsidR="00450BA0">
        <w:t>c</w:t>
      </w:r>
      <w:r>
        <w:t xml:space="preserve">ould be </w:t>
      </w:r>
      <w:r w:rsidR="00450BA0">
        <w:t xml:space="preserve">useful </w:t>
      </w:r>
      <w:r>
        <w:t>for accurate funding and resource planning.</w:t>
      </w:r>
    </w:p>
    <w:p w14:paraId="4BB8F74F" w14:textId="50676832" w:rsidR="0049244D" w:rsidRDefault="0026321A" w:rsidP="006E7BC1">
      <w:r w:rsidRPr="0026321A">
        <w:t xml:space="preserve">While the </w:t>
      </w:r>
      <w:r w:rsidRPr="00AD1F32">
        <w:rPr>
          <w:i/>
          <w:iCs/>
        </w:rPr>
        <w:t>Critical</w:t>
      </w:r>
      <w:r w:rsidRPr="0026321A">
        <w:t xml:space="preserve"> NHCDC Cost Centre Group is not currently used for benchmarking purposes, the existing approach does result in a consistent treatment of costs across jurisdictions. We also acknowledge the significant effort required to change costing and reporting processes</w:t>
      </w:r>
      <w:r w:rsidR="006E7BC1" w:rsidRPr="00DB22F3">
        <w:t xml:space="preserve">. </w:t>
      </w:r>
    </w:p>
    <w:p w14:paraId="406D1D23" w14:textId="76EA7E87" w:rsidR="00A6530C" w:rsidRPr="00085389" w:rsidRDefault="00A6530C" w:rsidP="00EC0C63">
      <w:bookmarkStart w:id="28" w:name="_Ref209508078"/>
      <w:r w:rsidRPr="00EC0C63">
        <w:rPr>
          <w:u w:val="single"/>
        </w:rPr>
        <w:t xml:space="preserve">Finding </w:t>
      </w:r>
      <w:r w:rsidR="00B47923" w:rsidRPr="00EC0C63">
        <w:rPr>
          <w:u w:val="single"/>
        </w:rPr>
        <w:t>2</w:t>
      </w:r>
      <w:r w:rsidR="003F6026" w:rsidRPr="00EC0C63">
        <w:rPr>
          <w:u w:val="single"/>
        </w:rPr>
        <w:t>.</w:t>
      </w:r>
      <w:r w:rsidRPr="00EC0C63">
        <w:rPr>
          <w:u w:val="single"/>
        </w:rPr>
        <w:t>5:</w:t>
      </w:r>
      <w:r w:rsidR="009A1F37" w:rsidRPr="00EC0C63">
        <w:rPr>
          <w:u w:val="single"/>
        </w:rPr>
        <w:t xml:space="preserve"> </w:t>
      </w:r>
      <w:r w:rsidR="00EA5A0E" w:rsidRPr="00EC0C63">
        <w:rPr>
          <w:u w:val="single"/>
        </w:rPr>
        <w:t xml:space="preserve">Most </w:t>
      </w:r>
      <w:r w:rsidR="00567194">
        <w:rPr>
          <w:u w:val="single"/>
        </w:rPr>
        <w:t>c</w:t>
      </w:r>
      <w:r w:rsidR="009A1F37" w:rsidRPr="00EC0C63">
        <w:rPr>
          <w:u w:val="single"/>
        </w:rPr>
        <w:t xml:space="preserve">ritical </w:t>
      </w:r>
      <w:r w:rsidR="00567194">
        <w:rPr>
          <w:u w:val="single"/>
        </w:rPr>
        <w:t>c</w:t>
      </w:r>
      <w:r w:rsidR="009A1F37" w:rsidRPr="00EC0C63">
        <w:rPr>
          <w:u w:val="single"/>
        </w:rPr>
        <w:t xml:space="preserve">are costs are applied </w:t>
      </w:r>
      <w:r w:rsidR="00EA5A0E" w:rsidRPr="00EC0C63">
        <w:rPr>
          <w:u w:val="single"/>
        </w:rPr>
        <w:t>using</w:t>
      </w:r>
      <w:r w:rsidR="009A1F37" w:rsidRPr="00EC0C63">
        <w:rPr>
          <w:u w:val="single"/>
        </w:rPr>
        <w:t xml:space="preserve"> uniform </w:t>
      </w:r>
      <w:r w:rsidR="00EA5A0E" w:rsidRPr="00EC0C63">
        <w:rPr>
          <w:u w:val="single"/>
        </w:rPr>
        <w:t>cost allocation methods, based on ICU hours</w:t>
      </w:r>
      <w:bookmarkEnd w:id="28"/>
      <w:r w:rsidR="00501AAD" w:rsidRPr="00EC0C63">
        <w:rPr>
          <w:u w:val="single"/>
        </w:rPr>
        <w:t xml:space="preserve"> </w:t>
      </w:r>
      <w:r w:rsidR="00C866C7" w:rsidRPr="00EC0C63">
        <w:rPr>
          <w:u w:val="single"/>
        </w:rPr>
        <w:t xml:space="preserve"> </w:t>
      </w:r>
    </w:p>
    <w:p w14:paraId="3F73F848" w14:textId="2B4E081B" w:rsidR="00A6530C" w:rsidRPr="000155EA" w:rsidRDefault="00A6530C" w:rsidP="00A6530C">
      <w:r w:rsidRPr="000155EA">
        <w:t xml:space="preserve">Through the review process, we identified that approximately 80% of </w:t>
      </w:r>
      <w:r w:rsidR="004E726F">
        <w:t xml:space="preserve">costs reported under the </w:t>
      </w:r>
      <w:r w:rsidRPr="003C28DB">
        <w:rPr>
          <w:i/>
          <w:iCs/>
        </w:rPr>
        <w:t>Critical</w:t>
      </w:r>
      <w:r>
        <w:rPr>
          <w:i/>
        </w:rPr>
        <w:t xml:space="preserve"> </w:t>
      </w:r>
      <w:r w:rsidR="002C07BF" w:rsidRPr="00EC0C63">
        <w:rPr>
          <w:iCs/>
        </w:rPr>
        <w:t xml:space="preserve">NHCDC </w:t>
      </w:r>
      <w:r w:rsidR="00292F3F">
        <w:rPr>
          <w:i/>
          <w:iCs/>
        </w:rPr>
        <w:t>C</w:t>
      </w:r>
      <w:r w:rsidR="004E726F">
        <w:t xml:space="preserve">ost </w:t>
      </w:r>
      <w:r w:rsidR="00292F3F">
        <w:t>C</w:t>
      </w:r>
      <w:r w:rsidR="004E726F">
        <w:t xml:space="preserve">entre </w:t>
      </w:r>
      <w:r w:rsidR="00292F3F">
        <w:t>G</w:t>
      </w:r>
      <w:r w:rsidR="004E726F">
        <w:t xml:space="preserve">roup </w:t>
      </w:r>
      <w:r w:rsidRPr="000155EA">
        <w:t>are attributed to </w:t>
      </w:r>
      <w:r w:rsidR="00926F3C">
        <w:rPr>
          <w:i/>
          <w:iCs/>
        </w:rPr>
        <w:t>S&amp;W</w:t>
      </w:r>
      <w:r w:rsidR="00CB3208">
        <w:rPr>
          <w:i/>
          <w:iCs/>
        </w:rPr>
        <w:t xml:space="preserve"> </w:t>
      </w:r>
      <w:r w:rsidR="00CB3208" w:rsidRPr="00CB3208">
        <w:t>line</w:t>
      </w:r>
      <w:r w:rsidR="00491993">
        <w:t xml:space="preserve"> </w:t>
      </w:r>
      <w:r w:rsidR="00CB3208" w:rsidRPr="00CB3208">
        <w:t>items</w:t>
      </w:r>
      <w:r w:rsidRPr="000155EA">
        <w:t>, with the largest portion being </w:t>
      </w:r>
      <w:r w:rsidR="009C7F4E" w:rsidRPr="00EC0C63">
        <w:rPr>
          <w:i/>
          <w:iCs/>
        </w:rPr>
        <w:t xml:space="preserve">Nursing </w:t>
      </w:r>
      <w:r w:rsidR="0029616F" w:rsidRPr="0029616F">
        <w:rPr>
          <w:i/>
          <w:iCs/>
        </w:rPr>
        <w:t>S&amp;</w:t>
      </w:r>
      <w:r w:rsidR="009C7F4E">
        <w:rPr>
          <w:i/>
          <w:iCs/>
        </w:rPr>
        <w:t>W</w:t>
      </w:r>
      <w:r w:rsidRPr="000155EA">
        <w:t>, followed by</w:t>
      </w:r>
      <w:r w:rsidR="009C7F4E">
        <w:t xml:space="preserve"> </w:t>
      </w:r>
      <w:r w:rsidR="009C7F4E" w:rsidRPr="00EC0C63">
        <w:rPr>
          <w:i/>
          <w:iCs/>
        </w:rPr>
        <w:t>Medical</w:t>
      </w:r>
      <w:r w:rsidRPr="000155EA">
        <w:t> </w:t>
      </w:r>
      <w:r w:rsidR="0029616F" w:rsidRPr="0029616F">
        <w:rPr>
          <w:i/>
          <w:iCs/>
        </w:rPr>
        <w:t>S&amp;W</w:t>
      </w:r>
      <w:r w:rsidRPr="000155EA">
        <w:t>, and then </w:t>
      </w:r>
      <w:r w:rsidR="00EF642B" w:rsidRPr="00527B96">
        <w:rPr>
          <w:i/>
        </w:rPr>
        <w:t>Other</w:t>
      </w:r>
      <w:r w:rsidR="009C7F4E" w:rsidRPr="00EC0C63">
        <w:rPr>
          <w:i/>
          <w:iCs/>
        </w:rPr>
        <w:t xml:space="preserve"> </w:t>
      </w:r>
      <w:r w:rsidR="0029616F" w:rsidRPr="0029616F">
        <w:rPr>
          <w:i/>
          <w:iCs/>
        </w:rPr>
        <w:t>S&amp;W</w:t>
      </w:r>
      <w:r w:rsidRPr="000155EA">
        <w:t>. The remaining 20% of costs typically consist of medical supplies, maintenance, imprest pharmacy, medical gases, and hotel services such as food, linen, and cleaning.</w:t>
      </w:r>
    </w:p>
    <w:p w14:paraId="5F08B2ED" w14:textId="022BFC41" w:rsidR="00A6530C" w:rsidRPr="000155EA" w:rsidRDefault="00A6530C" w:rsidP="00A6530C">
      <w:r w:rsidRPr="000155EA">
        <w:t xml:space="preserve">Across jurisdictions, staffing </w:t>
      </w:r>
      <w:r w:rsidR="0063067D">
        <w:t xml:space="preserve">nurse-to-patient </w:t>
      </w:r>
      <w:r w:rsidRPr="000155EA">
        <w:t xml:space="preserve">ratios in </w:t>
      </w:r>
      <w:r w:rsidR="00567194">
        <w:t>c</w:t>
      </w:r>
      <w:r w:rsidRPr="000155EA">
        <w:t xml:space="preserve">ritical </w:t>
      </w:r>
      <w:r w:rsidR="00567194">
        <w:t>c</w:t>
      </w:r>
      <w:r w:rsidRPr="000155EA">
        <w:t>are units were found to be generally prescriptive and consistent:</w:t>
      </w:r>
    </w:p>
    <w:p w14:paraId="6BC526F4" w14:textId="520CA72F" w:rsidR="00A6530C" w:rsidRPr="000155EA" w:rsidRDefault="00A6530C" w:rsidP="00C91BCB">
      <w:pPr>
        <w:pStyle w:val="ListParagraph"/>
        <w:numPr>
          <w:ilvl w:val="0"/>
          <w:numId w:val="77"/>
        </w:numPr>
      </w:pPr>
      <w:r w:rsidRPr="000155EA">
        <w:t xml:space="preserve">ICU: 1:1 (2:1 for patients on </w:t>
      </w:r>
      <w:r w:rsidR="00ED1C34">
        <w:t>extracorporeal membrane oxygenation</w:t>
      </w:r>
      <w:r w:rsidRPr="000155EA">
        <w:t xml:space="preserve"> </w:t>
      </w:r>
      <w:r w:rsidR="00ED1C34">
        <w:t>(</w:t>
      </w:r>
      <w:r w:rsidRPr="000155EA">
        <w:t>ECMO</w:t>
      </w:r>
      <w:r w:rsidR="00ED1C34">
        <w:t>)</w:t>
      </w:r>
      <w:r w:rsidRPr="000155EA">
        <w:t>)</w:t>
      </w:r>
    </w:p>
    <w:p w14:paraId="05745E53" w14:textId="77777777" w:rsidR="00A6530C" w:rsidRPr="000155EA" w:rsidRDefault="00A6530C" w:rsidP="00C91BCB">
      <w:pPr>
        <w:pStyle w:val="ListParagraph"/>
        <w:numPr>
          <w:ilvl w:val="0"/>
          <w:numId w:val="77"/>
        </w:numPr>
      </w:pPr>
      <w:r w:rsidRPr="000155EA">
        <w:t>PICU: 1:1</w:t>
      </w:r>
    </w:p>
    <w:p w14:paraId="5C53370B" w14:textId="77777777" w:rsidR="00A6530C" w:rsidRPr="000155EA" w:rsidRDefault="00A6530C" w:rsidP="00C91BCB">
      <w:pPr>
        <w:pStyle w:val="ListParagraph"/>
        <w:numPr>
          <w:ilvl w:val="0"/>
          <w:numId w:val="77"/>
        </w:numPr>
      </w:pPr>
      <w:r w:rsidRPr="000155EA">
        <w:t>Step-down care: 1:2</w:t>
      </w:r>
    </w:p>
    <w:p w14:paraId="7F73973B" w14:textId="77777777" w:rsidR="00A6530C" w:rsidRPr="000155EA" w:rsidRDefault="00A6530C" w:rsidP="00C91BCB">
      <w:pPr>
        <w:pStyle w:val="ListParagraph"/>
        <w:numPr>
          <w:ilvl w:val="0"/>
          <w:numId w:val="77"/>
        </w:numPr>
      </w:pPr>
      <w:r w:rsidRPr="000155EA">
        <w:t>CCU: typically 1:3</w:t>
      </w:r>
    </w:p>
    <w:p w14:paraId="107DA467" w14:textId="77777777" w:rsidR="00A6530C" w:rsidRPr="000155EA" w:rsidRDefault="00A6530C" w:rsidP="00C91BCB">
      <w:pPr>
        <w:pStyle w:val="ListParagraph"/>
        <w:numPr>
          <w:ilvl w:val="0"/>
          <w:numId w:val="77"/>
        </w:numPr>
      </w:pPr>
      <w:r w:rsidRPr="000155EA">
        <w:t>NICU: 1:1</w:t>
      </w:r>
    </w:p>
    <w:p w14:paraId="3F18C189" w14:textId="46FF8E44" w:rsidR="00A6530C" w:rsidRPr="000155EA" w:rsidRDefault="00A6530C" w:rsidP="00A6530C">
      <w:r w:rsidRPr="000155EA">
        <w:t>Some sites have feeder systems to allocate these costs more precisely</w:t>
      </w:r>
      <w:r>
        <w:t xml:space="preserve"> to cohorts of ICU patients. The ability to do this depended in part </w:t>
      </w:r>
      <w:r w:rsidR="00B3250B">
        <w:t>on</w:t>
      </w:r>
      <w:r>
        <w:t xml:space="preserve"> the availability of feeder system data </w:t>
      </w:r>
      <w:r w:rsidR="000B77EC">
        <w:t>that</w:t>
      </w:r>
      <w:r>
        <w:t xml:space="preserve"> capture</w:t>
      </w:r>
      <w:r w:rsidR="000B77EC">
        <w:t>d</w:t>
      </w:r>
      <w:r>
        <w:t xml:space="preserve"> the patient</w:t>
      </w:r>
      <w:r w:rsidR="007F5382">
        <w:t>’s</w:t>
      </w:r>
      <w:r>
        <w:t xml:space="preserve"> care needs or bed type </w:t>
      </w:r>
      <w:r w:rsidR="007F5382">
        <w:t>within</w:t>
      </w:r>
      <w:r>
        <w:t xml:space="preserve"> the patient record. </w:t>
      </w:r>
      <w:r w:rsidRPr="000155EA">
        <w:t>Jurisdictional differences in cost allocation methodologies were observed:</w:t>
      </w:r>
    </w:p>
    <w:p w14:paraId="33C56E80" w14:textId="27170CE2" w:rsidR="00A6530C" w:rsidRPr="000155EA" w:rsidRDefault="00A6530C" w:rsidP="00C91BCB">
      <w:pPr>
        <w:pStyle w:val="ListParagraph"/>
        <w:numPr>
          <w:ilvl w:val="0"/>
          <w:numId w:val="78"/>
        </w:numPr>
      </w:pPr>
      <w:r w:rsidRPr="000155EA">
        <w:t xml:space="preserve">NSW uses the bed type assigned to the patient, </w:t>
      </w:r>
      <w:r w:rsidR="007E5583">
        <w:t xml:space="preserve">this </w:t>
      </w:r>
      <w:r w:rsidRPr="000155EA">
        <w:t>determines the nursing ratio (e.g., 1:1 or 1:2).</w:t>
      </w:r>
    </w:p>
    <w:p w14:paraId="382CF426" w14:textId="0B590ECB" w:rsidR="00A6530C" w:rsidRPr="000155EA" w:rsidRDefault="00B33D4A" w:rsidP="00C91BCB">
      <w:pPr>
        <w:pStyle w:val="ListParagraph"/>
        <w:numPr>
          <w:ilvl w:val="0"/>
          <w:numId w:val="78"/>
        </w:numPr>
      </w:pPr>
      <w:r>
        <w:lastRenderedPageBreak/>
        <w:t>Queensland</w:t>
      </w:r>
      <w:r w:rsidR="00A6530C" w:rsidRPr="000155EA">
        <w:t> employs a </w:t>
      </w:r>
      <w:r w:rsidR="00A24F7C">
        <w:t xml:space="preserve">nursing acuity </w:t>
      </w:r>
      <w:r w:rsidR="00A6530C" w:rsidRPr="000155EA">
        <w:t>system, capturing the actual nurses rostered to the ward on the day of patient admission.</w:t>
      </w:r>
      <w:r w:rsidR="00A6530C">
        <w:t xml:space="preserve"> </w:t>
      </w:r>
    </w:p>
    <w:p w14:paraId="096F390E" w14:textId="7A40BBE1" w:rsidR="00A6530C" w:rsidRPr="000155EA" w:rsidRDefault="00A6530C" w:rsidP="003C28DB">
      <w:pPr>
        <w:pStyle w:val="ListParagraph"/>
        <w:numPr>
          <w:ilvl w:val="0"/>
          <w:numId w:val="78"/>
        </w:numPr>
      </w:pPr>
      <w:r>
        <w:t xml:space="preserve">Other sites and jurisdictions applied </w:t>
      </w:r>
      <w:r w:rsidRPr="000155EA">
        <w:t>uniform cost allocation</w:t>
      </w:r>
      <w:r>
        <w:t xml:space="preserve"> for nursing costs</w:t>
      </w:r>
      <w:r w:rsidRPr="000155EA">
        <w:t xml:space="preserve"> </w:t>
      </w:r>
      <w:r>
        <w:t xml:space="preserve">(driven by ICU hours) </w:t>
      </w:r>
      <w:r w:rsidRPr="000155EA">
        <w:t>across all patients</w:t>
      </w:r>
      <w:r>
        <w:t xml:space="preserve"> with no differentiation for patient acuity. </w:t>
      </w:r>
    </w:p>
    <w:p w14:paraId="30528A8B" w14:textId="3A56034F" w:rsidR="00A6530C" w:rsidRDefault="00A6530C" w:rsidP="00A6530C">
      <w:r>
        <w:t xml:space="preserve">Outside of nursing costs, we heard that high-cost drivers in </w:t>
      </w:r>
      <w:r w:rsidR="00C75651">
        <w:t>c</w:t>
      </w:r>
      <w:r>
        <w:t xml:space="preserve">ritical </w:t>
      </w:r>
      <w:r w:rsidR="00C75651">
        <w:t>c</w:t>
      </w:r>
      <w:r>
        <w:t>are</w:t>
      </w:r>
      <w:r w:rsidRPr="000155EA">
        <w:t> include</w:t>
      </w:r>
      <w:r w:rsidR="000B77EC">
        <w:t>d</w:t>
      </w:r>
      <w:r w:rsidRPr="000155EA">
        <w:t> ECMO, specialist burns care, and additional organ support</w:t>
      </w:r>
      <w:r>
        <w:t xml:space="preserve">, </w:t>
      </w:r>
      <w:r w:rsidR="00A30ABF">
        <w:t>requiring</w:t>
      </w:r>
      <w:r w:rsidRPr="000155EA">
        <w:t> specific consumable</w:t>
      </w:r>
      <w:r>
        <w:t>s and / or may utilise higher cost ward drugs (imprest).</w:t>
      </w:r>
      <w:r w:rsidR="00372225">
        <w:t xml:space="preserve"> </w:t>
      </w:r>
      <w:r w:rsidRPr="000155EA">
        <w:t xml:space="preserve">However, in most cases, </w:t>
      </w:r>
      <w:r>
        <w:t xml:space="preserve">these costs could not be allocated to the </w:t>
      </w:r>
      <w:r w:rsidR="009816E4">
        <w:t xml:space="preserve">individual </w:t>
      </w:r>
      <w:r>
        <w:t xml:space="preserve">patient and were spread to </w:t>
      </w:r>
      <w:r w:rsidR="009816E4">
        <w:t xml:space="preserve">all </w:t>
      </w:r>
      <w:r>
        <w:t xml:space="preserve">ICU patients based on ICU hours. </w:t>
      </w:r>
    </w:p>
    <w:p w14:paraId="01D7A015" w14:textId="4DF1DCAB" w:rsidR="00771164" w:rsidRDefault="001D36C2" w:rsidP="00A6530C">
      <w:r>
        <w:t>T</w:t>
      </w:r>
      <w:r w:rsidR="00440DC1">
        <w:t>h</w:t>
      </w:r>
      <w:r>
        <w:t xml:space="preserve">e costing approach </w:t>
      </w:r>
      <w:r w:rsidR="005C6210">
        <w:t xml:space="preserve">of </w:t>
      </w:r>
      <w:r w:rsidR="006479E8">
        <w:t xml:space="preserve">only </w:t>
      </w:r>
      <w:r>
        <w:t xml:space="preserve">using ICU hours to allocate most </w:t>
      </w:r>
      <w:r w:rsidR="005C6210">
        <w:t xml:space="preserve">critical care </w:t>
      </w:r>
      <w:r>
        <w:t>costs</w:t>
      </w:r>
      <w:r w:rsidR="005C6210">
        <w:t xml:space="preserve"> across patients results in a</w:t>
      </w:r>
      <w:r w:rsidR="006479E8">
        <w:t xml:space="preserve"> uniform allocation across all patients</w:t>
      </w:r>
      <w:r w:rsidR="00A6530C" w:rsidRPr="009041CE">
        <w:t xml:space="preserve">, </w:t>
      </w:r>
      <w:r w:rsidR="00A6530C">
        <w:t>with limited consideration of</w:t>
      </w:r>
      <w:r w:rsidR="00A6530C" w:rsidRPr="009041CE">
        <w:t xml:space="preserve"> individual care needs or resource consumption</w:t>
      </w:r>
      <w:r w:rsidR="00C462D3">
        <w:t xml:space="preserve"> outside of the number of hours they spent in ICU</w:t>
      </w:r>
      <w:r w:rsidR="00A6530C" w:rsidRPr="009041CE">
        <w:t xml:space="preserve">. This approach limits </w:t>
      </w:r>
      <w:r w:rsidR="00A6530C">
        <w:t>the ability to i</w:t>
      </w:r>
      <w:r w:rsidR="00A6530C" w:rsidRPr="009041CE">
        <w:t>dentify variation in care delivery</w:t>
      </w:r>
      <w:r w:rsidR="00A6530C">
        <w:t xml:space="preserve"> or drivers in resource consumption</w:t>
      </w:r>
      <w:r w:rsidR="00A6530C" w:rsidRPr="009041CE">
        <w:t xml:space="preserve"> </w:t>
      </w:r>
      <w:r w:rsidR="00A6530C">
        <w:t xml:space="preserve">within </w:t>
      </w:r>
      <w:r w:rsidR="000C37F7">
        <w:t xml:space="preserve">an </w:t>
      </w:r>
      <w:r w:rsidR="00A6530C">
        <w:t>ICU</w:t>
      </w:r>
      <w:r w:rsidR="002705DD">
        <w:t xml:space="preserve">. </w:t>
      </w:r>
      <w:r w:rsidR="001D4AC7">
        <w:t>This is especially useful, as</w:t>
      </w:r>
      <w:r w:rsidR="002705DD">
        <w:t xml:space="preserve"> these are often high acuity patients who consume a high volume of </w:t>
      </w:r>
      <w:r w:rsidR="002F5DB4">
        <w:t>resources</w:t>
      </w:r>
      <w:r w:rsidR="001D4AC7">
        <w:t xml:space="preserve">. </w:t>
      </w:r>
    </w:p>
    <w:p w14:paraId="613E68E0" w14:textId="0BF9CB39" w:rsidR="001D4AC7" w:rsidRDefault="00DF196F" w:rsidP="00A6530C">
      <w:r>
        <w:t>Incorporating additional information in the cost allocation process depends on the availability of additional feeder system data</w:t>
      </w:r>
      <w:r w:rsidR="00A274F1">
        <w:t xml:space="preserve"> and should be considered </w:t>
      </w:r>
      <w:r w:rsidR="00B77D8F">
        <w:t>with consideration</w:t>
      </w:r>
      <w:r w:rsidR="001D4AC7">
        <w:t xml:space="preserve"> to</w:t>
      </w:r>
      <w:r w:rsidR="00B77D8F">
        <w:t xml:space="preserve"> the effort involved in changing feeder system inputs and costing processes.</w:t>
      </w:r>
    </w:p>
    <w:p w14:paraId="08A660FA" w14:textId="2B973054" w:rsidR="00C97ED2" w:rsidRPr="00A438EE" w:rsidRDefault="00C97ED2" w:rsidP="00EC0C63">
      <w:pPr>
        <w:keepNext/>
        <w:rPr>
          <w:u w:val="single"/>
        </w:rPr>
      </w:pPr>
      <w:bookmarkStart w:id="29" w:name="_Ref209508086"/>
      <w:r w:rsidRPr="00A438EE">
        <w:rPr>
          <w:u w:val="single"/>
        </w:rPr>
        <w:t xml:space="preserve">Finding </w:t>
      </w:r>
      <w:r w:rsidR="00B47923" w:rsidRPr="00A438EE">
        <w:rPr>
          <w:u w:val="single"/>
        </w:rPr>
        <w:t>2</w:t>
      </w:r>
      <w:r w:rsidR="003F6026" w:rsidRPr="00A438EE">
        <w:rPr>
          <w:u w:val="single"/>
        </w:rPr>
        <w:t>.</w:t>
      </w:r>
      <w:r w:rsidRPr="00A438EE">
        <w:rPr>
          <w:u w:val="single"/>
        </w:rPr>
        <w:t>6</w:t>
      </w:r>
      <w:r w:rsidR="00C91BCB" w:rsidRPr="00A438EE">
        <w:rPr>
          <w:u w:val="single"/>
        </w:rPr>
        <w:t>:</w:t>
      </w:r>
      <w:r w:rsidRPr="00A438EE">
        <w:rPr>
          <w:u w:val="single"/>
        </w:rPr>
        <w:t xml:space="preserve"> </w:t>
      </w:r>
      <w:r w:rsidR="003B762F" w:rsidRPr="00A438EE">
        <w:rPr>
          <w:u w:val="single"/>
        </w:rPr>
        <w:t>ICU teams perform activities which do not relate to direct ICU care</w:t>
      </w:r>
      <w:r w:rsidR="00CC0CDE" w:rsidRPr="00A438EE">
        <w:rPr>
          <w:u w:val="single"/>
        </w:rPr>
        <w:t xml:space="preserve"> which are typically not reallocated for costing purposes and </w:t>
      </w:r>
      <w:r w:rsidR="0017498C" w:rsidRPr="00A438EE">
        <w:rPr>
          <w:u w:val="single"/>
        </w:rPr>
        <w:t>may inflate costs</w:t>
      </w:r>
      <w:r w:rsidR="00CC0CDE" w:rsidRPr="00A438EE">
        <w:rPr>
          <w:u w:val="single"/>
        </w:rPr>
        <w:t xml:space="preserve"> within the </w:t>
      </w:r>
      <w:r w:rsidR="00CC0CDE" w:rsidRPr="00A438EE">
        <w:rPr>
          <w:i/>
          <w:iCs/>
          <w:u w:val="single"/>
        </w:rPr>
        <w:t xml:space="preserve">Critical </w:t>
      </w:r>
      <w:r w:rsidR="00020014" w:rsidRPr="00A438EE">
        <w:rPr>
          <w:u w:val="single"/>
        </w:rPr>
        <w:t xml:space="preserve">NHCDC </w:t>
      </w:r>
      <w:r w:rsidR="00CC0CDE" w:rsidRPr="00A438EE">
        <w:rPr>
          <w:u w:val="single"/>
        </w:rPr>
        <w:t>Cost Centre Group</w:t>
      </w:r>
      <w:bookmarkEnd w:id="29"/>
    </w:p>
    <w:p w14:paraId="37CC6EEC" w14:textId="6C78F9F1" w:rsidR="00C97ED2" w:rsidRPr="00F00E7D" w:rsidRDefault="00C97ED2" w:rsidP="000C06FB">
      <w:r w:rsidRPr="00F00E7D">
        <w:t xml:space="preserve">Critical </w:t>
      </w:r>
      <w:r w:rsidR="00567194">
        <w:t>c</w:t>
      </w:r>
      <w:r w:rsidRPr="00F00E7D">
        <w:t>are teams at participating sites were found to undertake a range of activities beyond direct ICU patient care, including Medical Emergency Team (MET) calls, anaesthetic cover for theatres, outpatient clinics, retrieval services, and participation in clinical committees.</w:t>
      </w:r>
    </w:p>
    <w:p w14:paraId="70F9A40C" w14:textId="0348F69B" w:rsidR="00C97ED2" w:rsidRPr="00F00E7D" w:rsidRDefault="00C97ED2" w:rsidP="000C06FB">
      <w:r w:rsidRPr="00F00E7D">
        <w:t xml:space="preserve">Some sites have developed methodologies in consultation with </w:t>
      </w:r>
      <w:r w:rsidR="00567194">
        <w:t>c</w:t>
      </w:r>
      <w:r w:rsidRPr="00F00E7D">
        <w:t xml:space="preserve">ritical </w:t>
      </w:r>
      <w:r w:rsidR="00567194">
        <w:t>c</w:t>
      </w:r>
      <w:r w:rsidRPr="00F00E7D">
        <w:t>are teams</w:t>
      </w:r>
      <w:r>
        <w:t xml:space="preserve"> </w:t>
      </w:r>
      <w:r w:rsidRPr="00F00E7D">
        <w:t xml:space="preserve">to estimate and fraction out these costs to appropriate cost centres. Where estimates were available, sites reported that 10–20% of medical and nursing resources were spent on activities outside of direct </w:t>
      </w:r>
      <w:r>
        <w:t xml:space="preserve">critical </w:t>
      </w:r>
      <w:r w:rsidRPr="00F00E7D">
        <w:t>care.</w:t>
      </w:r>
    </w:p>
    <w:p w14:paraId="7F6A6B6F" w14:textId="78522D70" w:rsidR="00C97ED2" w:rsidRPr="00F00E7D" w:rsidRDefault="00C97ED2" w:rsidP="000C06FB">
      <w:r w:rsidRPr="00F00E7D">
        <w:t xml:space="preserve">Sites that successfully fractioned these costs typically had feeder data systems to support allocation </w:t>
      </w:r>
      <w:r w:rsidRPr="002B6981">
        <w:t xml:space="preserve">to alternative areas </w:t>
      </w:r>
      <w:r w:rsidRPr="00F00E7D">
        <w:t>(e.g.</w:t>
      </w:r>
      <w:r w:rsidR="00B51F87">
        <w:t>,</w:t>
      </w:r>
      <w:r w:rsidRPr="00F00E7D">
        <w:t xml:space="preserve"> MET activity feeders). In contrast, other sites lacked the necessary data infrastructure and were either unable to fraction costs or planned to review this area in future costing cycles. In these cases, </w:t>
      </w:r>
      <w:r>
        <w:t>these costs</w:t>
      </w:r>
      <w:r w:rsidRPr="00F00E7D">
        <w:t xml:space="preserve"> remained within the </w:t>
      </w:r>
      <w:r w:rsidRPr="00F00E7D">
        <w:rPr>
          <w:i/>
          <w:iCs/>
        </w:rPr>
        <w:t>Critical</w:t>
      </w:r>
      <w:r w:rsidRPr="00F00E7D">
        <w:t xml:space="preserve"> NHCDC Cost Centre Group.</w:t>
      </w:r>
    </w:p>
    <w:p w14:paraId="2ABF31D7" w14:textId="04BDB9ED" w:rsidR="00016BE9" w:rsidRDefault="00C97ED2" w:rsidP="00C97ED2">
      <w:r w:rsidRPr="00F00E7D">
        <w:t xml:space="preserve">This practice may result in inflated Medical and Nursing </w:t>
      </w:r>
      <w:r w:rsidRPr="00F00E7D">
        <w:rPr>
          <w:i/>
          <w:iCs/>
        </w:rPr>
        <w:t>S&amp;W</w:t>
      </w:r>
      <w:r w:rsidRPr="00F00E7D">
        <w:t xml:space="preserve"> allocations at the patient level</w:t>
      </w:r>
      <w:r w:rsidR="00931344">
        <w:t xml:space="preserve"> for the ICU patient</w:t>
      </w:r>
      <w:r w:rsidRPr="00F00E7D">
        <w:t xml:space="preserve">, reducing the accuracy of patient-level costing and potentially distorting comparisons across sites. This issue may also have implications for the pricing of the ICU </w:t>
      </w:r>
      <w:r w:rsidR="00931344">
        <w:t xml:space="preserve">NEP </w:t>
      </w:r>
      <w:r w:rsidRPr="00F00E7D">
        <w:t>adjustment</w:t>
      </w:r>
      <w:r w:rsidRPr="00ED51A1">
        <w:t>.</w:t>
      </w:r>
    </w:p>
    <w:p w14:paraId="1658876E" w14:textId="17A69B2F" w:rsidR="000C06FB" w:rsidRPr="00085389" w:rsidRDefault="000C06FB" w:rsidP="00EC0C63">
      <w:pPr>
        <w:keepNext/>
      </w:pPr>
      <w:r w:rsidRPr="00EC0C63">
        <w:rPr>
          <w:u w:val="single"/>
        </w:rPr>
        <w:t xml:space="preserve">Finding </w:t>
      </w:r>
      <w:r w:rsidR="00B47923" w:rsidRPr="00EC0C63">
        <w:rPr>
          <w:u w:val="single"/>
        </w:rPr>
        <w:t>2</w:t>
      </w:r>
      <w:r w:rsidR="003F6026" w:rsidRPr="00EC0C63">
        <w:rPr>
          <w:u w:val="single"/>
        </w:rPr>
        <w:t>.</w:t>
      </w:r>
      <w:r w:rsidRPr="00EC0C63">
        <w:rPr>
          <w:u w:val="single"/>
        </w:rPr>
        <w:t>7</w:t>
      </w:r>
      <w:r w:rsidR="00C91BCB" w:rsidRPr="00EC0C63">
        <w:rPr>
          <w:u w:val="single"/>
        </w:rPr>
        <w:t>:</w:t>
      </w:r>
      <w:r w:rsidRPr="00EC0C63">
        <w:rPr>
          <w:u w:val="single"/>
        </w:rPr>
        <w:t xml:space="preserve"> </w:t>
      </w:r>
      <w:r w:rsidR="00E33B88" w:rsidRPr="00EC0C63">
        <w:rPr>
          <w:u w:val="single"/>
        </w:rPr>
        <w:t>Local admission rules</w:t>
      </w:r>
      <w:r w:rsidR="00977ACB" w:rsidRPr="00EC0C63">
        <w:rPr>
          <w:u w:val="single"/>
        </w:rPr>
        <w:t xml:space="preserve"> within </w:t>
      </w:r>
      <w:r w:rsidR="00E33B88" w:rsidRPr="00EC0C63">
        <w:rPr>
          <w:u w:val="single"/>
        </w:rPr>
        <w:t xml:space="preserve">hospitals </w:t>
      </w:r>
      <w:r w:rsidR="00977ACB" w:rsidRPr="00EC0C63">
        <w:rPr>
          <w:u w:val="single"/>
        </w:rPr>
        <w:t>drives differences in costing outputs between sites</w:t>
      </w:r>
    </w:p>
    <w:p w14:paraId="521F2FD8" w14:textId="16B832D8" w:rsidR="00577097" w:rsidRDefault="00577097" w:rsidP="00577097">
      <w:pPr>
        <w:spacing w:after="0"/>
      </w:pPr>
      <w:r>
        <w:t xml:space="preserve">Participating sites operate under </w:t>
      </w:r>
      <w:r w:rsidR="008703D6">
        <w:t xml:space="preserve">2 </w:t>
      </w:r>
      <w:r>
        <w:t>distinct models of care for ICU admissions:</w:t>
      </w:r>
    </w:p>
    <w:p w14:paraId="117B4C49" w14:textId="1CC11087" w:rsidR="00577097" w:rsidRDefault="00577097" w:rsidP="00EB684C">
      <w:pPr>
        <w:pStyle w:val="ListParagraph"/>
        <w:numPr>
          <w:ilvl w:val="0"/>
          <w:numId w:val="57"/>
        </w:numPr>
        <w:spacing w:after="0"/>
      </w:pPr>
      <w:r>
        <w:t xml:space="preserve">Patients </w:t>
      </w:r>
      <w:r w:rsidR="003F5B29">
        <w:t xml:space="preserve">were </w:t>
      </w:r>
      <w:r>
        <w:t>admitted under the care of an intensivist (within the ICU), and</w:t>
      </w:r>
    </w:p>
    <w:p w14:paraId="422A45B1" w14:textId="1D2A0E01" w:rsidR="00577097" w:rsidRDefault="00577097" w:rsidP="00EB684C">
      <w:pPr>
        <w:pStyle w:val="ListParagraph"/>
        <w:numPr>
          <w:ilvl w:val="0"/>
          <w:numId w:val="57"/>
        </w:numPr>
        <w:spacing w:after="0"/>
      </w:pPr>
      <w:r>
        <w:t xml:space="preserve">Patients </w:t>
      </w:r>
      <w:r w:rsidR="003F5B29">
        <w:t xml:space="preserve">were </w:t>
      </w:r>
      <w:r>
        <w:t>admitted under a specialty admitting clinician, with intensivist support.</w:t>
      </w:r>
    </w:p>
    <w:p w14:paraId="6AC0617A" w14:textId="10C9B2F0" w:rsidR="00577097" w:rsidRDefault="00577097" w:rsidP="003C28DB">
      <w:pPr>
        <w:spacing w:before="120" w:after="0"/>
      </w:pPr>
      <w:r>
        <w:t xml:space="preserve">The latter model results in the allocation of both intensivist and specialty </w:t>
      </w:r>
      <w:r w:rsidR="007C0640">
        <w:t>clinician costs</w:t>
      </w:r>
      <w:r w:rsidR="00300132">
        <w:t xml:space="preserve"> to the episode</w:t>
      </w:r>
      <w:r w:rsidR="007C0640">
        <w:t>,</w:t>
      </w:r>
      <w:r>
        <w:t xml:space="preserve"> </w:t>
      </w:r>
      <w:r w:rsidR="00A30ABF">
        <w:t xml:space="preserve">that </w:t>
      </w:r>
      <w:r>
        <w:t xml:space="preserve">may contribute to higher cost allocations in </w:t>
      </w:r>
      <w:r w:rsidRPr="00BA5FB3">
        <w:rPr>
          <w:iCs/>
        </w:rPr>
        <w:t xml:space="preserve">the Medical </w:t>
      </w:r>
      <w:r w:rsidRPr="00D00F36">
        <w:rPr>
          <w:i/>
        </w:rPr>
        <w:t>S&amp;W</w:t>
      </w:r>
      <w:r>
        <w:t xml:space="preserve"> line item, with </w:t>
      </w:r>
      <w:r w:rsidR="00300132">
        <w:t xml:space="preserve">the </w:t>
      </w:r>
      <w:r w:rsidR="00300132">
        <w:lastRenderedPageBreak/>
        <w:t xml:space="preserve">intensivist </w:t>
      </w:r>
      <w:r>
        <w:t xml:space="preserve">portion sitting in the </w:t>
      </w:r>
      <w:r w:rsidRPr="0081589E">
        <w:rPr>
          <w:i/>
          <w:iCs/>
        </w:rPr>
        <w:t>Critical</w:t>
      </w:r>
      <w:r>
        <w:t xml:space="preserve"> </w:t>
      </w:r>
      <w:r w:rsidR="002C07BF">
        <w:t xml:space="preserve">NHCDC </w:t>
      </w:r>
      <w:r>
        <w:t xml:space="preserve">Cost Centre Group and </w:t>
      </w:r>
      <w:r w:rsidR="00300132">
        <w:t>the other medical staff costs</w:t>
      </w:r>
      <w:r>
        <w:t xml:space="preserve"> sitting in the </w:t>
      </w:r>
      <w:r w:rsidRPr="0081589E">
        <w:rPr>
          <w:i/>
          <w:iCs/>
        </w:rPr>
        <w:t>Clinical</w:t>
      </w:r>
      <w:r>
        <w:t xml:space="preserve"> </w:t>
      </w:r>
      <w:r w:rsidR="002C07BF">
        <w:t xml:space="preserve">NHCDC </w:t>
      </w:r>
      <w:r>
        <w:t>Cost Centre group, relating to the duration of a patient’s critical care stay.</w:t>
      </w:r>
    </w:p>
    <w:p w14:paraId="71687EC7" w14:textId="77777777" w:rsidR="00577097" w:rsidRDefault="00577097" w:rsidP="00577097">
      <w:pPr>
        <w:spacing w:after="0"/>
      </w:pPr>
    </w:p>
    <w:p w14:paraId="7939FF98" w14:textId="7B3647DF" w:rsidR="000C06FB" w:rsidRDefault="006A58CB" w:rsidP="00577097">
      <w:r>
        <w:t>In some cases, t</w:t>
      </w:r>
      <w:r w:rsidR="00577097">
        <w:t xml:space="preserve">his variation was observed across sites rather than jurisdictions, indicating that the model of care is determined at the local facility level. While this difference may influence costing outputs, no changes to costing processes are recommended at this time. The finding is presented to highlight that </w:t>
      </w:r>
      <w:r w:rsidR="00280613">
        <w:t>admission rules</w:t>
      </w:r>
      <w:r w:rsidR="00577097">
        <w:t xml:space="preserve"> may drive variation in cost allocation and should be considered when interpreting cost data across sites.</w:t>
      </w:r>
    </w:p>
    <w:p w14:paraId="19C54DB5" w14:textId="76E12ACF" w:rsidR="0008226B" w:rsidRDefault="00EB23A7" w:rsidP="00101B44">
      <w:pPr>
        <w:pStyle w:val="Heading2"/>
      </w:pPr>
      <w:r>
        <w:t>Scope of exclusions from NHCDC 2023-24</w:t>
      </w:r>
    </w:p>
    <w:p w14:paraId="5EC6D633" w14:textId="41F1DE67" w:rsidR="00384278" w:rsidRPr="00085389" w:rsidRDefault="00384278" w:rsidP="00EC0C63">
      <w:pPr>
        <w:keepNext/>
      </w:pPr>
      <w:bookmarkStart w:id="30" w:name="_Ref209508228"/>
      <w:r w:rsidRPr="00EC0C63">
        <w:rPr>
          <w:u w:val="single"/>
        </w:rPr>
        <w:t xml:space="preserve">Finding </w:t>
      </w:r>
      <w:r w:rsidR="00B47923" w:rsidRPr="00EC0C63">
        <w:rPr>
          <w:u w:val="single"/>
        </w:rPr>
        <w:t>3</w:t>
      </w:r>
      <w:r w:rsidRPr="00EC0C63">
        <w:rPr>
          <w:u w:val="single"/>
        </w:rPr>
        <w:t>.1</w:t>
      </w:r>
      <w:r w:rsidR="00C91BCB" w:rsidRPr="00EC0C63">
        <w:rPr>
          <w:u w:val="single"/>
        </w:rPr>
        <w:t>:</w:t>
      </w:r>
      <w:r w:rsidR="009F69DB" w:rsidRPr="00EC0C63">
        <w:rPr>
          <w:u w:val="single"/>
        </w:rPr>
        <w:t xml:space="preserve"> Understanding the quantum of linking-related exclusions could be helpful to IHACPA for future consideration for pricing</w:t>
      </w:r>
      <w:bookmarkEnd w:id="30"/>
    </w:p>
    <w:p w14:paraId="153AB4BB" w14:textId="2961021F" w:rsidR="007E1BBD" w:rsidRPr="00790339" w:rsidRDefault="007E1BBD" w:rsidP="007E1BBD">
      <w:pPr>
        <w:spacing w:after="0"/>
      </w:pPr>
      <w:r w:rsidRPr="00790339">
        <w:t>We observed that in preparing the NHCDC submissions, costs w</w:t>
      </w:r>
      <w:r w:rsidR="00D57842">
        <w:t xml:space="preserve">ere </w:t>
      </w:r>
      <w:r w:rsidRPr="00790339">
        <w:t xml:space="preserve">excluded </w:t>
      </w:r>
      <w:r w:rsidR="00D57842">
        <w:t xml:space="preserve">from the LHN </w:t>
      </w:r>
      <w:r w:rsidR="008703D6">
        <w:t>GL</w:t>
      </w:r>
      <w:r w:rsidR="00D57842">
        <w:t xml:space="preserve"> </w:t>
      </w:r>
      <w:r w:rsidRPr="00790339">
        <w:t xml:space="preserve">primarily for </w:t>
      </w:r>
      <w:r w:rsidR="008703D6">
        <w:t>2</w:t>
      </w:r>
      <w:r w:rsidR="008703D6" w:rsidRPr="00790339">
        <w:t xml:space="preserve"> </w:t>
      </w:r>
      <w:r w:rsidRPr="00790339">
        <w:t>reasons:</w:t>
      </w:r>
    </w:p>
    <w:p w14:paraId="08343324" w14:textId="54F61ECC" w:rsidR="00582DE8" w:rsidRPr="00790339" w:rsidRDefault="007F4CF2" w:rsidP="004260FC">
      <w:pPr>
        <w:numPr>
          <w:ilvl w:val="0"/>
          <w:numId w:val="61"/>
        </w:numPr>
        <w:spacing w:after="0"/>
      </w:pPr>
      <w:r w:rsidRPr="00790339">
        <w:rPr>
          <w:b/>
          <w:bCs/>
        </w:rPr>
        <w:t>Out</w:t>
      </w:r>
      <w:r w:rsidR="00413F20">
        <w:rPr>
          <w:b/>
          <w:bCs/>
        </w:rPr>
        <w:t>-</w:t>
      </w:r>
      <w:r w:rsidRPr="00790339">
        <w:rPr>
          <w:b/>
          <w:bCs/>
        </w:rPr>
        <w:t>of</w:t>
      </w:r>
      <w:r w:rsidR="00413F20">
        <w:rPr>
          <w:b/>
          <w:bCs/>
        </w:rPr>
        <w:t>-</w:t>
      </w:r>
      <w:r w:rsidRPr="00790339">
        <w:rPr>
          <w:b/>
          <w:bCs/>
        </w:rPr>
        <w:t>scope exclusions</w:t>
      </w:r>
      <w:r w:rsidRPr="00790339">
        <w:t xml:space="preserve"> - removal of programs/costs that are outside of NHCDC submission scope e.g. population health programs performed by health services</w:t>
      </w:r>
      <w:r w:rsidR="007E1BBD">
        <w:t xml:space="preserve">. These costs are appropriately excluded from submitted costs. </w:t>
      </w:r>
    </w:p>
    <w:p w14:paraId="559AB150" w14:textId="2489D402" w:rsidR="00582DE8" w:rsidRDefault="00DC7C15" w:rsidP="004260FC">
      <w:pPr>
        <w:numPr>
          <w:ilvl w:val="0"/>
          <w:numId w:val="61"/>
        </w:numPr>
        <w:spacing w:after="0"/>
      </w:pPr>
      <w:r>
        <w:rPr>
          <w:b/>
          <w:bCs/>
        </w:rPr>
        <w:t>In-scope l</w:t>
      </w:r>
      <w:r w:rsidR="007F4CF2" w:rsidRPr="00790339">
        <w:rPr>
          <w:b/>
          <w:bCs/>
        </w:rPr>
        <w:t>inking exclusions</w:t>
      </w:r>
      <w:r w:rsidR="007F4CF2" w:rsidRPr="00790339">
        <w:t xml:space="preserve"> - removal of </w:t>
      </w:r>
      <w:r w:rsidR="0038110B">
        <w:t xml:space="preserve">in-scope </w:t>
      </w:r>
      <w:r w:rsidR="007F4CF2" w:rsidRPr="00790339">
        <w:t>costs relating to records unable to be linked to in-scope activity</w:t>
      </w:r>
      <w:r w:rsidR="007E1BBD">
        <w:t xml:space="preserve">. </w:t>
      </w:r>
      <w:r w:rsidR="00BF41E3">
        <w:t>These would only relate to costs incurred for services under the scope of t</w:t>
      </w:r>
      <w:r w:rsidR="0039199A">
        <w:t>he National Health Reform Agreement</w:t>
      </w:r>
      <w:r w:rsidR="00F33672">
        <w:t xml:space="preserve"> (NHRA).</w:t>
      </w:r>
    </w:p>
    <w:p w14:paraId="18A3CFEB" w14:textId="628E5C8F" w:rsidR="0038110B" w:rsidRDefault="0038110B" w:rsidP="00985174">
      <w:pPr>
        <w:spacing w:before="120"/>
      </w:pPr>
      <w:r>
        <w:t xml:space="preserve">The reason for </w:t>
      </w:r>
      <w:r w:rsidR="00DC7C15">
        <w:t xml:space="preserve">in-scope </w:t>
      </w:r>
      <w:r>
        <w:t>linking exclusions</w:t>
      </w:r>
      <w:r w:rsidR="00DC7C15">
        <w:t xml:space="preserve"> </w:t>
      </w:r>
      <w:r w:rsidR="00F34E53">
        <w:t>could typically involve</w:t>
      </w:r>
      <w:r w:rsidR="006F4E2A">
        <w:t xml:space="preserve"> unavailability of data to link the cost to an episode. An example of this is where </w:t>
      </w:r>
      <w:r w:rsidR="00110512">
        <w:t xml:space="preserve">a diagnostic test or drug was provided to a patient after they were discharged, and so the </w:t>
      </w:r>
      <w:r w:rsidR="000B136E">
        <w:t>date of the incurred cost could not be linked to that episode.</w:t>
      </w:r>
    </w:p>
    <w:p w14:paraId="1A46B331" w14:textId="344A346E" w:rsidR="0007002C" w:rsidRDefault="0007002C" w:rsidP="003C28DB">
      <w:pPr>
        <w:spacing w:before="120"/>
      </w:pPr>
      <w:r>
        <w:t xml:space="preserve">Jurisdictions had differing practices between </w:t>
      </w:r>
      <w:r w:rsidR="004D0817">
        <w:t xml:space="preserve">LHNs and between types of costs with how they </w:t>
      </w:r>
      <w:r>
        <w:t>treat</w:t>
      </w:r>
      <w:r w:rsidR="004D0817">
        <w:t>ed</w:t>
      </w:r>
      <w:r>
        <w:t xml:space="preserve"> these in-scope linking exclusions</w:t>
      </w:r>
      <w:r w:rsidR="004D0817">
        <w:t xml:space="preserve">. In some circumstances, the costs were excluded from the submitted records and in other circumstances, the costs were allocated evenly across all other patients (thereby not being </w:t>
      </w:r>
      <w:r w:rsidR="00C4482A">
        <w:t>an unlinked exclusion.)</w:t>
      </w:r>
    </w:p>
    <w:p w14:paraId="1C29B175" w14:textId="7F48C717" w:rsidR="007E1BBD" w:rsidRDefault="007E1BBD" w:rsidP="007E1BBD">
      <w:r>
        <w:t xml:space="preserve">From the sites identified, between </w:t>
      </w:r>
      <w:r w:rsidR="00292F3F">
        <w:t>58%</w:t>
      </w:r>
      <w:r>
        <w:t xml:space="preserve"> and </w:t>
      </w:r>
      <w:r w:rsidR="005728F1">
        <w:t>90</w:t>
      </w:r>
      <w:r>
        <w:t xml:space="preserve">% of </w:t>
      </w:r>
      <w:r w:rsidR="005728F1">
        <w:t>costs</w:t>
      </w:r>
      <w:r w:rsidR="00A27A7F">
        <w:t xml:space="preserve"> included in the </w:t>
      </w:r>
      <w:r w:rsidR="00FE5953">
        <w:t>LHN</w:t>
      </w:r>
      <w:r w:rsidR="00974F85">
        <w:t>’</w:t>
      </w:r>
      <w:r w:rsidR="00FE5953">
        <w:t xml:space="preserve">s </w:t>
      </w:r>
      <w:r w:rsidR="00974F85">
        <w:t>GL</w:t>
      </w:r>
      <w:r w:rsidR="005728F1">
        <w:t xml:space="preserve"> were </w:t>
      </w:r>
      <w:r>
        <w:t>submitted</w:t>
      </w:r>
      <w:r w:rsidR="005728F1">
        <w:t xml:space="preserve"> to </w:t>
      </w:r>
      <w:r w:rsidR="00FE5953">
        <w:t xml:space="preserve">the </w:t>
      </w:r>
      <w:r w:rsidR="005728F1">
        <w:t>NHCDC 2023-24.</w:t>
      </w:r>
      <w:r>
        <w:t xml:space="preserve"> However, t</w:t>
      </w:r>
      <w:r w:rsidRPr="00790339">
        <w:t>here was variation in the level of granularity</w:t>
      </w:r>
      <w:r>
        <w:t xml:space="preserve"> and structure</w:t>
      </w:r>
      <w:r w:rsidRPr="00790339">
        <w:t xml:space="preserve"> of jurisdictions’ reconciliations,</w:t>
      </w:r>
      <w:r>
        <w:t xml:space="preserve"> and we were not always able to differentiate </w:t>
      </w:r>
      <w:r w:rsidR="00F401F2">
        <w:t>the proportion of exclusions that related to out</w:t>
      </w:r>
      <w:r>
        <w:t xml:space="preserve">-of-scope </w:t>
      </w:r>
      <w:r w:rsidR="00F401F2">
        <w:t xml:space="preserve">services </w:t>
      </w:r>
      <w:r>
        <w:t xml:space="preserve">versus </w:t>
      </w:r>
      <w:r w:rsidR="00F401F2">
        <w:t>ina</w:t>
      </w:r>
      <w:r w:rsidR="00017176">
        <w:t xml:space="preserve">bility to </w:t>
      </w:r>
      <w:r>
        <w:t>link</w:t>
      </w:r>
      <w:r w:rsidR="00017176">
        <w:t xml:space="preserve"> costs to records</w:t>
      </w:r>
      <w:r>
        <w:t xml:space="preserve">. </w:t>
      </w:r>
    </w:p>
    <w:p w14:paraId="05A000C4" w14:textId="3A7DEA35" w:rsidR="001A72EA" w:rsidRDefault="004352BE" w:rsidP="00EC0C63">
      <w:pPr>
        <w:pStyle w:val="Caption"/>
        <w:keepNext/>
      </w:pPr>
      <w:r w:rsidRPr="00F57540">
        <w:rPr>
          <w:noProof/>
        </w:rPr>
        <w:lastRenderedPageBreak/>
        <w:drawing>
          <wp:anchor distT="0" distB="0" distL="114300" distR="114300" simplePos="0" relativeHeight="251658261" behindDoc="0" locked="0" layoutInCell="1" allowOverlap="1" wp14:anchorId="014C897F" wp14:editId="3999C01B">
            <wp:simplePos x="0" y="0"/>
            <wp:positionH relativeFrom="margin">
              <wp:posOffset>-286385</wp:posOffset>
            </wp:positionH>
            <wp:positionV relativeFrom="paragraph">
              <wp:posOffset>208915</wp:posOffset>
            </wp:positionV>
            <wp:extent cx="6298565" cy="3282315"/>
            <wp:effectExtent l="0" t="0" r="6985" b="0"/>
            <wp:wrapTopAndBottom/>
            <wp:docPr id="2070959749" name="Picture 5" descr="P8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59749" name="Picture 5" descr="P834#y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298565" cy="328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A84">
        <w:t>Figure</w:t>
      </w:r>
      <w:r w:rsidR="001A72EA">
        <w:t xml:space="preserve"> </w:t>
      </w:r>
      <w:r w:rsidR="00BD5B5E">
        <w:fldChar w:fldCharType="begin"/>
      </w:r>
      <w:r w:rsidR="00BD5B5E">
        <w:instrText xml:space="preserve"> SEQ Figure \* ARABIC </w:instrText>
      </w:r>
      <w:r w:rsidR="00BD5B5E">
        <w:fldChar w:fldCharType="separate"/>
      </w:r>
      <w:r w:rsidR="00CE6F96">
        <w:rPr>
          <w:noProof/>
        </w:rPr>
        <w:t>5</w:t>
      </w:r>
      <w:r w:rsidR="00BD5B5E">
        <w:fldChar w:fldCharType="end"/>
      </w:r>
      <w:r w:rsidR="001A72EA">
        <w:t>: Percentage of GL costs submitted to NHCDC 2023-24 for participating LHNs</w:t>
      </w:r>
      <w:r w:rsidR="00CE6F96">
        <w:rPr>
          <w:rFonts w:ascii="ZWAdobeF" w:hAnsi="ZWAdobeF" w:cs="ZWAdobeF"/>
          <w:i w:val="0"/>
          <w:color w:val="auto"/>
          <w:sz w:val="2"/>
          <w:szCs w:val="2"/>
        </w:rPr>
        <w:t>10F</w:t>
      </w:r>
      <w:r w:rsidR="00DE77AB">
        <w:rPr>
          <w:rStyle w:val="FootnoteReference"/>
        </w:rPr>
        <w:footnoteReference w:id="12"/>
      </w:r>
    </w:p>
    <w:p w14:paraId="53DF4850" w14:textId="24E24E5F" w:rsidR="007E1BBD" w:rsidRPr="007E1BBD" w:rsidRDefault="007E1BBD" w:rsidP="003C28DB">
      <w:pPr>
        <w:spacing w:before="240"/>
      </w:pPr>
      <w:r>
        <w:t xml:space="preserve">Understanding the quantum of </w:t>
      </w:r>
      <w:r w:rsidR="000E3B1C">
        <w:t xml:space="preserve">in-scope </w:t>
      </w:r>
      <w:r>
        <w:t xml:space="preserve">linking exclusions is </w:t>
      </w:r>
      <w:r w:rsidR="005C2047">
        <w:t>useful</w:t>
      </w:r>
      <w:r>
        <w:t xml:space="preserve">, as </w:t>
      </w:r>
      <w:r w:rsidR="00E73F43">
        <w:t xml:space="preserve">their removal </w:t>
      </w:r>
      <w:r>
        <w:t>could</w:t>
      </w:r>
      <w:r w:rsidRPr="008D31D9">
        <w:t xml:space="preserve"> artificially reduce </w:t>
      </w:r>
      <w:r w:rsidR="00E73F43">
        <w:t xml:space="preserve">the </w:t>
      </w:r>
      <w:r w:rsidRPr="008D31D9">
        <w:t xml:space="preserve">NHCDC costs </w:t>
      </w:r>
      <w:r w:rsidR="00A30ABF">
        <w:t>being</w:t>
      </w:r>
      <w:r w:rsidR="00E42F42">
        <w:t xml:space="preserve"> used </w:t>
      </w:r>
      <w:r w:rsidRPr="008D31D9">
        <w:t>for pricing and benchmarking purposes.</w:t>
      </w:r>
      <w:r>
        <w:t xml:space="preserve"> This information could be helpful to IHACPA for future consideration for pricing.</w:t>
      </w:r>
    </w:p>
    <w:p w14:paraId="61485CB8" w14:textId="44F37005" w:rsidR="00EB23A7" w:rsidRDefault="00EB23A7" w:rsidP="007B1B78">
      <w:pPr>
        <w:pStyle w:val="Heading2"/>
      </w:pPr>
      <w:bookmarkStart w:id="31" w:name="_Ref208916637"/>
      <w:r>
        <w:t>Costing process</w:t>
      </w:r>
      <w:bookmarkEnd w:id="31"/>
    </w:p>
    <w:p w14:paraId="794AE82B" w14:textId="19378327" w:rsidR="00D05787" w:rsidRPr="00634E48" w:rsidRDefault="00D61417" w:rsidP="00170112">
      <w:r>
        <w:t xml:space="preserve">As part of the </w:t>
      </w:r>
      <w:r w:rsidR="002E4377">
        <w:t>site meetings</w:t>
      </w:r>
      <w:r w:rsidR="00293C24">
        <w:t xml:space="preserve">, participating </w:t>
      </w:r>
      <w:r w:rsidR="0009623D">
        <w:t>LHNs</w:t>
      </w:r>
      <w:r w:rsidR="00293C24">
        <w:t xml:space="preserve"> </w:t>
      </w:r>
      <w:r w:rsidR="004B378C">
        <w:t>provided information on their costing processes</w:t>
      </w:r>
      <w:r w:rsidR="00444B6E">
        <w:t xml:space="preserve">, </w:t>
      </w:r>
      <w:r w:rsidR="007279E4">
        <w:t>compliance with AHPCS</w:t>
      </w:r>
      <w:r w:rsidR="00B33AA5">
        <w:t xml:space="preserve"> v4.2</w:t>
      </w:r>
      <w:r w:rsidR="007279E4">
        <w:t xml:space="preserve">, costing </w:t>
      </w:r>
      <w:r w:rsidR="00193627">
        <w:t xml:space="preserve">team structures, costing </w:t>
      </w:r>
      <w:r w:rsidR="00444B6E">
        <w:t>systems</w:t>
      </w:r>
      <w:r w:rsidR="007279E4">
        <w:t>,</w:t>
      </w:r>
      <w:r w:rsidR="005B66D0">
        <w:t xml:space="preserve"> feeder </w:t>
      </w:r>
      <w:r w:rsidR="007279E4">
        <w:t xml:space="preserve">system </w:t>
      </w:r>
      <w:r w:rsidR="005B66D0">
        <w:t>inputs</w:t>
      </w:r>
      <w:r w:rsidR="007279E4">
        <w:t xml:space="preserve"> and</w:t>
      </w:r>
      <w:r w:rsidR="005B66D0">
        <w:t xml:space="preserve"> quality assurance </w:t>
      </w:r>
      <w:r w:rsidR="006B5B7B">
        <w:t xml:space="preserve">(QA) </w:t>
      </w:r>
      <w:r w:rsidR="005B66D0">
        <w:t>processes</w:t>
      </w:r>
      <w:r w:rsidR="007279E4">
        <w:t xml:space="preserve">. </w:t>
      </w:r>
      <w:r w:rsidR="00DD6D32">
        <w:t>A summary of the</w:t>
      </w:r>
      <w:r w:rsidR="00216907">
        <w:t xml:space="preserve"> costing process</w:t>
      </w:r>
      <w:r w:rsidR="00DD6D32">
        <w:t xml:space="preserve"> for each jurisdiction has been included in the relevant jurisdiction chapter.</w:t>
      </w:r>
      <w:r w:rsidR="00216907">
        <w:t xml:space="preserve"> As part of this discussion, a number of </w:t>
      </w:r>
      <w:r w:rsidR="00F974D7">
        <w:t xml:space="preserve">specific findings were </w:t>
      </w:r>
      <w:r w:rsidR="00A30CE1">
        <w:t>identified</w:t>
      </w:r>
      <w:r w:rsidR="0050508E">
        <w:t xml:space="preserve"> for the NHCDC </w:t>
      </w:r>
      <w:r w:rsidR="00B33AA5">
        <w:t xml:space="preserve">2023-24 </w:t>
      </w:r>
      <w:r w:rsidR="0050508E">
        <w:t>submissions.</w:t>
      </w:r>
    </w:p>
    <w:p w14:paraId="3378DA27" w14:textId="6B0CE0B7" w:rsidR="007B1B78" w:rsidRPr="00085389" w:rsidRDefault="007B1B78" w:rsidP="00EC0C63">
      <w:pPr>
        <w:keepNext/>
      </w:pPr>
      <w:bookmarkStart w:id="32" w:name="_Ref209508632"/>
      <w:r w:rsidRPr="00EC0C63">
        <w:rPr>
          <w:u w:val="single"/>
        </w:rPr>
        <w:t xml:space="preserve">Finding </w:t>
      </w:r>
      <w:r w:rsidR="008E0DAC" w:rsidRPr="00EC0C63">
        <w:rPr>
          <w:u w:val="single"/>
        </w:rPr>
        <w:t>4</w:t>
      </w:r>
      <w:r w:rsidR="003F6026" w:rsidRPr="00EC0C63">
        <w:rPr>
          <w:u w:val="single"/>
        </w:rPr>
        <w:t>.</w:t>
      </w:r>
      <w:r w:rsidR="00EB23A7" w:rsidRPr="00EC0C63">
        <w:rPr>
          <w:u w:val="single"/>
        </w:rPr>
        <w:t>1</w:t>
      </w:r>
      <w:r w:rsidR="00C91BCB" w:rsidRPr="00EC0C63">
        <w:rPr>
          <w:u w:val="single"/>
        </w:rPr>
        <w:t>:</w:t>
      </w:r>
      <w:r w:rsidRPr="00EC0C63">
        <w:rPr>
          <w:u w:val="single"/>
        </w:rPr>
        <w:t xml:space="preserve"> </w:t>
      </w:r>
      <w:r w:rsidR="008A74EF" w:rsidRPr="00EC0C63">
        <w:rPr>
          <w:u w:val="single"/>
        </w:rPr>
        <w:t>Some P</w:t>
      </w:r>
      <w:r w:rsidRPr="00EC0C63">
        <w:rPr>
          <w:u w:val="single"/>
        </w:rPr>
        <w:t>ublic</w:t>
      </w:r>
      <w:r w:rsidR="00B51F87" w:rsidRPr="00EC0C63">
        <w:rPr>
          <w:u w:val="single"/>
        </w:rPr>
        <w:t>-p</w:t>
      </w:r>
      <w:r w:rsidRPr="00EC0C63">
        <w:rPr>
          <w:u w:val="single"/>
        </w:rPr>
        <w:t xml:space="preserve">rivate Partnership </w:t>
      </w:r>
      <w:r w:rsidR="008A74EF" w:rsidRPr="00EC0C63">
        <w:rPr>
          <w:u w:val="single"/>
        </w:rPr>
        <w:t xml:space="preserve">(PPP) </w:t>
      </w:r>
      <w:r w:rsidRPr="00EC0C63">
        <w:rPr>
          <w:u w:val="single"/>
        </w:rPr>
        <w:t xml:space="preserve">costs </w:t>
      </w:r>
      <w:r w:rsidR="00C561CE" w:rsidRPr="00EC0C63">
        <w:rPr>
          <w:u w:val="single"/>
        </w:rPr>
        <w:t xml:space="preserve">are </w:t>
      </w:r>
      <w:r w:rsidR="008A74EF" w:rsidRPr="00EC0C63">
        <w:rPr>
          <w:u w:val="single"/>
        </w:rPr>
        <w:t>excluded from costing submissions</w:t>
      </w:r>
      <w:bookmarkEnd w:id="32"/>
    </w:p>
    <w:p w14:paraId="0E8C384F" w14:textId="739375BF" w:rsidR="007B1B78" w:rsidRDefault="00191484" w:rsidP="00EC0C63">
      <w:r>
        <w:t>Two</w:t>
      </w:r>
      <w:r w:rsidR="007B1B78" w:rsidRPr="00BF396D">
        <w:t xml:space="preserve"> jurisdictions </w:t>
      </w:r>
      <w:r>
        <w:t>did not include the c</w:t>
      </w:r>
      <w:r w:rsidR="007B1B78" w:rsidRPr="00BF396D">
        <w:t xml:space="preserve">osts </w:t>
      </w:r>
      <w:r w:rsidR="00C86602">
        <w:t xml:space="preserve">or contracted activity </w:t>
      </w:r>
      <w:r w:rsidR="007B1B78" w:rsidRPr="00BF396D">
        <w:t>relating to P</w:t>
      </w:r>
      <w:r w:rsidR="008A74EF">
        <w:t>PP</w:t>
      </w:r>
      <w:r w:rsidR="007B1B78" w:rsidRPr="00BF396D">
        <w:t xml:space="preserve">s from </w:t>
      </w:r>
      <w:r w:rsidR="00DC5872">
        <w:t xml:space="preserve">their </w:t>
      </w:r>
      <w:r w:rsidR="007B1B78" w:rsidRPr="00BF396D">
        <w:t xml:space="preserve">NHCDC submissions. </w:t>
      </w:r>
      <w:r w:rsidR="007B1B78">
        <w:t>Reasons for exclusions varied by jurisdiction, due to either commercial</w:t>
      </w:r>
      <w:r w:rsidR="00B33AA5">
        <w:t>-</w:t>
      </w:r>
      <w:r w:rsidR="007B1B78">
        <w:t>in</w:t>
      </w:r>
      <w:r w:rsidR="00B33AA5">
        <w:t>-</w:t>
      </w:r>
      <w:r w:rsidR="007B1B78">
        <w:t>confidence reasons, or lack of availability of patient level information to support costing.</w:t>
      </w:r>
      <w:r w:rsidR="0072649B">
        <w:t xml:space="preserve"> </w:t>
      </w:r>
      <w:r w:rsidR="00884048">
        <w:t xml:space="preserve">Costs and activity from other contracted care arrangements were </w:t>
      </w:r>
      <w:r w:rsidR="002760A8">
        <w:t xml:space="preserve">included in the NHCDC submissions for </w:t>
      </w:r>
      <w:r w:rsidR="00AB4CED">
        <w:t xml:space="preserve">these 2 jurisdictions, as well as </w:t>
      </w:r>
      <w:r w:rsidR="007075FF">
        <w:t xml:space="preserve">the remaining </w:t>
      </w:r>
      <w:r w:rsidR="002760A8">
        <w:t>participa</w:t>
      </w:r>
      <w:r w:rsidR="007075FF">
        <w:t>nts. I</w:t>
      </w:r>
      <w:r w:rsidR="00DF5BCE">
        <w:t xml:space="preserve">n the case of contracted care arrangements, the costs charged to the </w:t>
      </w:r>
      <w:r w:rsidR="00E41162">
        <w:t xml:space="preserve">LHN are recorded as </w:t>
      </w:r>
      <w:r w:rsidR="00B33AA5" w:rsidRPr="00EE51DA">
        <w:rPr>
          <w:i/>
          <w:iCs/>
        </w:rPr>
        <w:t>G</w:t>
      </w:r>
      <w:r w:rsidR="00E41162" w:rsidRPr="00EE51DA">
        <w:rPr>
          <w:i/>
          <w:iCs/>
        </w:rPr>
        <w:t xml:space="preserve">oods </w:t>
      </w:r>
      <w:r w:rsidR="000107BD">
        <w:rPr>
          <w:i/>
          <w:iCs/>
        </w:rPr>
        <w:t>&amp;</w:t>
      </w:r>
      <w:r w:rsidR="000107BD" w:rsidRPr="00EE51DA">
        <w:rPr>
          <w:i/>
          <w:iCs/>
        </w:rPr>
        <w:t xml:space="preserve"> </w:t>
      </w:r>
      <w:r w:rsidR="00B33AA5" w:rsidRPr="00EE51DA">
        <w:rPr>
          <w:i/>
          <w:iCs/>
        </w:rPr>
        <w:t>S</w:t>
      </w:r>
      <w:r w:rsidR="00E41162" w:rsidRPr="00EE51DA">
        <w:rPr>
          <w:i/>
          <w:iCs/>
        </w:rPr>
        <w:t>ervices</w:t>
      </w:r>
    </w:p>
    <w:p w14:paraId="03F99D6A" w14:textId="29262710" w:rsidR="002C54CB" w:rsidRPr="00085389" w:rsidRDefault="002C54CB" w:rsidP="00EC0C63">
      <w:pPr>
        <w:keepNext/>
      </w:pPr>
      <w:bookmarkStart w:id="33" w:name="_Ref209508714"/>
      <w:r w:rsidRPr="00EC0C63">
        <w:rPr>
          <w:u w:val="single"/>
        </w:rPr>
        <w:t xml:space="preserve">Finding </w:t>
      </w:r>
      <w:r w:rsidR="008E0DAC" w:rsidRPr="00EC0C63">
        <w:rPr>
          <w:u w:val="single"/>
        </w:rPr>
        <w:t>4</w:t>
      </w:r>
      <w:r w:rsidR="00EB23A7" w:rsidRPr="00EC0C63">
        <w:rPr>
          <w:u w:val="single"/>
        </w:rPr>
        <w:t>.2</w:t>
      </w:r>
      <w:r w:rsidR="00C91BCB" w:rsidRPr="00EC0C63">
        <w:rPr>
          <w:u w:val="single"/>
        </w:rPr>
        <w:t>:</w:t>
      </w:r>
      <w:r w:rsidRPr="00EC0C63">
        <w:rPr>
          <w:u w:val="single"/>
        </w:rPr>
        <w:t xml:space="preserve"> </w:t>
      </w:r>
      <w:r w:rsidR="004253BC" w:rsidRPr="00EC0C63">
        <w:rPr>
          <w:u w:val="single"/>
        </w:rPr>
        <w:t>Jurisdictions identified patient level records with negative costs during the submissions process</w:t>
      </w:r>
      <w:bookmarkEnd w:id="33"/>
    </w:p>
    <w:p w14:paraId="7CAB50FC" w14:textId="32138F6B" w:rsidR="008726A3" w:rsidRPr="00BE232D" w:rsidRDefault="008726A3" w:rsidP="008726A3">
      <w:r w:rsidRPr="00BE232D">
        <w:t xml:space="preserve">During </w:t>
      </w:r>
      <w:r w:rsidR="00B33AA5" w:rsidRPr="00BE232D">
        <w:t>the NHCDC 2023-24</w:t>
      </w:r>
      <w:r w:rsidRPr="00BE232D">
        <w:t xml:space="preserve"> review, many jurisdictions identified patient level records with negative costs during the submissions process. IHACPA’s submissions portal returns a critical error </w:t>
      </w:r>
      <w:r w:rsidRPr="00BE232D">
        <w:lastRenderedPageBreak/>
        <w:t xml:space="preserve">if the total cost at the episode level is negative. This has led to inconsistencies in how jurisdictions manage these records: </w:t>
      </w:r>
    </w:p>
    <w:p w14:paraId="534ED180" w14:textId="77777777" w:rsidR="008726A3" w:rsidRPr="00BE232D" w:rsidRDefault="008726A3" w:rsidP="00A45D71">
      <w:pPr>
        <w:numPr>
          <w:ilvl w:val="0"/>
          <w:numId w:val="63"/>
        </w:numPr>
        <w:spacing w:after="0"/>
      </w:pPr>
      <w:r w:rsidRPr="00BE232D">
        <w:t>Some jurisdictions adjusted the records to remove or correct the negative line items.</w:t>
      </w:r>
    </w:p>
    <w:p w14:paraId="11C80261" w14:textId="77777777" w:rsidR="008726A3" w:rsidRPr="00BE232D" w:rsidRDefault="008726A3" w:rsidP="00A45D71">
      <w:pPr>
        <w:numPr>
          <w:ilvl w:val="0"/>
          <w:numId w:val="63"/>
        </w:numPr>
        <w:spacing w:after="0"/>
      </w:pPr>
      <w:r w:rsidRPr="00BE232D">
        <w:t>Others excluded the affected records entirely from submission.</w:t>
      </w:r>
    </w:p>
    <w:p w14:paraId="411005C6" w14:textId="77777777" w:rsidR="008726A3" w:rsidRPr="00BE232D" w:rsidRDefault="008726A3" w:rsidP="008726A3">
      <w:pPr>
        <w:spacing w:after="0"/>
        <w:ind w:left="720"/>
      </w:pPr>
    </w:p>
    <w:p w14:paraId="6F548194" w14:textId="7B1904B6" w:rsidR="008726A3" w:rsidRPr="00BE232D" w:rsidRDefault="008726A3" w:rsidP="008726A3">
      <w:r w:rsidRPr="00BE232D">
        <w:t xml:space="preserve">During the QA process further instances were identified by IHACPA where records with a negative line item were submitted. Where these instances were identified, jurisdictions investigated the root cause of the negative costs. It is possible that </w:t>
      </w:r>
      <w:r w:rsidR="00E84DDE" w:rsidRPr="00BE232D">
        <w:t>further</w:t>
      </w:r>
      <w:r w:rsidRPr="00BE232D">
        <w:t xml:space="preserve"> records with negative costs were not picked up through the process.</w:t>
      </w:r>
    </w:p>
    <w:p w14:paraId="096E741D" w14:textId="3CC8F723" w:rsidR="00866CC9" w:rsidRPr="00BE232D" w:rsidRDefault="00866CC9" w:rsidP="008726A3">
      <w:r w:rsidRPr="00866CC9">
        <w:t xml:space="preserve">The AHPCS v4.2 Business Rule 6.0A indicates that negative costs are seen as an error in the costing process. While there may be legitimate reasons for negative values to arise in the </w:t>
      </w:r>
      <w:r w:rsidR="002B58A7">
        <w:t>GL</w:t>
      </w:r>
      <w:r w:rsidRPr="00866CC9">
        <w:t xml:space="preserve"> as inputs into the costing process, practitioners should try</w:t>
      </w:r>
      <w:r w:rsidR="00697642">
        <w:t xml:space="preserve"> to</w:t>
      </w:r>
      <w:r w:rsidRPr="00866CC9">
        <w:t xml:space="preserve"> identify and address negative components in costing ledgers as it is generally accepted that there cannot be negative costs in the cost of production. The </w:t>
      </w:r>
      <w:r w:rsidR="002B58A7">
        <w:t>AHPCS</w:t>
      </w:r>
      <w:r w:rsidRPr="00866CC9">
        <w:t xml:space="preserve"> provide guidance to costing practitioners to address negative costs through cost allocation processes wherever possible</w:t>
      </w:r>
      <w:r>
        <w:t xml:space="preserve">. </w:t>
      </w:r>
      <w:r w:rsidRPr="00866CC9" w:rsidDel="00866CC9">
        <w:t xml:space="preserve"> </w:t>
      </w:r>
    </w:p>
    <w:p w14:paraId="117B190E" w14:textId="2042089C" w:rsidR="008726A3" w:rsidRPr="00BE232D" w:rsidRDefault="008726A3" w:rsidP="008726A3">
      <w:r w:rsidRPr="00BE232D">
        <w:t xml:space="preserve">Negative cost issues </w:t>
      </w:r>
      <w:r w:rsidR="00525D1C">
        <w:t>at the</w:t>
      </w:r>
      <w:r w:rsidRPr="00BE232D">
        <w:t xml:space="preserve"> line</w:t>
      </w:r>
      <w:r w:rsidR="00491993" w:rsidRPr="00BE232D">
        <w:t xml:space="preserve"> </w:t>
      </w:r>
      <w:r w:rsidRPr="00BE232D">
        <w:t xml:space="preserve">item level, were identified across </w:t>
      </w:r>
      <w:r w:rsidR="00D82602">
        <w:t>3</w:t>
      </w:r>
      <w:r w:rsidR="00D82602" w:rsidRPr="00BE232D">
        <w:t xml:space="preserve"> </w:t>
      </w:r>
      <w:r w:rsidRPr="00BE232D">
        <w:t>jurisdictions</w:t>
      </w:r>
      <w:r w:rsidR="0029212C">
        <w:t xml:space="preserve"> </w:t>
      </w:r>
      <w:r w:rsidRPr="00BE232D">
        <w:t>at a total cost of $</w:t>
      </w:r>
      <w:r w:rsidR="008E3673" w:rsidRPr="00EE51DA">
        <w:t>28.47</w:t>
      </w:r>
      <w:r w:rsidR="00EE51DA">
        <w:t xml:space="preserve"> </w:t>
      </w:r>
      <w:r w:rsidRPr="00EE51DA">
        <w:t>m</w:t>
      </w:r>
      <w:r w:rsidR="00EE51DA">
        <w:t>illion</w:t>
      </w:r>
      <w:r w:rsidRPr="00AC7DAE">
        <w:t>.</w:t>
      </w:r>
      <w:r w:rsidRPr="00BE232D">
        <w:t xml:space="preserve"> While this amount is negligible in aggregate, representing 0.</w:t>
      </w:r>
      <w:r w:rsidR="008E3673" w:rsidRPr="00EE51DA">
        <w:t>04</w:t>
      </w:r>
      <w:r w:rsidRPr="00BE232D">
        <w:t>% of submitted costs, it has the potential to distort patient-level costing and impact comparability across sites.</w:t>
      </w:r>
    </w:p>
    <w:p w14:paraId="3B45E89D" w14:textId="436CD349" w:rsidR="002C54CB" w:rsidRDefault="008726A3" w:rsidP="008726A3">
      <w:pPr>
        <w:spacing w:after="0"/>
      </w:pPr>
      <w:r w:rsidRPr="00BE232D">
        <w:t>This variation in handling may impact data completeness, comparability, and transparency across jurisdictions, and highlights the need for clear guidance or system enhancements to support consistent treatment of negative cost records in future submissions.</w:t>
      </w:r>
    </w:p>
    <w:p w14:paraId="495D237C" w14:textId="77777777" w:rsidR="00043B4C" w:rsidRPr="00BE232D" w:rsidRDefault="00043B4C" w:rsidP="008726A3">
      <w:pPr>
        <w:spacing w:after="0"/>
      </w:pPr>
    </w:p>
    <w:p w14:paraId="4A910C13" w14:textId="69E01103" w:rsidR="00B363B3" w:rsidRPr="00085389" w:rsidRDefault="00B363B3" w:rsidP="00EC0C63">
      <w:bookmarkStart w:id="34" w:name="_Ref209508847"/>
      <w:r w:rsidRPr="00EC0C63">
        <w:rPr>
          <w:u w:val="single"/>
        </w:rPr>
        <w:t xml:space="preserve">Finding </w:t>
      </w:r>
      <w:r w:rsidR="008E0DAC" w:rsidRPr="00EC0C63">
        <w:rPr>
          <w:u w:val="single"/>
        </w:rPr>
        <w:t>4</w:t>
      </w:r>
      <w:r w:rsidRPr="00EC0C63">
        <w:rPr>
          <w:u w:val="single"/>
        </w:rPr>
        <w:t>.3</w:t>
      </w:r>
      <w:r w:rsidR="00C91BCB" w:rsidRPr="00EC0C63">
        <w:rPr>
          <w:u w:val="single"/>
        </w:rPr>
        <w:t>:</w:t>
      </w:r>
      <w:r w:rsidRPr="00EC0C63">
        <w:rPr>
          <w:u w:val="single"/>
        </w:rPr>
        <w:t xml:space="preserve"> </w:t>
      </w:r>
      <w:r w:rsidR="00BF3BC6" w:rsidRPr="00EC0C63">
        <w:rPr>
          <w:u w:val="single"/>
        </w:rPr>
        <w:t>There is variation in the costs included in the Oncost line</w:t>
      </w:r>
      <w:r w:rsidR="00491993" w:rsidRPr="00EC0C63">
        <w:rPr>
          <w:u w:val="single"/>
        </w:rPr>
        <w:t xml:space="preserve"> </w:t>
      </w:r>
      <w:r w:rsidR="00BF3BC6" w:rsidRPr="00EC0C63">
        <w:rPr>
          <w:u w:val="single"/>
        </w:rPr>
        <w:t>item</w:t>
      </w:r>
      <w:bookmarkEnd w:id="34"/>
    </w:p>
    <w:p w14:paraId="6D30EC19" w14:textId="04BDBC7B" w:rsidR="00BC1752" w:rsidRPr="00717B97" w:rsidRDefault="00BC1752" w:rsidP="00BC1752">
      <w:r w:rsidRPr="00717B97">
        <w:t xml:space="preserve">The current </w:t>
      </w:r>
      <w:r w:rsidR="00D13F55">
        <w:t>AHPCS</w:t>
      </w:r>
      <w:r w:rsidRPr="00717B97" w:rsidDel="00D13F55">
        <w:t xml:space="preserve"> </w:t>
      </w:r>
      <w:r w:rsidR="00244AB1">
        <w:t xml:space="preserve">v4.2 </w:t>
      </w:r>
      <w:r w:rsidR="00D13F55">
        <w:t xml:space="preserve">does </w:t>
      </w:r>
      <w:r w:rsidRPr="00717B97">
        <w:t xml:space="preserve">not explicitly define which costs should be mapped to the </w:t>
      </w:r>
      <w:r w:rsidRPr="00717B97">
        <w:rPr>
          <w:i/>
        </w:rPr>
        <w:t>Oncost</w:t>
      </w:r>
      <w:r w:rsidRPr="00717B97">
        <w:t xml:space="preserve"> category. While IHACPA has advised jurisdictions that </w:t>
      </w:r>
      <w:r w:rsidRPr="00717B97">
        <w:rPr>
          <w:i/>
        </w:rPr>
        <w:t>Oncost</w:t>
      </w:r>
      <w:r w:rsidRPr="00717B97">
        <w:t xml:space="preserve"> </w:t>
      </w:r>
      <w:r>
        <w:t>is defined as</w:t>
      </w:r>
      <w:r w:rsidRPr="00717B97">
        <w:t xml:space="preserve"> long service leave, superannuation, payroll tax, fringe benefits tax, workers compensation payments (excluding premiums classified as </w:t>
      </w:r>
      <w:r w:rsidRPr="00843FAD">
        <w:rPr>
          <w:i/>
        </w:rPr>
        <w:t xml:space="preserve">Goods </w:t>
      </w:r>
      <w:r w:rsidR="000107BD">
        <w:rPr>
          <w:i/>
        </w:rPr>
        <w:t>&amp;</w:t>
      </w:r>
      <w:r w:rsidRPr="00843FAD">
        <w:rPr>
          <w:i/>
        </w:rPr>
        <w:t xml:space="preserve"> Services</w:t>
      </w:r>
      <w:r w:rsidRPr="00717B97">
        <w:t xml:space="preserve">), and redundancy payments, its preference is for these costs to be allocated to the relevant </w:t>
      </w:r>
      <w:r w:rsidR="00670A1C">
        <w:rPr>
          <w:i/>
          <w:iCs/>
        </w:rPr>
        <w:t>S&amp;W</w:t>
      </w:r>
      <w:r w:rsidRPr="00717B97">
        <w:t xml:space="preserve"> line item wherever feasible.</w:t>
      </w:r>
    </w:p>
    <w:p w14:paraId="79DA663C" w14:textId="71C021DA" w:rsidR="00B363B3" w:rsidRDefault="00BC1752" w:rsidP="00BC1752">
      <w:pPr>
        <w:spacing w:after="0"/>
      </w:pPr>
      <w:r w:rsidRPr="00717B97">
        <w:t xml:space="preserve">In 2023–24, </w:t>
      </w:r>
      <w:r w:rsidRPr="009B5F1F">
        <w:rPr>
          <w:i/>
        </w:rPr>
        <w:t>Oncost</w:t>
      </w:r>
      <w:r w:rsidRPr="00717B97">
        <w:t xml:space="preserve"> has emerged as a high-growth line item, increasing by </w:t>
      </w:r>
      <w:r w:rsidR="00754155">
        <w:t>23.8</w:t>
      </w:r>
      <w:r w:rsidRPr="00717B97">
        <w:t>% nationally</w:t>
      </w:r>
      <w:r w:rsidR="00CD7B7F">
        <w:t xml:space="preserve"> from the prior year</w:t>
      </w:r>
      <w:r w:rsidRPr="00717B97">
        <w:t xml:space="preserve">. Its proportion </w:t>
      </w:r>
      <w:r w:rsidR="00CC6C86">
        <w:t>relative to total</w:t>
      </w:r>
      <w:r w:rsidRPr="00717B97">
        <w:t xml:space="preserve"> submitted costs varies significantly across jurisdictions, ranging from </w:t>
      </w:r>
      <w:r w:rsidR="009D795B">
        <w:t>7</w:t>
      </w:r>
      <w:r w:rsidR="007844A6">
        <w:t>.1</w:t>
      </w:r>
      <w:r w:rsidRPr="00717B97">
        <w:t xml:space="preserve">% </w:t>
      </w:r>
      <w:r w:rsidR="007844A6">
        <w:t>(</w:t>
      </w:r>
      <w:r w:rsidR="00B33D4A">
        <w:t>Queensland</w:t>
      </w:r>
      <w:r w:rsidR="007844A6">
        <w:t>)</w:t>
      </w:r>
      <w:r w:rsidRPr="00717B97">
        <w:t xml:space="preserve"> to </w:t>
      </w:r>
      <w:r w:rsidR="00D337ED">
        <w:t>14.4</w:t>
      </w:r>
      <w:r w:rsidRPr="00717B97">
        <w:t>%</w:t>
      </w:r>
      <w:r w:rsidR="00D337ED">
        <w:t xml:space="preserve"> (Vic), and averages </w:t>
      </w:r>
      <w:r w:rsidR="004B7520">
        <w:t xml:space="preserve">9.7% across the 5 </w:t>
      </w:r>
      <w:r w:rsidR="00F705F5">
        <w:t xml:space="preserve">fully </w:t>
      </w:r>
      <w:r w:rsidR="004B7520">
        <w:t>participating jurisdictions</w:t>
      </w:r>
      <w:r w:rsidRPr="00717B97">
        <w:t>. This variability highlights the need for clearer guidance and consistent application, particularly to support accurate workforce cost comparisons.</w:t>
      </w:r>
    </w:p>
    <w:p w14:paraId="22AF7784" w14:textId="6DECFEBC" w:rsidR="004B0DC8" w:rsidRDefault="004B0DC8" w:rsidP="004B0DC8">
      <w:pPr>
        <w:pStyle w:val="Heading2"/>
      </w:pPr>
      <w:r>
        <w:t>Future IFRs</w:t>
      </w:r>
    </w:p>
    <w:p w14:paraId="53F6B5F7" w14:textId="34889093" w:rsidR="001F26F7" w:rsidRPr="00BB3A5C" w:rsidRDefault="007810AA" w:rsidP="00BB3A5C">
      <w:pPr>
        <w:rPr>
          <w:iCs/>
        </w:rPr>
      </w:pPr>
      <w:r>
        <w:rPr>
          <w:iCs/>
        </w:rPr>
        <w:t>T</w:t>
      </w:r>
      <w:r w:rsidR="001F26F7" w:rsidRPr="00BB3A5C">
        <w:rPr>
          <w:iCs/>
        </w:rPr>
        <w:t>he costing landscape across Australia has undergone significant change</w:t>
      </w:r>
      <w:r>
        <w:rPr>
          <w:iCs/>
        </w:rPr>
        <w:t xml:space="preserve"> since the last time the IFR was delivered in its full format in 2021-22</w:t>
      </w:r>
      <w:r w:rsidR="001F26F7" w:rsidRPr="00BB3A5C">
        <w:rPr>
          <w:iCs/>
        </w:rPr>
        <w:t>, including the introduction of new classifications such as community mental health, disruptions to frontline hospital services due to COVID-19, shifts in the costing workforce, and the rollout of new costing and activity systems across multiple jurisdictions.</w:t>
      </w:r>
    </w:p>
    <w:p w14:paraId="2F6CE8F0" w14:textId="18E55A4C" w:rsidR="001F26F7" w:rsidRPr="00BB3A5C" w:rsidRDefault="001F26F7" w:rsidP="00BB3A5C">
      <w:pPr>
        <w:rPr>
          <w:iCs/>
        </w:rPr>
      </w:pPr>
      <w:r w:rsidRPr="00BB3A5C">
        <w:rPr>
          <w:iCs/>
        </w:rPr>
        <w:t xml:space="preserve">Participants consistently highlighted the value of the IFR, particularly the benefits of peer collaboration, </w:t>
      </w:r>
      <w:r w:rsidR="00A30ABF">
        <w:rPr>
          <w:iCs/>
        </w:rPr>
        <w:t>remaining</w:t>
      </w:r>
      <w:r w:rsidRPr="00BB3A5C">
        <w:rPr>
          <w:iCs/>
        </w:rPr>
        <w:t xml:space="preserve"> a key strength of the process</w:t>
      </w:r>
      <w:r w:rsidR="00367443">
        <w:rPr>
          <w:iCs/>
        </w:rPr>
        <w:t xml:space="preserve">, and the insights from the </w:t>
      </w:r>
      <w:r w:rsidR="00A02688">
        <w:rPr>
          <w:iCs/>
        </w:rPr>
        <w:t>focused</w:t>
      </w:r>
      <w:r w:rsidR="00367443">
        <w:rPr>
          <w:iCs/>
        </w:rPr>
        <w:t xml:space="preserve"> review area</w:t>
      </w:r>
      <w:r w:rsidRPr="00BB3A5C">
        <w:rPr>
          <w:iCs/>
        </w:rPr>
        <w:t xml:space="preserve">. There was also recognition of opportunities to optimise the timing of the NHCDC, and several </w:t>
      </w:r>
      <w:r w:rsidRPr="00BB3A5C">
        <w:rPr>
          <w:iCs/>
        </w:rPr>
        <w:lastRenderedPageBreak/>
        <w:t xml:space="preserve">areas have been identified for improvement in future rounds to further enhance the process and outcomes. </w:t>
      </w:r>
    </w:p>
    <w:p w14:paraId="481DD2DD" w14:textId="2C026D73" w:rsidR="001B4B87" w:rsidRPr="00BF396D" w:rsidRDefault="00CB6D73" w:rsidP="00BB3A5C">
      <w:pPr>
        <w:rPr>
          <w:iCs/>
        </w:rPr>
      </w:pPr>
      <w:r w:rsidRPr="00BB3A5C">
        <w:rPr>
          <w:iCs/>
        </w:rPr>
        <w:t xml:space="preserve">Jurisdictions reported significant value and insight from </w:t>
      </w:r>
      <w:r w:rsidR="00AF7027">
        <w:rPr>
          <w:iCs/>
        </w:rPr>
        <w:t>the</w:t>
      </w:r>
      <w:r w:rsidRPr="00BB3A5C">
        <w:rPr>
          <w:iCs/>
        </w:rPr>
        <w:t xml:space="preserve"> focused review</w:t>
      </w:r>
      <w:r w:rsidR="009737C4" w:rsidRPr="00BB3A5C">
        <w:rPr>
          <w:iCs/>
        </w:rPr>
        <w:t xml:space="preserve"> into critical care</w:t>
      </w:r>
      <w:r w:rsidRPr="00BB3A5C">
        <w:rPr>
          <w:iCs/>
        </w:rPr>
        <w:t xml:space="preserve">, and therefore it is recommended that future </w:t>
      </w:r>
      <w:r w:rsidR="0063067D">
        <w:rPr>
          <w:iCs/>
        </w:rPr>
        <w:t>focused reviews</w:t>
      </w:r>
      <w:r w:rsidRPr="00BB3A5C">
        <w:rPr>
          <w:iCs/>
        </w:rPr>
        <w:t xml:space="preserve"> into costing methodologies are conducted in following </w:t>
      </w:r>
      <w:r w:rsidR="009737C4" w:rsidRPr="00BB3A5C">
        <w:rPr>
          <w:iCs/>
        </w:rPr>
        <w:t>IFRs</w:t>
      </w:r>
      <w:r w:rsidRPr="00BB3A5C">
        <w:rPr>
          <w:iCs/>
        </w:rPr>
        <w:t xml:space="preserve"> to continue to evolve costing practices. Potential topics for consideration that were proposed by participants include: community mental health costing, virtual care, </w:t>
      </w:r>
      <w:r w:rsidR="00AE35D1" w:rsidRPr="00BB3A5C">
        <w:rPr>
          <w:iCs/>
        </w:rPr>
        <w:t xml:space="preserve">Teaching, </w:t>
      </w:r>
      <w:r w:rsidR="00200068" w:rsidRPr="00BB3A5C">
        <w:rPr>
          <w:iCs/>
        </w:rPr>
        <w:t>T</w:t>
      </w:r>
      <w:r w:rsidR="00AE35D1" w:rsidRPr="00BB3A5C">
        <w:rPr>
          <w:iCs/>
        </w:rPr>
        <w:t>raining and Research</w:t>
      </w:r>
      <w:r w:rsidR="00200068" w:rsidRPr="00BB3A5C">
        <w:rPr>
          <w:iCs/>
        </w:rPr>
        <w:t xml:space="preserve"> (TTR), contracted care, corporate costs and direct versus overhead costs.</w:t>
      </w:r>
    </w:p>
    <w:p w14:paraId="16C6F4DB" w14:textId="05AB6FC1" w:rsidR="002703F5" w:rsidRDefault="002703F5" w:rsidP="002703F5">
      <w:pPr>
        <w:pStyle w:val="Heading2"/>
      </w:pPr>
      <w:r>
        <w:t>Comparability between jurisdictions</w:t>
      </w:r>
    </w:p>
    <w:p w14:paraId="4A5E4CB4" w14:textId="5820DB9C" w:rsidR="00EB684C" w:rsidRPr="00EB684C" w:rsidRDefault="00BF3BC6" w:rsidP="00EB684C">
      <w:r>
        <w:t>Different</w:t>
      </w:r>
      <w:r w:rsidR="00EB684C" w:rsidRPr="008125C4">
        <w:t xml:space="preserve"> interpretations of costing guidance and local operational decision</w:t>
      </w:r>
      <w:r>
        <w:t>-making</w:t>
      </w:r>
      <w:r w:rsidR="00EB684C" w:rsidRPr="008125C4">
        <w:t xml:space="preserve"> can affect comparability </w:t>
      </w:r>
      <w:r>
        <w:t xml:space="preserve">of cost outputs </w:t>
      </w:r>
      <w:r w:rsidR="00EB684C" w:rsidRPr="008125C4">
        <w:t>across jurisdictions.</w:t>
      </w:r>
      <w:r w:rsidR="00EB684C">
        <w:t xml:space="preserve"> Some of the differences identified</w:t>
      </w:r>
      <w:r>
        <w:t xml:space="preserve"> through the course of the IFR</w:t>
      </w:r>
      <w:r w:rsidR="00EB684C">
        <w:t xml:space="preserve"> are shown below</w:t>
      </w:r>
      <w:r>
        <w:t>:</w:t>
      </w:r>
    </w:p>
    <w:p w14:paraId="418679E4" w14:textId="2431AB5C" w:rsidR="004D0CA5" w:rsidRDefault="004D0CA5" w:rsidP="004D0CA5">
      <w:pPr>
        <w:pStyle w:val="Caption"/>
        <w:keepNext/>
      </w:pPr>
      <w:r w:rsidRPr="003C28DB">
        <w:t xml:space="preserve">Table </w:t>
      </w:r>
      <w:r w:rsidRPr="003C28DB">
        <w:fldChar w:fldCharType="begin"/>
      </w:r>
      <w:r w:rsidRPr="003C28DB">
        <w:instrText xml:space="preserve"> SEQ Table \* ARABIC </w:instrText>
      </w:r>
      <w:r w:rsidRPr="003C28DB">
        <w:fldChar w:fldCharType="separate"/>
      </w:r>
      <w:r w:rsidR="00CE6F96">
        <w:rPr>
          <w:noProof/>
        </w:rPr>
        <w:t>6</w:t>
      </w:r>
      <w:r w:rsidRPr="003C28DB">
        <w:fldChar w:fldCharType="end"/>
      </w:r>
      <w:r w:rsidRPr="003C28DB">
        <w:t xml:space="preserve">: </w:t>
      </w:r>
      <w:r w:rsidR="004D7648">
        <w:t>Factors impacting comparability of NHCDC 2023-24 outputs across jurisdictions</w:t>
      </w:r>
    </w:p>
    <w:tbl>
      <w:tblPr>
        <w:tblStyle w:val="ScyneTable"/>
        <w:tblW w:w="5036" w:type="pct"/>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1407"/>
        <w:gridCol w:w="7684"/>
      </w:tblGrid>
      <w:tr w:rsidR="007B1AC6" w:rsidRPr="00D422F0" w14:paraId="33C2290E" w14:textId="77777777" w:rsidTr="004D0CA5">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774" w:type="pct"/>
            <w:vMerge w:val="restart"/>
            <w:shd w:val="clear" w:color="auto" w:fill="464E7E" w:themeFill="accent2"/>
            <w:vAlign w:val="center"/>
            <w:hideMark/>
          </w:tcPr>
          <w:p w14:paraId="0B3BD2A6" w14:textId="57EA80EB" w:rsidR="00B84C49" w:rsidRPr="00D422F0" w:rsidRDefault="00B84C49">
            <w:pPr>
              <w:pStyle w:val="TableNormalColumnHeading"/>
              <w:rPr>
                <w:rFonts w:asciiTheme="majorHAnsi" w:hAnsiTheme="majorHAnsi"/>
                <w:snapToGrid/>
                <w:sz w:val="20"/>
                <w:lang w:eastAsia="en-AU"/>
              </w:rPr>
            </w:pPr>
            <w:r>
              <w:rPr>
                <w:rFonts w:asciiTheme="majorHAnsi" w:hAnsiTheme="majorHAnsi"/>
                <w:sz w:val="20"/>
              </w:rPr>
              <w:t>Jurisdiction</w:t>
            </w:r>
          </w:p>
        </w:tc>
        <w:tc>
          <w:tcPr>
            <w:tcW w:w="4226" w:type="pct"/>
            <w:vMerge w:val="restart"/>
            <w:shd w:val="clear" w:color="auto" w:fill="464E7E" w:themeFill="accent2"/>
            <w:vAlign w:val="center"/>
            <w:hideMark/>
          </w:tcPr>
          <w:p w14:paraId="110CD132" w14:textId="08080A10" w:rsidR="00B84C49" w:rsidRPr="00D422F0" w:rsidRDefault="00ED004C">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z w:val="20"/>
              </w:rPr>
              <w:t>Factors impacting comparability of costing outputs across jurisdictions.</w:t>
            </w:r>
          </w:p>
        </w:tc>
      </w:tr>
      <w:tr w:rsidR="007B1AC6" w14:paraId="3C8380FD" w14:textId="77777777" w:rsidTr="004D0CA5">
        <w:trPr>
          <w:trHeight w:val="347"/>
        </w:trPr>
        <w:tc>
          <w:tcPr>
            <w:cnfStyle w:val="001000000000" w:firstRow="0" w:lastRow="0" w:firstColumn="1" w:lastColumn="0" w:oddVBand="0" w:evenVBand="0" w:oddHBand="0" w:evenHBand="0" w:firstRowFirstColumn="0" w:firstRowLastColumn="0" w:lastRowFirstColumn="0" w:lastRowLastColumn="0"/>
            <w:tcW w:w="774" w:type="pct"/>
            <w:vMerge/>
            <w:tcBorders>
              <w:bottom w:val="single" w:sz="18" w:space="0" w:color="EFF0F7" w:themeColor="accent4" w:themeTint="33"/>
            </w:tcBorders>
            <w:shd w:val="clear" w:color="auto" w:fill="464E7E" w:themeFill="accent2"/>
            <w:vAlign w:val="center"/>
          </w:tcPr>
          <w:p w14:paraId="3AADD946" w14:textId="77777777" w:rsidR="00B84C49" w:rsidRDefault="00B84C49">
            <w:pPr>
              <w:pStyle w:val="TableNormalColumnHeading"/>
              <w:rPr>
                <w:rFonts w:asciiTheme="majorHAnsi" w:hAnsiTheme="majorHAnsi"/>
                <w:sz w:val="20"/>
              </w:rPr>
            </w:pPr>
          </w:p>
        </w:tc>
        <w:tc>
          <w:tcPr>
            <w:tcW w:w="4226" w:type="pct"/>
            <w:vMerge/>
            <w:tcBorders>
              <w:bottom w:val="single" w:sz="18" w:space="0" w:color="EFF0F7" w:themeColor="accent4" w:themeTint="33"/>
            </w:tcBorders>
            <w:shd w:val="clear" w:color="auto" w:fill="464E7E" w:themeFill="accent2"/>
            <w:vAlign w:val="center"/>
          </w:tcPr>
          <w:p w14:paraId="3A752E71" w14:textId="77777777" w:rsidR="00B84C49" w:rsidRDefault="00B84C49">
            <w:pPr>
              <w:pStyle w:val="TableNormalColumnHeading"/>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tc>
      </w:tr>
      <w:tr w:rsidR="007B1AC6" w:rsidRPr="00D422F0" w14:paraId="62259BBB" w14:textId="77777777" w:rsidTr="004D0CA5">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BF83EE2" w14:textId="1DC62631" w:rsidR="00B84C49" w:rsidRPr="00FC6B54" w:rsidRDefault="00B84C49">
            <w:pPr>
              <w:spacing w:before="120" w:after="120"/>
            </w:pPr>
            <w:r>
              <w:rPr>
                <w:color w:val="484B5D"/>
              </w:rPr>
              <w:t>NSW</w:t>
            </w:r>
          </w:p>
        </w:tc>
        <w:tc>
          <w:tcPr>
            <w:tcW w:w="422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DD2172B" w14:textId="326A6D31" w:rsidR="00B84C49" w:rsidRDefault="00233ED7" w:rsidP="00B84C49">
            <w:pPr>
              <w:pStyle w:val="Tablebulletpoint"/>
              <w:cnfStyle w:val="000000000000" w:firstRow="0" w:lastRow="0" w:firstColumn="0" w:lastColumn="0" w:oddVBand="0" w:evenVBand="0" w:oddHBand="0" w:evenHBand="0" w:firstRowFirstColumn="0" w:firstRowLastColumn="0" w:lastRowFirstColumn="0" w:lastRowLastColumn="0"/>
            </w:pPr>
            <w:r>
              <w:t xml:space="preserve">Two NSW </w:t>
            </w:r>
            <w:r w:rsidR="00A468F4">
              <w:t>Local Health District (</w:t>
            </w:r>
            <w:r>
              <w:t>LHDs</w:t>
            </w:r>
            <w:r w:rsidR="00A468F4">
              <w:t>) –</w:t>
            </w:r>
            <w:r w:rsidR="00B84C49" w:rsidRPr="007D107D">
              <w:t xml:space="preserve"> Southern </w:t>
            </w:r>
            <w:r>
              <w:t xml:space="preserve">LHD </w:t>
            </w:r>
            <w:r w:rsidR="00B84C49" w:rsidRPr="007D107D">
              <w:t>and Murrumbidgee</w:t>
            </w:r>
            <w:r>
              <w:t xml:space="preserve"> LHD</w:t>
            </w:r>
            <w:r w:rsidR="00A468F4">
              <w:t>,</w:t>
            </w:r>
            <w:r w:rsidR="00B84C49">
              <w:t xml:space="preserve"> </w:t>
            </w:r>
            <w:r>
              <w:t>do</w:t>
            </w:r>
            <w:r w:rsidR="00B84C49">
              <w:t xml:space="preserve"> not have patient level feeder systems for pharmacy</w:t>
            </w:r>
            <w:r>
              <w:t xml:space="preserve"> and exclude these costs from submission as they are unable to link to patient level activity.</w:t>
            </w:r>
          </w:p>
          <w:p w14:paraId="2FCFC914" w14:textId="10251B60" w:rsidR="00B84C49" w:rsidRDefault="00B84C49" w:rsidP="00B84C49">
            <w:pPr>
              <w:pStyle w:val="Tablebulletpoint"/>
              <w:cnfStyle w:val="000000000000" w:firstRow="0" w:lastRow="0" w:firstColumn="0" w:lastColumn="0" w:oddVBand="0" w:evenVBand="0" w:oddHBand="0" w:evenHBand="0" w:firstRowFirstColumn="0" w:firstRowLastColumn="0" w:lastRowFirstColumn="0" w:lastRowLastColumn="0"/>
            </w:pPr>
            <w:r>
              <w:t xml:space="preserve">NSW reports </w:t>
            </w:r>
            <w:r w:rsidRPr="007D107D">
              <w:t xml:space="preserve">community mental health </w:t>
            </w:r>
            <w:r>
              <w:t>under a separate LH</w:t>
            </w:r>
            <w:r w:rsidR="00233ED7">
              <w:t>D</w:t>
            </w:r>
            <w:r>
              <w:t xml:space="preserve"> identified and transfers these costs from all other LH</w:t>
            </w:r>
            <w:r w:rsidR="00233ED7">
              <w:t>D</w:t>
            </w:r>
            <w:r>
              <w:t>s for reporting purposes</w:t>
            </w:r>
            <w:r w:rsidR="009852FD">
              <w:t>.</w:t>
            </w:r>
          </w:p>
          <w:p w14:paraId="5161D2DD" w14:textId="49681FBF" w:rsidR="00B84C49" w:rsidRDefault="00B84C49" w:rsidP="00B84C49">
            <w:pPr>
              <w:pStyle w:val="Tablebulletpoint"/>
              <w:cnfStyle w:val="000000000000" w:firstRow="0" w:lastRow="0" w:firstColumn="0" w:lastColumn="0" w:oddVBand="0" w:evenVBand="0" w:oddHBand="0" w:evenHBand="0" w:firstRowFirstColumn="0" w:firstRowLastColumn="0" w:lastRowFirstColumn="0" w:lastRowLastColumn="0"/>
            </w:pPr>
            <w:r>
              <w:t xml:space="preserve">NSW refined local </w:t>
            </w:r>
            <w:r w:rsidRPr="003426A4">
              <w:rPr>
                <w:i/>
                <w:iCs/>
              </w:rPr>
              <w:t>Oncost</w:t>
            </w:r>
            <w:r w:rsidRPr="007D107D">
              <w:t xml:space="preserve"> definitions to include long service leave, tax, and incentive payments</w:t>
            </w:r>
            <w:r w:rsidR="00B9588C">
              <w:t xml:space="preserve">, </w:t>
            </w:r>
            <w:r w:rsidRPr="007D107D">
              <w:t xml:space="preserve">resulting in a shift from </w:t>
            </w:r>
            <w:r w:rsidR="00670A1C">
              <w:rPr>
                <w:i/>
                <w:iCs/>
              </w:rPr>
              <w:t>S&amp;W</w:t>
            </w:r>
            <w:r w:rsidRPr="007D107D">
              <w:t xml:space="preserve"> to </w:t>
            </w:r>
            <w:r w:rsidRPr="00B9588C">
              <w:rPr>
                <w:i/>
                <w:iCs/>
              </w:rPr>
              <w:t>Oncost</w:t>
            </w:r>
            <w:r>
              <w:t xml:space="preserve"> in 2023-24.</w:t>
            </w:r>
          </w:p>
          <w:p w14:paraId="30E356E1" w14:textId="161EDD97" w:rsidR="00B84C49" w:rsidRDefault="00B84C49" w:rsidP="00B84C49">
            <w:pPr>
              <w:pStyle w:val="Tablebulletpoint"/>
              <w:cnfStyle w:val="000000000000" w:firstRow="0" w:lastRow="0" w:firstColumn="0" w:lastColumn="0" w:oddVBand="0" w:evenVBand="0" w:oddHBand="0" w:evenHBand="0" w:firstRowFirstColumn="0" w:firstRowLastColumn="0" w:lastRowFirstColumn="0" w:lastRowLastColumn="0"/>
            </w:pPr>
            <w:r>
              <w:t>NSW does not submit costs for Northen Beaches Hospital (</w:t>
            </w:r>
            <w:r w:rsidR="00233ED7">
              <w:t>PPP)</w:t>
            </w:r>
            <w:r w:rsidR="0099355E">
              <w:t>.</w:t>
            </w:r>
          </w:p>
          <w:p w14:paraId="1D9116D5" w14:textId="39EF605B" w:rsidR="00B84C49" w:rsidRPr="00B84C49" w:rsidRDefault="00B84C49" w:rsidP="00B84C49">
            <w:pPr>
              <w:pStyle w:val="Tablebulletpoint"/>
              <w:cnfStyle w:val="000000000000" w:firstRow="0" w:lastRow="0" w:firstColumn="0" w:lastColumn="0" w:oddVBand="0" w:evenVBand="0" w:oddHBand="0" w:evenHBand="0" w:firstRowFirstColumn="0" w:firstRowLastColumn="0" w:lastRowFirstColumn="0" w:lastRowLastColumn="0"/>
            </w:pPr>
            <w:r>
              <w:t xml:space="preserve">NSW is one of </w:t>
            </w:r>
            <w:r w:rsidR="003534B6">
              <w:t>2</w:t>
            </w:r>
            <w:r>
              <w:t xml:space="preserve"> jurisdictions that are not signatories to Pharmaceutical Reform Agreement and do not have the same arrangements relating to </w:t>
            </w:r>
            <w:r w:rsidR="00285031">
              <w:t>Pharmaceutical Benefits Scheme (</w:t>
            </w:r>
            <w:r>
              <w:t>PBS</w:t>
            </w:r>
            <w:r w:rsidR="00285031">
              <w:t>)</w:t>
            </w:r>
            <w:r>
              <w:t xml:space="preserve"> subsidised </w:t>
            </w:r>
            <w:r w:rsidR="00233ED7">
              <w:t>drugs.</w:t>
            </w:r>
            <w:r w:rsidRPr="000F7CF2">
              <w:t xml:space="preserve"> </w:t>
            </w:r>
          </w:p>
        </w:tc>
      </w:tr>
      <w:tr w:rsidR="007B1AC6" w:rsidRPr="00D422F0" w14:paraId="7E7CB0D5" w14:textId="77777777" w:rsidTr="004D0CA5">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7D4312B" w14:textId="4B1D9498" w:rsidR="00B84C49" w:rsidRPr="00D422F0" w:rsidRDefault="00B84C49">
            <w:pPr>
              <w:spacing w:before="120" w:after="120"/>
            </w:pPr>
            <w:r>
              <w:rPr>
                <w:color w:val="484B5D"/>
              </w:rPr>
              <w:t>Vic</w:t>
            </w:r>
            <w:r w:rsidR="000546DF">
              <w:rPr>
                <w:color w:val="484B5D"/>
              </w:rPr>
              <w:t>toria</w:t>
            </w:r>
          </w:p>
        </w:tc>
        <w:tc>
          <w:tcPr>
            <w:tcW w:w="422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B959138" w14:textId="77777777" w:rsidR="00B84C49" w:rsidRDefault="00B9588C" w:rsidP="00B9588C">
            <w:pPr>
              <w:pStyle w:val="Tablebulletpoint"/>
              <w:cnfStyle w:val="000000000000" w:firstRow="0" w:lastRow="0" w:firstColumn="0" w:lastColumn="0" w:oddVBand="0" w:evenVBand="0" w:oddHBand="0" w:evenHBand="0" w:firstRowFirstColumn="0" w:firstRowLastColumn="0" w:lastRowFirstColumn="0" w:lastRowLastColumn="0"/>
            </w:pPr>
            <w:r w:rsidRPr="00B9588C">
              <w:t xml:space="preserve">Depreciation costs are excluded from </w:t>
            </w:r>
            <w:r w:rsidR="007F7510">
              <w:t>Vic</w:t>
            </w:r>
            <w:r>
              <w:t xml:space="preserve">’s </w:t>
            </w:r>
            <w:r w:rsidRPr="00B9588C">
              <w:t>submission.</w:t>
            </w:r>
          </w:p>
          <w:p w14:paraId="41A6CF36" w14:textId="1D84F12D" w:rsidR="00281C44" w:rsidRDefault="00281C44" w:rsidP="00281C44">
            <w:pPr>
              <w:pStyle w:val="Tablebulletpoint"/>
              <w:cnfStyle w:val="000000000000" w:firstRow="0" w:lastRow="0" w:firstColumn="0" w:lastColumn="0" w:oddVBand="0" w:evenVBand="0" w:oddHBand="0" w:evenHBand="0" w:firstRowFirstColumn="0" w:firstRowLastColumn="0" w:lastRowFirstColumn="0" w:lastRowLastColumn="0"/>
            </w:pPr>
            <w:r>
              <w:t>TTR are excluded from patient level cost allocations unless directly relating to patient care. An example of TTR costs included is training expenses for the rollout of the Electronic Medical Record (eMR).</w:t>
            </w:r>
          </w:p>
          <w:p w14:paraId="37682CC6" w14:textId="77777777" w:rsidR="00281C44" w:rsidRDefault="00281C44" w:rsidP="00281C44">
            <w:pPr>
              <w:pStyle w:val="Tablebulletpoint"/>
              <w:cnfStyle w:val="000000000000" w:firstRow="0" w:lastRow="0" w:firstColumn="0" w:lastColumn="0" w:oddVBand="0" w:evenVBand="0" w:oddHBand="0" w:evenHBand="0" w:firstRowFirstColumn="0" w:firstRowLastColumn="0" w:lastRowFirstColumn="0" w:lastRowLastColumn="0"/>
            </w:pPr>
            <w:r>
              <w:t>Posthumous organ donation expenses are excluded.</w:t>
            </w:r>
          </w:p>
          <w:p w14:paraId="026F2F78" w14:textId="7A97E50C" w:rsidR="00281C44" w:rsidRPr="00D422F0" w:rsidRDefault="00281C44" w:rsidP="00281C44">
            <w:pPr>
              <w:pStyle w:val="Tablebulletpoint"/>
              <w:cnfStyle w:val="000000000000" w:firstRow="0" w:lastRow="0" w:firstColumn="0" w:lastColumn="0" w:oddVBand="0" w:evenVBand="0" w:oddHBand="0" w:evenHBand="0" w:firstRowFirstColumn="0" w:firstRowLastColumn="0" w:lastRowFirstColumn="0" w:lastRowLastColumn="0"/>
            </w:pPr>
            <w:r>
              <w:t>Special purpose trust fund expenses are excluded</w:t>
            </w:r>
            <w:r w:rsidR="009852FD">
              <w:t>.</w:t>
            </w:r>
          </w:p>
        </w:tc>
      </w:tr>
      <w:tr w:rsidR="007B1AC6" w:rsidRPr="00D422F0" w14:paraId="57C1F277" w14:textId="77777777" w:rsidTr="004D0CA5">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4F8D81E" w14:textId="0F205BA7" w:rsidR="00B84C49" w:rsidRDefault="00B33D4A">
            <w:pPr>
              <w:spacing w:before="120" w:after="120"/>
              <w:rPr>
                <w:color w:val="484B5D"/>
              </w:rPr>
            </w:pPr>
            <w:r>
              <w:rPr>
                <w:color w:val="484B5D"/>
              </w:rPr>
              <w:t>Queensland</w:t>
            </w:r>
          </w:p>
        </w:tc>
        <w:tc>
          <w:tcPr>
            <w:tcW w:w="422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1855372" w14:textId="3A96BF60" w:rsidR="00281C44" w:rsidRPr="003632F2" w:rsidRDefault="00B33D4A" w:rsidP="003C28DB">
            <w:pPr>
              <w:pStyle w:val="Tablebulletpoint"/>
              <w:cnfStyle w:val="000000000000" w:firstRow="0" w:lastRow="0" w:firstColumn="0" w:lastColumn="0" w:oddVBand="0" w:evenVBand="0" w:oddHBand="0" w:evenHBand="0" w:firstRowFirstColumn="0" w:firstRowLastColumn="0" w:lastRowFirstColumn="0" w:lastRowLastColumn="0"/>
            </w:pPr>
            <w:r>
              <w:t>Queensland</w:t>
            </w:r>
            <w:r w:rsidR="00281C44" w:rsidRPr="003632F2">
              <w:t xml:space="preserve"> includes redundancy, </w:t>
            </w:r>
            <w:r w:rsidR="005310D4" w:rsidRPr="003632F2">
              <w:t>Workcover</w:t>
            </w:r>
            <w:r w:rsidR="00281C44" w:rsidRPr="003632F2">
              <w:t xml:space="preserve">, superannuation in the </w:t>
            </w:r>
            <w:r w:rsidR="00281C44" w:rsidRPr="002A2BB9">
              <w:rPr>
                <w:i/>
                <w:iCs/>
              </w:rPr>
              <w:t>Oncost</w:t>
            </w:r>
            <w:r w:rsidR="00281C44" w:rsidRPr="003632F2">
              <w:t xml:space="preserve"> line item. Leave is recorded in the respective </w:t>
            </w:r>
            <w:r w:rsidR="00281C44" w:rsidRPr="002A2BB9">
              <w:rPr>
                <w:i/>
                <w:iCs/>
              </w:rPr>
              <w:t>S&amp;W</w:t>
            </w:r>
            <w:r w:rsidR="00281C44" w:rsidRPr="003632F2">
              <w:t xml:space="preserve"> line items.</w:t>
            </w:r>
          </w:p>
          <w:p w14:paraId="12DEEFBE" w14:textId="4306C6AC" w:rsidR="00281C44" w:rsidRPr="003632F2" w:rsidRDefault="00B33D4A" w:rsidP="003C28DB">
            <w:pPr>
              <w:pStyle w:val="Tablebulletpoint"/>
              <w:cnfStyle w:val="000000000000" w:firstRow="0" w:lastRow="0" w:firstColumn="0" w:lastColumn="0" w:oddVBand="0" w:evenVBand="0" w:oddHBand="0" w:evenHBand="0" w:firstRowFirstColumn="0" w:firstRowLastColumn="0" w:lastRowFirstColumn="0" w:lastRowLastColumn="0"/>
            </w:pPr>
            <w:r>
              <w:t>Queensland</w:t>
            </w:r>
            <w:r w:rsidR="00281C44" w:rsidRPr="003632F2">
              <w:t xml:space="preserve"> excludes TTR costs from their NHCDC submission. </w:t>
            </w:r>
          </w:p>
          <w:p w14:paraId="2987BF48" w14:textId="0B2940D8" w:rsidR="00B84C49" w:rsidRPr="003C28DB" w:rsidRDefault="00281C44" w:rsidP="003632F2">
            <w:pPr>
              <w:pStyle w:val="Tablebulletpoint"/>
              <w:cnfStyle w:val="000000000000" w:firstRow="0" w:lastRow="0" w:firstColumn="0" w:lastColumn="0" w:oddVBand="0" w:evenVBand="0" w:oddHBand="0" w:evenHBand="0" w:firstRowFirstColumn="0" w:firstRowLastColumn="0" w:lastRowFirstColumn="0" w:lastRowLastColumn="0"/>
            </w:pPr>
            <w:r w:rsidRPr="003632F2">
              <w:t>The payroll and account payable functions are provided to HSSs under a shared service arrangement</w:t>
            </w:r>
            <w:r w:rsidR="003632F2">
              <w:t xml:space="preserve"> with</w:t>
            </w:r>
            <w:r w:rsidRPr="003632F2">
              <w:t xml:space="preserve"> the cost of these services reported under the ‘exclude’ line item</w:t>
            </w:r>
            <w:r w:rsidR="003632F2">
              <w:t xml:space="preserve">, hence not included in the </w:t>
            </w:r>
            <w:r w:rsidR="0002483E">
              <w:t>costed output</w:t>
            </w:r>
            <w:r w:rsidRPr="003632F2">
              <w:t>.</w:t>
            </w:r>
          </w:p>
        </w:tc>
      </w:tr>
      <w:tr w:rsidR="007B1AC6" w:rsidRPr="00D422F0" w14:paraId="37899DE8" w14:textId="77777777" w:rsidTr="004D0CA5">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37BDEDF" w14:textId="141F93E8" w:rsidR="00B84C49" w:rsidRDefault="00B84C49">
            <w:pPr>
              <w:spacing w:before="120" w:after="120"/>
              <w:rPr>
                <w:color w:val="484B5D"/>
              </w:rPr>
            </w:pPr>
            <w:r>
              <w:rPr>
                <w:color w:val="484B5D"/>
              </w:rPr>
              <w:t>W</w:t>
            </w:r>
            <w:r w:rsidR="000546DF">
              <w:rPr>
                <w:color w:val="484B5D"/>
              </w:rPr>
              <w:t>estern Australia</w:t>
            </w:r>
          </w:p>
        </w:tc>
        <w:tc>
          <w:tcPr>
            <w:tcW w:w="422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150FBC2" w14:textId="47E5838C" w:rsidR="00B9588C" w:rsidRPr="003632F2" w:rsidRDefault="009852FD" w:rsidP="00B9588C">
            <w:pPr>
              <w:pStyle w:val="Tablebulletpoint"/>
              <w:cnfStyle w:val="000000000000" w:firstRow="0" w:lastRow="0" w:firstColumn="0" w:lastColumn="0" w:oddVBand="0" w:evenVBand="0" w:oddHBand="0" w:evenHBand="0" w:firstRowFirstColumn="0" w:firstRowLastColumn="0" w:lastRowFirstColumn="0" w:lastRowLastColumn="0"/>
            </w:pPr>
            <w:r>
              <w:t xml:space="preserve">Western Australia (WA) </w:t>
            </w:r>
            <w:r w:rsidR="00377BCA">
              <w:t>e</w:t>
            </w:r>
            <w:r w:rsidR="00B9588C" w:rsidRPr="003632F2">
              <w:t>xcludes blood products</w:t>
            </w:r>
            <w:r w:rsidR="0099355E">
              <w:t>.</w:t>
            </w:r>
          </w:p>
          <w:p w14:paraId="4AD73E75" w14:textId="7CBC679D" w:rsidR="00B9588C" w:rsidRPr="003632F2" w:rsidRDefault="009852FD" w:rsidP="00B9588C">
            <w:pPr>
              <w:pStyle w:val="Tablebulletpoint"/>
              <w:cnfStyle w:val="000000000000" w:firstRow="0" w:lastRow="0" w:firstColumn="0" w:lastColumn="0" w:oddVBand="0" w:evenVBand="0" w:oddHBand="0" w:evenHBand="0" w:firstRowFirstColumn="0" w:firstRowLastColumn="0" w:lastRowFirstColumn="0" w:lastRowLastColumn="0"/>
            </w:pPr>
            <w:r>
              <w:t>WA e</w:t>
            </w:r>
            <w:r w:rsidR="00B9588C" w:rsidRPr="003632F2">
              <w:t xml:space="preserve">xcludes costs relating to PPP at </w:t>
            </w:r>
            <w:r w:rsidRPr="0046606B">
              <w:t>Joondalup, Midland</w:t>
            </w:r>
            <w:r>
              <w:t>,</w:t>
            </w:r>
            <w:r w:rsidRPr="0046606B">
              <w:t xml:space="preserve"> and Peel </w:t>
            </w:r>
            <w:r>
              <w:t>h</w:t>
            </w:r>
            <w:r w:rsidRPr="0046606B">
              <w:t>ospitals</w:t>
            </w:r>
            <w:r w:rsidR="00B9588C" w:rsidRPr="003632F2">
              <w:t>.</w:t>
            </w:r>
          </w:p>
          <w:p w14:paraId="3E83E772" w14:textId="403FE0DF" w:rsidR="00B9588C" w:rsidRPr="003632F2" w:rsidRDefault="00B9588C" w:rsidP="00B9588C">
            <w:pPr>
              <w:pStyle w:val="Tablebulletpoint"/>
              <w:cnfStyle w:val="000000000000" w:firstRow="0" w:lastRow="0" w:firstColumn="0" w:lastColumn="0" w:oddVBand="0" w:evenVBand="0" w:oddHBand="0" w:evenHBand="0" w:firstRowFirstColumn="0" w:firstRowLastColumn="0" w:lastRowFirstColumn="0" w:lastRowLastColumn="0"/>
            </w:pPr>
            <w:r w:rsidRPr="003632F2">
              <w:t xml:space="preserve">WA records Assistant in Nursing (AIN) agency costs under </w:t>
            </w:r>
            <w:r w:rsidR="000546DF">
              <w:t xml:space="preserve">the </w:t>
            </w:r>
            <w:r w:rsidRPr="003632F2">
              <w:rPr>
                <w:i/>
                <w:iCs/>
              </w:rPr>
              <w:t>Hotel</w:t>
            </w:r>
            <w:r w:rsidRPr="003632F2">
              <w:t xml:space="preserve"> line</w:t>
            </w:r>
            <w:r w:rsidR="00491993" w:rsidRPr="003632F2">
              <w:t xml:space="preserve"> </w:t>
            </w:r>
            <w:r w:rsidRPr="003632F2">
              <w:t>item</w:t>
            </w:r>
            <w:r w:rsidR="0099355E">
              <w:t>.</w:t>
            </w:r>
          </w:p>
          <w:p w14:paraId="6552CB31" w14:textId="374DBFA7" w:rsidR="00B9588C" w:rsidRPr="003632F2" w:rsidRDefault="00B9588C" w:rsidP="00B9588C">
            <w:pPr>
              <w:pStyle w:val="Tablebulletpoint"/>
              <w:cnfStyle w:val="000000000000" w:firstRow="0" w:lastRow="0" w:firstColumn="0" w:lastColumn="0" w:oddVBand="0" w:evenVBand="0" w:oddHBand="0" w:evenHBand="0" w:firstRowFirstColumn="0" w:firstRowLastColumn="0" w:lastRowFirstColumn="0" w:lastRowLastColumn="0"/>
            </w:pPr>
            <w:r w:rsidRPr="003632F2">
              <w:lastRenderedPageBreak/>
              <w:t>WA reports mental health at the episode level</w:t>
            </w:r>
            <w:r w:rsidR="0099355E">
              <w:t>.</w:t>
            </w:r>
          </w:p>
          <w:p w14:paraId="1221D8DF" w14:textId="733145B5" w:rsidR="00B84C49" w:rsidRPr="003632F2" w:rsidRDefault="00B9588C" w:rsidP="00B9588C">
            <w:pPr>
              <w:pStyle w:val="Tablebulletpoint"/>
              <w:cnfStyle w:val="000000000000" w:firstRow="0" w:lastRow="0" w:firstColumn="0" w:lastColumn="0" w:oddVBand="0" w:evenVBand="0" w:oddHBand="0" w:evenHBand="0" w:firstRowFirstColumn="0" w:firstRowLastColumn="0" w:lastRowFirstColumn="0" w:lastRowLastColumn="0"/>
            </w:pPr>
            <w:r w:rsidRPr="003632F2">
              <w:t xml:space="preserve">WA does not submit Royal Flying Doctor retrieval costs </w:t>
            </w:r>
            <w:r w:rsidR="00193A09" w:rsidRPr="003632F2">
              <w:t>to the NHCDC</w:t>
            </w:r>
            <w:r w:rsidR="0099355E">
              <w:t>.</w:t>
            </w:r>
          </w:p>
        </w:tc>
      </w:tr>
      <w:tr w:rsidR="007B1AC6" w:rsidRPr="00D422F0" w14:paraId="4A6AA875" w14:textId="77777777" w:rsidTr="004D0CA5">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2AC7742" w14:textId="3CB97AE0" w:rsidR="00B84C49" w:rsidRPr="00233ED7" w:rsidRDefault="00B84C49">
            <w:pPr>
              <w:spacing w:before="120" w:after="120"/>
              <w:rPr>
                <w:color w:val="484B5D"/>
              </w:rPr>
            </w:pPr>
            <w:r w:rsidRPr="00233ED7">
              <w:rPr>
                <w:color w:val="484B5D"/>
              </w:rPr>
              <w:lastRenderedPageBreak/>
              <w:t>S</w:t>
            </w:r>
            <w:r w:rsidR="000546DF">
              <w:rPr>
                <w:color w:val="484B5D"/>
              </w:rPr>
              <w:t>outh Australia</w:t>
            </w:r>
          </w:p>
        </w:tc>
        <w:tc>
          <w:tcPr>
            <w:tcW w:w="422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AFC9014" w14:textId="57772353" w:rsidR="00B9588C" w:rsidRPr="00233ED7" w:rsidRDefault="00B9588C" w:rsidP="00B9588C">
            <w:pPr>
              <w:pStyle w:val="Tablebulletpoint"/>
              <w:cnfStyle w:val="000000000000" w:firstRow="0" w:lastRow="0" w:firstColumn="0" w:lastColumn="0" w:oddVBand="0" w:evenVBand="0" w:oddHBand="0" w:evenHBand="0" w:firstRowFirstColumn="0" w:firstRowLastColumn="0" w:lastRowFirstColumn="0" w:lastRowLastColumn="0"/>
            </w:pPr>
            <w:r w:rsidRPr="00233ED7">
              <w:t>S</w:t>
            </w:r>
            <w:r w:rsidR="000107BD">
              <w:t xml:space="preserve">outh </w:t>
            </w:r>
            <w:r w:rsidRPr="00233ED7">
              <w:t>A</w:t>
            </w:r>
            <w:r w:rsidR="000107BD">
              <w:t>ustralia (SA)</w:t>
            </w:r>
            <w:r w:rsidRPr="00233ED7">
              <w:t xml:space="preserve"> includes </w:t>
            </w:r>
            <w:r w:rsidR="00EC5C20">
              <w:t xml:space="preserve">Nursing </w:t>
            </w:r>
            <w:r w:rsidR="008E4886">
              <w:t>a</w:t>
            </w:r>
            <w:r w:rsidRPr="00233ED7">
              <w:t xml:space="preserve">gency costs under </w:t>
            </w:r>
            <w:r w:rsidRPr="00233ED7">
              <w:rPr>
                <w:i/>
                <w:iCs/>
              </w:rPr>
              <w:t>Goods &amp; Services</w:t>
            </w:r>
            <w:r w:rsidR="0099355E">
              <w:rPr>
                <w:i/>
                <w:iCs/>
              </w:rPr>
              <w:t>.</w:t>
            </w:r>
          </w:p>
          <w:p w14:paraId="6D6803E7" w14:textId="20662994" w:rsidR="00B84C49" w:rsidRPr="00233ED7" w:rsidRDefault="00B9588C" w:rsidP="00B9588C">
            <w:pPr>
              <w:pStyle w:val="Tablebulletpoint"/>
              <w:cnfStyle w:val="000000000000" w:firstRow="0" w:lastRow="0" w:firstColumn="0" w:lastColumn="0" w:oddVBand="0" w:evenVBand="0" w:oddHBand="0" w:evenHBand="0" w:firstRowFirstColumn="0" w:firstRowLastColumn="0" w:lastRowFirstColumn="0" w:lastRowLastColumn="0"/>
            </w:pPr>
            <w:r w:rsidRPr="00233ED7">
              <w:t xml:space="preserve">SA’s critical care units participating in the focused review, Flinders Medical Centre, has contracted care arrangements for ICU beds. The costs for these are arrangements are costed to the </w:t>
            </w:r>
            <w:r w:rsidRPr="00233ED7">
              <w:rPr>
                <w:i/>
                <w:iCs/>
              </w:rPr>
              <w:t>Goods &amp; Services</w:t>
            </w:r>
            <w:r w:rsidRPr="00233ED7">
              <w:t xml:space="preserve"> line</w:t>
            </w:r>
            <w:r w:rsidR="00491993">
              <w:t xml:space="preserve"> </w:t>
            </w:r>
            <w:r w:rsidRPr="00233ED7">
              <w:t>item.</w:t>
            </w:r>
            <w:r w:rsidR="00FF5ADE" w:rsidRPr="00233ED7">
              <w:t xml:space="preserve"> This may impact the make</w:t>
            </w:r>
            <w:r w:rsidR="0002483E">
              <w:t>-</w:t>
            </w:r>
            <w:r w:rsidR="00FF5ADE" w:rsidRPr="00233ED7">
              <w:t xml:space="preserve">up of costs within the </w:t>
            </w:r>
            <w:r w:rsidR="00FF5ADE" w:rsidRPr="00233ED7">
              <w:rPr>
                <w:i/>
                <w:iCs/>
              </w:rPr>
              <w:t xml:space="preserve">Critical </w:t>
            </w:r>
            <w:r w:rsidR="00FF5ADE" w:rsidRPr="000726B3">
              <w:t>NHCDC</w:t>
            </w:r>
            <w:r w:rsidR="00FF5ADE" w:rsidRPr="00233ED7">
              <w:rPr>
                <w:i/>
                <w:iCs/>
              </w:rPr>
              <w:t xml:space="preserve"> </w:t>
            </w:r>
            <w:r w:rsidR="00FF5ADE" w:rsidRPr="00233ED7">
              <w:t>Cost Centre Group.</w:t>
            </w:r>
          </w:p>
        </w:tc>
      </w:tr>
      <w:tr w:rsidR="007B1AC6" w:rsidRPr="00D422F0" w14:paraId="04DA8B7A" w14:textId="77777777" w:rsidTr="004D0CA5">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77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E3A3DE1" w14:textId="135559E5" w:rsidR="00233ED7" w:rsidRPr="00B9588C" w:rsidRDefault="00A6224F">
            <w:pPr>
              <w:spacing w:before="120" w:after="120"/>
              <w:rPr>
                <w:b w:val="0"/>
                <w:bCs/>
                <w:color w:val="484B5D"/>
              </w:rPr>
            </w:pPr>
            <w:r>
              <w:rPr>
                <w:b w:val="0"/>
                <w:bCs/>
                <w:color w:val="484B5D"/>
              </w:rPr>
              <w:t>Australian Capital Territory</w:t>
            </w:r>
          </w:p>
        </w:tc>
        <w:tc>
          <w:tcPr>
            <w:tcW w:w="422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B64CB5E" w14:textId="04D168F8" w:rsidR="00233ED7" w:rsidRPr="00233ED7" w:rsidRDefault="00A6224F" w:rsidP="00B9588C">
            <w:pPr>
              <w:pStyle w:val="Tablebulletpoint"/>
              <w:cnfStyle w:val="010000000000" w:firstRow="0" w:lastRow="1" w:firstColumn="0" w:lastColumn="0" w:oddVBand="0" w:evenVBand="0" w:oddHBand="0" w:evenHBand="0" w:firstRowFirstColumn="0" w:firstRowLastColumn="0" w:lastRowFirstColumn="0" w:lastRowLastColumn="0"/>
              <w:rPr>
                <w:b w:val="0"/>
              </w:rPr>
            </w:pPr>
            <w:r>
              <w:rPr>
                <w:b w:val="0"/>
              </w:rPr>
              <w:t>Australian Capital Territory (</w:t>
            </w:r>
            <w:r w:rsidR="00233ED7" w:rsidRPr="00233ED7">
              <w:rPr>
                <w:b w:val="0"/>
              </w:rPr>
              <w:t>ACT</w:t>
            </w:r>
            <w:r>
              <w:rPr>
                <w:b w:val="0"/>
              </w:rPr>
              <w:t>)</w:t>
            </w:r>
            <w:r w:rsidR="00233ED7" w:rsidRPr="00233ED7">
              <w:rPr>
                <w:b w:val="0"/>
              </w:rPr>
              <w:t xml:space="preserve"> is one of </w:t>
            </w:r>
            <w:r w:rsidR="003534B6">
              <w:rPr>
                <w:b w:val="0"/>
              </w:rPr>
              <w:t>2</w:t>
            </w:r>
            <w:r w:rsidR="00233ED7" w:rsidRPr="00233ED7">
              <w:rPr>
                <w:b w:val="0"/>
              </w:rPr>
              <w:t xml:space="preserve"> jurisdictions that are not signatories to Pharmaceutical Reform Agreement and do not have the same arrangements relating to PBS subsidised drugs.</w:t>
            </w:r>
          </w:p>
        </w:tc>
      </w:tr>
    </w:tbl>
    <w:p w14:paraId="5A50BC6E" w14:textId="77777777" w:rsidR="00824C3B" w:rsidRDefault="00824C3B" w:rsidP="00734DB3"/>
    <w:p w14:paraId="62E473AF" w14:textId="1F43E0B3" w:rsidR="00C561CE" w:rsidRDefault="001938FF" w:rsidP="00734DB3">
      <w:pPr>
        <w:pStyle w:val="Heading2"/>
      </w:pPr>
      <w:r>
        <w:t>Recommendations</w:t>
      </w:r>
    </w:p>
    <w:p w14:paraId="0506109D" w14:textId="1E89C471" w:rsidR="0002483E" w:rsidRPr="003C28DB" w:rsidRDefault="00246838" w:rsidP="003C28DB">
      <w:pPr>
        <w:rPr>
          <w:lang w:eastAsia="en-US"/>
        </w:rPr>
      </w:pPr>
      <w:r>
        <w:t>In light of the findings in this report, t</w:t>
      </w:r>
      <w:r w:rsidRPr="00366AC2">
        <w:t xml:space="preserve">he following recommendations are provided to support improvements in </w:t>
      </w:r>
      <w:r>
        <w:t>NHCDC</w:t>
      </w:r>
      <w:r w:rsidRPr="00366AC2">
        <w:t xml:space="preserve"> </w:t>
      </w:r>
      <w:r>
        <w:t>outputs</w:t>
      </w:r>
      <w:r w:rsidRPr="00366AC2">
        <w:t xml:space="preserve"> and consistency across jurisdictions. We acknowledge that other work is currently underway</w:t>
      </w:r>
      <w:r w:rsidR="0090487C">
        <w:t xml:space="preserve"> to review cost allocation methodologies</w:t>
      </w:r>
      <w:r w:rsidRPr="00366AC2">
        <w:t xml:space="preserve">, and it is important that these recommendations are considered in alignment with </w:t>
      </w:r>
      <w:r w:rsidR="00286079">
        <w:t>broader</w:t>
      </w:r>
      <w:r w:rsidR="00286079" w:rsidRPr="00366AC2">
        <w:t xml:space="preserve"> </w:t>
      </w:r>
      <w:r w:rsidRPr="00366AC2">
        <w:t>work before progressing to implementation</w:t>
      </w:r>
      <w:r>
        <w:t>.</w:t>
      </w:r>
    </w:p>
    <w:p w14:paraId="6629128C" w14:textId="450B7877" w:rsidR="00E2073B" w:rsidRPr="00425B79" w:rsidRDefault="00904836" w:rsidP="00EC0C63">
      <w:pPr>
        <w:rPr>
          <w:lang w:eastAsia="en-US"/>
        </w:rPr>
      </w:pPr>
      <w:r w:rsidRPr="00EC0C63">
        <w:rPr>
          <w:b/>
          <w:sz w:val="24"/>
          <w:szCs w:val="24"/>
          <w:lang w:eastAsia="en-US"/>
        </w:rPr>
        <w:t>Recommen</w:t>
      </w:r>
      <w:r w:rsidR="006B7320" w:rsidRPr="00784235">
        <w:rPr>
          <w:b/>
          <w:sz w:val="24"/>
          <w:szCs w:val="24"/>
          <w:lang w:eastAsia="en-US"/>
        </w:rPr>
        <w:t>d</w:t>
      </w:r>
      <w:r w:rsidRPr="00784235">
        <w:rPr>
          <w:b/>
          <w:sz w:val="24"/>
          <w:szCs w:val="24"/>
          <w:lang w:eastAsia="en-US"/>
        </w:rPr>
        <w:t>ation</w:t>
      </w:r>
      <w:r w:rsidRPr="00784235">
        <w:rPr>
          <w:sz w:val="24"/>
          <w:szCs w:val="24"/>
          <w:lang w:eastAsia="en-US"/>
        </w:rPr>
        <w:t xml:space="preserve"> </w:t>
      </w:r>
      <w:r w:rsidRPr="00784235">
        <w:rPr>
          <w:b/>
          <w:bCs/>
          <w:sz w:val="24"/>
          <w:szCs w:val="24"/>
          <w:lang w:eastAsia="en-US"/>
        </w:rPr>
        <w:t>1</w:t>
      </w:r>
      <w:r w:rsidR="002258DC" w:rsidRPr="00784235">
        <w:rPr>
          <w:sz w:val="24"/>
          <w:szCs w:val="24"/>
          <w:lang w:eastAsia="en-US"/>
        </w:rPr>
        <w:t>:</w:t>
      </w:r>
      <w:r w:rsidR="002258DC" w:rsidRPr="00AB3E22">
        <w:rPr>
          <w:lang w:eastAsia="en-US"/>
        </w:rPr>
        <w:t xml:space="preserve"> IHACPA should provide clear definitions and guidance on the cost centres within the </w:t>
      </w:r>
      <w:r w:rsidR="002258DC" w:rsidRPr="00697642">
        <w:rPr>
          <w:i/>
          <w:iCs/>
          <w:lang w:eastAsia="en-US"/>
        </w:rPr>
        <w:t>Critical</w:t>
      </w:r>
      <w:r w:rsidR="002258DC" w:rsidRPr="00AB3E22">
        <w:rPr>
          <w:lang w:eastAsia="en-US"/>
        </w:rPr>
        <w:t xml:space="preserve"> NHCDC Cost Centre Group and the ICU hours within the activity reporting.</w:t>
      </w:r>
    </w:p>
    <w:p w14:paraId="0F55EC7B" w14:textId="77777777" w:rsidR="00E7631E" w:rsidRPr="00AB3E22" w:rsidRDefault="00CB478D" w:rsidP="00DB2239">
      <w:r w:rsidRPr="00EC0C63">
        <w:rPr>
          <w:b/>
          <w:bCs/>
        </w:rPr>
        <w:t>Link</w:t>
      </w:r>
      <w:r w:rsidR="008E3685" w:rsidRPr="00AB3E22">
        <w:rPr>
          <w:b/>
          <w:bCs/>
        </w:rPr>
        <w:t>s</w:t>
      </w:r>
      <w:r w:rsidRPr="00EC0C63">
        <w:rPr>
          <w:b/>
          <w:bCs/>
        </w:rPr>
        <w:t xml:space="preserve"> to Finding</w:t>
      </w:r>
      <w:r w:rsidR="008E3685" w:rsidRPr="00AB3E22">
        <w:rPr>
          <w:b/>
          <w:bCs/>
        </w:rPr>
        <w:t>s</w:t>
      </w:r>
      <w:r w:rsidRPr="00EC0C63">
        <w:rPr>
          <w:b/>
          <w:bCs/>
        </w:rPr>
        <w:t>:</w:t>
      </w:r>
      <w:r w:rsidRPr="00AB3E22">
        <w:t xml:space="preserve"> </w:t>
      </w:r>
    </w:p>
    <w:p w14:paraId="386852AD" w14:textId="361BD86D" w:rsidR="00DF107E" w:rsidRDefault="00DF107E" w:rsidP="00DF107E">
      <w:pPr>
        <w:pStyle w:val="ListParagraph"/>
        <w:numPr>
          <w:ilvl w:val="0"/>
          <w:numId w:val="108"/>
        </w:numPr>
      </w:pPr>
      <w:r>
        <w:t xml:space="preserve">Finding 2.1: Variation in cost reporting with the </w:t>
      </w:r>
      <w:r w:rsidRPr="00697642">
        <w:rPr>
          <w:i/>
          <w:iCs/>
        </w:rPr>
        <w:t>Critical</w:t>
      </w:r>
      <w:r>
        <w:t xml:space="preserve"> NHCDC Cost Centre Group</w:t>
      </w:r>
    </w:p>
    <w:p w14:paraId="153884C7" w14:textId="654A91C8" w:rsidR="00DF107E" w:rsidRDefault="00DF107E" w:rsidP="00DF107E">
      <w:pPr>
        <w:pStyle w:val="ListParagraph"/>
        <w:numPr>
          <w:ilvl w:val="0"/>
          <w:numId w:val="108"/>
        </w:numPr>
      </w:pPr>
      <w:r>
        <w:t>Finding 2.2: Variation in ICU hours reported in the ICU activity dataset and inconsistency between treatment of critical care costs and hours</w:t>
      </w:r>
    </w:p>
    <w:p w14:paraId="344A762C" w14:textId="77777777" w:rsidR="00DF107E" w:rsidRDefault="00DF107E" w:rsidP="00DF107E">
      <w:pPr>
        <w:pStyle w:val="ListParagraph"/>
        <w:numPr>
          <w:ilvl w:val="0"/>
          <w:numId w:val="108"/>
        </w:numPr>
      </w:pPr>
      <w:r>
        <w:t>Finding 2.3: Consistency of costing within CCUs</w:t>
      </w:r>
    </w:p>
    <w:p w14:paraId="1CD4B97B" w14:textId="2B8492AF" w:rsidR="007F5C36" w:rsidRPr="00AB3E22" w:rsidRDefault="007F5C36" w:rsidP="006B7320">
      <w:r w:rsidRPr="00697642">
        <w:rPr>
          <w:b/>
          <w:bCs/>
        </w:rPr>
        <w:t>Owner:</w:t>
      </w:r>
      <w:r w:rsidR="000948DC">
        <w:t xml:space="preserve"> IHACPA</w:t>
      </w:r>
    </w:p>
    <w:p w14:paraId="35B381A4" w14:textId="77777777" w:rsidR="007D2431" w:rsidRPr="00AB3E22" w:rsidRDefault="007D2431" w:rsidP="006B7320">
      <w:r w:rsidRPr="00AB3E22">
        <w:t>This will support more accurate and consistent reporting across jurisdictions and improve the utility of the data for benchmarking and funding purposes.</w:t>
      </w:r>
    </w:p>
    <w:p w14:paraId="05B1E89F" w14:textId="31C5C989" w:rsidR="006B7320" w:rsidRPr="00AB3E22" w:rsidRDefault="006B7320" w:rsidP="006B7320">
      <w:r w:rsidRPr="00AB3E22">
        <w:t xml:space="preserve">IHACPA is currently undertaking work which is expected to result in </w:t>
      </w:r>
      <w:r w:rsidR="000861FE">
        <w:t>findings and</w:t>
      </w:r>
      <w:r w:rsidR="000861FE" w:rsidRPr="00AB3E22">
        <w:t xml:space="preserve"> </w:t>
      </w:r>
      <w:r w:rsidRPr="00AB3E22">
        <w:t xml:space="preserve">recommendations regarding </w:t>
      </w:r>
      <w:r w:rsidR="00587B73">
        <w:t>cost allocation and reporting within the</w:t>
      </w:r>
      <w:r w:rsidRPr="00AB3E22">
        <w:t xml:space="preserve"> Cost Bucket Matrix. This IFR has provided a deeper analysis into the </w:t>
      </w:r>
      <w:r w:rsidRPr="00697642">
        <w:rPr>
          <w:i/>
          <w:iCs/>
        </w:rPr>
        <w:t>Critical</w:t>
      </w:r>
      <w:r w:rsidRPr="00AB3E22">
        <w:t xml:space="preserve"> NHCDC Cost Centre Group specifically. The recommendations from </w:t>
      </w:r>
      <w:r w:rsidR="00D06C59">
        <w:t>broader work programs</w:t>
      </w:r>
      <w:r w:rsidRPr="00AB3E22">
        <w:t xml:space="preserve"> will need to be considered in conjunction with the findings from this report to assess whether the current cost centre structure is fit-for-purpose and to determine </w:t>
      </w:r>
      <w:r w:rsidR="00A30ABF">
        <w:t xml:space="preserve">the </w:t>
      </w:r>
      <w:r w:rsidRPr="00AB3E22">
        <w:t xml:space="preserve">critical care costs </w:t>
      </w:r>
      <w:r w:rsidR="00A30ABF">
        <w:t xml:space="preserve">that </w:t>
      </w:r>
      <w:r w:rsidRPr="00AB3E22">
        <w:t>should be reported.</w:t>
      </w:r>
    </w:p>
    <w:p w14:paraId="1535CEB7" w14:textId="2D8F0240" w:rsidR="006B7320" w:rsidRPr="00AB3E22" w:rsidRDefault="006B7320" w:rsidP="006B7320">
      <w:r w:rsidRPr="00AB3E22">
        <w:lastRenderedPageBreak/>
        <w:t xml:space="preserve">It is noted that NSW has undertaken detailed mapping to all 10 </w:t>
      </w:r>
      <w:r w:rsidRPr="00697642">
        <w:rPr>
          <w:i/>
          <w:iCs/>
        </w:rPr>
        <w:t>Critical</w:t>
      </w:r>
      <w:r w:rsidRPr="00AB3E22">
        <w:t xml:space="preserve"> </w:t>
      </w:r>
      <w:r w:rsidR="000107BD">
        <w:t xml:space="preserve">NHCDC </w:t>
      </w:r>
      <w:r w:rsidRPr="00AB3E22">
        <w:t>Cost Centres and considers the current structure appropriate, provided there are clear definitions of the types of costs to be included.</w:t>
      </w:r>
    </w:p>
    <w:p w14:paraId="4D034D9E" w14:textId="4C6C079D" w:rsidR="006B7320" w:rsidRPr="00AB3E22" w:rsidRDefault="006B7320" w:rsidP="006B7320">
      <w:r w:rsidRPr="00AB3E22">
        <w:t xml:space="preserve">Additional consideration should be given to whether ICU hours should be split based on the type of </w:t>
      </w:r>
      <w:r w:rsidR="00E61DEC">
        <w:t xml:space="preserve">ICU </w:t>
      </w:r>
      <w:r w:rsidRPr="00AB3E22">
        <w:t>care delivered instead of the facility designation as a Level 3 ICU provider, as this information is already available to IHACPA through other datasets. Grouping by ICU type (e.g., Adult ICU and Paediatric ICU, with other types mapped separately) would allow IHACPA to align costs with reported hours. However, activity datasets are used for other purposes and rely on the existing Metadata Online Registry (METEOR) definitions so cannot easily be changed without extensive consultation. It is understood that IHACPA is currently undertaking work on the definitions of ICU hours. It is recommended that any proposed changes take into account both the cost and activity components, as well as all intended uses of the data</w:t>
      </w:r>
    </w:p>
    <w:p w14:paraId="7A57E70B" w14:textId="68F331CE" w:rsidR="008E3685" w:rsidRPr="00425B79" w:rsidRDefault="008E3685" w:rsidP="00EC0C63">
      <w:pPr>
        <w:rPr>
          <w:lang w:eastAsia="en-US"/>
        </w:rPr>
      </w:pPr>
      <w:r w:rsidRPr="00EC0C63">
        <w:rPr>
          <w:b/>
          <w:sz w:val="24"/>
          <w:szCs w:val="24"/>
          <w:lang w:eastAsia="en-US"/>
        </w:rPr>
        <w:t>Recommendation</w:t>
      </w:r>
      <w:r w:rsidRPr="00EC0C63">
        <w:rPr>
          <w:b/>
          <w:bCs/>
          <w:sz w:val="32"/>
          <w:szCs w:val="32"/>
          <w:lang w:eastAsia="en-US"/>
        </w:rPr>
        <w:t xml:space="preserve"> </w:t>
      </w:r>
      <w:r w:rsidR="005A6717" w:rsidRPr="00A438EE">
        <w:rPr>
          <w:b/>
          <w:bCs/>
          <w:sz w:val="24"/>
          <w:szCs w:val="24"/>
          <w:lang w:eastAsia="en-US"/>
        </w:rPr>
        <w:t>2</w:t>
      </w:r>
      <w:r w:rsidR="004F3553" w:rsidRPr="00AB3E22">
        <w:rPr>
          <w:lang w:eastAsia="en-US"/>
        </w:rPr>
        <w:t>: IHACPA should provide clarity on the Cost Bucket Matrix in relation to imaging, pharmacy, pathology and allied health in the critical care setting, in consultation with jurisdictions and in alignment with other ongoing work in this area.</w:t>
      </w:r>
    </w:p>
    <w:p w14:paraId="425C5642" w14:textId="3938CC30" w:rsidR="008E3685" w:rsidRPr="00EC0C63" w:rsidRDefault="008E3685" w:rsidP="00DB2239">
      <w:pPr>
        <w:rPr>
          <w:u w:val="single"/>
          <w:lang w:eastAsia="en-US"/>
        </w:rPr>
      </w:pPr>
      <w:r w:rsidRPr="00EC0C63">
        <w:rPr>
          <w:b/>
          <w:bCs/>
          <w:lang w:eastAsia="en-US"/>
        </w:rPr>
        <w:t>Link to Finding:</w:t>
      </w:r>
      <w:r w:rsidRPr="00EC0C63">
        <w:rPr>
          <w:lang w:eastAsia="en-US"/>
        </w:rPr>
        <w:t xml:space="preserve"> </w:t>
      </w:r>
      <w:r w:rsidR="00DF107E" w:rsidRPr="00DF107E">
        <w:rPr>
          <w:lang w:eastAsia="en-US"/>
        </w:rPr>
        <w:t xml:space="preserve">Finding 2.4: Pathology, </w:t>
      </w:r>
      <w:r w:rsidR="000107BD">
        <w:rPr>
          <w:lang w:eastAsia="en-US"/>
        </w:rPr>
        <w:t>i</w:t>
      </w:r>
      <w:r w:rsidR="00DF107E" w:rsidRPr="00DF107E">
        <w:rPr>
          <w:lang w:eastAsia="en-US"/>
        </w:rPr>
        <w:t xml:space="preserve">maging, </w:t>
      </w:r>
      <w:r w:rsidR="000107BD">
        <w:rPr>
          <w:lang w:eastAsia="en-US"/>
        </w:rPr>
        <w:t>a</w:t>
      </w:r>
      <w:r w:rsidR="00DF107E" w:rsidRPr="00DF107E">
        <w:rPr>
          <w:lang w:eastAsia="en-US"/>
        </w:rPr>
        <w:t xml:space="preserve">llied </w:t>
      </w:r>
      <w:r w:rsidR="000107BD">
        <w:rPr>
          <w:lang w:eastAsia="en-US"/>
        </w:rPr>
        <w:t>h</w:t>
      </w:r>
      <w:r w:rsidR="00DF107E" w:rsidRPr="00DF107E">
        <w:rPr>
          <w:lang w:eastAsia="en-US"/>
        </w:rPr>
        <w:t xml:space="preserve">ealth and majority of </w:t>
      </w:r>
      <w:r w:rsidR="000107BD">
        <w:rPr>
          <w:lang w:eastAsia="en-US"/>
        </w:rPr>
        <w:t>p</w:t>
      </w:r>
      <w:r w:rsidR="00DF107E" w:rsidRPr="00DF107E">
        <w:rPr>
          <w:lang w:eastAsia="en-US"/>
        </w:rPr>
        <w:t xml:space="preserve">harmacy costs consumed in critical care departments are not reported in </w:t>
      </w:r>
      <w:r w:rsidR="00DF107E" w:rsidRPr="00A47640">
        <w:rPr>
          <w:i/>
          <w:iCs/>
          <w:lang w:eastAsia="en-US"/>
        </w:rPr>
        <w:t>Critical</w:t>
      </w:r>
      <w:r w:rsidR="00DF107E" w:rsidRPr="00DF107E">
        <w:rPr>
          <w:lang w:eastAsia="en-US"/>
        </w:rPr>
        <w:t xml:space="preserve"> NHCDC Cost Centre Group</w:t>
      </w:r>
    </w:p>
    <w:p w14:paraId="05A681F9" w14:textId="231CD96D" w:rsidR="002C56EF" w:rsidRPr="00AB3E22" w:rsidRDefault="002C56EF" w:rsidP="001B0F44">
      <w:pPr>
        <w:rPr>
          <w:lang w:eastAsia="en-US"/>
        </w:rPr>
      </w:pPr>
      <w:r w:rsidRPr="00EC0C63">
        <w:rPr>
          <w:b/>
          <w:bCs/>
          <w:lang w:eastAsia="en-US"/>
        </w:rPr>
        <w:t>Owner:</w:t>
      </w:r>
      <w:r w:rsidRPr="00AB3E22">
        <w:rPr>
          <w:lang w:eastAsia="en-US"/>
        </w:rPr>
        <w:t xml:space="preserve"> IHACPA</w:t>
      </w:r>
    </w:p>
    <w:p w14:paraId="59FF0197" w14:textId="6C55579F" w:rsidR="001B0F44" w:rsidRPr="00EC0C63" w:rsidRDefault="001B0F44" w:rsidP="001B0F44">
      <w:pPr>
        <w:rPr>
          <w:lang w:eastAsia="en-US"/>
        </w:rPr>
      </w:pPr>
      <w:r w:rsidRPr="00EC0C63">
        <w:rPr>
          <w:lang w:eastAsia="en-US"/>
        </w:rPr>
        <w:t xml:space="preserve">A change to the mapping of these costs should consider the utility of the </w:t>
      </w:r>
      <w:r w:rsidR="00D84BD8" w:rsidRPr="00EC0C63">
        <w:rPr>
          <w:i/>
          <w:iCs/>
          <w:lang w:eastAsia="en-US"/>
        </w:rPr>
        <w:t>Critical</w:t>
      </w:r>
      <w:r w:rsidR="00D84BD8">
        <w:rPr>
          <w:lang w:eastAsia="en-US"/>
        </w:rPr>
        <w:t xml:space="preserve"> </w:t>
      </w:r>
      <w:r w:rsidRPr="00EC0C63">
        <w:rPr>
          <w:lang w:eastAsia="en-US"/>
        </w:rPr>
        <w:t>NHCDC Cost Centre Groups in benchmarking, NEP development and the ICU adjustment</w:t>
      </w:r>
      <w:r w:rsidR="008C685E">
        <w:rPr>
          <w:lang w:eastAsia="en-US"/>
        </w:rPr>
        <w:t>.</w:t>
      </w:r>
    </w:p>
    <w:p w14:paraId="147A199F" w14:textId="1EA94EA8" w:rsidR="001B0F44" w:rsidRPr="00EC0C63" w:rsidRDefault="009A65A3" w:rsidP="001B0F44">
      <w:pPr>
        <w:rPr>
          <w:lang w:eastAsia="en-US"/>
        </w:rPr>
      </w:pPr>
      <w:r w:rsidRPr="009A65A3">
        <w:rPr>
          <w:lang w:eastAsia="en-US"/>
        </w:rPr>
        <w:t xml:space="preserve">We understand that </w:t>
      </w:r>
      <w:r>
        <w:rPr>
          <w:lang w:eastAsia="en-US"/>
        </w:rPr>
        <w:t xml:space="preserve">for benchmarking and the NEP development, </w:t>
      </w:r>
      <w:r w:rsidRPr="009A65A3">
        <w:rPr>
          <w:lang w:eastAsia="en-US"/>
        </w:rPr>
        <w:t>only the</w:t>
      </w:r>
      <w:r>
        <w:rPr>
          <w:lang w:eastAsia="en-US"/>
        </w:rPr>
        <w:t xml:space="preserve"> total</w:t>
      </w:r>
      <w:r w:rsidR="001B0F44" w:rsidRPr="00EC0C63">
        <w:rPr>
          <w:lang w:eastAsia="en-US"/>
        </w:rPr>
        <w:t xml:space="preserve"> episode cost</w:t>
      </w:r>
      <w:r w:rsidR="002B4FC4">
        <w:rPr>
          <w:lang w:eastAsia="en-US"/>
        </w:rPr>
        <w:t xml:space="preserve"> is considered</w:t>
      </w:r>
      <w:r w:rsidR="001B0F44" w:rsidRPr="00EC0C63">
        <w:rPr>
          <w:lang w:eastAsia="en-US"/>
        </w:rPr>
        <w:t xml:space="preserve">, not the breakdown by NHCDC Cost Centre Group however the review and calculation of the ICU adjustment does consider the costs included in the </w:t>
      </w:r>
      <w:r w:rsidR="001B0F44" w:rsidRPr="00EC0C63">
        <w:rPr>
          <w:i/>
          <w:lang w:eastAsia="en-US"/>
        </w:rPr>
        <w:t>Critical</w:t>
      </w:r>
      <w:r w:rsidR="001B0F44" w:rsidRPr="00EC0C63">
        <w:rPr>
          <w:lang w:eastAsia="en-US"/>
        </w:rPr>
        <w:t xml:space="preserve"> NHCDC Cost Centre Group.</w:t>
      </w:r>
    </w:p>
    <w:p w14:paraId="5CB53428" w14:textId="06FD4210" w:rsidR="00F55526" w:rsidRPr="00EC0C63" w:rsidRDefault="008D23F8" w:rsidP="001B0F44">
      <w:pPr>
        <w:rPr>
          <w:lang w:eastAsia="en-US"/>
        </w:rPr>
      </w:pPr>
      <w:r>
        <w:rPr>
          <w:lang w:eastAsia="en-US"/>
        </w:rPr>
        <w:t>S</w:t>
      </w:r>
      <w:r w:rsidR="000C1E57" w:rsidRPr="00EC0C63">
        <w:rPr>
          <w:lang w:eastAsia="en-US"/>
        </w:rPr>
        <w:t xml:space="preserve">ecuring commitment to this change may be challenging given </w:t>
      </w:r>
      <w:r>
        <w:rPr>
          <w:lang w:eastAsia="en-US"/>
        </w:rPr>
        <w:t xml:space="preserve">jurisdictions’ </w:t>
      </w:r>
      <w:r w:rsidR="000C1E57" w:rsidRPr="00EC0C63">
        <w:rPr>
          <w:lang w:eastAsia="en-US"/>
        </w:rPr>
        <w:t>competing priorities, particularly as the current practice does deliver consistent outputs across jurisdictions.</w:t>
      </w:r>
      <w:r w:rsidR="000C1E57">
        <w:rPr>
          <w:lang w:eastAsia="en-US"/>
        </w:rPr>
        <w:t xml:space="preserve"> </w:t>
      </w:r>
      <w:r w:rsidR="001B0F44" w:rsidRPr="00EC0C63">
        <w:rPr>
          <w:lang w:eastAsia="en-US"/>
        </w:rPr>
        <w:t>If IHACPA determines that it is important for accurately capturing critical care costs for the ICU adjustment review, they could consider conducting a separate costing study to capture data on pharmacy, allied health, imaging and pathology costs within the critical care setting.</w:t>
      </w:r>
    </w:p>
    <w:p w14:paraId="700DE3F2" w14:textId="22DE03C4" w:rsidR="005A6717" w:rsidRPr="00425B79" w:rsidRDefault="005A6717" w:rsidP="00EC0C63">
      <w:pPr>
        <w:rPr>
          <w:lang w:eastAsia="en-US"/>
        </w:rPr>
      </w:pPr>
      <w:r w:rsidRPr="00EC0C63">
        <w:rPr>
          <w:b/>
          <w:sz w:val="24"/>
          <w:szCs w:val="24"/>
          <w:lang w:eastAsia="en-US"/>
        </w:rPr>
        <w:t>Recommendation 3</w:t>
      </w:r>
      <w:r w:rsidR="00C02C9B" w:rsidRPr="00AB3E22">
        <w:rPr>
          <w:lang w:eastAsia="en-US"/>
        </w:rPr>
        <w:t xml:space="preserve">: Costing teams should review the materiality and accuracy of key cost drivers within </w:t>
      </w:r>
      <w:r w:rsidR="00567194">
        <w:rPr>
          <w:lang w:eastAsia="en-US"/>
        </w:rPr>
        <w:t>c</w:t>
      </w:r>
      <w:r w:rsidR="00C02C9B" w:rsidRPr="00AB3E22">
        <w:rPr>
          <w:lang w:eastAsia="en-US"/>
        </w:rPr>
        <w:t xml:space="preserve">ritical </w:t>
      </w:r>
      <w:r w:rsidR="00567194">
        <w:rPr>
          <w:lang w:eastAsia="en-US"/>
        </w:rPr>
        <w:t>c</w:t>
      </w:r>
      <w:r w:rsidR="00C02C9B" w:rsidRPr="00AB3E22">
        <w:rPr>
          <w:lang w:eastAsia="en-US"/>
        </w:rPr>
        <w:t xml:space="preserve">are specifically nursing relative value units (RVUs), medical RVUs and </w:t>
      </w:r>
      <w:r w:rsidR="00C02C9B">
        <w:rPr>
          <w:lang w:eastAsia="en-US"/>
        </w:rPr>
        <w:t>consumable</w:t>
      </w:r>
      <w:r w:rsidR="006119A6">
        <w:rPr>
          <w:lang w:eastAsia="en-US"/>
        </w:rPr>
        <w:t xml:space="preserve"> allocation methods</w:t>
      </w:r>
      <w:r w:rsidR="00C02C9B" w:rsidRPr="00AB3E22">
        <w:rPr>
          <w:lang w:eastAsia="en-US"/>
        </w:rPr>
        <w:t>.</w:t>
      </w:r>
    </w:p>
    <w:p w14:paraId="46D3CEA5" w14:textId="775EB3F9" w:rsidR="005A6717" w:rsidRPr="00EC0C63" w:rsidRDefault="005A6717" w:rsidP="00DB2239">
      <w:pPr>
        <w:rPr>
          <w:lang w:eastAsia="en-US"/>
        </w:rPr>
      </w:pPr>
      <w:r w:rsidRPr="00EC0C63">
        <w:rPr>
          <w:b/>
          <w:bCs/>
          <w:lang w:eastAsia="en-US"/>
        </w:rPr>
        <w:t>Links to Findings:</w:t>
      </w:r>
    </w:p>
    <w:p w14:paraId="3655344D" w14:textId="77777777" w:rsidR="00DF107E" w:rsidRDefault="00DF107E" w:rsidP="00DF107E">
      <w:pPr>
        <w:pStyle w:val="ListParagraph"/>
        <w:numPr>
          <w:ilvl w:val="0"/>
          <w:numId w:val="99"/>
        </w:numPr>
        <w:rPr>
          <w:lang w:eastAsia="en-US"/>
        </w:rPr>
      </w:pPr>
      <w:r>
        <w:rPr>
          <w:lang w:eastAsia="en-US"/>
        </w:rPr>
        <w:t>Finding 2.5: Most critical care costs are applied using uniform cost allocation methods, based on ICU hours</w:t>
      </w:r>
    </w:p>
    <w:p w14:paraId="31EAD2EA" w14:textId="7DC43D9E" w:rsidR="005A6717" w:rsidRPr="00EC0C63" w:rsidRDefault="00DF107E" w:rsidP="00EC0C63">
      <w:pPr>
        <w:pStyle w:val="ListParagraph"/>
        <w:numPr>
          <w:ilvl w:val="0"/>
          <w:numId w:val="99"/>
        </w:numPr>
        <w:rPr>
          <w:lang w:eastAsia="en-US"/>
        </w:rPr>
      </w:pPr>
      <w:r>
        <w:rPr>
          <w:lang w:eastAsia="en-US"/>
        </w:rPr>
        <w:t xml:space="preserve">Finding 2.6: ICU teams perform activities which do not relate to direct ICU care which are typically not reallocated for costing purposes and may inflate costs within the </w:t>
      </w:r>
      <w:r w:rsidRPr="00C6734D">
        <w:rPr>
          <w:i/>
          <w:iCs/>
          <w:lang w:eastAsia="en-US"/>
        </w:rPr>
        <w:t>Critical</w:t>
      </w:r>
      <w:r>
        <w:rPr>
          <w:lang w:eastAsia="en-US"/>
        </w:rPr>
        <w:t xml:space="preserve"> NHCDC Cost Centre Group</w:t>
      </w:r>
    </w:p>
    <w:p w14:paraId="155F1618" w14:textId="3A434720" w:rsidR="00C02C9B" w:rsidRPr="00AB3E22" w:rsidRDefault="006143DD" w:rsidP="00DC599C">
      <w:pPr>
        <w:rPr>
          <w:lang w:eastAsia="en-US"/>
        </w:rPr>
      </w:pPr>
      <w:r w:rsidRPr="00EC0C63">
        <w:rPr>
          <w:b/>
          <w:bCs/>
          <w:lang w:eastAsia="en-US"/>
        </w:rPr>
        <w:t>Owner:</w:t>
      </w:r>
      <w:r w:rsidRPr="00AB3E22">
        <w:rPr>
          <w:lang w:eastAsia="en-US"/>
        </w:rPr>
        <w:t xml:space="preserve"> </w:t>
      </w:r>
      <w:r w:rsidR="006119A6">
        <w:rPr>
          <w:lang w:eastAsia="en-US"/>
        </w:rPr>
        <w:t>Jurisdictions and LHN c</w:t>
      </w:r>
      <w:r w:rsidRPr="00AB3E22">
        <w:rPr>
          <w:lang w:eastAsia="en-US"/>
        </w:rPr>
        <w:t>osting teams</w:t>
      </w:r>
    </w:p>
    <w:p w14:paraId="2B3E5CDE" w14:textId="6CE07BE9" w:rsidR="00DC599C" w:rsidRPr="00EC0C63" w:rsidRDefault="00DC599C" w:rsidP="00DC599C">
      <w:pPr>
        <w:rPr>
          <w:lang w:eastAsia="en-US"/>
        </w:rPr>
      </w:pPr>
      <w:r w:rsidRPr="00EC0C63">
        <w:rPr>
          <w:lang w:eastAsia="en-US"/>
        </w:rPr>
        <w:t xml:space="preserve">Where feasible, </w:t>
      </w:r>
      <w:r w:rsidR="00DB0076">
        <w:rPr>
          <w:lang w:eastAsia="en-US"/>
        </w:rPr>
        <w:t>jurisdictions</w:t>
      </w:r>
      <w:r w:rsidR="00DB0076" w:rsidRPr="00EC0C63">
        <w:rPr>
          <w:lang w:eastAsia="en-US"/>
        </w:rPr>
        <w:t xml:space="preserve"> </w:t>
      </w:r>
      <w:r w:rsidRPr="00EC0C63">
        <w:rPr>
          <w:lang w:eastAsia="en-US"/>
        </w:rPr>
        <w:t>should refine allocation methodologies to better reflect actual resource consumption at the individual patient level.</w:t>
      </w:r>
    </w:p>
    <w:p w14:paraId="69B91E94" w14:textId="52FE26C0" w:rsidR="00DC599C" w:rsidRPr="00EC0C63" w:rsidRDefault="00DC599C" w:rsidP="00DC599C">
      <w:pPr>
        <w:rPr>
          <w:lang w:eastAsia="en-US"/>
        </w:rPr>
      </w:pPr>
      <w:r w:rsidRPr="00EC0C63">
        <w:rPr>
          <w:lang w:eastAsia="en-US"/>
        </w:rPr>
        <w:lastRenderedPageBreak/>
        <w:t>Critical care patients are among the highest-cost cohorts in the hospital, and the current costing approaches and available data often lacks the granularity needed to accurately capture patient</w:t>
      </w:r>
      <w:r w:rsidR="000107BD">
        <w:rPr>
          <w:lang w:eastAsia="en-US"/>
        </w:rPr>
        <w:noBreakHyphen/>
      </w:r>
      <w:r w:rsidRPr="00EC0C63">
        <w:rPr>
          <w:lang w:eastAsia="en-US"/>
        </w:rPr>
        <w:t xml:space="preserve">level variation. While availability of feeder data to allocate these costs will inform the ability to do this, we have identified some data items that are already captured and could be used. Examples of this include the level of care needs, bed type, use of ECMO, and ventilation support which are documented on </w:t>
      </w:r>
      <w:r w:rsidR="006119A6">
        <w:rPr>
          <w:lang w:eastAsia="en-US"/>
        </w:rPr>
        <w:t>syst</w:t>
      </w:r>
      <w:r w:rsidRPr="00EC0C63">
        <w:rPr>
          <w:lang w:eastAsia="en-US"/>
        </w:rPr>
        <w:t>ems and could be utilised in costing with potential to inform a more nuanced and accurate cost attribution. We observed that a small number of jurisdictions and sites are already leveraging these feeder data sources to inform their costing processes.</w:t>
      </w:r>
    </w:p>
    <w:p w14:paraId="3021DF03" w14:textId="7B21815E" w:rsidR="005A6717" w:rsidRPr="00EC0C63" w:rsidRDefault="00DC599C" w:rsidP="00DC599C">
      <w:pPr>
        <w:rPr>
          <w:lang w:eastAsia="en-US"/>
        </w:rPr>
      </w:pPr>
      <w:r w:rsidRPr="00EC0C63">
        <w:rPr>
          <w:lang w:eastAsia="en-US"/>
        </w:rPr>
        <w:t>While we acknowledge that introducing new feeder systems or refining costing processes requires additional effort, jurisdictions should weigh the benefits of improved data accuracy and decision</w:t>
      </w:r>
      <w:r w:rsidR="000107BD">
        <w:rPr>
          <w:lang w:eastAsia="en-US"/>
        </w:rPr>
        <w:noBreakHyphen/>
      </w:r>
      <w:r w:rsidRPr="00EC0C63">
        <w:rPr>
          <w:lang w:eastAsia="en-US"/>
        </w:rPr>
        <w:t>making against the resource investment required. Enhanced costing granularity would support better benchmarking and service planning for high-acuity care.</w:t>
      </w:r>
    </w:p>
    <w:p w14:paraId="7C673213" w14:textId="2EC09F0A" w:rsidR="00621AAD" w:rsidRPr="00AB3E22" w:rsidRDefault="00621AAD" w:rsidP="00EC0C63">
      <w:pPr>
        <w:rPr>
          <w:lang w:eastAsia="en-US"/>
        </w:rPr>
      </w:pPr>
      <w:r w:rsidRPr="00EC0C63">
        <w:rPr>
          <w:b/>
          <w:sz w:val="24"/>
          <w:szCs w:val="24"/>
          <w:lang w:eastAsia="en-US"/>
        </w:rPr>
        <w:t>Recommendation 4</w:t>
      </w:r>
      <w:r w:rsidR="006143DD" w:rsidRPr="00AB3E22">
        <w:rPr>
          <w:lang w:eastAsia="en-US"/>
        </w:rPr>
        <w:t>: IHACPA should provide clear and consistent guidance on the treatment of unlinked costs in NHCDC submissions, including whether such costs should be proportionally allocated across all patient episodes</w:t>
      </w:r>
      <w:r w:rsidR="00C950ED">
        <w:rPr>
          <w:lang w:eastAsia="en-US"/>
        </w:rPr>
        <w:t>.</w:t>
      </w:r>
    </w:p>
    <w:p w14:paraId="6D942918" w14:textId="6D59F36F" w:rsidR="00621AAD" w:rsidRPr="00EC0C63" w:rsidRDefault="00621AAD" w:rsidP="00A42C3F">
      <w:pPr>
        <w:rPr>
          <w:lang w:eastAsia="en-US"/>
        </w:rPr>
      </w:pPr>
      <w:r w:rsidRPr="00EC0C63">
        <w:rPr>
          <w:b/>
          <w:lang w:eastAsia="en-US"/>
        </w:rPr>
        <w:t>Link to Finding:</w:t>
      </w:r>
      <w:r w:rsidR="008623B6" w:rsidRPr="00EC0C63">
        <w:rPr>
          <w:lang w:eastAsia="en-US"/>
        </w:rPr>
        <w:t xml:space="preserve"> </w:t>
      </w:r>
      <w:r w:rsidR="00DF107E" w:rsidRPr="00DF107E">
        <w:rPr>
          <w:lang w:eastAsia="en-US"/>
        </w:rPr>
        <w:t>Finding 3.1: Understanding the quantum of linking-related exclusions could be helpful to IHACPA for future consideration for pricing</w:t>
      </w:r>
    </w:p>
    <w:p w14:paraId="14DE3BDE" w14:textId="5249E5BC" w:rsidR="00621AAD" w:rsidRPr="00EC0C63" w:rsidRDefault="0038087B" w:rsidP="00621AAD">
      <w:pPr>
        <w:rPr>
          <w:lang w:eastAsia="en-US"/>
        </w:rPr>
      </w:pPr>
      <w:r w:rsidRPr="00EC0C63">
        <w:rPr>
          <w:b/>
          <w:bCs/>
          <w:lang w:eastAsia="en-US"/>
        </w:rPr>
        <w:t>Owner:</w:t>
      </w:r>
      <w:r w:rsidRPr="00EC0C63">
        <w:rPr>
          <w:lang w:eastAsia="en-US"/>
        </w:rPr>
        <w:t xml:space="preserve"> IHACPA</w:t>
      </w:r>
    </w:p>
    <w:p w14:paraId="2E456FB0" w14:textId="77777777" w:rsidR="0038087B" w:rsidRPr="00AB3E22" w:rsidRDefault="0038087B" w:rsidP="0038087B">
      <w:r w:rsidRPr="00AB3E22">
        <w:t>To better understand the scale and nature of unlinked costs, IHACPA should request jurisdictions to report this information in future NHCDC rounds, ideally through the DQS. This reporting should differentiate between:</w:t>
      </w:r>
    </w:p>
    <w:p w14:paraId="38DA8D74" w14:textId="77777777" w:rsidR="0038087B" w:rsidRPr="00AB3E22" w:rsidRDefault="0038087B" w:rsidP="0038087B">
      <w:pPr>
        <w:pStyle w:val="ListParagraph"/>
        <w:numPr>
          <w:ilvl w:val="0"/>
          <w:numId w:val="66"/>
        </w:numPr>
      </w:pPr>
      <w:r w:rsidRPr="00AB3E22">
        <w:t>Unlinked costs that were subsequently allocated, and</w:t>
      </w:r>
    </w:p>
    <w:p w14:paraId="337175CE" w14:textId="77777777" w:rsidR="0038087B" w:rsidRPr="00AB3E22" w:rsidRDefault="0038087B" w:rsidP="0038087B">
      <w:pPr>
        <w:pStyle w:val="ListParagraph"/>
        <w:numPr>
          <w:ilvl w:val="0"/>
          <w:numId w:val="66"/>
        </w:numPr>
      </w:pPr>
      <w:r w:rsidRPr="00AB3E22">
        <w:t>Unlinked costs that remained unallocated.</w:t>
      </w:r>
    </w:p>
    <w:p w14:paraId="234360A0" w14:textId="22C1316F" w:rsidR="0038087B" w:rsidRPr="00EC0C63" w:rsidRDefault="0038087B" w:rsidP="0038087B">
      <w:pPr>
        <w:rPr>
          <w:lang w:eastAsia="en-US"/>
        </w:rPr>
      </w:pPr>
      <w:r w:rsidRPr="00AB3E22">
        <w:t>The overarching principle should be to ensure accuracy at the patient level, while also maintaining visibility of total costs for funding purposes. This dual focus will support both robust patient-level costing and transparent system</w:t>
      </w:r>
      <w:r w:rsidRPr="00AB3E22">
        <w:noBreakHyphen/>
        <w:t>level financial oversight.</w:t>
      </w:r>
    </w:p>
    <w:p w14:paraId="2A2C6E7C" w14:textId="452DB599" w:rsidR="00C7563B" w:rsidRPr="00AB3E22" w:rsidRDefault="00C7563B" w:rsidP="00EC0C63">
      <w:pPr>
        <w:rPr>
          <w:lang w:eastAsia="en-US"/>
        </w:rPr>
      </w:pPr>
      <w:r w:rsidRPr="00EC0C63">
        <w:rPr>
          <w:b/>
          <w:sz w:val="24"/>
          <w:szCs w:val="24"/>
          <w:lang w:eastAsia="en-US"/>
        </w:rPr>
        <w:t>Recommendation 5</w:t>
      </w:r>
      <w:r w:rsidR="007B2220" w:rsidRPr="00AB3E22">
        <w:rPr>
          <w:lang w:eastAsia="en-US"/>
        </w:rPr>
        <w:t>: IHACPA should consider whether additional information is required from jurisdictions to support the development of the NEP where significant hospital costs associated with PPPs are not currently submitted.</w:t>
      </w:r>
    </w:p>
    <w:p w14:paraId="19D8833B" w14:textId="55600058" w:rsidR="00C7563B" w:rsidRPr="00EC0C63" w:rsidRDefault="00C7563B" w:rsidP="00C7563B">
      <w:pPr>
        <w:rPr>
          <w:lang w:eastAsia="en-US"/>
        </w:rPr>
      </w:pPr>
      <w:r w:rsidRPr="00EC0C63">
        <w:rPr>
          <w:b/>
          <w:bCs/>
          <w:lang w:eastAsia="en-US"/>
        </w:rPr>
        <w:t>Link to Finding:</w:t>
      </w:r>
      <w:r w:rsidRPr="00EC0C63">
        <w:rPr>
          <w:lang w:eastAsia="en-US"/>
        </w:rPr>
        <w:t xml:space="preserve"> </w:t>
      </w:r>
      <w:r w:rsidR="00D35E10" w:rsidRPr="00D35E10">
        <w:rPr>
          <w:lang w:eastAsia="en-US"/>
        </w:rPr>
        <w:t>Finding 4.1: Some Public-private Partnership (PPP) costs are excluded from costing submission</w:t>
      </w:r>
      <w:r w:rsidR="00FC759B">
        <w:rPr>
          <w:lang w:eastAsia="en-US"/>
        </w:rPr>
        <w:t>s</w:t>
      </w:r>
      <w:r w:rsidR="00FC759B" w:rsidRPr="00FC759B">
        <w:rPr>
          <w:lang w:eastAsia="en-US"/>
        </w:rPr>
        <w:t xml:space="preserve"> </w:t>
      </w:r>
    </w:p>
    <w:p w14:paraId="222F1B51" w14:textId="77777777" w:rsidR="00C7563B" w:rsidRPr="00EC0C63" w:rsidRDefault="00C7563B" w:rsidP="00C7563B">
      <w:pPr>
        <w:rPr>
          <w:lang w:eastAsia="en-US"/>
        </w:rPr>
      </w:pPr>
      <w:r w:rsidRPr="00EC0C63">
        <w:rPr>
          <w:b/>
          <w:bCs/>
          <w:lang w:eastAsia="en-US"/>
        </w:rPr>
        <w:t>Owner:</w:t>
      </w:r>
      <w:r w:rsidRPr="00EC0C63">
        <w:rPr>
          <w:lang w:eastAsia="en-US"/>
        </w:rPr>
        <w:t xml:space="preserve"> IHACPA</w:t>
      </w:r>
    </w:p>
    <w:p w14:paraId="52288E32" w14:textId="77777777" w:rsidR="00D642BF" w:rsidRPr="00EC0C63" w:rsidRDefault="00D642BF" w:rsidP="00D642BF">
      <w:pPr>
        <w:rPr>
          <w:lang w:eastAsia="en-US"/>
        </w:rPr>
      </w:pPr>
      <w:r w:rsidRPr="00EC0C63">
        <w:rPr>
          <w:lang w:eastAsia="en-US"/>
        </w:rPr>
        <w:t>Given the commercial-in-confidence nature of PPP arrangements, IHACPA should:</w:t>
      </w:r>
    </w:p>
    <w:p w14:paraId="78E3F8F1" w14:textId="1220DF0E" w:rsidR="00D642BF" w:rsidRPr="00EC0C63" w:rsidRDefault="00D642BF" w:rsidP="00EC0C63">
      <w:pPr>
        <w:pStyle w:val="ListParagraph"/>
        <w:numPr>
          <w:ilvl w:val="0"/>
          <w:numId w:val="66"/>
        </w:numPr>
      </w:pPr>
      <w:r w:rsidRPr="00EC0C63">
        <w:t>Consult with jurisdictions on the feasibility of sharing further information, considering data sensitivity and contractual limitations.</w:t>
      </w:r>
    </w:p>
    <w:p w14:paraId="5CD21B27" w14:textId="311287D1" w:rsidR="00D642BF" w:rsidRPr="00EC0C63" w:rsidRDefault="00D642BF" w:rsidP="00EC0C63">
      <w:pPr>
        <w:pStyle w:val="ListParagraph"/>
        <w:numPr>
          <w:ilvl w:val="0"/>
          <w:numId w:val="66"/>
        </w:numPr>
      </w:pPr>
      <w:r w:rsidRPr="00EC0C63">
        <w:t>Assess the materiality of PPP costs to determine whether enhanced data collection would improve pricing accuracy.</w:t>
      </w:r>
    </w:p>
    <w:p w14:paraId="52BC4466" w14:textId="2EA20013" w:rsidR="0038087B" w:rsidRPr="00EC0C63" w:rsidRDefault="00D642BF" w:rsidP="00EC0C63">
      <w:pPr>
        <w:pStyle w:val="ListParagraph"/>
        <w:numPr>
          <w:ilvl w:val="0"/>
          <w:numId w:val="66"/>
        </w:numPr>
      </w:pPr>
      <w:r w:rsidRPr="00EC0C63">
        <w:t>Consider whether any additional information received should be published through the NHCDC or remain confidential</w:t>
      </w:r>
      <w:r w:rsidR="00C950ED">
        <w:t>.</w:t>
      </w:r>
    </w:p>
    <w:p w14:paraId="71F76F69" w14:textId="47ABFF89" w:rsidR="00915D34" w:rsidRPr="00EC0C63" w:rsidRDefault="00915D34" w:rsidP="001E04C3">
      <w:pPr>
        <w:keepNext/>
        <w:rPr>
          <w:lang w:eastAsia="en-US"/>
        </w:rPr>
      </w:pPr>
      <w:r w:rsidRPr="00EC0C63">
        <w:rPr>
          <w:b/>
          <w:sz w:val="24"/>
          <w:szCs w:val="24"/>
          <w:lang w:eastAsia="en-US"/>
        </w:rPr>
        <w:lastRenderedPageBreak/>
        <w:t>Recommendation 6</w:t>
      </w:r>
      <w:r w:rsidR="007B2220" w:rsidRPr="00425B79">
        <w:rPr>
          <w:lang w:eastAsia="en-US"/>
        </w:rPr>
        <w:t>: IHACPA should consider implementing a warning flag in the NHCDC submission process to detect negative line items, even when the total episode cost remains positive.</w:t>
      </w:r>
    </w:p>
    <w:p w14:paraId="3C7A127F" w14:textId="1E880A91" w:rsidR="00915D34" w:rsidRPr="00EC0C63" w:rsidRDefault="00915D34" w:rsidP="00915D34">
      <w:pPr>
        <w:rPr>
          <w:lang w:eastAsia="en-US"/>
        </w:rPr>
      </w:pPr>
      <w:r w:rsidRPr="00EC0C63">
        <w:rPr>
          <w:b/>
          <w:bCs/>
          <w:lang w:eastAsia="en-US"/>
        </w:rPr>
        <w:t>Link to Finding:</w:t>
      </w:r>
      <w:r w:rsidRPr="00EC0C63">
        <w:rPr>
          <w:lang w:eastAsia="en-US"/>
        </w:rPr>
        <w:t xml:space="preserve"> </w:t>
      </w:r>
      <w:r w:rsidR="00011128" w:rsidRPr="00011128">
        <w:rPr>
          <w:lang w:eastAsia="en-US"/>
        </w:rPr>
        <w:t>Finding 4.2: Jurisdictions identified patient level records with negative costs during the submissions process</w:t>
      </w:r>
    </w:p>
    <w:p w14:paraId="322455A6" w14:textId="0659D63E" w:rsidR="00915D34" w:rsidRPr="00EC0C63" w:rsidRDefault="00915D34" w:rsidP="00915D34">
      <w:pPr>
        <w:rPr>
          <w:lang w:eastAsia="en-US"/>
        </w:rPr>
      </w:pPr>
      <w:r w:rsidRPr="00EC0C63">
        <w:rPr>
          <w:b/>
          <w:bCs/>
          <w:lang w:eastAsia="en-US"/>
        </w:rPr>
        <w:t>Owner:</w:t>
      </w:r>
      <w:r w:rsidRPr="00EC0C63">
        <w:rPr>
          <w:lang w:eastAsia="en-US"/>
        </w:rPr>
        <w:t xml:space="preserve"> IHACPA</w:t>
      </w:r>
      <w:r w:rsidR="00AD460B">
        <w:rPr>
          <w:lang w:eastAsia="en-US"/>
        </w:rPr>
        <w:t>, Jurisdictions and LHN c</w:t>
      </w:r>
      <w:r w:rsidR="00AD460B" w:rsidRPr="00AB3E22">
        <w:rPr>
          <w:lang w:eastAsia="en-US"/>
        </w:rPr>
        <w:t>osting teams</w:t>
      </w:r>
    </w:p>
    <w:p w14:paraId="2D8B4D6A" w14:textId="77777777" w:rsidR="00527B96" w:rsidRPr="00EC0C63" w:rsidRDefault="00527B96" w:rsidP="00527B96">
      <w:pPr>
        <w:rPr>
          <w:lang w:eastAsia="en-US"/>
        </w:rPr>
      </w:pPr>
      <w:r w:rsidRPr="00EC0C63">
        <w:rPr>
          <w:lang w:eastAsia="en-US"/>
        </w:rPr>
        <w:t>This flag should include a defined materiality threshold (e.g., $1) to support early identification of potential negative cost anomalies within patient level records and promote consistency across jurisdictions.</w:t>
      </w:r>
    </w:p>
    <w:p w14:paraId="251F61E4" w14:textId="0BD161E4" w:rsidR="00527B96" w:rsidRPr="00EC0C63" w:rsidRDefault="00527B96" w:rsidP="00527B96">
      <w:pPr>
        <w:rPr>
          <w:lang w:eastAsia="en-US"/>
        </w:rPr>
      </w:pPr>
      <w:r w:rsidRPr="00EC0C63">
        <w:rPr>
          <w:lang w:eastAsia="en-US"/>
        </w:rPr>
        <w:t xml:space="preserve">We recognise that the root cause of these issues generally occurs in the GL prior to ingestion into the costing ledger. Jurisdictions should also consider implementing internal QA checks to identify negative line item values prior to submission, </w:t>
      </w:r>
      <w:r w:rsidR="00A30ABF">
        <w:rPr>
          <w:lang w:eastAsia="en-US"/>
        </w:rPr>
        <w:t>to</w:t>
      </w:r>
      <w:r w:rsidRPr="00EC0C63">
        <w:rPr>
          <w:lang w:eastAsia="en-US"/>
        </w:rPr>
        <w:t xml:space="preserve"> be reviewed with finance / business partners to understand the appropriate treatment of whether any additional reclasses of costs should be made. Examples of checks that could be built in are:</w:t>
      </w:r>
    </w:p>
    <w:p w14:paraId="440A1BC2" w14:textId="0B70EA2B" w:rsidR="00527B96" w:rsidRPr="00EC0C63" w:rsidRDefault="00527B96" w:rsidP="00EC0C63">
      <w:pPr>
        <w:pStyle w:val="ListParagraph"/>
        <w:numPr>
          <w:ilvl w:val="0"/>
          <w:numId w:val="103"/>
        </w:numPr>
        <w:rPr>
          <w:lang w:eastAsia="en-US"/>
        </w:rPr>
      </w:pPr>
      <w:r w:rsidRPr="00EC0C63">
        <w:rPr>
          <w:lang w:eastAsia="en-US"/>
        </w:rPr>
        <w:t>Check for negative totals following cost pool mapping to identify and investigate cost pools with negative dollars;</w:t>
      </w:r>
    </w:p>
    <w:p w14:paraId="52D7AA9B" w14:textId="4F6CE962" w:rsidR="00527B96" w:rsidRPr="00EC0C63" w:rsidRDefault="00527B96" w:rsidP="00EC0C63">
      <w:pPr>
        <w:pStyle w:val="ListParagraph"/>
        <w:numPr>
          <w:ilvl w:val="0"/>
          <w:numId w:val="102"/>
        </w:numPr>
        <w:rPr>
          <w:lang w:eastAsia="en-US"/>
        </w:rPr>
      </w:pPr>
      <w:r w:rsidRPr="00EC0C63">
        <w:rPr>
          <w:lang w:eastAsia="en-US"/>
        </w:rPr>
        <w:t xml:space="preserve">Establishing this as a standard QA step to check for records with negative line items. </w:t>
      </w:r>
    </w:p>
    <w:p w14:paraId="5F830A8A" w14:textId="7479375C" w:rsidR="00C7563B" w:rsidRPr="00EC0C63" w:rsidRDefault="00527B96" w:rsidP="00527B96">
      <w:pPr>
        <w:rPr>
          <w:lang w:eastAsia="en-US"/>
        </w:rPr>
      </w:pPr>
      <w:r w:rsidRPr="00EC0C63">
        <w:rPr>
          <w:lang w:eastAsia="en-US"/>
        </w:rPr>
        <w:t xml:space="preserve">IHACPA should provide clearer guidance on the treatment for these records, either in the </w:t>
      </w:r>
      <w:r w:rsidR="00C950ED">
        <w:rPr>
          <w:lang w:eastAsia="en-US"/>
        </w:rPr>
        <w:t>D</w:t>
      </w:r>
      <w:r w:rsidRPr="00EC0C63">
        <w:rPr>
          <w:lang w:eastAsia="en-US"/>
        </w:rPr>
        <w:t xml:space="preserve">ata </w:t>
      </w:r>
      <w:r w:rsidR="00C950ED">
        <w:rPr>
          <w:lang w:eastAsia="en-US"/>
        </w:rPr>
        <w:t>R</w:t>
      </w:r>
      <w:r w:rsidRPr="00EC0C63">
        <w:rPr>
          <w:lang w:eastAsia="en-US"/>
        </w:rPr>
        <w:t xml:space="preserve">equest </w:t>
      </w:r>
      <w:r w:rsidR="00C950ED">
        <w:rPr>
          <w:lang w:eastAsia="en-US"/>
        </w:rPr>
        <w:t>S</w:t>
      </w:r>
      <w:r w:rsidRPr="00EC0C63">
        <w:rPr>
          <w:lang w:eastAsia="en-US"/>
        </w:rPr>
        <w:t xml:space="preserve">pecifications or </w:t>
      </w:r>
      <w:r w:rsidR="00C950ED">
        <w:rPr>
          <w:lang w:eastAsia="en-US"/>
        </w:rPr>
        <w:t xml:space="preserve">NHCDC </w:t>
      </w:r>
      <w:r w:rsidRPr="00EC0C63">
        <w:rPr>
          <w:lang w:eastAsia="en-US"/>
        </w:rPr>
        <w:t>data portal</w:t>
      </w:r>
      <w:r w:rsidR="00E9592C">
        <w:rPr>
          <w:lang w:eastAsia="en-US"/>
        </w:rPr>
        <w:t>.</w:t>
      </w:r>
    </w:p>
    <w:p w14:paraId="1BDEDF87" w14:textId="000D444A" w:rsidR="005050B9" w:rsidRPr="00AB3E22" w:rsidRDefault="005050B9" w:rsidP="00EC0C63">
      <w:pPr>
        <w:rPr>
          <w:lang w:eastAsia="en-US"/>
        </w:rPr>
      </w:pPr>
      <w:r w:rsidRPr="00EC0C63">
        <w:rPr>
          <w:b/>
          <w:sz w:val="24"/>
          <w:szCs w:val="24"/>
          <w:lang w:eastAsia="en-US"/>
        </w:rPr>
        <w:t>Recommendation 7</w:t>
      </w:r>
      <w:r w:rsidR="007B2220" w:rsidRPr="00AB3E22">
        <w:rPr>
          <w:lang w:eastAsia="en-US"/>
        </w:rPr>
        <w:t xml:space="preserve">: IHACPA should consult with jurisdictions to provide clarity on which costs should appear in the </w:t>
      </w:r>
      <w:r w:rsidR="007B2220" w:rsidRPr="00A47640">
        <w:rPr>
          <w:i/>
          <w:iCs/>
          <w:lang w:eastAsia="en-US"/>
        </w:rPr>
        <w:t>Oncost</w:t>
      </w:r>
      <w:r w:rsidR="007B2220" w:rsidRPr="00AB3E22">
        <w:rPr>
          <w:lang w:eastAsia="en-US"/>
        </w:rPr>
        <w:t xml:space="preserve"> line item versus </w:t>
      </w:r>
      <w:r w:rsidR="007B2220" w:rsidRPr="00A47640">
        <w:rPr>
          <w:i/>
          <w:iCs/>
          <w:lang w:eastAsia="en-US"/>
        </w:rPr>
        <w:t>S&amp;W</w:t>
      </w:r>
      <w:r w:rsidR="007B2220" w:rsidRPr="00AB3E22">
        <w:rPr>
          <w:lang w:eastAsia="en-US"/>
        </w:rPr>
        <w:t>.</w:t>
      </w:r>
    </w:p>
    <w:p w14:paraId="27BD84F9" w14:textId="543DF820" w:rsidR="005050B9" w:rsidRPr="00EC0C63" w:rsidRDefault="005050B9" w:rsidP="005050B9">
      <w:pPr>
        <w:rPr>
          <w:lang w:eastAsia="en-US"/>
        </w:rPr>
      </w:pPr>
      <w:r w:rsidRPr="00EC0C63">
        <w:rPr>
          <w:b/>
          <w:lang w:eastAsia="en-US"/>
        </w:rPr>
        <w:t>Link to Finding:</w:t>
      </w:r>
      <w:r w:rsidRPr="00EC0C63">
        <w:rPr>
          <w:lang w:eastAsia="en-US"/>
        </w:rPr>
        <w:t xml:space="preserve"> </w:t>
      </w:r>
      <w:r w:rsidR="00DF107E" w:rsidRPr="00DF107E">
        <w:rPr>
          <w:lang w:eastAsia="en-US"/>
        </w:rPr>
        <w:t xml:space="preserve">Finding 4.3: There is variation in the costs included in the </w:t>
      </w:r>
      <w:r w:rsidR="00DF107E" w:rsidRPr="00A47640">
        <w:rPr>
          <w:i/>
          <w:iCs/>
          <w:lang w:eastAsia="en-US"/>
        </w:rPr>
        <w:t>Oncost</w:t>
      </w:r>
      <w:r w:rsidR="00DF107E" w:rsidRPr="00DF107E">
        <w:rPr>
          <w:lang w:eastAsia="en-US"/>
        </w:rPr>
        <w:t xml:space="preserve"> line item</w:t>
      </w:r>
    </w:p>
    <w:p w14:paraId="2CA30486" w14:textId="77777777" w:rsidR="005050B9" w:rsidRDefault="005050B9" w:rsidP="005050B9">
      <w:pPr>
        <w:rPr>
          <w:lang w:eastAsia="en-US"/>
        </w:rPr>
      </w:pPr>
      <w:r w:rsidRPr="00EC0C63">
        <w:rPr>
          <w:b/>
          <w:bCs/>
          <w:lang w:eastAsia="en-US"/>
        </w:rPr>
        <w:t>Owner:</w:t>
      </w:r>
      <w:r w:rsidRPr="00EC0C63">
        <w:rPr>
          <w:lang w:eastAsia="en-US"/>
        </w:rPr>
        <w:t xml:space="preserve"> IHACPA</w:t>
      </w:r>
    </w:p>
    <w:p w14:paraId="092A73AC" w14:textId="77777777" w:rsidR="000948DC" w:rsidRDefault="000948DC" w:rsidP="000948DC">
      <w:pPr>
        <w:rPr>
          <w:lang w:eastAsia="en-US"/>
        </w:rPr>
      </w:pPr>
      <w:r>
        <w:rPr>
          <w:lang w:eastAsia="en-US"/>
        </w:rPr>
        <w:t xml:space="preserve">IHACPA should consult with jurisdictions to provide clarity on which costs should appear in the </w:t>
      </w:r>
      <w:r w:rsidRPr="00A47640">
        <w:rPr>
          <w:i/>
          <w:iCs/>
          <w:lang w:eastAsia="en-US"/>
        </w:rPr>
        <w:t>Oncost</w:t>
      </w:r>
      <w:r>
        <w:rPr>
          <w:lang w:eastAsia="en-US"/>
        </w:rPr>
        <w:t xml:space="preserve"> line item versus </w:t>
      </w:r>
      <w:r w:rsidRPr="00A47640">
        <w:rPr>
          <w:i/>
          <w:iCs/>
          <w:lang w:eastAsia="en-US"/>
        </w:rPr>
        <w:t>S&amp;W</w:t>
      </w:r>
      <w:r>
        <w:rPr>
          <w:lang w:eastAsia="en-US"/>
        </w:rPr>
        <w:t xml:space="preserve">. </w:t>
      </w:r>
    </w:p>
    <w:p w14:paraId="03131726" w14:textId="3CA44E26" w:rsidR="000948DC" w:rsidRPr="00EC0C63" w:rsidRDefault="000948DC" w:rsidP="000948DC">
      <w:pPr>
        <w:rPr>
          <w:lang w:eastAsia="en-US"/>
        </w:rPr>
      </w:pPr>
      <w:r>
        <w:rPr>
          <w:lang w:eastAsia="en-US"/>
        </w:rPr>
        <w:t>It is recognised that there may be challenges or long lead times for jurisdictions in implementing any changes given competing pressures; however, IHACPA should develop a best practice or best endeavours approach in consultation with jurisdictions, with jurisdictions reporting any areas where their implementation may vary.</w:t>
      </w:r>
    </w:p>
    <w:p w14:paraId="105BFA63" w14:textId="77777777" w:rsidR="00895300" w:rsidRPr="00EC0C63" w:rsidRDefault="00895300" w:rsidP="00527B96">
      <w:pPr>
        <w:rPr>
          <w:lang w:val="en-US" w:eastAsia="en-US"/>
        </w:rPr>
      </w:pPr>
    </w:p>
    <w:p w14:paraId="4CD78552" w14:textId="7398FB61" w:rsidR="00B178C4" w:rsidRDefault="00B178C4">
      <w:pPr>
        <w:tabs>
          <w:tab w:val="clear" w:pos="5309"/>
        </w:tabs>
        <w:spacing w:line="279" w:lineRule="auto"/>
        <w:sectPr w:rsidR="00B178C4" w:rsidSect="007A2B79">
          <w:headerReference w:type="default" r:id="rId32"/>
          <w:footnotePr>
            <w:pos w:val="beneathText"/>
          </w:footnotePr>
          <w:endnotePr>
            <w:numFmt w:val="decimal"/>
          </w:endnotePr>
          <w:pgSz w:w="11906" w:h="16838" w:code="9"/>
          <w:pgMar w:top="1440" w:right="1440" w:bottom="1440" w:left="1440" w:header="720" w:footer="720" w:gutter="0"/>
          <w:cols w:space="720"/>
          <w:docGrid w:linePitch="360"/>
        </w:sectPr>
      </w:pPr>
      <w:bookmarkStart w:id="35" w:name="_Ref208834840"/>
    </w:p>
    <w:p w14:paraId="2E640096" w14:textId="4B6BB5A7" w:rsidR="00E10683" w:rsidRDefault="00E10683" w:rsidP="00101B44">
      <w:pPr>
        <w:pStyle w:val="Heading1"/>
      </w:pPr>
      <w:bookmarkStart w:id="36" w:name="_Ref209511905"/>
      <w:bookmarkStart w:id="37" w:name="_Toc209517823"/>
      <w:r>
        <w:lastRenderedPageBreak/>
        <w:t>Jurisdiction chapters</w:t>
      </w:r>
      <w:bookmarkEnd w:id="35"/>
      <w:bookmarkEnd w:id="36"/>
      <w:bookmarkEnd w:id="37"/>
    </w:p>
    <w:p w14:paraId="1720137C" w14:textId="1BB0A6FB" w:rsidR="00E36F70" w:rsidRPr="00210BE2" w:rsidRDefault="00E36F70" w:rsidP="00101B44">
      <w:pPr>
        <w:pStyle w:val="Heading2"/>
      </w:pPr>
      <w:r>
        <w:t>New South Wales</w:t>
      </w:r>
    </w:p>
    <w:p w14:paraId="5226DBF6" w14:textId="1A03BEA7" w:rsidR="009A3E7C" w:rsidRDefault="007F2BBB" w:rsidP="00817218">
      <w:pPr>
        <w:pStyle w:val="Heading3"/>
      </w:pPr>
      <w:r>
        <w:rPr>
          <w:noProof/>
        </w:rPr>
        <mc:AlternateContent>
          <mc:Choice Requires="wpg">
            <w:drawing>
              <wp:anchor distT="0" distB="0" distL="114300" distR="114300" simplePos="0" relativeHeight="251658302" behindDoc="1" locked="0" layoutInCell="1" allowOverlap="1" wp14:anchorId="3E334AA8" wp14:editId="4311492A">
                <wp:simplePos x="0" y="0"/>
                <wp:positionH relativeFrom="column">
                  <wp:posOffset>2479040</wp:posOffset>
                </wp:positionH>
                <wp:positionV relativeFrom="paragraph">
                  <wp:posOffset>193675</wp:posOffset>
                </wp:positionV>
                <wp:extent cx="3143250" cy="3203575"/>
                <wp:effectExtent l="0" t="0" r="0" b="0"/>
                <wp:wrapTight wrapText="bothSides">
                  <wp:wrapPolygon edited="0">
                    <wp:start x="0" y="0"/>
                    <wp:lineTo x="0" y="21450"/>
                    <wp:lineTo x="21469" y="21450"/>
                    <wp:lineTo x="21469" y="0"/>
                    <wp:lineTo x="0" y="0"/>
                  </wp:wrapPolygon>
                </wp:wrapTight>
                <wp:docPr id="212208179" name="Group 1" descr="P9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0" cy="3203575"/>
                          <a:chOff x="190501" y="0"/>
                          <a:chExt cx="3143250" cy="3203575"/>
                        </a:xfrm>
                      </wpg:grpSpPr>
                      <wps:wsp>
                        <wps:cNvPr id="1822504741" name="Rectangle 3"/>
                        <wps:cNvSpPr/>
                        <wps:spPr>
                          <a:xfrm>
                            <a:off x="190501" y="0"/>
                            <a:ext cx="3143250" cy="3203575"/>
                          </a:xfrm>
                          <a:prstGeom prst="rect">
                            <a:avLst/>
                          </a:prstGeom>
                          <a:solidFill>
                            <a:srgbClr val="B4B5DB">
                              <a:lumMod val="40000"/>
                              <a:lumOff val="60000"/>
                            </a:srgbClr>
                          </a:solidFill>
                          <a:ln w="12700" cap="flat" cmpd="sng" algn="ctr">
                            <a:noFill/>
                            <a:prstDash val="solid"/>
                            <a:miter lim="800000"/>
                          </a:ln>
                          <a:effectLst/>
                        </wps:spPr>
                        <wps:bodyPr rtlCol="0" anchor="ctr"/>
                      </wps:wsp>
                      <wps:wsp>
                        <wps:cNvPr id="641595144" name="Text Placeholder 7"/>
                        <wps:cNvSpPr txBox="1">
                          <a:spLocks/>
                        </wps:cNvSpPr>
                        <wps:spPr>
                          <a:xfrm>
                            <a:off x="390525" y="1714500"/>
                            <a:ext cx="749545" cy="575310"/>
                          </a:xfrm>
                          <a:prstGeom prst="rect">
                            <a:avLst/>
                          </a:prstGeom>
                        </wps:spPr>
                        <wps:txbx>
                          <w:txbxContent>
                            <w:p w14:paraId="6B007FEE" w14:textId="0EA80A1C" w:rsidR="00E36F70" w:rsidRPr="001729F2" w:rsidRDefault="00AE7EF4" w:rsidP="00E36F70">
                              <w:pPr>
                                <w:spacing w:after="0" w:line="240" w:lineRule="auto"/>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17</w:t>
                              </w:r>
                            </w:p>
                          </w:txbxContent>
                        </wps:txbx>
                        <wps:bodyPr vert="horz" wrap="square" lIns="0" tIns="0" rIns="0" bIns="0" rtlCol="0" anchor="ctr" anchorCtr="0">
                          <a:noAutofit/>
                        </wps:bodyPr>
                      </wps:wsp>
                      <wps:wsp>
                        <wps:cNvPr id="1543934950" name="Google Shape;1492;p120"/>
                        <wps:cNvSpPr txBox="1">
                          <a:spLocks/>
                        </wps:cNvSpPr>
                        <wps:spPr>
                          <a:xfrm>
                            <a:off x="1419225" y="1762125"/>
                            <a:ext cx="1532890" cy="575310"/>
                          </a:xfrm>
                          <a:prstGeom prst="rect">
                            <a:avLst/>
                          </a:prstGeom>
                        </wps:spPr>
                        <wps:txbx>
                          <w:txbxContent>
                            <w:p w14:paraId="2BEAEFCB" w14:textId="77777777" w:rsidR="00E36F70" w:rsidRPr="001729F2" w:rsidRDefault="00E36F70" w:rsidP="00E36F70">
                              <w:pPr>
                                <w:spacing w:after="0" w:line="264" w:lineRule="auto"/>
                                <w:textAlignment w:val="baseline"/>
                                <w:rPr>
                                  <w:rFonts w:eastAsia="Times New Roman"/>
                                  <w:color w:val="484B5D"/>
                                  <w:kern w:val="24"/>
                                  <w:sz w:val="21"/>
                                  <w:szCs w:val="21"/>
                                </w:rPr>
                              </w:pPr>
                              <w:r w:rsidRPr="001729F2">
                                <w:rPr>
                                  <w:rFonts w:eastAsia="Times New Roman"/>
                                  <w:color w:val="484B5D"/>
                                  <w:kern w:val="24"/>
                                  <w:sz w:val="21"/>
                                  <w:szCs w:val="21"/>
                                </w:rPr>
                                <w:t>Health Services</w:t>
                              </w:r>
                            </w:p>
                          </w:txbxContent>
                        </wps:txbx>
                        <wps:bodyPr vert="horz" wrap="square" lIns="0" tIns="0" rIns="0" bIns="0" rtlCol="0" anchor="ctr" anchorCtr="0">
                          <a:noAutofit/>
                        </wps:bodyPr>
                      </wps:wsp>
                      <wps:wsp>
                        <wps:cNvPr id="1772507527" name="Text Placeholder 7"/>
                        <wps:cNvSpPr txBox="1">
                          <a:spLocks/>
                        </wps:cNvSpPr>
                        <wps:spPr>
                          <a:xfrm>
                            <a:off x="1171575" y="1190625"/>
                            <a:ext cx="1892935" cy="575310"/>
                          </a:xfrm>
                          <a:prstGeom prst="rect">
                            <a:avLst/>
                          </a:prstGeom>
                        </wps:spPr>
                        <wps:txbx>
                          <w:txbxContent>
                            <w:p w14:paraId="0AC6748F" w14:textId="13403CB3" w:rsidR="00E36F70" w:rsidRPr="001729F2" w:rsidRDefault="00E36F70" w:rsidP="00E36F70">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w:t>
                              </w:r>
                              <w:r w:rsidR="00AE7EF4" w:rsidRPr="001729F2">
                                <w:rPr>
                                  <w:rFonts w:ascii="Avenir Next LT Pro Demi" w:eastAsia="Avenir Next LT Pro Regular" w:hAnsi="Avenir Next LT Pro Demi" w:cs="Avenir Next LT Pro Regular"/>
                                  <w:color w:val="44546A"/>
                                  <w:spacing w:val="-30"/>
                                  <w:kern w:val="24"/>
                                  <w:sz w:val="64"/>
                                  <w:szCs w:val="64"/>
                                </w:rPr>
                                <w:t>21.55</w:t>
                              </w:r>
                              <w:r w:rsidRPr="001729F2">
                                <w:rPr>
                                  <w:rFonts w:ascii="Avenir Next LT Pro Demi" w:eastAsia="Avenir Next LT Pro Regular" w:hAnsi="Avenir Next LT Pro Demi" w:cs="Avenir Next LT Pro Regular"/>
                                  <w:color w:val="44546A"/>
                                  <w:spacing w:val="-30"/>
                                  <w:kern w:val="24"/>
                                  <w:sz w:val="64"/>
                                  <w:szCs w:val="64"/>
                                </w:rPr>
                                <w:t>bn</w:t>
                              </w:r>
                            </w:p>
                          </w:txbxContent>
                        </wps:txbx>
                        <wps:bodyPr vert="horz" wrap="square" lIns="0" tIns="0" rIns="0" bIns="0" rtlCol="0" anchor="ctr" anchorCtr="0">
                          <a:noAutofit/>
                        </wps:bodyPr>
                      </wps:wsp>
                      <wps:wsp>
                        <wps:cNvPr id="450865991" name="Google Shape;1492;p120"/>
                        <wps:cNvSpPr txBox="1">
                          <a:spLocks/>
                        </wps:cNvSpPr>
                        <wps:spPr>
                          <a:xfrm>
                            <a:off x="390525" y="1190625"/>
                            <a:ext cx="1150078" cy="575924"/>
                          </a:xfrm>
                          <a:prstGeom prst="rect">
                            <a:avLst/>
                          </a:prstGeom>
                        </wps:spPr>
                        <wps:txbx>
                          <w:txbxContent>
                            <w:p w14:paraId="4E46C649" w14:textId="77777777" w:rsidR="00E36F70" w:rsidRPr="001729F2" w:rsidRDefault="00E36F70" w:rsidP="00E36F70">
                              <w:pPr>
                                <w:spacing w:after="0" w:line="264" w:lineRule="auto"/>
                                <w:rPr>
                                  <w:rFonts w:eastAsia="Times New Roman"/>
                                  <w:color w:val="484B5D"/>
                                  <w:kern w:val="24"/>
                                </w:rPr>
                              </w:pPr>
                              <w:r w:rsidRPr="001729F2">
                                <w:rPr>
                                  <w:rFonts w:eastAsia="Times New Roman"/>
                                  <w:color w:val="484B5D"/>
                                  <w:kern w:val="24"/>
                                </w:rPr>
                                <w:t>Total costs submitted to NHCDC</w:t>
                              </w:r>
                            </w:p>
                          </w:txbxContent>
                        </wps:txbx>
                        <wps:bodyPr vert="horz" wrap="square" lIns="0" tIns="0" rIns="0" bIns="0" rtlCol="0" anchor="ctr" anchorCtr="0">
                          <a:noAutofit/>
                        </wps:bodyPr>
                      </wps:wsp>
                      <wps:wsp>
                        <wps:cNvPr id="1732392650" name="Text Placeholder 7"/>
                        <wps:cNvSpPr txBox="1">
                          <a:spLocks/>
                        </wps:cNvSpPr>
                        <wps:spPr>
                          <a:xfrm>
                            <a:off x="390523" y="542926"/>
                            <a:ext cx="927735" cy="575945"/>
                          </a:xfrm>
                          <a:prstGeom prst="rect">
                            <a:avLst/>
                          </a:prstGeom>
                          <a:noFill/>
                        </wps:spPr>
                        <wps:txbx>
                          <w:txbxContent>
                            <w:p w14:paraId="52AD78C0" w14:textId="7FEC77C1" w:rsidR="00E36F70" w:rsidRPr="001729F2" w:rsidRDefault="00AE7EF4" w:rsidP="00E36F70">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145</w:t>
                              </w:r>
                            </w:p>
                          </w:txbxContent>
                        </wps:txbx>
                        <wps:bodyPr vert="horz" wrap="none" lIns="0" tIns="0" rIns="0" bIns="0" rtlCol="0" anchor="b" anchorCtr="0">
                          <a:noAutofit/>
                        </wps:bodyPr>
                      </wps:wsp>
                      <wps:wsp>
                        <wps:cNvPr id="1287444478" name="Google Shape;1492;p120"/>
                        <wps:cNvSpPr txBox="1">
                          <a:spLocks/>
                        </wps:cNvSpPr>
                        <wps:spPr>
                          <a:xfrm>
                            <a:off x="1466850" y="628650"/>
                            <a:ext cx="1565275" cy="575310"/>
                          </a:xfrm>
                          <a:prstGeom prst="rect">
                            <a:avLst/>
                          </a:prstGeom>
                        </wps:spPr>
                        <wps:txbx>
                          <w:txbxContent>
                            <w:p w14:paraId="25891E16" w14:textId="2D01EF39" w:rsidR="00E36F70" w:rsidRPr="001729F2" w:rsidRDefault="00E36F70" w:rsidP="00E36F70">
                              <w:pPr>
                                <w:spacing w:after="0" w:line="264" w:lineRule="auto"/>
                                <w:rPr>
                                  <w:rFonts w:eastAsia="Times New Roman"/>
                                  <w:color w:val="484B5D"/>
                                  <w:kern w:val="24"/>
                                  <w:sz w:val="21"/>
                                  <w:szCs w:val="21"/>
                                </w:rPr>
                              </w:pPr>
                              <w:r w:rsidRPr="001729F2">
                                <w:rPr>
                                  <w:rFonts w:eastAsia="Times New Roman"/>
                                  <w:color w:val="484B5D"/>
                                  <w:kern w:val="24"/>
                                  <w:sz w:val="21"/>
                                  <w:szCs w:val="21"/>
                                </w:rPr>
                                <w:t xml:space="preserve">Facilities submitting data to the NHCDC in </w:t>
                              </w:r>
                              <w:r w:rsidR="00D738B2">
                                <w:rPr>
                                  <w:rFonts w:eastAsia="Times New Roman"/>
                                  <w:color w:val="484B5D"/>
                                  <w:kern w:val="24"/>
                                  <w:sz w:val="21"/>
                                  <w:szCs w:val="21"/>
                                </w:rPr>
                                <w:t>2023-24</w:t>
                              </w:r>
                            </w:p>
                          </w:txbxContent>
                        </wps:txbx>
                        <wps:bodyPr vert="horz" lIns="0" tIns="0" rIns="0" bIns="0" rtlCol="0" anchor="ctr" anchorCtr="0">
                          <a:noAutofit/>
                        </wps:bodyPr>
                      </wps:wsp>
                      <wps:wsp>
                        <wps:cNvPr id="1989336230" name="Text Placeholder 7"/>
                        <wps:cNvSpPr txBox="1">
                          <a:spLocks/>
                        </wps:cNvSpPr>
                        <wps:spPr>
                          <a:xfrm>
                            <a:off x="1181100" y="2333625"/>
                            <a:ext cx="1884045" cy="575310"/>
                          </a:xfrm>
                          <a:prstGeom prst="rect">
                            <a:avLst/>
                          </a:prstGeom>
                        </wps:spPr>
                        <wps:txbx>
                          <w:txbxContent>
                            <w:p w14:paraId="2DEBE7E5" w14:textId="3ED541EB" w:rsidR="00E36F70" w:rsidRPr="001729F2" w:rsidRDefault="00E36F70" w:rsidP="00E36F70">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1729F2">
                                <w:rPr>
                                  <w:rFonts w:ascii="Avenir Next LT Pro Demi" w:eastAsia="Avenir Next LT Pro Regular" w:hAnsi="Avenir Next LT Pro Demi" w:cs="Avenir Next LT Pro Regular"/>
                                  <w:color w:val="44546A"/>
                                  <w:spacing w:val="-30"/>
                                  <w:kern w:val="24"/>
                                  <w:sz w:val="72"/>
                                  <w:szCs w:val="72"/>
                                </w:rPr>
                                <w:t>$</w:t>
                              </w:r>
                              <w:r w:rsidR="00AE7EF4" w:rsidRPr="001729F2">
                                <w:rPr>
                                  <w:rFonts w:ascii="Avenir Next LT Pro Demi" w:eastAsia="Avenir Next LT Pro Regular" w:hAnsi="Avenir Next LT Pro Demi" w:cs="Avenir Next LT Pro Regular"/>
                                  <w:color w:val="44546A"/>
                                  <w:spacing w:val="-30"/>
                                  <w:kern w:val="24"/>
                                  <w:sz w:val="72"/>
                                  <w:szCs w:val="72"/>
                                </w:rPr>
                                <w:t>6,256</w:t>
                              </w:r>
                            </w:p>
                          </w:txbxContent>
                        </wps:txbx>
                        <wps:bodyPr vert="horz" lIns="0" tIns="0" rIns="0" bIns="0" rtlCol="0" anchor="ctr" anchorCtr="0">
                          <a:noAutofit/>
                        </wps:bodyPr>
                      </wps:wsp>
                      <wps:wsp>
                        <wps:cNvPr id="1624668081" name="Google Shape;1492;p120"/>
                        <wps:cNvSpPr txBox="1">
                          <a:spLocks/>
                        </wps:cNvSpPr>
                        <wps:spPr>
                          <a:xfrm>
                            <a:off x="390525" y="2333625"/>
                            <a:ext cx="1150078" cy="575924"/>
                          </a:xfrm>
                          <a:prstGeom prst="rect">
                            <a:avLst/>
                          </a:prstGeom>
                        </wps:spPr>
                        <wps:txbx>
                          <w:txbxContent>
                            <w:p w14:paraId="0C685D93" w14:textId="77777777" w:rsidR="00E36F70" w:rsidRPr="001729F2" w:rsidRDefault="00E36F70" w:rsidP="00E36F70">
                              <w:pPr>
                                <w:spacing w:after="0" w:line="264" w:lineRule="auto"/>
                                <w:rPr>
                                  <w:rFonts w:eastAsia="Times New Roman"/>
                                  <w:color w:val="484B5D"/>
                                  <w:kern w:val="24"/>
                                </w:rPr>
                              </w:pPr>
                              <w:r w:rsidRPr="001729F2">
                                <w:rPr>
                                  <w:rFonts w:eastAsia="Times New Roman"/>
                                  <w:color w:val="484B5D"/>
                                  <w:kern w:val="24"/>
                                </w:rPr>
                                <w:t>Average cost per GWAU (excl. Community MH)</w:t>
                              </w:r>
                            </w:p>
                          </w:txbxContent>
                        </wps:txbx>
                        <wps:bodyPr vert="horz" wrap="square" lIns="0" tIns="0" rIns="0" bIns="0" rtlCol="0" anchor="ctr" anchorCtr="0">
                          <a:noAutofit/>
                        </wps:bodyPr>
                      </wps:wsp>
                      <wps:wsp>
                        <wps:cNvPr id="1537999687" name="TextBox 21"/>
                        <wps:cNvSpPr txBox="1"/>
                        <wps:spPr>
                          <a:xfrm>
                            <a:off x="390525" y="276225"/>
                            <a:ext cx="2530057" cy="351108"/>
                          </a:xfrm>
                          <a:prstGeom prst="rect">
                            <a:avLst/>
                          </a:prstGeom>
                          <a:noFill/>
                        </wps:spPr>
                        <wps:txbx>
                          <w:txbxContent>
                            <w:p w14:paraId="6C23DFF3" w14:textId="2B0F253D" w:rsidR="00E36F70" w:rsidRPr="001729F2" w:rsidRDefault="00E36F70" w:rsidP="00E36F70">
                              <w:pPr>
                                <w:rPr>
                                  <w:rFonts w:eastAsia="Times New Roman"/>
                                  <w:i/>
                                  <w:iCs/>
                                  <w:color w:val="464E7E"/>
                                  <w:kern w:val="24"/>
                                  <w:sz w:val="28"/>
                                  <w:szCs w:val="28"/>
                                </w:rPr>
                              </w:pPr>
                              <w:r w:rsidRPr="001729F2">
                                <w:rPr>
                                  <w:rFonts w:eastAsia="Times New Roman"/>
                                  <w:i/>
                                  <w:iCs/>
                                  <w:color w:val="464E7E"/>
                                  <w:kern w:val="24"/>
                                  <w:sz w:val="28"/>
                                  <w:szCs w:val="28"/>
                                </w:rPr>
                                <w:t xml:space="preserve">At a glance: </w:t>
                              </w:r>
                              <w:r w:rsidR="00334068">
                                <w:rPr>
                                  <w:rFonts w:eastAsia="Times New Roman"/>
                                  <w:i/>
                                  <w:iCs/>
                                  <w:color w:val="464E7E"/>
                                  <w:kern w:val="24"/>
                                  <w:sz w:val="28"/>
                                  <w:szCs w:val="28"/>
                                </w:rPr>
                                <w:t>NSW</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3E334AA8" id="Group 1" o:spid="_x0000_s1059" alt="P956#y1" style="position:absolute;left:0;text-align:left;margin-left:195.2pt;margin-top:15.25pt;width:247.5pt;height:252.25pt;z-index:-251658178;mso-position-horizontal-relative:text;mso-position-vertical-relative:text;mso-width-relative:margin;mso-height-relative:margin" coordorigin="1905" coordsize="31432,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">
                <v:rect id="Rectangle 3" o:spid="_x0000_s1060" style="position:absolute;left:1905;width:31432;height:3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" fillcolor="#e1e1f1" stroked="f" strokeweight="1pt"/>
                <v:shape id="Text Placeholder 7" o:spid="_x0000_s1061" type="#_x0000_t202" style="position:absolute;left:3905;top:17145;width:7495;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" filled="f" stroked="f">
                  <v:textbox inset="0,0,0,0">
                    <w:txbxContent>
                      <w:p w14:paraId="6B007FEE" w14:textId="0EA80A1C" w:rsidR="00E36F70" w:rsidRPr="001729F2" w:rsidRDefault="00AE7EF4" w:rsidP="00E36F70">
                        <w:pPr>
                          <w:spacing w:after="0" w:line="240" w:lineRule="auto"/>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17</w:t>
                        </w:r>
                      </w:p>
                    </w:txbxContent>
                  </v:textbox>
                </v:shape>
                <v:shape id="Google Shape;1492;p120" o:spid="_x0000_s1062" type="#_x0000_t202" style="position:absolute;left:14192;top:17621;width:15329;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" filled="f" stroked="f">
                  <v:textbox inset="0,0,0,0">
                    <w:txbxContent>
                      <w:p w14:paraId="2BEAEFCB" w14:textId="77777777" w:rsidR="00E36F70" w:rsidRPr="001729F2" w:rsidRDefault="00E36F70" w:rsidP="00E36F70">
                        <w:pPr>
                          <w:spacing w:after="0" w:line="264" w:lineRule="auto"/>
                          <w:textAlignment w:val="baseline"/>
                          <w:rPr>
                            <w:rFonts w:eastAsia="Times New Roman"/>
                            <w:color w:val="484B5D"/>
                            <w:kern w:val="24"/>
                            <w:sz w:val="21"/>
                            <w:szCs w:val="21"/>
                          </w:rPr>
                        </w:pPr>
                        <w:r w:rsidRPr="001729F2">
                          <w:rPr>
                            <w:rFonts w:eastAsia="Times New Roman"/>
                            <w:color w:val="484B5D"/>
                            <w:kern w:val="24"/>
                            <w:sz w:val="21"/>
                            <w:szCs w:val="21"/>
                          </w:rPr>
                          <w:t>Health Services</w:t>
                        </w:r>
                      </w:p>
                    </w:txbxContent>
                  </v:textbox>
                </v:shape>
                <v:shape id="Text Placeholder 7" o:spid="_x0000_s1063" type="#_x0000_t202" style="position:absolute;left:11715;top:11906;width:1893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" filled="f" stroked="f">
                  <v:textbox inset="0,0,0,0">
                    <w:txbxContent>
                      <w:p w14:paraId="0AC6748F" w14:textId="13403CB3" w:rsidR="00E36F70" w:rsidRPr="001729F2" w:rsidRDefault="00E36F70" w:rsidP="00E36F70">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w:t>
                        </w:r>
                        <w:r w:rsidR="00AE7EF4" w:rsidRPr="001729F2">
                          <w:rPr>
                            <w:rFonts w:ascii="Avenir Next LT Pro Demi" w:eastAsia="Avenir Next LT Pro Regular" w:hAnsi="Avenir Next LT Pro Demi" w:cs="Avenir Next LT Pro Regular"/>
                            <w:color w:val="44546A"/>
                            <w:spacing w:val="-30"/>
                            <w:kern w:val="24"/>
                            <w:sz w:val="64"/>
                            <w:szCs w:val="64"/>
                          </w:rPr>
                          <w:t>21.55</w:t>
                        </w:r>
                        <w:r w:rsidRPr="001729F2">
                          <w:rPr>
                            <w:rFonts w:ascii="Avenir Next LT Pro Demi" w:eastAsia="Avenir Next LT Pro Regular" w:hAnsi="Avenir Next LT Pro Demi" w:cs="Avenir Next LT Pro Regular"/>
                            <w:color w:val="44546A"/>
                            <w:spacing w:val="-30"/>
                            <w:kern w:val="24"/>
                            <w:sz w:val="64"/>
                            <w:szCs w:val="64"/>
                          </w:rPr>
                          <w:t>bn</w:t>
                        </w:r>
                      </w:p>
                    </w:txbxContent>
                  </v:textbox>
                </v:shape>
                <v:shape id="Google Shape;1492;p120" o:spid="_x0000_s1064" type="#_x0000_t202" style="position:absolute;left:3905;top:1190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" filled="f" stroked="f">
                  <v:textbox inset="0,0,0,0">
                    <w:txbxContent>
                      <w:p w14:paraId="4E46C649" w14:textId="77777777" w:rsidR="00E36F70" w:rsidRPr="001729F2" w:rsidRDefault="00E36F70" w:rsidP="00E36F70">
                        <w:pPr>
                          <w:spacing w:after="0" w:line="264" w:lineRule="auto"/>
                          <w:rPr>
                            <w:rFonts w:eastAsia="Times New Roman"/>
                            <w:color w:val="484B5D"/>
                            <w:kern w:val="24"/>
                          </w:rPr>
                        </w:pPr>
                        <w:r w:rsidRPr="001729F2">
                          <w:rPr>
                            <w:rFonts w:eastAsia="Times New Roman"/>
                            <w:color w:val="484B5D"/>
                            <w:kern w:val="24"/>
                          </w:rPr>
                          <w:t>Total costs submitted to NHCDC</w:t>
                        </w:r>
                      </w:p>
                    </w:txbxContent>
                  </v:textbox>
                </v:shape>
                <v:shape id="Text Placeholder 7" o:spid="_x0000_s1065" type="#_x0000_t202" style="position:absolute;left:3905;top:5429;width:9277;height:575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" filled="f" stroked="f">
                  <v:textbox inset="0,0,0,0">
                    <w:txbxContent>
                      <w:p w14:paraId="52AD78C0" w14:textId="7FEC77C1" w:rsidR="00E36F70" w:rsidRPr="001729F2" w:rsidRDefault="00AE7EF4" w:rsidP="00E36F70">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145</w:t>
                        </w:r>
                      </w:p>
                    </w:txbxContent>
                  </v:textbox>
                </v:shape>
                <v:shape id="Google Shape;1492;p120" o:spid="_x0000_s1066" type="#_x0000_t202" style="position:absolute;left:14668;top:6286;width:15653;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" filled="f" stroked="f">
                  <v:textbox inset="0,0,0,0">
                    <w:txbxContent>
                      <w:p w14:paraId="25891E16" w14:textId="2D01EF39" w:rsidR="00E36F70" w:rsidRPr="001729F2" w:rsidRDefault="00E36F70" w:rsidP="00E36F70">
                        <w:pPr>
                          <w:spacing w:after="0" w:line="264" w:lineRule="auto"/>
                          <w:rPr>
                            <w:rFonts w:eastAsia="Times New Roman"/>
                            <w:color w:val="484B5D"/>
                            <w:kern w:val="24"/>
                            <w:sz w:val="21"/>
                            <w:szCs w:val="21"/>
                          </w:rPr>
                        </w:pPr>
                        <w:r w:rsidRPr="001729F2">
                          <w:rPr>
                            <w:rFonts w:eastAsia="Times New Roman"/>
                            <w:color w:val="484B5D"/>
                            <w:kern w:val="24"/>
                            <w:sz w:val="21"/>
                            <w:szCs w:val="21"/>
                          </w:rPr>
                          <w:t xml:space="preserve">Facilities submitting data to the NHCDC in </w:t>
                        </w:r>
                        <w:r w:rsidR="00D738B2">
                          <w:rPr>
                            <w:rFonts w:eastAsia="Times New Roman"/>
                            <w:color w:val="484B5D"/>
                            <w:kern w:val="24"/>
                            <w:sz w:val="21"/>
                            <w:szCs w:val="21"/>
                          </w:rPr>
                          <w:t>2023-24</w:t>
                        </w:r>
                      </w:p>
                    </w:txbxContent>
                  </v:textbox>
                </v:shape>
                <v:shape id="Text Placeholder 7" o:spid="_x0000_s1067" type="#_x0000_t202" style="position:absolute;left:11811;top:23336;width:1884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" filled="f" stroked="f">
                  <v:textbox inset="0,0,0,0">
                    <w:txbxContent>
                      <w:p w14:paraId="2DEBE7E5" w14:textId="3ED541EB" w:rsidR="00E36F70" w:rsidRPr="001729F2" w:rsidRDefault="00E36F70" w:rsidP="00E36F70">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1729F2">
                          <w:rPr>
                            <w:rFonts w:ascii="Avenir Next LT Pro Demi" w:eastAsia="Avenir Next LT Pro Regular" w:hAnsi="Avenir Next LT Pro Demi" w:cs="Avenir Next LT Pro Regular"/>
                            <w:color w:val="44546A"/>
                            <w:spacing w:val="-30"/>
                            <w:kern w:val="24"/>
                            <w:sz w:val="72"/>
                            <w:szCs w:val="72"/>
                          </w:rPr>
                          <w:t>$</w:t>
                        </w:r>
                        <w:r w:rsidR="00AE7EF4" w:rsidRPr="001729F2">
                          <w:rPr>
                            <w:rFonts w:ascii="Avenir Next LT Pro Demi" w:eastAsia="Avenir Next LT Pro Regular" w:hAnsi="Avenir Next LT Pro Demi" w:cs="Avenir Next LT Pro Regular"/>
                            <w:color w:val="44546A"/>
                            <w:spacing w:val="-30"/>
                            <w:kern w:val="24"/>
                            <w:sz w:val="72"/>
                            <w:szCs w:val="72"/>
                          </w:rPr>
                          <w:t>6,256</w:t>
                        </w:r>
                      </w:p>
                    </w:txbxContent>
                  </v:textbox>
                </v:shape>
                <v:shape id="Google Shape;1492;p120" o:spid="_x0000_s1068" type="#_x0000_t202" style="position:absolute;left:3905;top:2333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" filled="f" stroked="f">
                  <v:textbox inset="0,0,0,0">
                    <w:txbxContent>
                      <w:p w14:paraId="0C685D93" w14:textId="77777777" w:rsidR="00E36F70" w:rsidRPr="001729F2" w:rsidRDefault="00E36F70" w:rsidP="00E36F70">
                        <w:pPr>
                          <w:spacing w:after="0" w:line="264" w:lineRule="auto"/>
                          <w:rPr>
                            <w:rFonts w:eastAsia="Times New Roman"/>
                            <w:color w:val="484B5D"/>
                            <w:kern w:val="24"/>
                          </w:rPr>
                        </w:pPr>
                        <w:r w:rsidRPr="001729F2">
                          <w:rPr>
                            <w:rFonts w:eastAsia="Times New Roman"/>
                            <w:color w:val="484B5D"/>
                            <w:kern w:val="24"/>
                          </w:rPr>
                          <w:t>Average cost per GWAU (excl. Community MH)</w:t>
                        </w:r>
                      </w:p>
                    </w:txbxContent>
                  </v:textbox>
                </v:shape>
                <v:shape id="TextBox 21" o:spid="_x0000_s1069" type="#_x0000_t202" style="position:absolute;left:3905;top:2762;width:2530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" filled="f" stroked="f">
                  <v:textbox style="mso-fit-shape-to-text:t" inset="0,0,0,0">
                    <w:txbxContent>
                      <w:p w14:paraId="6C23DFF3" w14:textId="2B0F253D" w:rsidR="00E36F70" w:rsidRPr="001729F2" w:rsidRDefault="00E36F70" w:rsidP="00E36F70">
                        <w:pPr>
                          <w:rPr>
                            <w:rFonts w:eastAsia="Times New Roman"/>
                            <w:i/>
                            <w:iCs/>
                            <w:color w:val="464E7E"/>
                            <w:kern w:val="24"/>
                            <w:sz w:val="28"/>
                            <w:szCs w:val="28"/>
                          </w:rPr>
                        </w:pPr>
                        <w:r w:rsidRPr="001729F2">
                          <w:rPr>
                            <w:rFonts w:eastAsia="Times New Roman"/>
                            <w:i/>
                            <w:iCs/>
                            <w:color w:val="464E7E"/>
                            <w:kern w:val="24"/>
                            <w:sz w:val="28"/>
                            <w:szCs w:val="28"/>
                          </w:rPr>
                          <w:t xml:space="preserve">At a glance: </w:t>
                        </w:r>
                        <w:r w:rsidR="00334068">
                          <w:rPr>
                            <w:rFonts w:eastAsia="Times New Roman"/>
                            <w:i/>
                            <w:iCs/>
                            <w:color w:val="464E7E"/>
                            <w:kern w:val="24"/>
                            <w:sz w:val="28"/>
                            <w:szCs w:val="28"/>
                          </w:rPr>
                          <w:t>NSW</w:t>
                        </w:r>
                      </w:p>
                    </w:txbxContent>
                  </v:textbox>
                </v:shape>
                <w10:wrap type="tight"/>
              </v:group>
            </w:pict>
          </mc:Fallback>
        </mc:AlternateContent>
      </w:r>
      <w:r w:rsidR="00C66257">
        <w:t>State-wide costed NHCDC 2023-24 submission</w:t>
      </w:r>
    </w:p>
    <w:p w14:paraId="1FAA93DA" w14:textId="204246B8" w:rsidR="00033764" w:rsidRDefault="00607F6F" w:rsidP="007C38A5">
      <w:pPr>
        <w:spacing w:line="240" w:lineRule="auto"/>
        <w:rPr>
          <w:color w:val="44546A" w:themeColor="text2"/>
        </w:rPr>
      </w:pPr>
      <w:r>
        <w:rPr>
          <w:color w:val="44546A" w:themeColor="text2"/>
        </w:rPr>
        <w:t>New South Wales (</w:t>
      </w:r>
      <w:r w:rsidR="007C38A5" w:rsidRPr="005D1D70">
        <w:rPr>
          <w:color w:val="44546A" w:themeColor="text2"/>
        </w:rPr>
        <w:t>NSW</w:t>
      </w:r>
      <w:r>
        <w:rPr>
          <w:color w:val="44546A" w:themeColor="text2"/>
        </w:rPr>
        <w:t>)</w:t>
      </w:r>
      <w:r w:rsidR="007C38A5" w:rsidRPr="005D1D70">
        <w:rPr>
          <w:color w:val="44546A" w:themeColor="text2"/>
        </w:rPr>
        <w:t xml:space="preserve"> submits costed activity for 15 </w:t>
      </w:r>
      <w:r w:rsidR="00DC7D09">
        <w:rPr>
          <w:color w:val="44546A" w:themeColor="text2"/>
        </w:rPr>
        <w:t xml:space="preserve">local health </w:t>
      </w:r>
      <w:r w:rsidR="00AA0859">
        <w:rPr>
          <w:color w:val="44546A" w:themeColor="text2"/>
        </w:rPr>
        <w:t>districts</w:t>
      </w:r>
      <w:r w:rsidR="00DC7D09">
        <w:rPr>
          <w:color w:val="44546A" w:themeColor="text2"/>
        </w:rPr>
        <w:t xml:space="preserve"> (</w:t>
      </w:r>
      <w:r w:rsidR="007C38A5" w:rsidRPr="005D1D70">
        <w:rPr>
          <w:color w:val="44546A" w:themeColor="text2"/>
        </w:rPr>
        <w:t>LHDs</w:t>
      </w:r>
      <w:r w:rsidR="00DC7D09">
        <w:rPr>
          <w:color w:val="44546A" w:themeColor="text2"/>
        </w:rPr>
        <w:t xml:space="preserve">) </w:t>
      </w:r>
      <w:r w:rsidR="007C38A5" w:rsidRPr="005D1D70">
        <w:rPr>
          <w:color w:val="44546A" w:themeColor="text2"/>
        </w:rPr>
        <w:t xml:space="preserve">and 2 Specialty Health Networks (SHNs) as </w:t>
      </w:r>
      <w:r w:rsidR="007C38A5" w:rsidRPr="003C28DB">
        <w:rPr>
          <w:color w:val="44546A" w:themeColor="text2"/>
        </w:rPr>
        <w:t>part</w:t>
      </w:r>
      <w:r w:rsidR="007C38A5" w:rsidRPr="005D1D70">
        <w:rPr>
          <w:color w:val="44546A" w:themeColor="text2"/>
        </w:rPr>
        <w:t xml:space="preserve"> of the </w:t>
      </w:r>
      <w:r>
        <w:rPr>
          <w:color w:val="44546A" w:themeColor="text2"/>
        </w:rPr>
        <w:t>National Hospital Cost Data Collection (</w:t>
      </w:r>
      <w:r w:rsidR="007C38A5" w:rsidRPr="005D1D70">
        <w:rPr>
          <w:color w:val="44546A" w:themeColor="text2"/>
        </w:rPr>
        <w:t>NHCDC</w:t>
      </w:r>
      <w:r>
        <w:rPr>
          <w:color w:val="44546A" w:themeColor="text2"/>
        </w:rPr>
        <w:t>)</w:t>
      </w:r>
      <w:r w:rsidR="007C38A5" w:rsidRPr="005D1D70">
        <w:rPr>
          <w:color w:val="44546A" w:themeColor="text2"/>
        </w:rPr>
        <w:t>.</w:t>
      </w:r>
    </w:p>
    <w:p w14:paraId="4BDA2FCD" w14:textId="14B7F97A" w:rsidR="007C38A5" w:rsidRPr="005D1D70" w:rsidRDefault="007C38A5" w:rsidP="007C38A5">
      <w:pPr>
        <w:spacing w:line="240" w:lineRule="auto"/>
        <w:rPr>
          <w:color w:val="44546A" w:themeColor="text2"/>
        </w:rPr>
      </w:pPr>
      <w:r w:rsidRPr="005D1D70">
        <w:rPr>
          <w:color w:val="44546A" w:themeColor="text2"/>
        </w:rPr>
        <w:t xml:space="preserve">Total costs submitted by NSW in </w:t>
      </w:r>
      <w:r>
        <w:rPr>
          <w:color w:val="44546A" w:themeColor="text2"/>
        </w:rPr>
        <w:t>2023</w:t>
      </w:r>
      <w:r w:rsidR="00607F6F">
        <w:rPr>
          <w:color w:val="44546A" w:themeColor="text2"/>
        </w:rPr>
        <w:noBreakHyphen/>
      </w:r>
      <w:r w:rsidRPr="005D1D70">
        <w:rPr>
          <w:color w:val="44546A" w:themeColor="text2"/>
        </w:rPr>
        <w:t xml:space="preserve">24 were </w:t>
      </w:r>
      <w:r w:rsidRPr="005D1D70">
        <w:rPr>
          <w:b/>
          <w:color w:val="44546A" w:themeColor="text2"/>
        </w:rPr>
        <w:t>$21</w:t>
      </w:r>
      <w:r>
        <w:rPr>
          <w:b/>
          <w:color w:val="44546A" w:themeColor="text2"/>
        </w:rPr>
        <w:t>.</w:t>
      </w:r>
      <w:r w:rsidRPr="005D1D70">
        <w:rPr>
          <w:b/>
          <w:color w:val="44546A" w:themeColor="text2"/>
        </w:rPr>
        <w:t xml:space="preserve">55 </w:t>
      </w:r>
      <w:r>
        <w:rPr>
          <w:b/>
          <w:color w:val="44546A" w:themeColor="text2"/>
        </w:rPr>
        <w:t>billion</w:t>
      </w:r>
      <w:r w:rsidRPr="005D1D70">
        <w:rPr>
          <w:color w:val="44546A" w:themeColor="text2"/>
        </w:rPr>
        <w:t xml:space="preserve"> and </w:t>
      </w:r>
      <w:r w:rsidRPr="005D1D70" w:rsidDel="00961F69">
        <w:rPr>
          <w:b/>
          <w:bCs/>
          <w:color w:val="44546A" w:themeColor="text2"/>
        </w:rPr>
        <w:t>15</w:t>
      </w:r>
      <w:r w:rsidRPr="005D1D70">
        <w:rPr>
          <w:b/>
          <w:color w:val="44546A" w:themeColor="text2"/>
        </w:rPr>
        <w:t>.8</w:t>
      </w:r>
      <w:r w:rsidRPr="005D1D70">
        <w:rPr>
          <w:b/>
          <w:bCs/>
          <w:color w:val="44546A" w:themeColor="text2"/>
        </w:rPr>
        <w:t>0</w:t>
      </w:r>
      <w:r w:rsidRPr="005D1D70">
        <w:rPr>
          <w:b/>
          <w:color w:val="44546A" w:themeColor="text2"/>
        </w:rPr>
        <w:t xml:space="preserve"> million</w:t>
      </w:r>
      <w:r w:rsidRPr="005D1D70">
        <w:rPr>
          <w:color w:val="44546A" w:themeColor="text2"/>
        </w:rPr>
        <w:t xml:space="preserve"> episodes</w:t>
      </w:r>
      <w:r w:rsidR="00391C73">
        <w:rPr>
          <w:color w:val="44546A" w:themeColor="text2"/>
        </w:rPr>
        <w:t>.</w:t>
      </w:r>
      <w:r w:rsidR="00CE6F96">
        <w:rPr>
          <w:rFonts w:ascii="ZWAdobeF" w:hAnsi="ZWAdobeF" w:cs="ZWAdobeF"/>
          <w:color w:val="auto"/>
          <w:sz w:val="2"/>
          <w:szCs w:val="2"/>
        </w:rPr>
        <w:t>11F</w:t>
      </w:r>
      <w:r w:rsidRPr="005D1D70">
        <w:rPr>
          <w:rStyle w:val="FootnoteReference"/>
          <w:color w:val="44546A" w:themeColor="text2"/>
        </w:rPr>
        <w:footnoteReference w:id="13"/>
      </w:r>
      <w:r w:rsidRPr="005D1D70">
        <w:rPr>
          <w:color w:val="44546A" w:themeColor="text2"/>
        </w:rPr>
        <w:t xml:space="preserve"> </w:t>
      </w:r>
    </w:p>
    <w:p w14:paraId="0C68B533" w14:textId="30720EA5" w:rsidR="007C38A5" w:rsidRPr="00057F95" w:rsidRDefault="00655C8B" w:rsidP="007C38A5">
      <w:pPr>
        <w:spacing w:line="240" w:lineRule="auto"/>
        <w:rPr>
          <w:color w:val="44546A" w:themeColor="text2"/>
        </w:rPr>
      </w:pPr>
      <w:r>
        <w:rPr>
          <w:color w:val="44546A" w:themeColor="text2"/>
        </w:rPr>
        <w:t xml:space="preserve">The same scope of activity that was applied in the Cost Driver analysis has also been applied in this section. </w:t>
      </w:r>
      <w:r w:rsidR="007C38A5" w:rsidRPr="005D1D70">
        <w:rPr>
          <w:color w:val="44546A" w:themeColor="text2"/>
        </w:rPr>
        <w:t xml:space="preserve">Costs for </w:t>
      </w:r>
      <w:r w:rsidR="00AD460B">
        <w:rPr>
          <w:color w:val="44546A" w:themeColor="text2"/>
        </w:rPr>
        <w:t>activity-based funded (</w:t>
      </w:r>
      <w:r w:rsidR="007C38A5" w:rsidRPr="005D1D70">
        <w:rPr>
          <w:color w:val="44546A" w:themeColor="text2"/>
        </w:rPr>
        <w:t>ABF</w:t>
      </w:r>
      <w:r w:rsidR="00AD460B">
        <w:rPr>
          <w:color w:val="44546A" w:themeColor="text2"/>
        </w:rPr>
        <w:t>)</w:t>
      </w:r>
      <w:r w:rsidR="007C38A5" w:rsidRPr="005D1D70">
        <w:rPr>
          <w:color w:val="44546A" w:themeColor="text2"/>
        </w:rPr>
        <w:t xml:space="preserve"> hospitals</w:t>
      </w:r>
      <w:r w:rsidR="003F0D03">
        <w:rPr>
          <w:color w:val="44546A" w:themeColor="text2"/>
        </w:rPr>
        <w:t xml:space="preserve"> and selected activity streams</w:t>
      </w:r>
      <w:r w:rsidR="007C38A5" w:rsidRPr="005D1D70">
        <w:rPr>
          <w:color w:val="44546A" w:themeColor="text2"/>
        </w:rPr>
        <w:t xml:space="preserve"> in NSW</w:t>
      </w:r>
      <w:r w:rsidR="007C38A5" w:rsidRPr="005D1D70">
        <w:rPr>
          <w:color w:val="auto"/>
        </w:rPr>
        <w:t xml:space="preserve"> </w:t>
      </w:r>
      <w:r w:rsidR="007C38A5" w:rsidRPr="005D1D70">
        <w:rPr>
          <w:color w:val="44546A" w:themeColor="text2"/>
        </w:rPr>
        <w:t xml:space="preserve">in </w:t>
      </w:r>
      <w:r w:rsidR="007C38A5">
        <w:rPr>
          <w:color w:val="44546A" w:themeColor="text2"/>
        </w:rPr>
        <w:t>2023</w:t>
      </w:r>
      <w:r w:rsidR="007C38A5" w:rsidRPr="005D1D70">
        <w:rPr>
          <w:color w:val="44546A" w:themeColor="text2"/>
        </w:rPr>
        <w:t xml:space="preserve">-24 were </w:t>
      </w:r>
      <w:r w:rsidR="007C38A5" w:rsidRPr="005D1D70">
        <w:rPr>
          <w:b/>
          <w:color w:val="44546A" w:themeColor="text2"/>
        </w:rPr>
        <w:t>$20</w:t>
      </w:r>
      <w:r w:rsidR="007C38A5">
        <w:rPr>
          <w:b/>
          <w:color w:val="44546A" w:themeColor="text2"/>
        </w:rPr>
        <w:t>.</w:t>
      </w:r>
      <w:r w:rsidR="007C38A5" w:rsidRPr="005D1D70">
        <w:rPr>
          <w:b/>
          <w:color w:val="44546A" w:themeColor="text2"/>
        </w:rPr>
        <w:t xml:space="preserve">58 </w:t>
      </w:r>
      <w:r w:rsidR="007C38A5">
        <w:rPr>
          <w:b/>
          <w:color w:val="44546A" w:themeColor="text2"/>
        </w:rPr>
        <w:t>billion</w:t>
      </w:r>
      <w:r w:rsidR="007C38A5">
        <w:rPr>
          <w:rStyle w:val="CommentReference"/>
        </w:rPr>
        <w:t>.</w:t>
      </w:r>
      <w:r w:rsidR="007C38A5" w:rsidRPr="005D1D70">
        <w:rPr>
          <w:color w:val="44546A" w:themeColor="text2"/>
        </w:rPr>
        <w:t xml:space="preserve"> NSW is the largest contributor to the NHCDC nationally.</w:t>
      </w:r>
    </w:p>
    <w:p w14:paraId="27FC2452" w14:textId="6805D8BC" w:rsidR="007C38A5" w:rsidRPr="00744BEB" w:rsidRDefault="007C38A5" w:rsidP="007C38A5">
      <w:pPr>
        <w:spacing w:line="240" w:lineRule="auto"/>
        <w:rPr>
          <w:b/>
          <w:color w:val="44546A" w:themeColor="text2"/>
        </w:rPr>
      </w:pPr>
      <w:r w:rsidRPr="005D1D70">
        <w:rPr>
          <w:color w:val="44546A" w:themeColor="text2"/>
        </w:rPr>
        <w:t xml:space="preserve">The total number of costed ABF hospital episodes in </w:t>
      </w:r>
      <w:r>
        <w:rPr>
          <w:color w:val="44546A" w:themeColor="text2"/>
        </w:rPr>
        <w:t>2023</w:t>
      </w:r>
      <w:r w:rsidRPr="005D1D70">
        <w:rPr>
          <w:color w:val="44546A" w:themeColor="text2"/>
        </w:rPr>
        <w:t xml:space="preserve">-24 was </w:t>
      </w:r>
      <w:r w:rsidRPr="005D1D70">
        <w:rPr>
          <w:b/>
          <w:color w:val="44546A" w:themeColor="text2"/>
        </w:rPr>
        <w:t>15.16 million</w:t>
      </w:r>
      <w:r w:rsidRPr="005D1D70">
        <w:rPr>
          <w:color w:val="44546A" w:themeColor="text2"/>
        </w:rPr>
        <w:t xml:space="preserve">, </w:t>
      </w:r>
      <w:r w:rsidR="00162516">
        <w:rPr>
          <w:color w:val="44546A" w:themeColor="text2"/>
        </w:rPr>
        <w:t>representing a</w:t>
      </w:r>
      <w:r w:rsidRPr="005D1D70">
        <w:rPr>
          <w:color w:val="44546A" w:themeColor="text2"/>
        </w:rPr>
        <w:t xml:space="preserve"> growth</w:t>
      </w:r>
      <w:r>
        <w:rPr>
          <w:color w:val="44546A" w:themeColor="text2"/>
        </w:rPr>
        <w:t xml:space="preserve"> </w:t>
      </w:r>
      <w:r w:rsidRPr="005D1D70">
        <w:rPr>
          <w:color w:val="44546A" w:themeColor="text2"/>
        </w:rPr>
        <w:t xml:space="preserve">of </w:t>
      </w:r>
      <w:r w:rsidRPr="005D1D70">
        <w:rPr>
          <w:b/>
          <w:color w:val="44546A" w:themeColor="text2"/>
        </w:rPr>
        <w:t>11.5%</w:t>
      </w:r>
      <w:r w:rsidRPr="005D1D70">
        <w:rPr>
          <w:color w:val="44546A" w:themeColor="text2"/>
        </w:rPr>
        <w:t xml:space="preserve"> since </w:t>
      </w:r>
      <w:r>
        <w:rPr>
          <w:color w:val="44546A" w:themeColor="text2"/>
        </w:rPr>
        <w:t>2022-23</w:t>
      </w:r>
      <w:r w:rsidRPr="005D1D70">
        <w:rPr>
          <w:color w:val="44546A" w:themeColor="text2"/>
        </w:rPr>
        <w:t>.</w:t>
      </w:r>
      <w:r>
        <w:rPr>
          <w:color w:val="44546A" w:themeColor="text2"/>
        </w:rPr>
        <w:t xml:space="preserve"> NSW ABF hospital episodes make up </w:t>
      </w:r>
      <w:r>
        <w:rPr>
          <w:b/>
          <w:bCs/>
          <w:color w:val="44546A" w:themeColor="text2"/>
        </w:rPr>
        <w:t>34.9% of national ABF episodes for 2023-24.</w:t>
      </w:r>
    </w:p>
    <w:p w14:paraId="0F0A1983" w14:textId="70EA7AAF" w:rsidR="007C38A5" w:rsidRPr="005D1D70" w:rsidRDefault="007C38A5" w:rsidP="007C38A5">
      <w:pPr>
        <w:spacing w:line="240" w:lineRule="auto"/>
        <w:rPr>
          <w:color w:val="44546A" w:themeColor="text2"/>
        </w:rPr>
      </w:pPr>
      <w:r w:rsidRPr="005D1D70">
        <w:rPr>
          <w:color w:val="44546A" w:themeColor="text2"/>
        </w:rPr>
        <w:t xml:space="preserve">NSW delivered </w:t>
      </w:r>
      <w:r w:rsidRPr="005D1D70">
        <w:rPr>
          <w:b/>
          <w:color w:val="44546A" w:themeColor="text2"/>
        </w:rPr>
        <w:t>3.29</w:t>
      </w:r>
      <w:r>
        <w:rPr>
          <w:b/>
          <w:color w:val="44546A" w:themeColor="text2"/>
        </w:rPr>
        <w:t xml:space="preserve"> million</w:t>
      </w:r>
      <w:r w:rsidR="00607F6F">
        <w:rPr>
          <w:bCs/>
          <w:color w:val="44546A" w:themeColor="text2"/>
        </w:rPr>
        <w:t xml:space="preserve"> gross weighted </w:t>
      </w:r>
      <w:r w:rsidR="005C2F52">
        <w:rPr>
          <w:bCs/>
          <w:color w:val="44546A" w:themeColor="text2"/>
        </w:rPr>
        <w:t>activity</w:t>
      </w:r>
      <w:r w:rsidR="00607F6F">
        <w:rPr>
          <w:bCs/>
          <w:color w:val="44546A" w:themeColor="text2"/>
        </w:rPr>
        <w:t xml:space="preserve"> unit (</w:t>
      </w:r>
      <w:r w:rsidRPr="005D1D70">
        <w:rPr>
          <w:color w:val="44546A" w:themeColor="text2"/>
        </w:rPr>
        <w:t>GWAU</w:t>
      </w:r>
      <w:r w:rsidR="00607F6F">
        <w:rPr>
          <w:color w:val="44546A" w:themeColor="text2"/>
        </w:rPr>
        <w:t>)</w:t>
      </w:r>
      <w:r w:rsidR="0048179F">
        <w:rPr>
          <w:color w:val="44546A" w:themeColor="text2"/>
        </w:rPr>
        <w:t xml:space="preserve"> in 2023-24</w:t>
      </w:r>
      <w:r w:rsidR="00CE6F96">
        <w:rPr>
          <w:rFonts w:ascii="ZWAdobeF" w:hAnsi="ZWAdobeF" w:cs="ZWAdobeF"/>
          <w:color w:val="auto"/>
          <w:sz w:val="2"/>
          <w:szCs w:val="2"/>
        </w:rPr>
        <w:t>12F</w:t>
      </w:r>
      <w:r>
        <w:rPr>
          <w:rStyle w:val="FootnoteReference"/>
          <w:color w:val="44546A" w:themeColor="text2"/>
        </w:rPr>
        <w:footnoteReference w:id="14"/>
      </w:r>
      <w:r w:rsidR="0048179F">
        <w:rPr>
          <w:color w:val="44546A" w:themeColor="text2"/>
        </w:rPr>
        <w:t>,</w:t>
      </w:r>
      <w:r w:rsidRPr="005D1D70">
        <w:rPr>
          <w:color w:val="44546A" w:themeColor="text2"/>
        </w:rPr>
        <w:t xml:space="preserve"> representing </w:t>
      </w:r>
      <w:r w:rsidRPr="005D1D70">
        <w:rPr>
          <w:b/>
          <w:color w:val="44546A" w:themeColor="text2"/>
        </w:rPr>
        <w:t>31.7%</w:t>
      </w:r>
      <w:r w:rsidRPr="005D1D70">
        <w:rPr>
          <w:color w:val="44546A" w:themeColor="text2"/>
        </w:rPr>
        <w:t xml:space="preserve"> of weighted activity nationally, with a growth of </w:t>
      </w:r>
      <w:r w:rsidRPr="005D1D70">
        <w:rPr>
          <w:b/>
          <w:color w:val="44546A" w:themeColor="text2"/>
        </w:rPr>
        <w:t>4.8%</w:t>
      </w:r>
      <w:r w:rsidRPr="005D1D70">
        <w:rPr>
          <w:color w:val="44546A" w:themeColor="text2"/>
        </w:rPr>
        <w:t xml:space="preserve"> since </w:t>
      </w:r>
      <w:r>
        <w:rPr>
          <w:color w:val="44546A" w:themeColor="text2"/>
        </w:rPr>
        <w:t>2022</w:t>
      </w:r>
      <w:r w:rsidRPr="005D1D70">
        <w:rPr>
          <w:color w:val="44546A" w:themeColor="text2"/>
        </w:rPr>
        <w:t>-23.</w:t>
      </w:r>
      <w:r>
        <w:rPr>
          <w:color w:val="44546A" w:themeColor="text2"/>
        </w:rPr>
        <w:t xml:space="preserve"> </w:t>
      </w:r>
    </w:p>
    <w:p w14:paraId="11816127" w14:textId="77777777" w:rsidR="007C38A5" w:rsidRPr="005D1D70" w:rsidRDefault="007C38A5" w:rsidP="007C38A5">
      <w:pPr>
        <w:spacing w:line="240" w:lineRule="auto"/>
        <w:rPr>
          <w:color w:val="44546A" w:themeColor="text2"/>
        </w:rPr>
      </w:pPr>
      <w:r w:rsidRPr="005D1D70">
        <w:rPr>
          <w:color w:val="44546A" w:themeColor="text2"/>
        </w:rPr>
        <w:t xml:space="preserve">The average cost per GWAU in NSW was </w:t>
      </w:r>
      <w:r w:rsidRPr="005D1D70">
        <w:rPr>
          <w:b/>
          <w:color w:val="44546A" w:themeColor="text2"/>
        </w:rPr>
        <w:t xml:space="preserve">$6,256 </w:t>
      </w:r>
      <w:r w:rsidRPr="005D1D70">
        <w:rPr>
          <w:color w:val="44546A" w:themeColor="text2"/>
        </w:rPr>
        <w:t xml:space="preserve">in </w:t>
      </w:r>
      <w:r>
        <w:rPr>
          <w:bCs/>
          <w:color w:val="44546A" w:themeColor="text2"/>
        </w:rPr>
        <w:t>2023</w:t>
      </w:r>
      <w:r w:rsidRPr="005D1D70">
        <w:rPr>
          <w:color w:val="44546A" w:themeColor="text2"/>
        </w:rPr>
        <w:t xml:space="preserve">-24, representing growth of </w:t>
      </w:r>
      <w:r w:rsidRPr="005D1D70">
        <w:rPr>
          <w:b/>
          <w:color w:val="44546A" w:themeColor="text2"/>
        </w:rPr>
        <w:t>2.2%</w:t>
      </w:r>
      <w:r w:rsidRPr="005D1D70">
        <w:rPr>
          <w:color w:val="44546A" w:themeColor="text2"/>
        </w:rPr>
        <w:t xml:space="preserve"> since </w:t>
      </w:r>
      <w:r>
        <w:rPr>
          <w:color w:val="44546A" w:themeColor="text2"/>
        </w:rPr>
        <w:t>20</w:t>
      </w:r>
      <w:r w:rsidRPr="001908A5">
        <w:rPr>
          <w:color w:val="44546A" w:themeColor="text2"/>
        </w:rPr>
        <w:t>22</w:t>
      </w:r>
      <w:r w:rsidRPr="005D1D70">
        <w:rPr>
          <w:color w:val="44546A" w:themeColor="text2"/>
        </w:rPr>
        <w:t>-23.</w:t>
      </w:r>
    </w:p>
    <w:p w14:paraId="351581D1" w14:textId="406D1120" w:rsidR="00C66257" w:rsidRDefault="007C38A5" w:rsidP="007C38A5">
      <w:pPr>
        <w:rPr>
          <w:color w:val="44546A" w:themeColor="text2"/>
        </w:rPr>
      </w:pPr>
      <w:r w:rsidRPr="005D1D70">
        <w:rPr>
          <w:color w:val="44546A" w:themeColor="text2"/>
        </w:rPr>
        <w:t xml:space="preserve">Overall, NSW has had considerable growth in episodes </w:t>
      </w:r>
      <w:r>
        <w:rPr>
          <w:color w:val="44546A" w:themeColor="text2"/>
        </w:rPr>
        <w:t>(11.5%),</w:t>
      </w:r>
      <w:r w:rsidRPr="008C2067">
        <w:t xml:space="preserve"> </w:t>
      </w:r>
      <w:r w:rsidRPr="008C2067">
        <w:rPr>
          <w:color w:val="44546A" w:themeColor="text2"/>
        </w:rPr>
        <w:t>with a lower average casemix acuity per patient</w:t>
      </w:r>
      <w:r>
        <w:rPr>
          <w:color w:val="44546A" w:themeColor="text2"/>
        </w:rPr>
        <w:t xml:space="preserve"> as reflected in the GWAU growth of 4.8%.</w:t>
      </w:r>
      <w:r w:rsidRPr="005D1D70">
        <w:rPr>
          <w:color w:val="44546A" w:themeColor="text2"/>
        </w:rPr>
        <w:t xml:space="preserve"> </w:t>
      </w:r>
      <w:r w:rsidRPr="003450AA">
        <w:rPr>
          <w:color w:val="44546A" w:themeColor="text2"/>
        </w:rPr>
        <w:t>Cost growth per GWAU is expected in the context of an inflationary environment and year</w:t>
      </w:r>
      <w:r w:rsidR="007050E3">
        <w:rPr>
          <w:color w:val="44546A" w:themeColor="text2"/>
        </w:rPr>
        <w:t>-</w:t>
      </w:r>
      <w:r w:rsidRPr="003450AA">
        <w:rPr>
          <w:color w:val="44546A" w:themeColor="text2"/>
        </w:rPr>
        <w:t>on</w:t>
      </w:r>
      <w:r w:rsidR="007050E3">
        <w:rPr>
          <w:color w:val="44546A" w:themeColor="text2"/>
        </w:rPr>
        <w:t>-</w:t>
      </w:r>
      <w:r w:rsidRPr="003450AA">
        <w:rPr>
          <w:color w:val="44546A" w:themeColor="text2"/>
        </w:rPr>
        <w:t>year enterprise bargaining agreement (EBA) wage rises for healthcare workers</w:t>
      </w:r>
      <w:r>
        <w:rPr>
          <w:color w:val="44546A" w:themeColor="text2"/>
        </w:rPr>
        <w:t>. NSW’s average cost per GWAU growth of 2.2% may indicate a level of cost containment in 2023-24.</w:t>
      </w:r>
    </w:p>
    <w:p w14:paraId="646F550B" w14:textId="6B78ED80" w:rsidR="00242761" w:rsidRDefault="00242761" w:rsidP="00242761">
      <w:pPr>
        <w:pStyle w:val="Heading3"/>
      </w:pPr>
      <w:r>
        <w:lastRenderedPageBreak/>
        <w:t xml:space="preserve">Cost </w:t>
      </w:r>
      <w:r w:rsidR="00EF7DDE">
        <w:t>D</w:t>
      </w:r>
      <w:r>
        <w:t>river analysis by activity stream</w:t>
      </w:r>
    </w:p>
    <w:p w14:paraId="45B2E007" w14:textId="77777777" w:rsidR="00F978A9" w:rsidRPr="00435D5F" w:rsidRDefault="00F978A9" w:rsidP="00B81C8D">
      <w:r w:rsidRPr="00435D5F">
        <w:t xml:space="preserve">Analysis was undertaken on the NHCDC </w:t>
      </w:r>
      <w:r>
        <w:t>2023</w:t>
      </w:r>
      <w:r w:rsidRPr="00435D5F">
        <w:t xml:space="preserve">-24 submission to understand how submitted activity and cost have changed since 2022-23 and whether any drivers of change could be identified. This analysis considered a subset of the submitted cost data, focusing on 5 key activity streams: </w:t>
      </w:r>
    </w:p>
    <w:p w14:paraId="7A494960" w14:textId="77777777" w:rsidR="00F978A9" w:rsidRPr="00B81C8D" w:rsidRDefault="00F978A9" w:rsidP="006044E0">
      <w:pPr>
        <w:pStyle w:val="ListParagraph"/>
        <w:numPr>
          <w:ilvl w:val="0"/>
          <w:numId w:val="6"/>
        </w:numPr>
        <w:rPr>
          <w:color w:val="44546A" w:themeColor="text2"/>
        </w:rPr>
      </w:pPr>
      <w:r w:rsidRPr="00435D5F">
        <w:t>Admitted</w:t>
      </w:r>
      <w:r w:rsidRPr="00B81C8D">
        <w:rPr>
          <w:color w:val="44546A" w:themeColor="text2"/>
        </w:rPr>
        <w:t xml:space="preserve"> acute, </w:t>
      </w:r>
    </w:p>
    <w:p w14:paraId="6890EA19" w14:textId="77777777" w:rsidR="00F978A9" w:rsidRPr="00B81C8D" w:rsidRDefault="00F978A9" w:rsidP="006044E0">
      <w:pPr>
        <w:pStyle w:val="ListParagraph"/>
        <w:numPr>
          <w:ilvl w:val="0"/>
          <w:numId w:val="6"/>
        </w:numPr>
        <w:rPr>
          <w:color w:val="44546A" w:themeColor="text2"/>
        </w:rPr>
      </w:pPr>
      <w:r w:rsidRPr="00B81C8D">
        <w:rPr>
          <w:color w:val="44546A" w:themeColor="text2"/>
        </w:rPr>
        <w:t>Non-admitted care</w:t>
      </w:r>
      <w:r w:rsidRPr="00B81C8D" w:rsidDel="00C509CB">
        <w:rPr>
          <w:color w:val="44546A" w:themeColor="text2"/>
        </w:rPr>
        <w:t>,</w:t>
      </w:r>
      <w:r w:rsidRPr="00B81C8D">
        <w:rPr>
          <w:color w:val="44546A" w:themeColor="text2"/>
        </w:rPr>
        <w:t xml:space="preserve"> </w:t>
      </w:r>
    </w:p>
    <w:p w14:paraId="1A71B599" w14:textId="77777777" w:rsidR="00F978A9" w:rsidRPr="00B81C8D" w:rsidRDefault="00F978A9" w:rsidP="006044E0">
      <w:pPr>
        <w:pStyle w:val="ListParagraph"/>
        <w:numPr>
          <w:ilvl w:val="0"/>
          <w:numId w:val="6"/>
        </w:numPr>
        <w:rPr>
          <w:color w:val="44546A" w:themeColor="text2"/>
        </w:rPr>
      </w:pPr>
      <w:r w:rsidRPr="00B81C8D">
        <w:rPr>
          <w:color w:val="44546A" w:themeColor="text2"/>
        </w:rPr>
        <w:t>Subacute and non-acute care</w:t>
      </w:r>
      <w:r w:rsidRPr="00B81C8D" w:rsidDel="00C509CB">
        <w:rPr>
          <w:color w:val="44546A" w:themeColor="text2"/>
        </w:rPr>
        <w:t>,</w:t>
      </w:r>
    </w:p>
    <w:p w14:paraId="1750735E" w14:textId="254E2EA6" w:rsidR="00F978A9" w:rsidRPr="00B81C8D" w:rsidRDefault="00607F6F" w:rsidP="006044E0">
      <w:pPr>
        <w:pStyle w:val="ListParagraph"/>
        <w:numPr>
          <w:ilvl w:val="0"/>
          <w:numId w:val="6"/>
        </w:numPr>
        <w:rPr>
          <w:color w:val="44546A" w:themeColor="text2"/>
        </w:rPr>
      </w:pPr>
      <w:r>
        <w:rPr>
          <w:color w:val="44546A" w:themeColor="text2"/>
        </w:rPr>
        <w:t>Emergency Department (</w:t>
      </w:r>
      <w:r w:rsidR="00C05084">
        <w:rPr>
          <w:color w:val="44546A" w:themeColor="text2"/>
        </w:rPr>
        <w:t>ED</w:t>
      </w:r>
      <w:r>
        <w:rPr>
          <w:color w:val="44546A" w:themeColor="text2"/>
        </w:rPr>
        <w:t>)</w:t>
      </w:r>
      <w:r w:rsidR="00F978A9" w:rsidRPr="00B81C8D">
        <w:rPr>
          <w:color w:val="44546A" w:themeColor="text2"/>
        </w:rPr>
        <w:t xml:space="preserve"> care and,</w:t>
      </w:r>
    </w:p>
    <w:p w14:paraId="0466AD40" w14:textId="77777777" w:rsidR="00F978A9" w:rsidRPr="00435D5F" w:rsidRDefault="00F978A9" w:rsidP="006044E0">
      <w:pPr>
        <w:pStyle w:val="ListParagraph"/>
        <w:numPr>
          <w:ilvl w:val="0"/>
          <w:numId w:val="6"/>
        </w:numPr>
      </w:pPr>
      <w:r w:rsidRPr="00B81C8D">
        <w:rPr>
          <w:color w:val="44546A" w:themeColor="text2"/>
        </w:rPr>
        <w:t>Mental health</w:t>
      </w:r>
      <w:r w:rsidRPr="00435D5F">
        <w:t xml:space="preserve"> care (with mental health split by admitted and community). </w:t>
      </w:r>
    </w:p>
    <w:p w14:paraId="353B5C01" w14:textId="19D398CD" w:rsidR="00242761" w:rsidRDefault="00F978A9" w:rsidP="00B81C8D">
      <w:pPr>
        <w:rPr>
          <w:color w:val="44546A" w:themeColor="text2"/>
        </w:rPr>
      </w:pPr>
      <w:r w:rsidRPr="00435D5F">
        <w:rPr>
          <w:color w:val="44546A" w:themeColor="text2"/>
        </w:rPr>
        <w:t xml:space="preserve">A summary of the analysis is presented in the sections below. In this analysis, </w:t>
      </w:r>
      <w:r>
        <w:rPr>
          <w:color w:val="44546A" w:themeColor="text2"/>
        </w:rPr>
        <w:t>GWAU</w:t>
      </w:r>
      <w:r w:rsidRPr="00435D5F" w:rsidDel="00633032">
        <w:rPr>
          <w:color w:val="44546A" w:themeColor="text2"/>
        </w:rPr>
        <w:t xml:space="preserve"> </w:t>
      </w:r>
      <w:r w:rsidR="00381DD7" w:rsidRPr="00435D5F">
        <w:rPr>
          <w:color w:val="44546A" w:themeColor="text2"/>
        </w:rPr>
        <w:t>was</w:t>
      </w:r>
      <w:r w:rsidRPr="00435D5F">
        <w:rPr>
          <w:color w:val="44546A" w:themeColor="text2"/>
        </w:rPr>
        <w:t xml:space="preserve"> used as a standardised activity unit, accounting for the relative complexity and resource intensity associated with treating patients. Furthermore, the results below are related to activity and cost submitted for </w:t>
      </w:r>
      <w:r w:rsidRPr="00435D5F">
        <w:rPr>
          <w:b/>
          <w:color w:val="44546A" w:themeColor="text2"/>
        </w:rPr>
        <w:t>ABF hospitals only</w:t>
      </w:r>
      <w:r w:rsidRPr="00435D5F">
        <w:rPr>
          <w:color w:val="44546A" w:themeColor="text2"/>
        </w:rPr>
        <w:t xml:space="preserve"> unless stated otherwise.</w:t>
      </w:r>
    </w:p>
    <w:p w14:paraId="61FED29D" w14:textId="57F948F4" w:rsidR="00597E9D" w:rsidRDefault="001524E9" w:rsidP="00EC0C63">
      <w:pPr>
        <w:pStyle w:val="Caption"/>
        <w:keepNext/>
      </w:pPr>
      <w:r>
        <w:rPr>
          <w:noProof/>
        </w:rPr>
        <mc:AlternateContent>
          <mc:Choice Requires="wpg">
            <w:drawing>
              <wp:anchor distT="0" distB="0" distL="114300" distR="114300" simplePos="0" relativeHeight="251658286" behindDoc="0" locked="0" layoutInCell="1" allowOverlap="1" wp14:anchorId="332FD39D" wp14:editId="7248DF68">
                <wp:simplePos x="0" y="0"/>
                <wp:positionH relativeFrom="column">
                  <wp:posOffset>4133215</wp:posOffset>
                </wp:positionH>
                <wp:positionV relativeFrom="paragraph">
                  <wp:posOffset>223520</wp:posOffset>
                </wp:positionV>
                <wp:extent cx="1447165" cy="770255"/>
                <wp:effectExtent l="0" t="0" r="635" b="10795"/>
                <wp:wrapTopAndBottom/>
                <wp:docPr id="1785950098" name="Group 8" descr="P97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7165" cy="770255"/>
                          <a:chOff x="-93959" y="0"/>
                          <a:chExt cx="1447918" cy="770313"/>
                        </a:xfrm>
                      </wpg:grpSpPr>
                      <pic:pic xmlns:pic="http://schemas.openxmlformats.org/drawingml/2006/picture">
                        <pic:nvPicPr>
                          <pic:cNvPr id="1141421405" name="Graphic 2" descr="Dollar outline"/>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429167" y="0"/>
                            <a:ext cx="402590" cy="393065"/>
                          </a:xfrm>
                          <a:prstGeom prst="rect">
                            <a:avLst/>
                          </a:prstGeom>
                        </pic:spPr>
                      </pic:pic>
                      <wps:wsp>
                        <wps:cNvPr id="1818089603" name="TextBox 6"/>
                        <wps:cNvSpPr txBox="1"/>
                        <wps:spPr>
                          <a:xfrm>
                            <a:off x="-93959" y="413416"/>
                            <a:ext cx="1447918" cy="356897"/>
                          </a:xfrm>
                          <a:prstGeom prst="rect">
                            <a:avLst/>
                          </a:prstGeom>
                          <a:noFill/>
                          <a:ln>
                            <a:noFill/>
                          </a:ln>
                        </wps:spPr>
                        <wps:txbx>
                          <w:txbxContent>
                            <w:p w14:paraId="76272F58" w14:textId="0EF53196" w:rsidR="00F1540B" w:rsidRDefault="004D0CA5"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w:t>
                              </w:r>
                              <w:r w:rsidR="00D738B2">
                                <w:rPr>
                                  <w:rFonts w:asciiTheme="minorHAnsi"/>
                                  <w:b/>
                                  <w:bCs/>
                                  <w:color w:val="404040" w:themeColor="text1" w:themeTint="BF"/>
                                  <w:kern w:val="24"/>
                                </w:rPr>
                                <w:t>-24</w:t>
                              </w:r>
                              <w:r w:rsidR="00FE65C2">
                                <w:rPr>
                                  <w:rFonts w:asciiTheme="minorHAnsi"/>
                                  <w:b/>
                                  <w:bCs/>
                                  <w:color w:val="404040" w:themeColor="text1" w:themeTint="BF"/>
                                  <w:kern w:val="24"/>
                                </w:rPr>
                                <w:t xml:space="preserve"> costs</w:t>
                              </w:r>
                            </w:p>
                            <w:p w14:paraId="1628AF08" w14:textId="77777777" w:rsidR="00FE65C2" w:rsidRDefault="00F1540B"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wps:txbx>
                        <wps:bodyPr wrap="square" lIns="0" tIns="0" rIns="0" bIns="0" rtlCol="0">
                          <a:spAutoFit/>
                        </wps:bodyPr>
                      </wps:wsp>
                    </wpg:wgp>
                  </a:graphicData>
                </a:graphic>
                <wp14:sizeRelH relativeFrom="margin">
                  <wp14:pctWidth>0</wp14:pctWidth>
                </wp14:sizeRelH>
              </wp:anchor>
            </w:drawing>
          </mc:Choice>
          <mc:Fallback>
            <w:pict>
              <v:group w14:anchorId="332FD39D" id="Group 8" o:spid="_x0000_s1070" alt="P972#y2" style="position:absolute;margin-left:325.45pt;margin-top:17.6pt;width:113.95pt;height:60.65pt;z-index:251658286;mso-position-horizontal-relative:text;mso-position-vertical-relative:text;mso-width-relative:margin" coordorigin="-939" coordsize="14479,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71" type="#_x0000_t75" alt="Dollar outline" style="position:absolute;left:4291;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">
                  <v:imagedata r:id="rId35" o:title="Dollar outline"/>
                </v:shape>
                <v:shape id="TextBox 6" o:spid="_x0000_s1072" type="#_x0000_t202" style="position:absolute;left:-939;top:4134;width:1447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" filled="f" stroked="f">
                  <v:textbox style="mso-fit-shape-to-text:t" inset="0,0,0,0">
                    <w:txbxContent>
                      <w:p w14:paraId="76272F58" w14:textId="0EF53196" w:rsidR="00F1540B" w:rsidRDefault="004D0CA5"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w:t>
                        </w:r>
                        <w:r w:rsidR="00D738B2">
                          <w:rPr>
                            <w:rFonts w:asciiTheme="minorHAnsi"/>
                            <w:b/>
                            <w:bCs/>
                            <w:color w:val="404040" w:themeColor="text1" w:themeTint="BF"/>
                            <w:kern w:val="24"/>
                          </w:rPr>
                          <w:t>-24</w:t>
                        </w:r>
                        <w:r w:rsidR="00FE65C2">
                          <w:rPr>
                            <w:rFonts w:asciiTheme="minorHAnsi"/>
                            <w:b/>
                            <w:bCs/>
                            <w:color w:val="404040" w:themeColor="text1" w:themeTint="BF"/>
                            <w:kern w:val="24"/>
                          </w:rPr>
                          <w:t xml:space="preserve"> costs</w:t>
                        </w:r>
                      </w:p>
                      <w:p w14:paraId="1628AF08" w14:textId="77777777" w:rsidR="00FE65C2" w:rsidRDefault="00F1540B"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v:textbox>
                </v:shape>
                <w10:wrap type="topAndBottom"/>
              </v:group>
            </w:pict>
          </mc:Fallback>
        </mc:AlternateContent>
      </w:r>
      <w:r w:rsidR="00302A76">
        <w:rPr>
          <w:noProof/>
        </w:rPr>
        <mc:AlternateContent>
          <mc:Choice Requires="wpg">
            <w:drawing>
              <wp:anchor distT="0" distB="0" distL="114300" distR="114300" simplePos="0" relativeHeight="251658287" behindDoc="0" locked="0" layoutInCell="1" allowOverlap="1" wp14:anchorId="482742FF" wp14:editId="70AF825A">
                <wp:simplePos x="0" y="0"/>
                <wp:positionH relativeFrom="column">
                  <wp:posOffset>2471420</wp:posOffset>
                </wp:positionH>
                <wp:positionV relativeFrom="paragraph">
                  <wp:posOffset>225425</wp:posOffset>
                </wp:positionV>
                <wp:extent cx="1259840" cy="770256"/>
                <wp:effectExtent l="0" t="0" r="16510" b="10795"/>
                <wp:wrapTopAndBottom/>
                <wp:docPr id="793994403" name="Group 9" descr="P972#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56"/>
                          <a:chOff x="0" y="0"/>
                          <a:chExt cx="1260224" cy="770315"/>
                        </a:xfrm>
                      </wpg:grpSpPr>
                      <wps:wsp>
                        <wps:cNvPr id="727527707" name="TextBox 5"/>
                        <wps:cNvSpPr txBox="1"/>
                        <wps:spPr>
                          <a:xfrm>
                            <a:off x="0" y="413418"/>
                            <a:ext cx="1260224" cy="356897"/>
                          </a:xfrm>
                          <a:prstGeom prst="rect">
                            <a:avLst/>
                          </a:prstGeom>
                          <a:noFill/>
                          <a:ln>
                            <a:noFill/>
                          </a:ln>
                        </wps:spPr>
                        <wps:txbx>
                          <w:txbxContent>
                            <w:p w14:paraId="5627A119" w14:textId="73095AB3" w:rsidR="00FE65C2" w:rsidRDefault="004D0CA5"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D647A1">
                                <w:rPr>
                                  <w:rFonts w:asciiTheme="minorHAnsi"/>
                                  <w:b/>
                                  <w:bCs/>
                                  <w:color w:val="404040" w:themeColor="text1" w:themeTint="BF"/>
                                  <w:kern w:val="24"/>
                                </w:rPr>
                                <w:t>23-24 GWAU</w:t>
                              </w:r>
                            </w:p>
                            <w:p w14:paraId="495C20EF" w14:textId="77777777" w:rsidR="00FE65C2" w:rsidRDefault="00FE65C2"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wps:txbx>
                        <wps:bodyPr wrap="square" lIns="0" tIns="0" rIns="0" bIns="0" rtlCol="0">
                          <a:spAutoFit/>
                        </wps:bodyPr>
                      </wps:wsp>
                      <pic:pic xmlns:pic="http://schemas.openxmlformats.org/drawingml/2006/picture">
                        <pic:nvPicPr>
                          <pic:cNvPr id="1086239962" name="Graphic 7" descr="Scales of justice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428894" y="0"/>
                            <a:ext cx="402590" cy="393065"/>
                          </a:xfrm>
                          <a:prstGeom prst="rect">
                            <a:avLst/>
                          </a:prstGeom>
                        </pic:spPr>
                      </pic:pic>
                    </wpg:wgp>
                  </a:graphicData>
                </a:graphic>
              </wp:anchor>
            </w:drawing>
          </mc:Choice>
          <mc:Fallback>
            <w:pict>
              <v:group w14:anchorId="482742FF" id="Group 9" o:spid="_x0000_s1073" alt="P972#y3" style="position:absolute;margin-left:194.6pt;margin-top:17.75pt;width:99.2pt;height:60.65pt;z-index:251658287;mso-position-horizontal-relative:text;mso-position-vertical-relative:text" coordsize="12602,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">
                <v:shape id="TextBox 5" o:spid="_x0000_s1074" type="#_x0000_t202" style="position:absolute;top:4134;width:12602;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" filled="f" stroked="f">
                  <v:textbox style="mso-fit-shape-to-text:t" inset="0,0,0,0">
                    <w:txbxContent>
                      <w:p w14:paraId="5627A119" w14:textId="73095AB3" w:rsidR="00FE65C2" w:rsidRDefault="004D0CA5"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D647A1">
                          <w:rPr>
                            <w:rFonts w:asciiTheme="minorHAnsi"/>
                            <w:b/>
                            <w:bCs/>
                            <w:color w:val="404040" w:themeColor="text1" w:themeTint="BF"/>
                            <w:kern w:val="24"/>
                          </w:rPr>
                          <w:t>23-24 GWAU</w:t>
                        </w:r>
                      </w:p>
                      <w:p w14:paraId="495C20EF" w14:textId="77777777" w:rsidR="00FE65C2" w:rsidRDefault="00FE65C2"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v:textbox>
                </v:shape>
                <v:shape id="Graphic 7" o:spid="_x0000_s1075" type="#_x0000_t75" alt="Scales of justice with solid fill" style="position:absolute;left:4288;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">
                  <v:imagedata r:id="rId38" o:title="Scales of justice with solid fill"/>
                </v:shape>
                <w10:wrap type="topAndBottom"/>
              </v:group>
            </w:pict>
          </mc:Fallback>
        </mc:AlternateContent>
      </w:r>
      <w:r w:rsidR="00597E9D">
        <w:t xml:space="preserve">Figure </w:t>
      </w:r>
      <w:r w:rsidR="00BD5B5E">
        <w:fldChar w:fldCharType="begin"/>
      </w:r>
      <w:r w:rsidR="00BD5B5E">
        <w:instrText xml:space="preserve"> SEQ Figure \* ARABIC </w:instrText>
      </w:r>
      <w:r w:rsidR="00BD5B5E">
        <w:fldChar w:fldCharType="separate"/>
      </w:r>
      <w:r w:rsidR="00CE6F96">
        <w:rPr>
          <w:noProof/>
        </w:rPr>
        <w:t>6</w:t>
      </w:r>
      <w:r w:rsidR="00BD5B5E">
        <w:fldChar w:fldCharType="end"/>
      </w:r>
      <w:r w:rsidR="00597E9D">
        <w:t xml:space="preserve">: </w:t>
      </w:r>
      <w:r w:rsidR="0029553A" w:rsidRPr="0029553A">
        <w:t>Growth in activity, GWAU and total cost for NSW 2023-24</w:t>
      </w:r>
      <w:r w:rsidR="00597E9D">
        <w:rPr>
          <w:noProof/>
        </w:rPr>
        <mc:AlternateContent>
          <mc:Choice Requires="wpg">
            <w:drawing>
              <wp:anchor distT="0" distB="0" distL="114300" distR="114300" simplePos="0" relativeHeight="251658288" behindDoc="0" locked="0" layoutInCell="1" allowOverlap="1" wp14:anchorId="34D3CD19" wp14:editId="1828B45A">
                <wp:simplePos x="0" y="0"/>
                <wp:positionH relativeFrom="column">
                  <wp:posOffset>711835</wp:posOffset>
                </wp:positionH>
                <wp:positionV relativeFrom="paragraph">
                  <wp:posOffset>225425</wp:posOffset>
                </wp:positionV>
                <wp:extent cx="1259840" cy="762032"/>
                <wp:effectExtent l="0" t="0" r="16510" b="0"/>
                <wp:wrapTopAndBottom/>
                <wp:docPr id="1953600975" name="Group 10" descr="P972#y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62032"/>
                          <a:chOff x="0" y="0"/>
                          <a:chExt cx="1262597" cy="762224"/>
                        </a:xfrm>
                      </wpg:grpSpPr>
                      <pic:pic xmlns:pic="http://schemas.openxmlformats.org/drawingml/2006/picture">
                        <pic:nvPicPr>
                          <pic:cNvPr id="1081132201" name="Graphic 3" descr="Inpatient outline"/>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430242" y="0"/>
                            <a:ext cx="402590" cy="393065"/>
                          </a:xfrm>
                          <a:prstGeom prst="rect">
                            <a:avLst/>
                          </a:prstGeom>
                        </pic:spPr>
                      </pic:pic>
                      <wps:wsp>
                        <wps:cNvPr id="1006511231" name="TextBox 4"/>
                        <wps:cNvSpPr txBox="1"/>
                        <wps:spPr>
                          <a:xfrm>
                            <a:off x="0" y="405264"/>
                            <a:ext cx="1262597" cy="356960"/>
                          </a:xfrm>
                          <a:prstGeom prst="rect">
                            <a:avLst/>
                          </a:prstGeom>
                          <a:noFill/>
                          <a:ln>
                            <a:noFill/>
                          </a:ln>
                        </wps:spPr>
                        <wps:txbx>
                          <w:txbxContent>
                            <w:p w14:paraId="65148AF6" w14:textId="1F062537" w:rsidR="00FE65C2" w:rsidRPr="001729F2" w:rsidRDefault="004D0CA5"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 xml:space="preserve">-24 Episodes </w:t>
                              </w:r>
                              <w:r w:rsidR="00FE65C2" w:rsidRPr="001729F2">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34D3CD19" id="Group 10" o:spid="_x0000_s1076" alt="P972#y4" style="position:absolute;margin-left:56.05pt;margin-top:17.75pt;width:99.2pt;height:60pt;z-index:251658288;mso-position-horizontal-relative:text;mso-position-vertical-relative:text" coordsize="12625,76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">
                <v:shape id="Graphic 3" o:spid="_x0000_s1077" type="#_x0000_t75" alt="Inpatient outline" style="position:absolute;left:4302;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">
                  <v:imagedata r:id="rId41" o:title="Inpatient outline"/>
                </v:shape>
                <v:shape id="TextBox 4" o:spid="_x0000_s1078" type="#_x0000_t202" style="position:absolute;top:4052;width:1262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" filled="f" stroked="f">
                  <v:textbox style="mso-fit-shape-to-text:t" inset="0,0,0,0">
                    <w:txbxContent>
                      <w:p w14:paraId="65148AF6" w14:textId="1F062537" w:rsidR="00FE65C2" w:rsidRPr="001729F2" w:rsidRDefault="004D0CA5" w:rsidP="00FE65C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 xml:space="preserve">-24 Episodes </w:t>
                        </w:r>
                        <w:r w:rsidR="00FE65C2" w:rsidRPr="001729F2">
                          <w:rPr>
                            <w:rFonts w:asciiTheme="minorHAnsi"/>
                            <w:b/>
                            <w:bCs/>
                            <w:color w:val="404040" w:themeColor="text1" w:themeTint="BF"/>
                            <w:kern w:val="24"/>
                          </w:rPr>
                          <w:t>(and growth)</w:t>
                        </w:r>
                      </w:p>
                    </w:txbxContent>
                  </v:textbox>
                </v:shape>
                <w10:wrap type="topAndBottom"/>
              </v:group>
            </w:pict>
          </mc:Fallback>
        </mc:AlternateContent>
      </w:r>
      <w:r w:rsidR="00597E9D">
        <w:rPr>
          <w:noProof/>
        </w:rPr>
        <w:drawing>
          <wp:anchor distT="0" distB="0" distL="114300" distR="114300" simplePos="0" relativeHeight="251658266" behindDoc="0" locked="0" layoutInCell="1" allowOverlap="1" wp14:anchorId="5593FA17" wp14:editId="4FE43E75">
            <wp:simplePos x="0" y="0"/>
            <wp:positionH relativeFrom="margin">
              <wp:posOffset>-2540</wp:posOffset>
            </wp:positionH>
            <wp:positionV relativeFrom="paragraph">
              <wp:posOffset>964063</wp:posOffset>
            </wp:positionV>
            <wp:extent cx="5728970" cy="3348000"/>
            <wp:effectExtent l="0" t="0" r="5080" b="5080"/>
            <wp:wrapTopAndBottom/>
            <wp:docPr id="549787273" name="Chart 1" descr="P972#y1">
              <a:extLst xmlns:a="http://schemas.openxmlformats.org/drawingml/2006/main">
                <a:ext uri="{FF2B5EF4-FFF2-40B4-BE49-F238E27FC236}">
                  <a16:creationId xmlns:a16="http://schemas.microsoft.com/office/drawing/2014/main" id="{14777567-28FB-11FB-B1C8-73149B955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5DF3F294" w14:textId="77777777" w:rsidR="00F06C05" w:rsidRDefault="00F06C05" w:rsidP="00F06C05">
      <w:pPr>
        <w:pStyle w:val="Caption"/>
        <w:keepNext/>
      </w:pPr>
    </w:p>
    <w:p w14:paraId="1AA672E2" w14:textId="77777777" w:rsidR="007A4BB6" w:rsidRDefault="007A4BB6" w:rsidP="007A4BB6"/>
    <w:p w14:paraId="5AE92A5C" w14:textId="77777777" w:rsidR="007A4BB6" w:rsidRPr="007A4BB6" w:rsidRDefault="007A4BB6" w:rsidP="00EC0C63"/>
    <w:p w14:paraId="0A7E03A6" w14:textId="1E65BF6F" w:rsidR="00F06C05" w:rsidRDefault="00F06C05" w:rsidP="00F06C05">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7</w:t>
      </w:r>
      <w:r w:rsidR="00BD5B5E">
        <w:fldChar w:fldCharType="end"/>
      </w:r>
      <w:r>
        <w:t>: Average cost per GWAU</w:t>
      </w:r>
      <w:r w:rsidR="006976A1">
        <w:t xml:space="preserve"> – </w:t>
      </w:r>
      <w:r w:rsidR="00371996">
        <w:t>N</w:t>
      </w:r>
      <w:r w:rsidR="00C64B67">
        <w:t>SW</w:t>
      </w:r>
    </w:p>
    <w:p w14:paraId="7C6FD21D" w14:textId="192975A3" w:rsidR="00DF47D7" w:rsidRDefault="00DF47D7" w:rsidP="00F978A9">
      <w:pPr>
        <w:rPr>
          <w:color w:val="44546A" w:themeColor="text2"/>
        </w:rPr>
      </w:pPr>
    </w:p>
    <w:p w14:paraId="148EFCEB" w14:textId="61C6ADE8" w:rsidR="00F978A9" w:rsidRDefault="009877D6" w:rsidP="00F978A9">
      <w:pPr>
        <w:rPr>
          <w:color w:val="44546A" w:themeColor="text2"/>
        </w:rPr>
      </w:pPr>
      <w:r>
        <w:rPr>
          <w:noProof/>
        </w:rPr>
        <mc:AlternateContent>
          <mc:Choice Requires="wpg">
            <w:drawing>
              <wp:anchor distT="0" distB="0" distL="114300" distR="114300" simplePos="0" relativeHeight="251658289" behindDoc="0" locked="0" layoutInCell="1" allowOverlap="1" wp14:anchorId="7260153F" wp14:editId="6DC9183E">
                <wp:simplePos x="0" y="0"/>
                <wp:positionH relativeFrom="column">
                  <wp:posOffset>4803511</wp:posOffset>
                </wp:positionH>
                <wp:positionV relativeFrom="paragraph">
                  <wp:posOffset>534670</wp:posOffset>
                </wp:positionV>
                <wp:extent cx="876300" cy="2027207"/>
                <wp:effectExtent l="19050" t="0" r="0" b="0"/>
                <wp:wrapNone/>
                <wp:docPr id="2056009841" name="Group 7" descr="P978#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6300" cy="2027207"/>
                          <a:chOff x="0" y="0"/>
                          <a:chExt cx="876300" cy="2056765"/>
                        </a:xfrm>
                      </wpg:grpSpPr>
                      <wpg:grpSp>
                        <wpg:cNvPr id="996246370" name="Group 2">
                          <a:extLst>
                            <a:ext uri="{FF2B5EF4-FFF2-40B4-BE49-F238E27FC236}">
                              <a16:creationId xmlns:a16="http://schemas.microsoft.com/office/drawing/2014/main" id="{617C28B3-936C-F8F2-6099-ACC21CA82ECD}"/>
                            </a:ext>
                          </a:extLst>
                        </wpg:cNvPr>
                        <wpg:cNvGrpSpPr/>
                        <wpg:grpSpPr>
                          <a:xfrm>
                            <a:off x="9525" y="1685925"/>
                            <a:ext cx="865505" cy="370840"/>
                            <a:chOff x="9525" y="1733130"/>
                            <a:chExt cx="865932" cy="371475"/>
                          </a:xfrm>
                        </wpg:grpSpPr>
                        <wps:wsp>
                          <wps:cNvPr id="522711239" name="TextBox 2077">
                            <a:extLst>
                              <a:ext uri="{FF2B5EF4-FFF2-40B4-BE49-F238E27FC236}">
                                <a16:creationId xmlns:a16="http://schemas.microsoft.com/office/drawing/2014/main" id="{179D62E6-5B79-E160-2C01-E6035710EE45}"/>
                              </a:ext>
                            </a:extLst>
                          </wps:cNvPr>
                          <wps:cNvSpPr txBox="1"/>
                          <wps:spPr>
                            <a:xfrm>
                              <a:off x="239822" y="1733130"/>
                              <a:ext cx="635635" cy="371475"/>
                            </a:xfrm>
                            <a:prstGeom prst="rect">
                              <a:avLst/>
                            </a:prstGeom>
                            <a:noFill/>
                          </wps:spPr>
                          <wps:txbx>
                            <w:txbxContent>
                              <w:p w14:paraId="2859FD3F"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0.4%</w:t>
                                </w:r>
                              </w:p>
                            </w:txbxContent>
                          </wps:txbx>
                          <wps:bodyPr wrap="square" rtlCol="0">
                            <a:noAutofit/>
                          </wps:bodyPr>
                        </wps:wsp>
                        <wps:wsp>
                          <wps:cNvPr id="1195686507" name="Arrow: Right 1195686507">
                            <a:extLst>
                              <a:ext uri="{FF2B5EF4-FFF2-40B4-BE49-F238E27FC236}">
                                <a16:creationId xmlns:a16="http://schemas.microsoft.com/office/drawing/2014/main" id="{EE5DBF3D-82AB-B38C-99A2-A281E2DB4950}"/>
                              </a:ext>
                            </a:extLst>
                          </wps:cNvPr>
                          <wps:cNvSpPr/>
                          <wps:spPr>
                            <a:xfrm>
                              <a:off x="9525" y="1770355"/>
                              <a:ext cx="240303" cy="172561"/>
                            </a:xfrm>
                            <a:prstGeom prst="rightArrow">
                              <a:avLst/>
                            </a:prstGeom>
                            <a:solidFill>
                              <a:srgbClr val="FFC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81796647" name="Group 3">
                          <a:extLst>
                            <a:ext uri="{FF2B5EF4-FFF2-40B4-BE49-F238E27FC236}">
                              <a16:creationId xmlns:a16="http://schemas.microsoft.com/office/drawing/2014/main" id="{2BC9F390-121A-C566-7B9F-2521E6104AB0}"/>
                            </a:ext>
                          </a:extLst>
                        </wpg:cNvPr>
                        <wpg:cNvGrpSpPr/>
                        <wpg:grpSpPr>
                          <a:xfrm>
                            <a:off x="0" y="1266825"/>
                            <a:ext cx="876300" cy="371437"/>
                            <a:chOff x="0" y="1299477"/>
                            <a:chExt cx="876642" cy="371475"/>
                          </a:xfrm>
                        </wpg:grpSpPr>
                        <wps:wsp>
                          <wps:cNvPr id="974041530" name="Arrow: Right 974041530">
                            <a:extLst>
                              <a:ext uri="{FF2B5EF4-FFF2-40B4-BE49-F238E27FC236}">
                                <a16:creationId xmlns:a16="http://schemas.microsoft.com/office/drawing/2014/main" id="{09907E7A-33A8-5D43-4438-F8D3012F769C}"/>
                              </a:ext>
                            </a:extLst>
                          </wps:cNvPr>
                          <wps:cNvSpPr/>
                          <wps:spPr>
                            <a:xfrm rot="19343903">
                              <a:off x="0" y="1336440"/>
                              <a:ext cx="240303" cy="172561"/>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07186419" name="TextBox 2061">
                            <a:extLst>
                              <a:ext uri="{FF2B5EF4-FFF2-40B4-BE49-F238E27FC236}">
                                <a16:creationId xmlns:a16="http://schemas.microsoft.com/office/drawing/2014/main" id="{A4ECE6F6-B2BB-AA17-677E-D014487195AA}"/>
                              </a:ext>
                            </a:extLst>
                          </wps:cNvPr>
                          <wps:cNvSpPr txBox="1"/>
                          <wps:spPr>
                            <a:xfrm>
                              <a:off x="241007" y="1299477"/>
                              <a:ext cx="635635" cy="371475"/>
                            </a:xfrm>
                            <a:prstGeom prst="rect">
                              <a:avLst/>
                            </a:prstGeom>
                            <a:noFill/>
                          </wps:spPr>
                          <wps:txbx>
                            <w:txbxContent>
                              <w:p w14:paraId="1F553321"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3.5%</w:t>
                                </w:r>
                              </w:p>
                            </w:txbxContent>
                          </wps:txbx>
                          <wps:bodyPr wrap="square" rtlCol="0">
                            <a:noAutofit/>
                          </wps:bodyPr>
                        </wps:wsp>
                      </wpg:grpSp>
                      <wpg:grpSp>
                        <wpg:cNvPr id="1722959006" name="Group 4">
                          <a:extLst>
                            <a:ext uri="{FF2B5EF4-FFF2-40B4-BE49-F238E27FC236}">
                              <a16:creationId xmlns:a16="http://schemas.microsoft.com/office/drawing/2014/main" id="{92F74A41-7F41-7496-4430-E26AD04CAD74}"/>
                            </a:ext>
                          </a:extLst>
                        </wpg:cNvPr>
                        <wpg:cNvGrpSpPr/>
                        <wpg:grpSpPr>
                          <a:xfrm>
                            <a:off x="28575" y="838200"/>
                            <a:ext cx="844567" cy="371437"/>
                            <a:chOff x="31745" y="858114"/>
                            <a:chExt cx="844897" cy="371475"/>
                          </a:xfrm>
                        </wpg:grpSpPr>
                        <wps:wsp>
                          <wps:cNvPr id="285052047" name="Arrow: Right 285052047">
                            <a:extLst>
                              <a:ext uri="{FF2B5EF4-FFF2-40B4-BE49-F238E27FC236}">
                                <a16:creationId xmlns:a16="http://schemas.microsoft.com/office/drawing/2014/main" id="{CBE3F862-D8B7-F085-EC15-8D4A488794E4}"/>
                              </a:ext>
                            </a:extLst>
                          </wps:cNvPr>
                          <wps:cNvSpPr/>
                          <wps:spPr>
                            <a:xfrm rot="16200000">
                              <a:off x="2889" y="892906"/>
                              <a:ext cx="234525"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0466686" name="TextBox 2062">
                            <a:extLst>
                              <a:ext uri="{FF2B5EF4-FFF2-40B4-BE49-F238E27FC236}">
                                <a16:creationId xmlns:a16="http://schemas.microsoft.com/office/drawing/2014/main" id="{0C68FEB3-B30D-39B2-F1EF-CEA768587514}"/>
                              </a:ext>
                            </a:extLst>
                          </wps:cNvPr>
                          <wps:cNvSpPr txBox="1"/>
                          <wps:spPr>
                            <a:xfrm>
                              <a:off x="241007" y="858114"/>
                              <a:ext cx="635635" cy="371475"/>
                            </a:xfrm>
                            <a:prstGeom prst="rect">
                              <a:avLst/>
                            </a:prstGeom>
                            <a:noFill/>
                          </wps:spPr>
                          <wps:txbx>
                            <w:txbxContent>
                              <w:p w14:paraId="1E7D2CCA"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19.3%</w:t>
                                </w:r>
                              </w:p>
                            </w:txbxContent>
                          </wps:txbx>
                          <wps:bodyPr wrap="square" rtlCol="0">
                            <a:noAutofit/>
                          </wps:bodyPr>
                        </wps:wsp>
                      </wpg:grpSp>
                      <wpg:grpSp>
                        <wpg:cNvPr id="1192328062" name="Group 5">
                          <a:extLst>
                            <a:ext uri="{FF2B5EF4-FFF2-40B4-BE49-F238E27FC236}">
                              <a16:creationId xmlns:a16="http://schemas.microsoft.com/office/drawing/2014/main" id="{5475F635-A821-CA0B-FA79-99DA91341027}"/>
                            </a:ext>
                          </a:extLst>
                        </wpg:cNvPr>
                        <wpg:cNvGrpSpPr/>
                        <wpg:grpSpPr>
                          <a:xfrm>
                            <a:off x="28575" y="0"/>
                            <a:ext cx="843280" cy="370840"/>
                            <a:chOff x="31745" y="0"/>
                            <a:chExt cx="843661" cy="371475"/>
                          </a:xfrm>
                        </wpg:grpSpPr>
                        <wps:wsp>
                          <wps:cNvPr id="66253718" name="Arrow: Right 66253718">
                            <a:extLst>
                              <a:ext uri="{FF2B5EF4-FFF2-40B4-BE49-F238E27FC236}">
                                <a16:creationId xmlns:a16="http://schemas.microsoft.com/office/drawing/2014/main" id="{2A4126CC-AD67-460A-C62B-43A27891BD5E}"/>
                              </a:ext>
                            </a:extLst>
                          </wps:cNvPr>
                          <wps:cNvSpPr/>
                          <wps:spPr>
                            <a:xfrm rot="16200000">
                              <a:off x="2889" y="34704"/>
                              <a:ext cx="234525"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28093529" name="TextBox 2064">
                            <a:extLst>
                              <a:ext uri="{FF2B5EF4-FFF2-40B4-BE49-F238E27FC236}">
                                <a16:creationId xmlns:a16="http://schemas.microsoft.com/office/drawing/2014/main" id="{E23349D4-BBAF-3924-3B8F-6862A3B827F5}"/>
                              </a:ext>
                            </a:extLst>
                          </wps:cNvPr>
                          <wps:cNvSpPr txBox="1"/>
                          <wps:spPr>
                            <a:xfrm>
                              <a:off x="239771" y="0"/>
                              <a:ext cx="635635" cy="371475"/>
                            </a:xfrm>
                            <a:prstGeom prst="rect">
                              <a:avLst/>
                            </a:prstGeom>
                            <a:noFill/>
                          </wps:spPr>
                          <wps:txbx>
                            <w:txbxContent>
                              <w:p w14:paraId="0BECA49A"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5.8%</w:t>
                                </w:r>
                              </w:p>
                            </w:txbxContent>
                          </wps:txbx>
                          <wps:bodyPr wrap="square" rtlCol="0">
                            <a:noAutofit/>
                          </wps:bodyPr>
                        </wps:wsp>
                      </wpg:grpSp>
                      <wpg:grpSp>
                        <wpg:cNvPr id="1642784960" name="Group 6">
                          <a:extLst>
                            <a:ext uri="{FF2B5EF4-FFF2-40B4-BE49-F238E27FC236}">
                              <a16:creationId xmlns:a16="http://schemas.microsoft.com/office/drawing/2014/main" id="{1B537FBC-5E56-7F68-2ED8-AAE11DD2F683}"/>
                            </a:ext>
                          </a:extLst>
                        </wpg:cNvPr>
                        <wpg:cNvGrpSpPr/>
                        <wpg:grpSpPr>
                          <a:xfrm>
                            <a:off x="28575" y="419100"/>
                            <a:ext cx="846891" cy="371437"/>
                            <a:chOff x="28184" y="409562"/>
                            <a:chExt cx="847222" cy="371475"/>
                          </a:xfrm>
                        </wpg:grpSpPr>
                        <wps:wsp>
                          <wps:cNvPr id="1563473475" name="TextBox 2063">
                            <a:extLst>
                              <a:ext uri="{FF2B5EF4-FFF2-40B4-BE49-F238E27FC236}">
                                <a16:creationId xmlns:a16="http://schemas.microsoft.com/office/drawing/2014/main" id="{61A2E2C8-AB4D-D8A8-B7F8-03FF9641DEE8}"/>
                              </a:ext>
                            </a:extLst>
                          </wps:cNvPr>
                          <wps:cNvSpPr txBox="1"/>
                          <wps:spPr>
                            <a:xfrm>
                              <a:off x="239771" y="409562"/>
                              <a:ext cx="635635" cy="371475"/>
                            </a:xfrm>
                            <a:prstGeom prst="rect">
                              <a:avLst/>
                            </a:prstGeom>
                            <a:noFill/>
                          </wps:spPr>
                          <wps:txbx>
                            <w:txbxContent>
                              <w:p w14:paraId="3428342D"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1.3%</w:t>
                                </w:r>
                              </w:p>
                            </w:txbxContent>
                          </wps:txbx>
                          <wps:bodyPr wrap="square" rtlCol="0">
                            <a:noAutofit/>
                          </wps:bodyPr>
                        </wps:wsp>
                        <wps:wsp>
                          <wps:cNvPr id="1445250730" name="Arrow: Right 1445250730">
                            <a:extLst>
                              <a:ext uri="{FF2B5EF4-FFF2-40B4-BE49-F238E27FC236}">
                                <a16:creationId xmlns:a16="http://schemas.microsoft.com/office/drawing/2014/main" id="{CFDDBC76-0C17-6407-DA59-A29ED1F1D7E5}"/>
                              </a:ext>
                            </a:extLst>
                          </wps:cNvPr>
                          <wps:cNvSpPr/>
                          <wps:spPr>
                            <a:xfrm rot="19343903">
                              <a:off x="28184" y="444308"/>
                              <a:ext cx="240303"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260153F" id="Group 7" o:spid="_x0000_s1079" alt="P978#y2" style="position:absolute;margin-left:378.25pt;margin-top:42.1pt;width:69pt;height:159.6pt;z-index:251658289;mso-position-horizontal-relative:text;mso-position-vertical-relative:text;mso-height-relative:margin" coordsize="8763,2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">
                <v:group id="_x0000_s1080" style="position:absolute;left:95;top:16859;width:8655;height:3708" coordorigin="95,17331" coordsize="8659,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">
                  <v:shape id="TextBox 2077" o:spid="_x0000_s1081" type="#_x0000_t202" style="position:absolute;left:2398;top:17331;width:635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" filled="f" stroked="f">
                    <v:textbox>
                      <w:txbxContent>
                        <w:p w14:paraId="2859FD3F"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0.4%</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95686507" o:spid="_x0000_s1082" type="#_x0000_t13" style="position:absolute;left:95;top:17703;width:2403;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" adj="13845" fillcolor="#ffc000" stroked="f" strokeweight="1pt">
                    <v:fill opacity="26214f"/>
                  </v:shape>
                </v:group>
                <v:group id="_x0000_s1083" style="position:absolute;top:12668;width:8763;height:3714" coordorigin=",12994" coordsize="8766,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">
                  <v:shape id="Arrow: Right 974041530" o:spid="_x0000_s1084" type="#_x0000_t13" style="position:absolute;top:13364;width:2403;height:1726;rotation:-24642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" adj="13845" fillcolor="red" stroked="f" strokeweight="1pt">
                    <v:fill opacity="26214f"/>
                  </v:shape>
                  <v:shape id="TextBox 2061" o:spid="_x0000_s1085" type="#_x0000_t202" style="position:absolute;left:2410;top:12994;width:635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" filled="f" stroked="f">
                    <v:textbox>
                      <w:txbxContent>
                        <w:p w14:paraId="1F553321"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3.5%</w:t>
                          </w:r>
                        </w:p>
                      </w:txbxContent>
                    </v:textbox>
                  </v:shape>
                </v:group>
                <v:group id="_x0000_s1086" style="position:absolute;left:285;top:8382;width:8446;height:3714" coordorigin="317,8581" coordsize="844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">
                  <v:shape id="Arrow: Right 285052047" o:spid="_x0000_s1087" type="#_x0000_t13" style="position:absolute;left:28;top:8929;width:2345;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" adj="13458" fillcolor="red" stroked="f" strokeweight="1pt">
                    <v:fill opacity="26214f"/>
                  </v:shape>
                  <v:shape id="TextBox 2062" o:spid="_x0000_s1088" type="#_x0000_t202" style="position:absolute;left:2410;top:8581;width:635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" filled="f" stroked="f">
                    <v:textbox>
                      <w:txbxContent>
                        <w:p w14:paraId="1E7D2CCA"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19.3%</w:t>
                          </w:r>
                        </w:p>
                      </w:txbxContent>
                    </v:textbox>
                  </v:shape>
                </v:group>
                <v:group id="_x0000_s1089" style="position:absolute;left:285;width:8433;height:3708" coordorigin="317" coordsize="8436,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">
                  <v:shape id="Arrow: Right 66253718" o:spid="_x0000_s1090" type="#_x0000_t13" style="position:absolute;left:28;top:347;width:2345;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" adj="13458" fillcolor="red" stroked="f" strokeweight="1pt">
                    <v:fill opacity="26214f"/>
                  </v:shape>
                  <v:shape id="TextBox 2064" o:spid="_x0000_s1091" type="#_x0000_t202" style="position:absolute;left:2397;width:635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" filled="f" stroked="f">
                    <v:textbox>
                      <w:txbxContent>
                        <w:p w14:paraId="0BECA49A"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5.8%</w:t>
                          </w:r>
                        </w:p>
                      </w:txbxContent>
                    </v:textbox>
                  </v:shape>
                </v:group>
                <v:group id="_x0000_s1092" style="position:absolute;left:285;top:4191;width:8469;height:3714" coordorigin="281,4095" coordsize="8472,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">
                  <v:shape id="TextBox 2063" o:spid="_x0000_s1093" type="#_x0000_t202" style="position:absolute;left:2397;top:4095;width:635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" filled="f" stroked="f">
                    <v:textbox>
                      <w:txbxContent>
                        <w:p w14:paraId="3428342D" w14:textId="77777777" w:rsidR="00F06C05" w:rsidRPr="001729F2" w:rsidRDefault="00F06C05" w:rsidP="00F06C05">
                          <w:pPr>
                            <w:rPr>
                              <w:rFonts w:asciiTheme="minorHAnsi"/>
                              <w:color w:val="000000" w:themeColor="text1"/>
                              <w:kern w:val="24"/>
                            </w:rPr>
                          </w:pPr>
                          <w:r w:rsidRPr="001729F2">
                            <w:rPr>
                              <w:rFonts w:asciiTheme="minorHAnsi"/>
                              <w:color w:val="000000" w:themeColor="text1"/>
                              <w:kern w:val="24"/>
                            </w:rPr>
                            <w:t>1.3%</w:t>
                          </w:r>
                        </w:p>
                      </w:txbxContent>
                    </v:textbox>
                  </v:shape>
                  <v:shape id="Arrow: Right 1445250730" o:spid="_x0000_s1094" type="#_x0000_t13" style="position:absolute;left:281;top:4443;width:2403;height:1768;rotation:-24642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" adj="13653" fillcolor="red" stroked="f" strokeweight="1pt">
                    <v:fill opacity="26214f"/>
                  </v:shape>
                </v:group>
              </v:group>
            </w:pict>
          </mc:Fallback>
        </mc:AlternateContent>
      </w:r>
      <w:r w:rsidR="00E725E4" w:rsidRPr="00A816EE">
        <w:rPr>
          <w:noProof/>
        </w:rPr>
        <mc:AlternateContent>
          <mc:Choice Requires="wpg">
            <w:drawing>
              <wp:anchor distT="0" distB="0" distL="114300" distR="114300" simplePos="0" relativeHeight="251658290" behindDoc="0" locked="0" layoutInCell="1" allowOverlap="1" wp14:anchorId="44824705" wp14:editId="1425D4E6">
                <wp:simplePos x="0" y="0"/>
                <wp:positionH relativeFrom="column">
                  <wp:posOffset>4227357</wp:posOffset>
                </wp:positionH>
                <wp:positionV relativeFrom="paragraph">
                  <wp:posOffset>-152400</wp:posOffset>
                </wp:positionV>
                <wp:extent cx="1845310" cy="591185"/>
                <wp:effectExtent l="0" t="0" r="0" b="0"/>
                <wp:wrapNone/>
                <wp:docPr id="1768166721" name="Group 2" descr="P978#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5310" cy="591185"/>
                          <a:chOff x="5633546" y="0"/>
                          <a:chExt cx="1846025" cy="591297"/>
                        </a:xfrm>
                      </wpg:grpSpPr>
                      <wps:wsp>
                        <wps:cNvPr id="39766476" name="TextBox 16"/>
                        <wps:cNvSpPr txBox="1"/>
                        <wps:spPr>
                          <a:xfrm>
                            <a:off x="5633546" y="321393"/>
                            <a:ext cx="1846025" cy="269904"/>
                          </a:xfrm>
                          <a:prstGeom prst="rect">
                            <a:avLst/>
                          </a:prstGeom>
                          <a:noFill/>
                          <a:ln>
                            <a:noFill/>
                          </a:ln>
                        </wps:spPr>
                        <wps:txbx>
                          <w:txbxContent>
                            <w:p w14:paraId="5EF99664" w14:textId="77777777" w:rsidR="00F06C05" w:rsidRPr="001729F2" w:rsidRDefault="00F06C05" w:rsidP="00F06C05">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 xml:space="preserve">Average cost per GWAU </w:t>
                              </w:r>
                            </w:p>
                          </w:txbxContent>
                        </wps:txbx>
                        <wps:bodyPr wrap="square" rtlCol="0">
                          <a:spAutoFit/>
                        </wps:bodyPr>
                      </wps:wsp>
                      <pic:pic xmlns:pic="http://schemas.openxmlformats.org/drawingml/2006/picture">
                        <pic:nvPicPr>
                          <pic:cNvPr id="101853440" name="Graphic 18" descr="Upward trend with solid fill"/>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6355061" y="0"/>
                            <a:ext cx="403200" cy="403200"/>
                          </a:xfrm>
                          <a:prstGeom prst="rect">
                            <a:avLst/>
                          </a:prstGeom>
                        </pic:spPr>
                      </pic:pic>
                    </wpg:wgp>
                  </a:graphicData>
                </a:graphic>
                <wp14:sizeRelH relativeFrom="margin">
                  <wp14:pctWidth>0</wp14:pctWidth>
                </wp14:sizeRelH>
              </wp:anchor>
            </w:drawing>
          </mc:Choice>
          <mc:Fallback>
            <w:pict>
              <v:group w14:anchorId="44824705" id="Group 2" o:spid="_x0000_s1095" alt="P978#y3" style="position:absolute;margin-left:332.85pt;margin-top:-12pt;width:145.3pt;height:46.55pt;z-index:251658290;mso-position-horizontal-relative:text;mso-position-vertical-relative:text;mso-width-relative:margin" coordorigin="56335" coordsize="18460,59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">
                <v:shape id="TextBox 16" o:spid="_x0000_s1096" type="#_x0000_t202" style="position:absolute;left:56335;top:3213;width:1846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" filled="f" stroked="f">
                  <v:textbox style="mso-fit-shape-to-text:t">
                    <w:txbxContent>
                      <w:p w14:paraId="5EF99664" w14:textId="77777777" w:rsidR="00F06C05" w:rsidRPr="001729F2" w:rsidRDefault="00F06C05" w:rsidP="00F06C05">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 xml:space="preserve">Average cost per GWAU </w:t>
                        </w:r>
                      </w:p>
                    </w:txbxContent>
                  </v:textbox>
                </v:shape>
                <v:shape id="Graphic 18" o:spid="_x0000_s1097" type="#_x0000_t75" alt="Upward trend with solid fill" style="position:absolute;left:63550;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">
                  <v:imagedata r:id="rId45" o:title="Upward trend with solid fill"/>
                </v:shape>
              </v:group>
            </w:pict>
          </mc:Fallback>
        </mc:AlternateContent>
      </w:r>
      <w:r w:rsidR="00F06C05" w:rsidRPr="00D9010F">
        <w:rPr>
          <w:noProof/>
          <w:color w:val="44546A" w:themeColor="text2"/>
        </w:rPr>
        <w:drawing>
          <wp:anchor distT="0" distB="0" distL="114300" distR="114300" simplePos="0" relativeHeight="251658281" behindDoc="0" locked="0" layoutInCell="1" allowOverlap="1" wp14:anchorId="677DE958" wp14:editId="4A4DC3CC">
            <wp:simplePos x="0" y="0"/>
            <wp:positionH relativeFrom="margin">
              <wp:align>left</wp:align>
            </wp:positionH>
            <wp:positionV relativeFrom="paragraph">
              <wp:posOffset>299720</wp:posOffset>
            </wp:positionV>
            <wp:extent cx="4831080" cy="2771775"/>
            <wp:effectExtent l="0" t="0" r="0" b="0"/>
            <wp:wrapTopAndBottom/>
            <wp:docPr id="474765378" name="Chart 1" descr="P978#y1">
              <a:extLst xmlns:a="http://schemas.openxmlformats.org/drawingml/2006/main">
                <a:ext uri="{FF2B5EF4-FFF2-40B4-BE49-F238E27FC236}">
                  <a16:creationId xmlns:a16="http://schemas.microsoft.com/office/drawing/2014/main" id="{046006C6-455D-38EE-469D-FCE5A5316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F06C05" w:rsidRPr="00A816EE">
        <w:rPr>
          <w:noProof/>
        </w:rPr>
        <mc:AlternateContent>
          <mc:Choice Requires="wpg">
            <w:drawing>
              <wp:anchor distT="0" distB="0" distL="114300" distR="114300" simplePos="0" relativeHeight="251658291" behindDoc="0" locked="0" layoutInCell="1" allowOverlap="1" wp14:anchorId="5594A832" wp14:editId="1F4CBEB9">
                <wp:simplePos x="0" y="0"/>
                <wp:positionH relativeFrom="column">
                  <wp:posOffset>1056005</wp:posOffset>
                </wp:positionH>
                <wp:positionV relativeFrom="paragraph">
                  <wp:posOffset>-152400</wp:posOffset>
                </wp:positionV>
                <wp:extent cx="1650365" cy="590550"/>
                <wp:effectExtent l="0" t="0" r="0" b="0"/>
                <wp:wrapNone/>
                <wp:docPr id="1655942550" name="Group 1" descr="P978#y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50365" cy="590550"/>
                          <a:chOff x="1081330" y="9968"/>
                          <a:chExt cx="1650365" cy="590744"/>
                        </a:xfrm>
                      </wpg:grpSpPr>
                      <pic:pic xmlns:pic="http://schemas.openxmlformats.org/drawingml/2006/picture">
                        <pic:nvPicPr>
                          <pic:cNvPr id="2049355427" name="Graphic 5" descr="Hospital outline"/>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704951" y="9968"/>
                            <a:ext cx="403200" cy="393504"/>
                          </a:xfrm>
                          <a:prstGeom prst="rect">
                            <a:avLst/>
                          </a:prstGeom>
                        </pic:spPr>
                      </pic:pic>
                      <wps:wsp>
                        <wps:cNvPr id="1676675577" name="TextBox 6"/>
                        <wps:cNvSpPr txBox="1"/>
                        <wps:spPr>
                          <a:xfrm>
                            <a:off x="1081330" y="330837"/>
                            <a:ext cx="1650365" cy="269875"/>
                          </a:xfrm>
                          <a:prstGeom prst="rect">
                            <a:avLst/>
                          </a:prstGeom>
                          <a:noFill/>
                          <a:ln>
                            <a:noFill/>
                          </a:ln>
                        </wps:spPr>
                        <wps:txbx>
                          <w:txbxContent>
                            <w:p w14:paraId="51F92B29" w14:textId="77777777" w:rsidR="00F06C05" w:rsidRPr="001729F2" w:rsidRDefault="00F06C05" w:rsidP="00F06C05">
                              <w:pPr>
                                <w:spacing w:after="0"/>
                                <w:rPr>
                                  <w:rFonts w:asciiTheme="minorHAnsi"/>
                                  <w:b/>
                                  <w:bCs/>
                                  <w:color w:val="404040" w:themeColor="text1" w:themeTint="BF"/>
                                  <w:kern w:val="24"/>
                                </w:rPr>
                              </w:pPr>
                              <w:r w:rsidRPr="001729F2">
                                <w:rPr>
                                  <w:rFonts w:asciiTheme="minorHAnsi"/>
                                  <w:b/>
                                  <w:bCs/>
                                  <w:color w:val="404040" w:themeColor="text1" w:themeTint="BF"/>
                                  <w:kern w:val="24"/>
                                </w:rPr>
                                <w:t>Average costs / GWAU</w:t>
                              </w:r>
                            </w:p>
                          </w:txbxContent>
                        </wps:txbx>
                        <wps:bodyPr wrap="square" rtlCol="0">
                          <a:spAutoFit/>
                        </wps:bodyPr>
                      </wps:wsp>
                    </wpg:wgp>
                  </a:graphicData>
                </a:graphic>
              </wp:anchor>
            </w:drawing>
          </mc:Choice>
          <mc:Fallback>
            <w:pict>
              <v:group w14:anchorId="5594A832" id="_x0000_s1098" alt="P978#y4" style="position:absolute;margin-left:83.15pt;margin-top:-12pt;width:129.95pt;height:46.5pt;z-index:251658291;mso-position-horizontal-relative:text;mso-position-vertical-relative:text" coordorigin="10813,99" coordsize="16503,59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">
                <v:shape id="Graphic 5" o:spid="_x0000_s1099" type="#_x0000_t75" alt="Hospital outline" style="position:absolute;left:17049;top:99;width:4032;height: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">
                  <v:imagedata r:id="rId49" o:title="Hospital outline"/>
                </v:shape>
                <v:shape id="TextBox 6" o:spid="_x0000_s1100" type="#_x0000_t202" style="position:absolute;left:10813;top:3308;width:1650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" filled="f" stroked="f">
                  <v:textbox style="mso-fit-shape-to-text:t">
                    <w:txbxContent>
                      <w:p w14:paraId="51F92B29" w14:textId="77777777" w:rsidR="00F06C05" w:rsidRPr="001729F2" w:rsidRDefault="00F06C05" w:rsidP="00F06C05">
                        <w:pPr>
                          <w:spacing w:after="0"/>
                          <w:rPr>
                            <w:rFonts w:asciiTheme="minorHAnsi"/>
                            <w:b/>
                            <w:bCs/>
                            <w:color w:val="404040" w:themeColor="text1" w:themeTint="BF"/>
                            <w:kern w:val="24"/>
                          </w:rPr>
                        </w:pPr>
                        <w:r w:rsidRPr="001729F2">
                          <w:rPr>
                            <w:rFonts w:asciiTheme="minorHAnsi"/>
                            <w:b/>
                            <w:bCs/>
                            <w:color w:val="404040" w:themeColor="text1" w:themeTint="BF"/>
                            <w:kern w:val="24"/>
                          </w:rPr>
                          <w:t>Average costs / GWAU</w:t>
                        </w:r>
                      </w:p>
                    </w:txbxContent>
                  </v:textbox>
                </v:shape>
              </v:group>
            </w:pict>
          </mc:Fallback>
        </mc:AlternateContent>
      </w:r>
    </w:p>
    <w:p w14:paraId="1E3AC933" w14:textId="11D73F33" w:rsidR="00802EF1" w:rsidRPr="00802EF1" w:rsidRDefault="00802EF1" w:rsidP="00564B15">
      <w:pPr>
        <w:pStyle w:val="Caption"/>
      </w:pPr>
      <w:r>
        <w:t>*</w:t>
      </w:r>
      <w:r w:rsidR="009048ED" w:rsidRPr="009048ED">
        <w:t xml:space="preserve"> Mental health analysis includes admitted only. Community mental health GWAU was not available as it was not priced in 2023-24.</w:t>
      </w:r>
    </w:p>
    <w:p w14:paraId="0D85F2F9" w14:textId="42122A4E" w:rsidR="00E341C0" w:rsidRPr="004D0CA5" w:rsidRDefault="00F978A9" w:rsidP="004D0CA5">
      <w:pPr>
        <w:rPr>
          <w:color w:val="44546A" w:themeColor="text2"/>
        </w:rPr>
      </w:pPr>
      <w:r>
        <w:rPr>
          <w:color w:val="44546A" w:themeColor="text2"/>
        </w:rPr>
        <w:t>Key findings by stream include:</w:t>
      </w:r>
    </w:p>
    <w:p w14:paraId="2A6BB27C" w14:textId="685DD993" w:rsidR="004D0CA5" w:rsidRDefault="004D0CA5" w:rsidP="004D0CA5">
      <w:pPr>
        <w:pStyle w:val="Caption"/>
        <w:keepNext/>
      </w:pPr>
      <w:r>
        <w:t xml:space="preserve">Table </w:t>
      </w:r>
      <w:r>
        <w:fldChar w:fldCharType="begin"/>
      </w:r>
      <w:r>
        <w:instrText xml:space="preserve"> SEQ Table \* ARABIC </w:instrText>
      </w:r>
      <w:r>
        <w:fldChar w:fldCharType="separate"/>
      </w:r>
      <w:r w:rsidR="00CE6F96">
        <w:rPr>
          <w:noProof/>
        </w:rPr>
        <w:t>7</w:t>
      </w:r>
      <w:r>
        <w:fldChar w:fldCharType="end"/>
      </w:r>
      <w:r>
        <w:t xml:space="preserve">: </w:t>
      </w:r>
      <w:r w:rsidR="00B90AE2">
        <w:t>Key findings by stream in NSW</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451"/>
        <w:gridCol w:w="7529"/>
      </w:tblGrid>
      <w:tr w:rsidR="00F53229" w:rsidRPr="002C3BA4" w14:paraId="18B61475" w14:textId="77777777" w:rsidTr="048600DC">
        <w:trPr>
          <w:cantSplit/>
          <w:trHeight w:val="2530"/>
        </w:trPr>
        <w:tc>
          <w:tcPr>
            <w:tcW w:w="1451" w:type="dxa"/>
            <w:shd w:val="clear" w:color="auto" w:fill="220054" w:themeFill="accent1"/>
            <w:vAlign w:val="center"/>
          </w:tcPr>
          <w:p w14:paraId="2175C596" w14:textId="77777777" w:rsidR="00F53229" w:rsidRPr="003B01D5" w:rsidRDefault="00F53229" w:rsidP="00F53229">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Admitted acute</w:t>
            </w:r>
          </w:p>
        </w:tc>
        <w:tc>
          <w:tcPr>
            <w:tcW w:w="7529" w:type="dxa"/>
            <w:shd w:val="clear" w:color="auto" w:fill="D8D9E1" w:themeFill="accent3" w:themeFillTint="33"/>
          </w:tcPr>
          <w:p w14:paraId="4935823E" w14:textId="7AA5287D" w:rsidR="00F53229" w:rsidRPr="00C14F62" w:rsidRDefault="00F53229" w:rsidP="00F53229">
            <w:pPr>
              <w:pStyle w:val="Tablebulletpoint"/>
              <w:rPr>
                <w:rFonts w:eastAsiaTheme="minorEastAsia"/>
                <w:lang w:eastAsia="ja-JP"/>
              </w:rPr>
            </w:pPr>
            <w:r w:rsidRPr="00C14F62">
              <w:rPr>
                <w:rFonts w:eastAsiaTheme="minorEastAsia"/>
                <w:lang w:eastAsia="ja-JP"/>
              </w:rPr>
              <w:t xml:space="preserve">The admitted acute stream is the most resource intensive stream in a hospital. In 2023-24, admitted acute there were 1.7 million costed </w:t>
            </w:r>
            <w:r w:rsidRPr="00563F81">
              <w:rPr>
                <w:rFonts w:hint="eastAsia"/>
              </w:rPr>
              <w:t>episodes</w:t>
            </w:r>
            <w:r w:rsidR="002573C8">
              <w:t xml:space="preserve">, </w:t>
            </w:r>
            <w:r w:rsidRPr="00C14F62">
              <w:rPr>
                <w:rFonts w:eastAsiaTheme="minorEastAsia"/>
                <w:lang w:eastAsia="ja-JP"/>
              </w:rPr>
              <w:t>an increase of 3.9% from the prior year. The growth in GWAU was similar (3.6%), indicating that the average patient complexity was similar</w:t>
            </w:r>
            <w:r>
              <w:rPr>
                <w:rFonts w:eastAsiaTheme="minorEastAsia"/>
                <w:lang w:eastAsia="ja-JP"/>
              </w:rPr>
              <w:t xml:space="preserve"> (or slightly lower)</w:t>
            </w:r>
            <w:r w:rsidRPr="00C14F62">
              <w:rPr>
                <w:rFonts w:eastAsiaTheme="minorEastAsia"/>
                <w:lang w:eastAsia="ja-JP"/>
              </w:rPr>
              <w:t xml:space="preserve"> between the </w:t>
            </w:r>
            <w:r>
              <w:rPr>
                <w:rFonts w:eastAsiaTheme="minorEastAsia"/>
                <w:lang w:eastAsia="ja-JP"/>
              </w:rPr>
              <w:t>2</w:t>
            </w:r>
            <w:r w:rsidRPr="00C14F62">
              <w:rPr>
                <w:rFonts w:eastAsiaTheme="minorEastAsia"/>
                <w:lang w:eastAsia="ja-JP"/>
              </w:rPr>
              <w:t xml:space="preserve"> years. </w:t>
            </w:r>
          </w:p>
          <w:p w14:paraId="0A55CD6A" w14:textId="24D26050" w:rsidR="00F53229" w:rsidRPr="003B46EA" w:rsidRDefault="00F53229" w:rsidP="00F53229">
            <w:pPr>
              <w:pStyle w:val="Tablebulletpoint"/>
              <w:rPr>
                <w:lang w:eastAsia="ja-JP"/>
              </w:rPr>
            </w:pPr>
            <w:r w:rsidRPr="003B46EA">
              <w:rPr>
                <w:rFonts w:eastAsiaTheme="minorEastAsia"/>
                <w:lang w:eastAsia="ja-JP"/>
              </w:rPr>
              <w:t xml:space="preserve">Although admitted acute episodes made up </w:t>
            </w:r>
            <w:r w:rsidRPr="00C14F62">
              <w:rPr>
                <w:rFonts w:eastAsiaTheme="minorEastAsia"/>
                <w:lang w:eastAsia="ja-JP"/>
              </w:rPr>
              <w:t>11.4</w:t>
            </w:r>
            <w:r w:rsidRPr="003B46EA">
              <w:rPr>
                <w:rFonts w:eastAsiaTheme="minorEastAsia"/>
                <w:lang w:eastAsia="ja-JP"/>
              </w:rPr>
              <w:t xml:space="preserve">% of total episodes for 2023-24, it accounted for over </w:t>
            </w:r>
            <w:r w:rsidRPr="00C14F62">
              <w:rPr>
                <w:rFonts w:eastAsiaTheme="minorEastAsia"/>
                <w:lang w:eastAsia="ja-JP"/>
              </w:rPr>
              <w:t>57</w:t>
            </w:r>
            <w:r w:rsidRPr="003B46EA">
              <w:rPr>
                <w:rFonts w:eastAsiaTheme="minorEastAsia"/>
                <w:lang w:eastAsia="ja-JP"/>
              </w:rPr>
              <w:t xml:space="preserve">% of </w:t>
            </w:r>
            <w:r w:rsidRPr="00563F81">
              <w:rPr>
                <w:rFonts w:hint="eastAsia"/>
              </w:rPr>
              <w:t>total costs</w:t>
            </w:r>
            <w:r w:rsidRPr="003B46EA">
              <w:rPr>
                <w:rFonts w:eastAsiaTheme="minorEastAsia"/>
                <w:lang w:eastAsia="ja-JP"/>
              </w:rPr>
              <w:t xml:space="preserve"> with </w:t>
            </w:r>
            <w:r w:rsidRPr="00C14F62">
              <w:rPr>
                <w:rFonts w:eastAsiaTheme="minorEastAsia"/>
                <w:lang w:eastAsia="ja-JP"/>
              </w:rPr>
              <w:t>$11.</w:t>
            </w:r>
            <w:r w:rsidRPr="004A6251">
              <w:rPr>
                <w:rFonts w:eastAsiaTheme="minorEastAsia"/>
                <w:lang w:eastAsia="ja-JP"/>
              </w:rPr>
              <w:t>8</w:t>
            </w:r>
            <w:r w:rsidRPr="003B46EA">
              <w:rPr>
                <w:rFonts w:eastAsiaTheme="minorEastAsia"/>
                <w:lang w:eastAsia="ja-JP"/>
              </w:rPr>
              <w:t xml:space="preserve"> billion submitted. This was an increase of </w:t>
            </w:r>
            <w:r w:rsidRPr="00C14F62">
              <w:rPr>
                <w:rFonts w:eastAsiaTheme="minorEastAsia"/>
                <w:lang w:eastAsia="ja-JP"/>
              </w:rPr>
              <w:t xml:space="preserve">4.0% </w:t>
            </w:r>
            <w:r>
              <w:rPr>
                <w:rFonts w:eastAsiaTheme="minorEastAsia"/>
                <w:lang w:eastAsia="ja-JP"/>
              </w:rPr>
              <w:t>in total costs</w:t>
            </w:r>
            <w:r w:rsidRPr="003B46EA">
              <w:rPr>
                <w:rFonts w:eastAsiaTheme="minorEastAsia"/>
                <w:lang w:eastAsia="ja-JP"/>
              </w:rPr>
              <w:t xml:space="preserve"> compared to 2022-23 and meant that the average cost to deliver services to the same casemix of patients (as measured by average cost per GWAU) was </w:t>
            </w:r>
            <w:r w:rsidRPr="00C14F62">
              <w:rPr>
                <w:rFonts w:eastAsiaTheme="minorEastAsia"/>
                <w:lang w:eastAsia="ja-JP"/>
              </w:rPr>
              <w:t xml:space="preserve">relatively </w:t>
            </w:r>
            <w:r w:rsidRPr="00C14F62" w:rsidDel="004A49CC">
              <w:rPr>
                <w:rFonts w:eastAsiaTheme="minorEastAsia"/>
                <w:lang w:eastAsia="ja-JP"/>
              </w:rPr>
              <w:t xml:space="preserve">stable </w:t>
            </w:r>
            <w:r w:rsidRPr="00C14F62">
              <w:rPr>
                <w:rFonts w:eastAsiaTheme="minorEastAsia"/>
                <w:lang w:eastAsia="ja-JP"/>
              </w:rPr>
              <w:t xml:space="preserve">between </w:t>
            </w:r>
            <w:r>
              <w:rPr>
                <w:rFonts w:eastAsiaTheme="minorEastAsia"/>
                <w:lang w:eastAsia="ja-JP"/>
              </w:rPr>
              <w:t>2022</w:t>
            </w:r>
            <w:r w:rsidRPr="00C14F62">
              <w:rPr>
                <w:rFonts w:eastAsiaTheme="minorEastAsia"/>
                <w:lang w:eastAsia="ja-JP"/>
              </w:rPr>
              <w:t>-23 and</w:t>
            </w:r>
            <w:r w:rsidRPr="003B46EA">
              <w:rPr>
                <w:rFonts w:eastAsiaTheme="minorEastAsia"/>
                <w:lang w:eastAsia="ja-JP"/>
              </w:rPr>
              <w:t xml:space="preserve"> 2023-24, </w:t>
            </w:r>
            <w:r w:rsidRPr="00C14F62">
              <w:rPr>
                <w:rFonts w:eastAsiaTheme="minorEastAsia"/>
                <w:lang w:eastAsia="ja-JP"/>
              </w:rPr>
              <w:t xml:space="preserve">only </w:t>
            </w:r>
            <w:r w:rsidRPr="003B46EA">
              <w:rPr>
                <w:rFonts w:eastAsiaTheme="minorEastAsia"/>
                <w:lang w:eastAsia="ja-JP"/>
              </w:rPr>
              <w:t xml:space="preserve">increasing by </w:t>
            </w:r>
            <w:r w:rsidRPr="00C14F62">
              <w:rPr>
                <w:rFonts w:eastAsiaTheme="minorEastAsia"/>
                <w:lang w:eastAsia="ja-JP"/>
              </w:rPr>
              <w:t>0.4%.</w:t>
            </w:r>
          </w:p>
        </w:tc>
      </w:tr>
      <w:tr w:rsidR="00F53229" w:rsidRPr="002C3BA4" w14:paraId="6E5B585E" w14:textId="77777777" w:rsidTr="048600DC">
        <w:trPr>
          <w:cantSplit/>
          <w:trHeight w:val="1757"/>
        </w:trPr>
        <w:tc>
          <w:tcPr>
            <w:tcW w:w="1451" w:type="dxa"/>
            <w:shd w:val="clear" w:color="auto" w:fill="464E7E" w:themeFill="accent2"/>
            <w:vAlign w:val="center"/>
          </w:tcPr>
          <w:p w14:paraId="1C3B81C8" w14:textId="77777777" w:rsidR="00F53229" w:rsidRPr="003B01D5" w:rsidRDefault="00F53229" w:rsidP="00F53229">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Emergency Department</w:t>
            </w:r>
          </w:p>
        </w:tc>
        <w:tc>
          <w:tcPr>
            <w:tcW w:w="7529" w:type="dxa"/>
            <w:shd w:val="clear" w:color="auto" w:fill="D6D9E8" w:themeFill="accent2" w:themeFillTint="33"/>
          </w:tcPr>
          <w:p w14:paraId="3280A35E" w14:textId="68AA4EA6" w:rsidR="00F53229" w:rsidRPr="00C14F62" w:rsidRDefault="00F53229" w:rsidP="00F53229">
            <w:pPr>
              <w:pStyle w:val="Tablebulletpoint"/>
              <w:rPr>
                <w:rFonts w:eastAsiaTheme="minorEastAsia"/>
                <w:lang w:eastAsia="ja-JP"/>
              </w:rPr>
            </w:pPr>
            <w:r w:rsidRPr="00C14F62">
              <w:rPr>
                <w:rFonts w:eastAsiaTheme="minorEastAsia"/>
                <w:lang w:eastAsia="ja-JP"/>
              </w:rPr>
              <w:t>The</w:t>
            </w:r>
            <w:r>
              <w:rPr>
                <w:rFonts w:eastAsiaTheme="minorEastAsia"/>
                <w:lang w:eastAsia="ja-JP"/>
              </w:rPr>
              <w:t xml:space="preserve"> </w:t>
            </w:r>
            <w:r w:rsidRPr="00C14F62">
              <w:rPr>
                <w:rFonts w:eastAsiaTheme="minorEastAsia"/>
                <w:lang w:eastAsia="ja-JP"/>
              </w:rPr>
              <w:t xml:space="preserve">ED stream represented 18.5% of total </w:t>
            </w:r>
            <w:r w:rsidR="00EF6C26">
              <w:t>encounters</w:t>
            </w:r>
            <w:r w:rsidRPr="00C14F62">
              <w:rPr>
                <w:rFonts w:eastAsiaTheme="minorEastAsia"/>
                <w:lang w:eastAsia="ja-JP"/>
              </w:rPr>
              <w:t>, with 2.81 million costed episodes submitted for 2023-24, an increase of 3.2% compared to 2022-23. Growth in GWAU was slightly higher at 4.</w:t>
            </w:r>
            <w:r w:rsidR="002D17FE">
              <w:rPr>
                <w:rFonts w:eastAsiaTheme="minorEastAsia"/>
                <w:lang w:eastAsia="ja-JP"/>
              </w:rPr>
              <w:t>3</w:t>
            </w:r>
            <w:r w:rsidRPr="00C14F62">
              <w:rPr>
                <w:rFonts w:eastAsiaTheme="minorEastAsia"/>
                <w:lang w:eastAsia="ja-JP"/>
              </w:rPr>
              <w:t xml:space="preserve">%, indicating a slightly more complex casemix of patients for the year. </w:t>
            </w:r>
          </w:p>
          <w:p w14:paraId="27E74553" w14:textId="2D0F3A3F" w:rsidR="00F53229" w:rsidRPr="003B46EA" w:rsidRDefault="00F53229" w:rsidP="00F53229">
            <w:pPr>
              <w:pStyle w:val="Tablebulletpoint"/>
              <w:rPr>
                <w:lang w:eastAsia="ja-JP"/>
              </w:rPr>
            </w:pPr>
            <w:r w:rsidRPr="003B46EA">
              <w:rPr>
                <w:rFonts w:eastAsiaTheme="minorEastAsia"/>
                <w:lang w:eastAsia="ja-JP"/>
              </w:rPr>
              <w:t xml:space="preserve">The average cost per GWAU for ED increased by </w:t>
            </w:r>
            <w:r w:rsidRPr="00C14F62">
              <w:rPr>
                <w:rFonts w:eastAsiaTheme="minorEastAsia"/>
                <w:lang w:eastAsia="ja-JP"/>
              </w:rPr>
              <w:t>3.5</w:t>
            </w:r>
            <w:r w:rsidRPr="003B46EA">
              <w:rPr>
                <w:rFonts w:eastAsiaTheme="minorEastAsia"/>
                <w:lang w:eastAsia="ja-JP"/>
              </w:rPr>
              <w:t xml:space="preserve">%, </w:t>
            </w:r>
            <w:r w:rsidR="002573C8">
              <w:rPr>
                <w:rFonts w:eastAsiaTheme="minorEastAsia"/>
                <w:lang w:eastAsia="ja-JP"/>
              </w:rPr>
              <w:t>meaning</w:t>
            </w:r>
            <w:r w:rsidRPr="003B46EA">
              <w:rPr>
                <w:rFonts w:eastAsiaTheme="minorEastAsia"/>
                <w:lang w:eastAsia="ja-JP"/>
              </w:rPr>
              <w:t xml:space="preserve"> that total </w:t>
            </w:r>
            <w:r>
              <w:rPr>
                <w:rFonts w:eastAsiaTheme="minorEastAsia"/>
                <w:lang w:eastAsia="ja-JP"/>
              </w:rPr>
              <w:t>cost growth of 7.9% in 2023-24 was</w:t>
            </w:r>
            <w:r w:rsidRPr="003B46EA" w:rsidDel="00E9170A">
              <w:rPr>
                <w:rFonts w:eastAsiaTheme="minorEastAsia"/>
                <w:lang w:eastAsia="ja-JP"/>
              </w:rPr>
              <w:t xml:space="preserve"> </w:t>
            </w:r>
            <w:r w:rsidRPr="003B46EA">
              <w:rPr>
                <w:rFonts w:eastAsiaTheme="minorEastAsia"/>
                <w:lang w:eastAsia="ja-JP"/>
              </w:rPr>
              <w:t>over and above the increase in activity volumes</w:t>
            </w:r>
            <w:r w:rsidDel="00E9170A">
              <w:rPr>
                <w:rFonts w:eastAsiaTheme="minorEastAsia"/>
                <w:lang w:eastAsia="ja-JP"/>
              </w:rPr>
              <w:t>.</w:t>
            </w:r>
            <w:r>
              <w:rPr>
                <w:rFonts w:eastAsiaTheme="minorEastAsia"/>
                <w:lang w:eastAsia="ja-JP"/>
              </w:rPr>
              <w:t xml:space="preserve"> </w:t>
            </w:r>
          </w:p>
        </w:tc>
      </w:tr>
      <w:tr w:rsidR="00F53229" w:rsidRPr="002C3BA4" w14:paraId="0D6DDD04" w14:textId="77777777" w:rsidTr="048600DC">
        <w:trPr>
          <w:cantSplit/>
          <w:trHeight w:val="2530"/>
        </w:trPr>
        <w:tc>
          <w:tcPr>
            <w:tcW w:w="1451" w:type="dxa"/>
            <w:shd w:val="clear" w:color="auto" w:fill="F7BE85" w:themeFill="accent5"/>
            <w:vAlign w:val="center"/>
          </w:tcPr>
          <w:p w14:paraId="4159F879" w14:textId="77777777" w:rsidR="00F53229" w:rsidRPr="002C3BA4" w:rsidRDefault="00F53229" w:rsidP="00F53229">
            <w:pPr>
              <w:pStyle w:val="TableHeadingtext"/>
              <w:framePr w:hSpace="0" w:wrap="auto" w:vAnchor="margin" w:hAnchor="text" w:yAlign="inline"/>
              <w:jc w:val="center"/>
              <w:rPr>
                <w:rFonts w:asciiTheme="majorHAnsi" w:hAnsiTheme="majorHAnsi"/>
              </w:rPr>
            </w:pPr>
            <w:r>
              <w:rPr>
                <w:rFonts w:asciiTheme="majorHAnsi" w:hAnsiTheme="majorHAnsi"/>
              </w:rPr>
              <w:lastRenderedPageBreak/>
              <w:t>Non-admitted</w:t>
            </w:r>
          </w:p>
        </w:tc>
        <w:tc>
          <w:tcPr>
            <w:tcW w:w="7529" w:type="dxa"/>
            <w:shd w:val="clear" w:color="auto" w:fill="FDF1E6" w:themeFill="accent5" w:themeFillTint="33"/>
          </w:tcPr>
          <w:p w14:paraId="2DFC9A65" w14:textId="77777777" w:rsidR="00F53229" w:rsidRDefault="00F53229" w:rsidP="00F53229">
            <w:pPr>
              <w:pStyle w:val="Tablebulletpoint"/>
              <w:rPr>
                <w:rFonts w:eastAsiaTheme="minorEastAsia"/>
                <w:lang w:eastAsia="ja-JP"/>
              </w:rPr>
            </w:pPr>
            <w:r>
              <w:rPr>
                <w:rFonts w:eastAsiaTheme="minorEastAsia"/>
                <w:lang w:eastAsia="ja-JP"/>
              </w:rPr>
              <w:t>The n</w:t>
            </w:r>
            <w:r w:rsidRPr="0046314E">
              <w:rPr>
                <w:rFonts w:eastAsiaTheme="minorEastAsia"/>
                <w:lang w:eastAsia="ja-JP"/>
              </w:rPr>
              <w:t xml:space="preserve">on-admitted </w:t>
            </w:r>
            <w:r>
              <w:rPr>
                <w:rFonts w:eastAsiaTheme="minorEastAsia"/>
                <w:lang w:eastAsia="ja-JP"/>
              </w:rPr>
              <w:t>stream makes up the largest proportion of submitted episodes, with 10.5 million service events in 2023-24. This stream also had the largest growth in costed episodes, increasing 15.5% from the previous year. Over the same period, the volume of GWAU also increased significantly by 13.7%.</w:t>
            </w:r>
          </w:p>
          <w:p w14:paraId="4EBBEA42" w14:textId="3C3A6006" w:rsidR="00F53229" w:rsidRDefault="00F53229" w:rsidP="00F53229">
            <w:pPr>
              <w:pStyle w:val="Tablebulletpoint"/>
              <w:rPr>
                <w:rFonts w:eastAsiaTheme="minorEastAsia"/>
                <w:lang w:eastAsia="ja-JP"/>
              </w:rPr>
            </w:pPr>
            <w:r>
              <w:rPr>
                <w:rFonts w:eastAsiaTheme="minorEastAsia"/>
                <w:lang w:eastAsia="ja-JP"/>
              </w:rPr>
              <w:t xml:space="preserve">The increases in non-admitted activity were observed across a range of LHDs across the state, </w:t>
            </w:r>
            <w:r w:rsidR="002573C8">
              <w:rPr>
                <w:rFonts w:eastAsiaTheme="minorEastAsia"/>
                <w:lang w:eastAsia="ja-JP"/>
              </w:rPr>
              <w:t xml:space="preserve">this </w:t>
            </w:r>
            <w:r>
              <w:rPr>
                <w:rFonts w:eastAsiaTheme="minorEastAsia"/>
                <w:lang w:eastAsia="ja-JP"/>
              </w:rPr>
              <w:t xml:space="preserve">could be a result of improved data capture and submission at a patient level. </w:t>
            </w:r>
          </w:p>
          <w:p w14:paraId="1A16D074" w14:textId="2682978E" w:rsidR="00F53229" w:rsidRDefault="00F53229" w:rsidP="00F53229">
            <w:pPr>
              <w:pStyle w:val="Tablebulletpoint"/>
              <w:rPr>
                <w:rFonts w:eastAsiaTheme="minorEastAsia"/>
                <w:lang w:eastAsia="ja-JP"/>
              </w:rPr>
            </w:pPr>
            <w:r>
              <w:rPr>
                <w:rFonts w:eastAsiaTheme="minorEastAsia"/>
                <w:lang w:eastAsia="ja-JP"/>
              </w:rPr>
              <w:t xml:space="preserve">Total submitted </w:t>
            </w:r>
            <w:r w:rsidRPr="00563F81">
              <w:rPr>
                <w:rFonts w:hint="eastAsia"/>
              </w:rPr>
              <w:t>costs</w:t>
            </w:r>
            <w:r>
              <w:rPr>
                <w:rFonts w:eastAsiaTheme="minorEastAsia"/>
                <w:lang w:eastAsia="ja-JP"/>
              </w:rPr>
              <w:t xml:space="preserve"> increased by 15.1%, </w:t>
            </w:r>
            <w:r w:rsidR="002573C8">
              <w:rPr>
                <w:rFonts w:eastAsiaTheme="minorEastAsia"/>
                <w:lang w:eastAsia="ja-JP"/>
              </w:rPr>
              <w:t>meaning</w:t>
            </w:r>
            <w:r>
              <w:rPr>
                <w:rFonts w:eastAsiaTheme="minorEastAsia"/>
                <w:lang w:eastAsia="ja-JP"/>
              </w:rPr>
              <w:t xml:space="preserve"> that when considering the growth in average cost per GWAU, this was relatively contained, increasing by 1.3% in 2023-24.</w:t>
            </w:r>
          </w:p>
          <w:p w14:paraId="12B6E4A2" w14:textId="7AFCE019" w:rsidR="00F53229" w:rsidRPr="003B46EA" w:rsidRDefault="4DCF8257" w:rsidP="048600DC">
            <w:pPr>
              <w:pStyle w:val="Tablebulletpoint"/>
              <w:rPr>
                <w:rFonts w:eastAsiaTheme="minorEastAsia"/>
                <w:lang w:eastAsia="ja-JP"/>
              </w:rPr>
            </w:pPr>
            <w:r w:rsidRPr="048600DC">
              <w:rPr>
                <w:rFonts w:eastAsiaTheme="minorEastAsia"/>
                <w:lang w:eastAsia="ja-JP"/>
              </w:rPr>
              <w:t>S</w:t>
            </w:r>
            <w:r w:rsidR="00F53229">
              <w:rPr>
                <w:rFonts w:eastAsiaTheme="minorEastAsia"/>
                <w:lang w:eastAsia="ja-JP"/>
              </w:rPr>
              <w:t>ome</w:t>
            </w:r>
            <w:r w:rsidR="00F53229" w:rsidRPr="048600DC">
              <w:rPr>
                <w:rFonts w:eastAsiaTheme="minorEastAsia"/>
                <w:lang w:eastAsia="ja-JP"/>
              </w:rPr>
              <w:t xml:space="preserve"> of this cost change was attributed to the </w:t>
            </w:r>
            <w:r w:rsidR="002D17FE">
              <w:rPr>
                <w:rFonts w:eastAsiaTheme="minorEastAsia"/>
                <w:lang w:eastAsia="ja-JP"/>
              </w:rPr>
              <w:t>upgrade</w:t>
            </w:r>
            <w:r w:rsidR="00F53229" w:rsidRPr="048600DC">
              <w:rPr>
                <w:rFonts w:eastAsiaTheme="minorEastAsia"/>
                <w:lang w:eastAsia="ja-JP"/>
              </w:rPr>
              <w:t xml:space="preserve"> to </w:t>
            </w:r>
            <w:r w:rsidR="00D44291" w:rsidRPr="048600DC">
              <w:rPr>
                <w:rFonts w:eastAsiaTheme="minorEastAsia"/>
                <w:lang w:eastAsia="ja-JP"/>
              </w:rPr>
              <w:t>Power Performance Manage</w:t>
            </w:r>
            <w:r w:rsidR="00CB64BE" w:rsidRPr="048600DC">
              <w:rPr>
                <w:rFonts w:eastAsiaTheme="minorEastAsia"/>
                <w:lang w:eastAsia="ja-JP"/>
              </w:rPr>
              <w:t>r</w:t>
            </w:r>
            <w:r w:rsidR="00D44291" w:rsidRPr="048600DC">
              <w:rPr>
                <w:rFonts w:eastAsiaTheme="minorEastAsia"/>
                <w:lang w:eastAsia="ja-JP"/>
              </w:rPr>
              <w:t xml:space="preserve"> 3 (</w:t>
            </w:r>
            <w:r w:rsidR="00F53229" w:rsidRPr="048600DC">
              <w:rPr>
                <w:rFonts w:eastAsiaTheme="minorEastAsia"/>
                <w:lang w:eastAsia="ja-JP"/>
              </w:rPr>
              <w:t>PPM3</w:t>
            </w:r>
            <w:r w:rsidR="00D44291" w:rsidRPr="048600DC">
              <w:rPr>
                <w:rFonts w:eastAsiaTheme="minorEastAsia"/>
                <w:lang w:eastAsia="ja-JP"/>
              </w:rPr>
              <w:t>)</w:t>
            </w:r>
            <w:r w:rsidR="00F53229" w:rsidRPr="048600DC">
              <w:rPr>
                <w:rFonts w:eastAsiaTheme="minorEastAsia"/>
                <w:lang w:eastAsia="ja-JP"/>
              </w:rPr>
              <w:t xml:space="preserve"> with the introduction of </w:t>
            </w:r>
            <w:r w:rsidR="002D17FE">
              <w:rPr>
                <w:rFonts w:eastAsiaTheme="minorEastAsia"/>
                <w:lang w:eastAsia="ja-JP"/>
              </w:rPr>
              <w:t>new functionality</w:t>
            </w:r>
            <w:r w:rsidR="00F53229" w:rsidRPr="048600DC">
              <w:rPr>
                <w:rFonts w:eastAsiaTheme="minorEastAsia"/>
                <w:lang w:eastAsia="ja-JP"/>
              </w:rPr>
              <w:t xml:space="preserve"> </w:t>
            </w:r>
            <w:r w:rsidR="002573C8">
              <w:rPr>
                <w:rFonts w:eastAsiaTheme="minorEastAsia"/>
                <w:lang w:eastAsia="ja-JP"/>
              </w:rPr>
              <w:t xml:space="preserve">that </w:t>
            </w:r>
            <w:r w:rsidR="00563ACF">
              <w:rPr>
                <w:rFonts w:eastAsiaTheme="minorEastAsia"/>
                <w:lang w:eastAsia="ja-JP"/>
              </w:rPr>
              <w:t>resulted</w:t>
            </w:r>
            <w:r w:rsidR="00F53229" w:rsidRPr="048600DC">
              <w:rPr>
                <w:rFonts w:eastAsiaTheme="minorEastAsia"/>
                <w:lang w:eastAsia="ja-JP"/>
              </w:rPr>
              <w:t xml:space="preserve"> in </w:t>
            </w:r>
            <w:r w:rsidR="0029212C" w:rsidRPr="004F3D7B">
              <w:rPr>
                <w:rFonts w:eastAsiaTheme="minorEastAsia"/>
                <w:lang w:eastAsia="ja-JP"/>
              </w:rPr>
              <w:t>Medical</w:t>
            </w:r>
            <w:r w:rsidR="00F53229">
              <w:rPr>
                <w:rFonts w:eastAsiaTheme="minorEastAsia"/>
                <w:lang w:eastAsia="ja-JP"/>
              </w:rPr>
              <w:t xml:space="preserve"> </w:t>
            </w:r>
            <w:r w:rsidR="004474F5" w:rsidRPr="048600DC">
              <w:rPr>
                <w:i/>
                <w:iCs/>
              </w:rPr>
              <w:t>S&amp;W</w:t>
            </w:r>
            <w:r w:rsidR="00F53229" w:rsidRPr="048600DC">
              <w:rPr>
                <w:rFonts w:eastAsiaTheme="minorEastAsia"/>
                <w:lang w:eastAsia="ja-JP"/>
              </w:rPr>
              <w:t xml:space="preserve"> costs being allocated to non-admitted from acute. This was only done for 3 LHDs in 2023-24, with the plan to expand this change to all LHDs in 2024-25.</w:t>
            </w:r>
            <w:r w:rsidR="00D86E17" w:rsidRPr="048600DC">
              <w:rPr>
                <w:rFonts w:eastAsiaTheme="minorEastAsia"/>
                <w:lang w:eastAsia="ja-JP"/>
              </w:rPr>
              <w:t xml:space="preserve"> This is discussed in more detail in the NSW Costing Summary below.</w:t>
            </w:r>
          </w:p>
        </w:tc>
      </w:tr>
      <w:tr w:rsidR="00F53229" w:rsidRPr="002C3BA4" w14:paraId="2CA2719A" w14:textId="77777777" w:rsidTr="048600DC">
        <w:trPr>
          <w:cantSplit/>
          <w:trHeight w:val="1704"/>
        </w:trPr>
        <w:tc>
          <w:tcPr>
            <w:tcW w:w="1451" w:type="dxa"/>
            <w:shd w:val="clear" w:color="auto" w:fill="B4B5DB" w:themeFill="accent4"/>
            <w:vAlign w:val="center"/>
          </w:tcPr>
          <w:p w14:paraId="4AC4A4D7" w14:textId="77777777" w:rsidR="00F53229" w:rsidRPr="00AD1F32" w:rsidRDefault="00F53229" w:rsidP="00F53229">
            <w:pPr>
              <w:pStyle w:val="TableHeadingtext"/>
              <w:framePr w:hSpace="0" w:wrap="auto" w:vAnchor="margin" w:hAnchor="text" w:yAlign="inline"/>
              <w:jc w:val="center"/>
              <w:rPr>
                <w:rFonts w:asciiTheme="majorHAnsi" w:hAnsiTheme="majorHAnsi"/>
                <w:color w:val="auto"/>
              </w:rPr>
            </w:pPr>
            <w:r w:rsidRPr="00AD1F32">
              <w:rPr>
                <w:rFonts w:asciiTheme="majorHAnsi" w:hAnsiTheme="majorHAnsi"/>
                <w:color w:val="auto"/>
              </w:rPr>
              <w:t>Subacute</w:t>
            </w:r>
          </w:p>
        </w:tc>
        <w:tc>
          <w:tcPr>
            <w:tcW w:w="7529" w:type="dxa"/>
            <w:shd w:val="clear" w:color="auto" w:fill="EFF0F7" w:themeFill="accent4" w:themeFillTint="33"/>
          </w:tcPr>
          <w:p w14:paraId="202CEFD0" w14:textId="77777777" w:rsidR="00F53229" w:rsidRDefault="00F53229" w:rsidP="00F53229">
            <w:pPr>
              <w:pStyle w:val="Tablebulletpoint"/>
              <w:rPr>
                <w:rFonts w:eastAsiaTheme="minorEastAsia"/>
                <w:lang w:eastAsia="ja-JP"/>
              </w:rPr>
            </w:pPr>
            <w:r>
              <w:rPr>
                <w:rFonts w:eastAsiaTheme="minorEastAsia"/>
                <w:lang w:eastAsia="ja-JP"/>
              </w:rPr>
              <w:t xml:space="preserve">The subacute stream is a relatively small stream, making up only 0.6% of episodes. Costed subacute episodes increased by 5.1% in 2023-24, with a similar increase in GWAU (4.6%) reflecting a relatively consistent level of patient complexity. </w:t>
            </w:r>
          </w:p>
          <w:p w14:paraId="682D4AFB" w14:textId="522E2427" w:rsidR="00F53229" w:rsidRPr="003B46EA" w:rsidRDefault="00F53229" w:rsidP="00F53229">
            <w:pPr>
              <w:pStyle w:val="Tablebulletpoint"/>
              <w:rPr>
                <w:lang w:eastAsia="ja-JP"/>
              </w:rPr>
            </w:pPr>
            <w:r w:rsidRPr="003B46EA">
              <w:rPr>
                <w:rFonts w:eastAsiaTheme="minorEastAsia"/>
                <w:lang w:eastAsia="ja-JP"/>
              </w:rPr>
              <w:t xml:space="preserve">The </w:t>
            </w:r>
            <w:r w:rsidRPr="00563F81">
              <w:rPr>
                <w:rFonts w:hint="eastAsia"/>
              </w:rPr>
              <w:t>average cost per GWAU</w:t>
            </w:r>
            <w:r w:rsidRPr="003B46EA">
              <w:rPr>
                <w:rFonts w:eastAsiaTheme="minorEastAsia"/>
                <w:lang w:eastAsia="ja-JP"/>
              </w:rPr>
              <w:t xml:space="preserve"> grew by </w:t>
            </w:r>
            <w:r>
              <w:rPr>
                <w:rFonts w:eastAsiaTheme="minorEastAsia"/>
                <w:lang w:eastAsia="ja-JP"/>
              </w:rPr>
              <w:t>5.8% between</w:t>
            </w:r>
            <w:r w:rsidDel="007D6E7A">
              <w:rPr>
                <w:rFonts w:eastAsiaTheme="minorEastAsia"/>
                <w:lang w:eastAsia="ja-JP"/>
              </w:rPr>
              <w:t xml:space="preserve"> </w:t>
            </w:r>
            <w:r>
              <w:rPr>
                <w:rFonts w:eastAsiaTheme="minorEastAsia"/>
                <w:lang w:eastAsia="ja-JP"/>
              </w:rPr>
              <w:t>years</w:t>
            </w:r>
            <w:r w:rsidRPr="003B46EA">
              <w:rPr>
                <w:rFonts w:eastAsiaTheme="minorEastAsia"/>
                <w:lang w:eastAsia="ja-JP"/>
              </w:rPr>
              <w:t xml:space="preserve">, </w:t>
            </w:r>
            <w:r w:rsidR="002573C8">
              <w:rPr>
                <w:rFonts w:eastAsiaTheme="minorEastAsia"/>
                <w:lang w:eastAsia="ja-JP"/>
              </w:rPr>
              <w:t>resulting</w:t>
            </w:r>
            <w:r w:rsidRPr="003B46EA">
              <w:rPr>
                <w:rFonts w:eastAsiaTheme="minorEastAsia"/>
                <w:lang w:eastAsia="ja-JP"/>
              </w:rPr>
              <w:t xml:space="preserve"> in a high growth in total cost for this stream over and above the increase in episodes, with the $1.</w:t>
            </w:r>
            <w:r>
              <w:rPr>
                <w:rFonts w:eastAsiaTheme="minorEastAsia"/>
                <w:lang w:eastAsia="ja-JP"/>
              </w:rPr>
              <w:t>27</w:t>
            </w:r>
            <w:r w:rsidRPr="003B46EA">
              <w:rPr>
                <w:rFonts w:eastAsiaTheme="minorEastAsia"/>
                <w:lang w:eastAsia="ja-JP"/>
              </w:rPr>
              <w:t xml:space="preserve"> billion in submitted costs representing </w:t>
            </w:r>
            <w:r>
              <w:rPr>
                <w:rFonts w:eastAsiaTheme="minorEastAsia"/>
                <w:lang w:eastAsia="ja-JP"/>
              </w:rPr>
              <w:t>a 10.7</w:t>
            </w:r>
            <w:r w:rsidRPr="003B46EA">
              <w:rPr>
                <w:rFonts w:eastAsiaTheme="minorEastAsia"/>
                <w:lang w:eastAsia="ja-JP"/>
              </w:rPr>
              <w:t>% increase compared to 2022-23.</w:t>
            </w:r>
          </w:p>
        </w:tc>
      </w:tr>
      <w:tr w:rsidR="00F53229" w:rsidRPr="002C3BA4" w14:paraId="14873780" w14:textId="77777777" w:rsidTr="048600DC">
        <w:trPr>
          <w:cantSplit/>
          <w:trHeight w:val="2530"/>
        </w:trPr>
        <w:tc>
          <w:tcPr>
            <w:tcW w:w="1451" w:type="dxa"/>
            <w:shd w:val="clear" w:color="auto" w:fill="80C0B0"/>
            <w:vAlign w:val="center"/>
          </w:tcPr>
          <w:p w14:paraId="6EECE26E" w14:textId="77777777" w:rsidR="00F53229" w:rsidRPr="00AD1F32" w:rsidRDefault="00F53229" w:rsidP="00F53229">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t>Admitted mental health</w:t>
            </w:r>
          </w:p>
        </w:tc>
        <w:tc>
          <w:tcPr>
            <w:tcW w:w="7529" w:type="dxa"/>
            <w:shd w:val="clear" w:color="auto" w:fill="BCDED5"/>
          </w:tcPr>
          <w:p w14:paraId="4A341F41" w14:textId="4F2DDCC9" w:rsidR="00F53229" w:rsidRDefault="00F53229" w:rsidP="00F53229">
            <w:pPr>
              <w:pStyle w:val="Tablebulletpoint"/>
              <w:rPr>
                <w:rFonts w:eastAsiaTheme="minorEastAsia"/>
                <w:lang w:eastAsia="ja-JP"/>
              </w:rPr>
            </w:pPr>
            <w:r>
              <w:rPr>
                <w:rFonts w:eastAsiaTheme="minorEastAsia"/>
                <w:lang w:eastAsia="ja-JP"/>
              </w:rPr>
              <w:t>The majority of NSW’s submission for a</w:t>
            </w:r>
            <w:r w:rsidRPr="00DD6179">
              <w:rPr>
                <w:rFonts w:eastAsiaTheme="minorEastAsia"/>
                <w:lang w:eastAsia="ja-JP"/>
              </w:rPr>
              <w:t xml:space="preserve">dmitted mental health </w:t>
            </w:r>
            <w:r>
              <w:rPr>
                <w:rFonts w:eastAsiaTheme="minorEastAsia"/>
                <w:lang w:eastAsia="ja-JP"/>
              </w:rPr>
              <w:t xml:space="preserve">was for </w:t>
            </w:r>
            <w:r w:rsidRPr="00563F81">
              <w:rPr>
                <w:rFonts w:hint="eastAsia"/>
              </w:rPr>
              <w:t>phases of care</w:t>
            </w:r>
            <w:r>
              <w:rPr>
                <w:rFonts w:eastAsiaTheme="minorEastAsia"/>
                <w:lang w:eastAsia="ja-JP"/>
              </w:rPr>
              <w:t xml:space="preserve">, </w:t>
            </w:r>
            <w:r w:rsidR="002573C8">
              <w:rPr>
                <w:rFonts w:eastAsiaTheme="minorEastAsia"/>
                <w:lang w:eastAsia="ja-JP"/>
              </w:rPr>
              <w:t>growing</w:t>
            </w:r>
            <w:r>
              <w:rPr>
                <w:rFonts w:eastAsiaTheme="minorEastAsia"/>
                <w:lang w:eastAsia="ja-JP"/>
              </w:rPr>
              <w:t xml:space="preserve"> by 1.0% in 2023-24. However, there was a 6</w:t>
            </w:r>
            <w:r w:rsidRPr="00DD6179">
              <w:rPr>
                <w:rFonts w:eastAsiaTheme="minorEastAsia"/>
                <w:lang w:eastAsia="ja-JP"/>
              </w:rPr>
              <w:t xml:space="preserve">.3% </w:t>
            </w:r>
            <w:r>
              <w:rPr>
                <w:rFonts w:eastAsiaTheme="minorEastAsia"/>
                <w:lang w:eastAsia="ja-JP"/>
              </w:rPr>
              <w:t xml:space="preserve">reduction in </w:t>
            </w:r>
            <w:r w:rsidRPr="00563F81">
              <w:rPr>
                <w:rFonts w:hint="eastAsia"/>
              </w:rPr>
              <w:t>GWAU</w:t>
            </w:r>
            <w:r w:rsidRPr="00DD6179">
              <w:rPr>
                <w:rFonts w:eastAsiaTheme="minorEastAsia"/>
                <w:lang w:eastAsia="ja-JP"/>
              </w:rPr>
              <w:t xml:space="preserve"> despite an increase in the number of phases</w:t>
            </w:r>
            <w:r>
              <w:rPr>
                <w:rFonts w:eastAsiaTheme="minorEastAsia"/>
                <w:lang w:eastAsia="ja-JP"/>
              </w:rPr>
              <w:t xml:space="preserve">. </w:t>
            </w:r>
            <w:r w:rsidRPr="004A6251">
              <w:t xml:space="preserve">NSW reported that penalties </w:t>
            </w:r>
            <w:r w:rsidR="00563ACF">
              <w:t xml:space="preserve">are </w:t>
            </w:r>
            <w:r w:rsidRPr="004A6251">
              <w:t xml:space="preserve">applied </w:t>
            </w:r>
            <w:r w:rsidR="00563ACF">
              <w:t>for poor data quality such as</w:t>
            </w:r>
            <w:r w:rsidRPr="004A6251">
              <w:t xml:space="preserve"> unknown phases of care</w:t>
            </w:r>
            <w:r w:rsidR="00563ACF">
              <w:t>. Improvements in local data quality and</w:t>
            </w:r>
            <w:r w:rsidRPr="004A6251">
              <w:t xml:space="preserve"> changes in phase assignment </w:t>
            </w:r>
            <w:r w:rsidR="00D73233">
              <w:t>may have</w:t>
            </w:r>
            <w:r w:rsidRPr="004A6251">
              <w:t xml:space="preserve"> contributed to the difference between phase growth and GWAU growth. </w:t>
            </w:r>
          </w:p>
          <w:p w14:paraId="6C9E6B4C" w14:textId="05103D36" w:rsidR="00F53229" w:rsidRPr="003B46EA" w:rsidRDefault="00F53229" w:rsidP="00F53229">
            <w:pPr>
              <w:pStyle w:val="Tablebulletpoint"/>
            </w:pPr>
            <w:r>
              <w:rPr>
                <w:rFonts w:eastAsiaTheme="minorEastAsia"/>
                <w:lang w:eastAsia="ja-JP"/>
              </w:rPr>
              <w:t>Total admitted mental health costs increased by 1</w:t>
            </w:r>
            <w:r w:rsidRPr="00DD6179">
              <w:rPr>
                <w:rFonts w:eastAsiaTheme="minorEastAsia"/>
                <w:lang w:eastAsia="ja-JP"/>
              </w:rPr>
              <w:t>1.8%</w:t>
            </w:r>
            <w:r>
              <w:rPr>
                <w:rFonts w:eastAsiaTheme="minorEastAsia"/>
                <w:lang w:eastAsia="ja-JP"/>
              </w:rPr>
              <w:t xml:space="preserve">, </w:t>
            </w:r>
            <w:r w:rsidR="002573C8">
              <w:rPr>
                <w:rFonts w:eastAsiaTheme="minorEastAsia"/>
                <w:lang w:eastAsia="ja-JP"/>
              </w:rPr>
              <w:t>meaning</w:t>
            </w:r>
            <w:r w:rsidRPr="003B46EA">
              <w:rPr>
                <w:rFonts w:eastAsiaTheme="minorEastAsia"/>
                <w:lang w:eastAsia="ja-JP"/>
              </w:rPr>
              <w:t xml:space="preserve"> that the average cost to deliver admitted mental health services (</w:t>
            </w:r>
            <w:r w:rsidRPr="00563F81">
              <w:rPr>
                <w:rFonts w:hint="eastAsia"/>
              </w:rPr>
              <w:t>average cost per GWAU</w:t>
            </w:r>
            <w:r w:rsidRPr="003B46EA">
              <w:rPr>
                <w:rFonts w:eastAsiaTheme="minorEastAsia"/>
                <w:lang w:eastAsia="ja-JP"/>
              </w:rPr>
              <w:t xml:space="preserve">) increased </w:t>
            </w:r>
            <w:r>
              <w:rPr>
                <w:rFonts w:eastAsiaTheme="minorEastAsia"/>
                <w:lang w:eastAsia="ja-JP"/>
              </w:rPr>
              <w:t xml:space="preserve">significantly by </w:t>
            </w:r>
            <w:r w:rsidRPr="00DD6179">
              <w:rPr>
                <w:rFonts w:eastAsiaTheme="minorEastAsia"/>
                <w:lang w:eastAsia="ja-JP"/>
              </w:rPr>
              <w:t>19.3%</w:t>
            </w:r>
            <w:r>
              <w:rPr>
                <w:rFonts w:eastAsiaTheme="minorEastAsia"/>
                <w:lang w:eastAsia="ja-JP"/>
              </w:rPr>
              <w:t xml:space="preserve">, driven in part by the reduction in GWAU. </w:t>
            </w:r>
          </w:p>
        </w:tc>
      </w:tr>
      <w:tr w:rsidR="00564B15" w:rsidRPr="002C3BA4" w14:paraId="7024373C" w14:textId="77777777" w:rsidTr="048600DC">
        <w:trPr>
          <w:cantSplit/>
          <w:trHeight w:val="2530"/>
        </w:trPr>
        <w:tc>
          <w:tcPr>
            <w:tcW w:w="1451" w:type="dxa"/>
            <w:shd w:val="clear" w:color="auto" w:fill="220054" w:themeFill="accent1"/>
            <w:vAlign w:val="center"/>
          </w:tcPr>
          <w:p w14:paraId="2268EAC4" w14:textId="77777777" w:rsidR="00564B15" w:rsidRDefault="00564B15">
            <w:pPr>
              <w:pStyle w:val="TableHeadingtext"/>
              <w:framePr w:hSpace="0" w:wrap="auto" w:vAnchor="margin" w:hAnchor="text" w:yAlign="inline"/>
              <w:jc w:val="center"/>
              <w:rPr>
                <w:rFonts w:asciiTheme="majorHAnsi" w:hAnsiTheme="majorHAnsi"/>
              </w:rPr>
            </w:pPr>
            <w:r w:rsidRPr="003B46EA">
              <w:rPr>
                <w:rFonts w:asciiTheme="majorHAnsi" w:hAnsiTheme="majorHAnsi"/>
                <w:color w:val="FFFFFF" w:themeColor="background1"/>
              </w:rPr>
              <w:lastRenderedPageBreak/>
              <w:t>Community mental health</w:t>
            </w:r>
          </w:p>
        </w:tc>
        <w:tc>
          <w:tcPr>
            <w:tcW w:w="7529" w:type="dxa"/>
            <w:shd w:val="clear" w:color="auto" w:fill="D8D9E1" w:themeFill="accent3" w:themeFillTint="33"/>
          </w:tcPr>
          <w:p w14:paraId="378DBE07" w14:textId="77777777" w:rsidR="004A14AF" w:rsidRDefault="004A14AF" w:rsidP="004A14AF">
            <w:pPr>
              <w:pStyle w:val="Tablebulletpoint"/>
            </w:pPr>
            <w:r>
              <w:t>Submissions for community mental health continue to mature for NSW and hence there has been volatility in submitted costs and activity for 2023-24 as data quality continues to improve.</w:t>
            </w:r>
          </w:p>
          <w:p w14:paraId="53BFEBDB" w14:textId="5F9549AD" w:rsidR="004A14AF" w:rsidRDefault="004A14AF" w:rsidP="004A14AF">
            <w:pPr>
              <w:pStyle w:val="Tablebulletpoint"/>
            </w:pPr>
            <w:r>
              <w:t>Community mental health activity is not restricted to ABF hospitals</w:t>
            </w:r>
            <w:r w:rsidR="000A12A7">
              <w:t xml:space="preserve"> (unlike the rest of the Cost Driver analysis)</w:t>
            </w:r>
            <w:r>
              <w:t xml:space="preserve">, and the number of phases submitted 2023-24 for all facilities increased by 50% compared to 2022-23. Community mental health was not ABF priced in 2023-24 and hence GWAU was not considered in this analysis. </w:t>
            </w:r>
          </w:p>
          <w:p w14:paraId="38B418B2" w14:textId="04C81E2F" w:rsidR="00564B15" w:rsidRPr="003B46EA" w:rsidRDefault="004A14AF" w:rsidP="004A14AF">
            <w:pPr>
              <w:pStyle w:val="Tablebulletpoint"/>
            </w:pPr>
            <w:r>
              <w:t>Submitted costs also increased significantly by 21% compared to 2022-23. Despite this, growth in costs was lower than the increase in the number of phases and hence the average cost per phase decreased by 19% compared to the prior year.</w:t>
            </w:r>
          </w:p>
        </w:tc>
      </w:tr>
    </w:tbl>
    <w:p w14:paraId="13523FE6" w14:textId="77777777" w:rsidR="00F978A9" w:rsidRDefault="00F978A9" w:rsidP="00F978A9">
      <w:pPr>
        <w:rPr>
          <w:color w:val="44546A" w:themeColor="text2"/>
        </w:rPr>
      </w:pPr>
    </w:p>
    <w:p w14:paraId="5FA38658" w14:textId="37F69D61" w:rsidR="00F978A9" w:rsidRDefault="008A6F15" w:rsidP="00F978A9">
      <w:r w:rsidRPr="005D1D70">
        <w:t xml:space="preserve">The transition to PPM3 introduced structural changes in the cost output framework, leading to shifts in cost allocations across buckets, streams, and direct/overhead splits when compared to </w:t>
      </w:r>
      <w:r>
        <w:t>2022</w:t>
      </w:r>
      <w:r w:rsidRPr="005D1D70">
        <w:t>-23. These changes should be considered when conducting year</w:t>
      </w:r>
      <w:r w:rsidR="008D5E39">
        <w:noBreakHyphen/>
      </w:r>
      <w:r w:rsidRPr="005D1D70">
        <w:t>on</w:t>
      </w:r>
      <w:r w:rsidR="008D5E39">
        <w:noBreakHyphen/>
      </w:r>
      <w:r w:rsidRPr="005D1D70">
        <w:t>year analyses.</w:t>
      </w:r>
    </w:p>
    <w:p w14:paraId="19E8D355" w14:textId="0F0A22D0" w:rsidR="008A6F15" w:rsidRDefault="008A6F15" w:rsidP="008A6F15">
      <w:pPr>
        <w:pStyle w:val="Heading3"/>
      </w:pPr>
      <w:r>
        <w:t>NSW Costing Summary</w:t>
      </w:r>
    </w:p>
    <w:p w14:paraId="2840629D" w14:textId="1ACBAEE0" w:rsidR="008A6F15" w:rsidRPr="00AD1F32" w:rsidRDefault="008A6F15" w:rsidP="003060BB">
      <w:pPr>
        <w:pStyle w:val="Heading4"/>
        <w:rPr>
          <w:color w:val="484B5D" w:themeColor="accent3"/>
        </w:rPr>
      </w:pPr>
      <w:r w:rsidRPr="00AD1F32">
        <w:rPr>
          <w:color w:val="484B5D" w:themeColor="accent3"/>
        </w:rPr>
        <w:t>NSW costing process</w:t>
      </w:r>
    </w:p>
    <w:p w14:paraId="2FFCB1CD" w14:textId="25B1BAF4" w:rsidR="00FA6E99" w:rsidRPr="00563F81" w:rsidRDefault="00FA6E99" w:rsidP="004A14AF">
      <w:r w:rsidRPr="003226E9">
        <w:rPr>
          <w:rFonts w:hint="eastAsia"/>
        </w:rPr>
        <w:t xml:space="preserve">Costing is undertaken by </w:t>
      </w:r>
      <w:r w:rsidR="00486510" w:rsidRPr="003226E9">
        <w:t>18</w:t>
      </w:r>
      <w:r w:rsidRPr="003226E9">
        <w:rPr>
          <w:rFonts w:hint="eastAsia"/>
        </w:rPr>
        <w:t xml:space="preserve"> </w:t>
      </w:r>
      <w:r w:rsidRPr="003226E9">
        <w:t>LHDs</w:t>
      </w:r>
      <w:r w:rsidR="00486510" w:rsidRPr="003226E9">
        <w:t>/SHNs</w:t>
      </w:r>
      <w:r w:rsidR="00BD33AB" w:rsidRPr="003226E9">
        <w:t>. The output of the costing process is referred to as the</w:t>
      </w:r>
      <w:r w:rsidRPr="003226E9">
        <w:rPr>
          <w:rFonts w:hint="eastAsia"/>
        </w:rPr>
        <w:t xml:space="preserve"> District Network Return (DNR) submission</w:t>
      </w:r>
      <w:r w:rsidRPr="003226E9">
        <w:t>.</w:t>
      </w:r>
      <w:r w:rsidRPr="003226E9">
        <w:rPr>
          <w:rFonts w:hint="eastAsia"/>
        </w:rPr>
        <w:t xml:space="preserve"> The DNR is a </w:t>
      </w:r>
      <w:r w:rsidR="004855C3" w:rsidRPr="003226E9">
        <w:t>requirement mandated</w:t>
      </w:r>
      <w:r w:rsidRPr="003226E9">
        <w:rPr>
          <w:rFonts w:hint="eastAsia"/>
        </w:rPr>
        <w:t xml:space="preserve"> by NSW Ministry of Health (MoH), that is prepared </w:t>
      </w:r>
      <w:r w:rsidRPr="003226E9">
        <w:t>by all</w:t>
      </w:r>
      <w:r w:rsidRPr="003226E9">
        <w:rPr>
          <w:rFonts w:hint="eastAsia"/>
        </w:rPr>
        <w:t xml:space="preserve"> NSW </w:t>
      </w:r>
      <w:r w:rsidRPr="003226E9">
        <w:t>LHDs</w:t>
      </w:r>
      <w:r w:rsidRPr="003226E9">
        <w:rPr>
          <w:rFonts w:hint="eastAsia"/>
        </w:rPr>
        <w:t xml:space="preserve"> and includes </w:t>
      </w:r>
      <w:r w:rsidR="00FE27F9" w:rsidRPr="003226E9">
        <w:t xml:space="preserve">patient level clinical </w:t>
      </w:r>
      <w:r w:rsidRPr="003226E9">
        <w:rPr>
          <w:rFonts w:hint="eastAsia"/>
        </w:rPr>
        <w:t xml:space="preserve">costing </w:t>
      </w:r>
      <w:r w:rsidR="00FE27F9" w:rsidRPr="003226E9">
        <w:t>data based on the allocation of expense to service</w:t>
      </w:r>
      <w:r w:rsidRPr="003226E9">
        <w:rPr>
          <w:rFonts w:hint="eastAsia"/>
        </w:rPr>
        <w:t xml:space="preserve"> and </w:t>
      </w:r>
      <w:r w:rsidR="00FE27F9" w:rsidRPr="003226E9">
        <w:t>activity data.</w:t>
      </w:r>
      <w:r w:rsidRPr="003226E9">
        <w:rPr>
          <w:rFonts w:hint="eastAsia"/>
        </w:rPr>
        <w:t xml:space="preserve"> The NSW </w:t>
      </w:r>
      <w:r w:rsidRPr="003226E9">
        <w:t>MoH</w:t>
      </w:r>
      <w:r w:rsidRPr="003226E9">
        <w:rPr>
          <w:rFonts w:hint="eastAsia"/>
        </w:rPr>
        <w:t xml:space="preserve"> uses the information from the DNR to help inform their </w:t>
      </w:r>
      <w:r w:rsidRPr="003226E9">
        <w:t>submission</w:t>
      </w:r>
      <w:r w:rsidRPr="003226E9">
        <w:rPr>
          <w:rFonts w:hint="eastAsia"/>
        </w:rPr>
        <w:t xml:space="preserve"> to </w:t>
      </w:r>
      <w:r w:rsidR="008D5E39" w:rsidRPr="003226E9">
        <w:t>the Independent Hospital and Aged Care Pricing Authority (</w:t>
      </w:r>
      <w:r w:rsidRPr="003226E9">
        <w:rPr>
          <w:rFonts w:hint="eastAsia"/>
        </w:rPr>
        <w:t>IHACPA</w:t>
      </w:r>
      <w:r w:rsidR="008D5E39" w:rsidRPr="003226E9">
        <w:t>)</w:t>
      </w:r>
      <w:r w:rsidRPr="003226E9">
        <w:rPr>
          <w:rFonts w:hint="eastAsia"/>
        </w:rPr>
        <w:t xml:space="preserve"> for</w:t>
      </w:r>
      <w:r w:rsidRPr="003226E9" w:rsidDel="00E93BD5">
        <w:rPr>
          <w:rFonts w:hint="eastAsia"/>
        </w:rPr>
        <w:t xml:space="preserve"> </w:t>
      </w:r>
      <w:r w:rsidRPr="003226E9">
        <w:rPr>
          <w:rFonts w:hint="eastAsia"/>
        </w:rPr>
        <w:t>the NHCDC</w:t>
      </w:r>
      <w:r w:rsidRPr="00563F81">
        <w:rPr>
          <w:rFonts w:hint="eastAsia"/>
        </w:rPr>
        <w:t xml:space="preserve">. </w:t>
      </w:r>
    </w:p>
    <w:p w14:paraId="0C3DCC35" w14:textId="7908CFCC" w:rsidR="00FA6E99" w:rsidRPr="00563F81" w:rsidRDefault="00FA6E99" w:rsidP="004A14AF">
      <w:r w:rsidRPr="00563F81">
        <w:t>LHDs</w:t>
      </w:r>
      <w:r w:rsidR="00E45A67">
        <w:t>/SHNs</w:t>
      </w:r>
      <w:r w:rsidRPr="00563F81">
        <w:rPr>
          <w:rFonts w:hint="eastAsia"/>
        </w:rPr>
        <w:t xml:space="preserve"> perform the costing function with </w:t>
      </w:r>
      <w:r w:rsidR="00E45A67">
        <w:t>the jurisdiction</w:t>
      </w:r>
      <w:r w:rsidRPr="00563F81">
        <w:rPr>
          <w:rFonts w:hint="eastAsia"/>
        </w:rPr>
        <w:t xml:space="preserve"> providing </w:t>
      </w:r>
      <w:r w:rsidR="00E45A67">
        <w:t>activity and service</w:t>
      </w:r>
      <w:r w:rsidR="000B5820">
        <w:t xml:space="preserve"> </w:t>
      </w:r>
      <w:r w:rsidRPr="00563F81">
        <w:rPr>
          <w:rFonts w:hint="eastAsia"/>
        </w:rPr>
        <w:t xml:space="preserve">data from several statewide </w:t>
      </w:r>
      <w:r w:rsidR="000B5820">
        <w:t>data warehouses and</w:t>
      </w:r>
      <w:r w:rsidRPr="00563F81">
        <w:rPr>
          <w:rFonts w:hint="eastAsia"/>
        </w:rPr>
        <w:t xml:space="preserve"> systems of varying maturities covering areas including</w:t>
      </w:r>
      <w:r w:rsidR="000B5820">
        <w:t xml:space="preserve"> but not limited to</w:t>
      </w:r>
      <w:r w:rsidR="00970EB6">
        <w:t xml:space="preserve"> patient administration systems (PAS), </w:t>
      </w:r>
      <w:r w:rsidRPr="00563F81">
        <w:rPr>
          <w:rFonts w:hint="eastAsia"/>
        </w:rPr>
        <w:t>imaging, pharmacy</w:t>
      </w:r>
      <w:r w:rsidR="00970EB6">
        <w:t>,</w:t>
      </w:r>
      <w:r w:rsidRPr="00563F81">
        <w:rPr>
          <w:rFonts w:hint="eastAsia"/>
        </w:rPr>
        <w:t xml:space="preserve"> pathology, blood, organ retrieval, oral health, mental health and non-emergency patient transport. </w:t>
      </w:r>
      <w:r w:rsidR="00F85DCB">
        <w:t>Activity data for admitted, emergency, subacute was sourced from a statewide data warehouse.</w:t>
      </w:r>
      <w:r w:rsidR="00951AB0">
        <w:t xml:space="preserve"> </w:t>
      </w:r>
      <w:r w:rsidRPr="00563F81">
        <w:t>LHDs</w:t>
      </w:r>
      <w:r w:rsidR="00970EB6">
        <w:t>/SHNs</w:t>
      </w:r>
      <w:r w:rsidRPr="00563F81">
        <w:rPr>
          <w:rFonts w:hint="eastAsia"/>
        </w:rPr>
        <w:t xml:space="preserve"> review feeder data, attempt to link to patient episodes, and investigate any differences identified to maximise cost and activity matching rates. </w:t>
      </w:r>
    </w:p>
    <w:p w14:paraId="39CFD2B7" w14:textId="55910FAE" w:rsidR="00FA6E99" w:rsidRPr="00563F81" w:rsidRDefault="00FA6E99" w:rsidP="004A14AF">
      <w:r w:rsidRPr="00563F81">
        <w:rPr>
          <w:rFonts w:hint="eastAsia"/>
        </w:rPr>
        <w:t xml:space="preserve">All NSW </w:t>
      </w:r>
      <w:r w:rsidRPr="00563F81">
        <w:t>LHDs</w:t>
      </w:r>
      <w:r w:rsidR="00970EB6">
        <w:t>/SHNs</w:t>
      </w:r>
      <w:r w:rsidRPr="00563F81">
        <w:rPr>
          <w:rFonts w:hint="eastAsia"/>
        </w:rPr>
        <w:t xml:space="preserve"> use the statewide costing system, PPM3, introduced in 2023-24 (PPM2 in the prior years).</w:t>
      </w:r>
    </w:p>
    <w:p w14:paraId="74D37890" w14:textId="37D8DCF9" w:rsidR="00FA6E99" w:rsidRPr="00563F81" w:rsidRDefault="00FA6E99" w:rsidP="004A14AF">
      <w:r w:rsidRPr="00563F81">
        <w:t>LHDs and</w:t>
      </w:r>
      <w:r w:rsidRPr="00563F81" w:rsidDel="000D4D81">
        <w:rPr>
          <w:rFonts w:hint="eastAsia"/>
        </w:rPr>
        <w:t xml:space="preserve"> </w:t>
      </w:r>
      <w:r w:rsidRPr="00563F81">
        <w:rPr>
          <w:rFonts w:hint="eastAsia"/>
        </w:rPr>
        <w:t>NSW</w:t>
      </w:r>
      <w:r w:rsidR="00354B07">
        <w:t xml:space="preserve"> MoH</w:t>
      </w:r>
      <w:r w:rsidRPr="00563F81">
        <w:rPr>
          <w:rFonts w:hint="eastAsia"/>
        </w:rPr>
        <w:t xml:space="preserve"> perform </w:t>
      </w:r>
      <w:r w:rsidR="008D5E39">
        <w:t>quality assurance (</w:t>
      </w:r>
      <w:r w:rsidRPr="00563F81">
        <w:rPr>
          <w:rFonts w:hint="eastAsia"/>
        </w:rPr>
        <w:t>QA</w:t>
      </w:r>
      <w:r w:rsidR="008D5E39">
        <w:t>)</w:t>
      </w:r>
      <w:r w:rsidRPr="00563F81">
        <w:rPr>
          <w:rFonts w:hint="eastAsia"/>
        </w:rPr>
        <w:t xml:space="preserve"> on their cost data, relying on a range of applications and tools to support the DNR and costing processes including the Reasonableness and Quality (RQ) App, and Weighted Activity Unit (WAU) app. The</w:t>
      </w:r>
      <w:r w:rsidRPr="00563F81" w:rsidDel="0042287F">
        <w:rPr>
          <w:rFonts w:hint="eastAsia"/>
        </w:rPr>
        <w:t xml:space="preserve"> </w:t>
      </w:r>
      <w:r w:rsidR="009805D6">
        <w:t>NSW</w:t>
      </w:r>
      <w:r w:rsidRPr="00563F81">
        <w:rPr>
          <w:rFonts w:hint="eastAsia"/>
        </w:rPr>
        <w:t xml:space="preserve"> </w:t>
      </w:r>
      <w:r w:rsidR="00F61E98">
        <w:t>Clinical Cost Data Collections and Standards (CCDCS)</w:t>
      </w:r>
      <w:r w:rsidRPr="00563F81">
        <w:rPr>
          <w:rFonts w:hint="eastAsia"/>
        </w:rPr>
        <w:t xml:space="preserve"> team perform further QA and liaise with LHDs</w:t>
      </w:r>
      <w:r w:rsidR="00F61E98">
        <w:t>/SHNs</w:t>
      </w:r>
      <w:r w:rsidRPr="00563F81">
        <w:rPr>
          <w:rFonts w:hint="eastAsia"/>
        </w:rPr>
        <w:t xml:space="preserve"> to resolve queries prior to </w:t>
      </w:r>
      <w:r w:rsidR="00F61E98">
        <w:t>their final</w:t>
      </w:r>
      <w:r w:rsidR="00B210AE">
        <w:t xml:space="preserve"> </w:t>
      </w:r>
      <w:r w:rsidRPr="00563F81">
        <w:rPr>
          <w:rFonts w:hint="eastAsia"/>
        </w:rPr>
        <w:t xml:space="preserve">submission to </w:t>
      </w:r>
      <w:r w:rsidR="00B210AE">
        <w:t>NSW M</w:t>
      </w:r>
      <w:r w:rsidR="00805C57">
        <w:t>o</w:t>
      </w:r>
      <w:r w:rsidR="00B210AE">
        <w:t>H. The CCDCS uses LHD/SHNs’ D</w:t>
      </w:r>
      <w:r w:rsidR="00C56C33">
        <w:t>N</w:t>
      </w:r>
      <w:r w:rsidR="00B210AE">
        <w:t>R data to create the Cost C files for submission</w:t>
      </w:r>
      <w:r w:rsidRPr="00563F81">
        <w:rPr>
          <w:rFonts w:hint="eastAsia"/>
        </w:rPr>
        <w:t xml:space="preserve"> to IHACPA</w:t>
      </w:r>
      <w:r w:rsidR="00B210AE">
        <w:t xml:space="preserve"> for the NHCDC</w:t>
      </w:r>
      <w:r w:rsidRPr="00563F81">
        <w:rPr>
          <w:rFonts w:hint="eastAsia"/>
        </w:rPr>
        <w:t>.</w:t>
      </w:r>
    </w:p>
    <w:p w14:paraId="6FC53474" w14:textId="77777777" w:rsidR="00FA6E99" w:rsidRPr="00D615BA" w:rsidRDefault="00FA6E99" w:rsidP="004A14AF">
      <w:r w:rsidRPr="00D615BA">
        <w:lastRenderedPageBreak/>
        <w:t>NSW has implemented several changes for the 2023-24 year:</w:t>
      </w:r>
    </w:p>
    <w:p w14:paraId="7B7A47FD" w14:textId="2B5020A7" w:rsidR="00FA6E99" w:rsidRPr="00563F81" w:rsidRDefault="00B210AE" w:rsidP="006044E0">
      <w:pPr>
        <w:pStyle w:val="ListParagraph"/>
        <w:numPr>
          <w:ilvl w:val="0"/>
          <w:numId w:val="6"/>
        </w:numPr>
        <w:rPr>
          <w:color w:val="44546A" w:themeColor="text2"/>
        </w:rPr>
      </w:pPr>
      <w:r>
        <w:rPr>
          <w:color w:val="44546A" w:themeColor="text2"/>
        </w:rPr>
        <w:t>NSW M</w:t>
      </w:r>
      <w:r w:rsidR="008D5E39">
        <w:rPr>
          <w:color w:val="44546A" w:themeColor="text2"/>
        </w:rPr>
        <w:t>o</w:t>
      </w:r>
      <w:r>
        <w:rPr>
          <w:color w:val="44546A" w:themeColor="text2"/>
        </w:rPr>
        <w:t>H</w:t>
      </w:r>
      <w:r w:rsidR="00C34549">
        <w:rPr>
          <w:color w:val="44546A" w:themeColor="text2"/>
        </w:rPr>
        <w:t xml:space="preserve"> transitioned</w:t>
      </w:r>
      <w:r w:rsidR="00FA6E99" w:rsidRPr="00563F81">
        <w:rPr>
          <w:rFonts w:hint="eastAsia"/>
          <w:color w:val="44546A" w:themeColor="text2"/>
        </w:rPr>
        <w:t xml:space="preserve"> the </w:t>
      </w:r>
      <w:r w:rsidR="00C34549">
        <w:rPr>
          <w:color w:val="44546A" w:themeColor="text2"/>
        </w:rPr>
        <w:t xml:space="preserve">processing and storage of patient level activity data from the Health Information Exchange (HIE) to the </w:t>
      </w:r>
      <w:r w:rsidR="00FA6E99" w:rsidRPr="00563F81">
        <w:rPr>
          <w:rFonts w:hint="eastAsia"/>
          <w:color w:val="44546A" w:themeColor="text2"/>
        </w:rPr>
        <w:t>Enterprise Data Warehouse (EDW</w:t>
      </w:r>
      <w:r w:rsidR="00C34549">
        <w:rPr>
          <w:color w:val="44546A" w:themeColor="text2"/>
        </w:rPr>
        <w:t>). New</w:t>
      </w:r>
      <w:r w:rsidR="00FA6E99" w:rsidRPr="00563F81">
        <w:rPr>
          <w:rFonts w:hint="eastAsia"/>
          <w:color w:val="44546A" w:themeColor="text2"/>
        </w:rPr>
        <w:t xml:space="preserve"> scripts were written to extract </w:t>
      </w:r>
      <w:r w:rsidR="00C34549">
        <w:rPr>
          <w:color w:val="44546A" w:themeColor="text2"/>
        </w:rPr>
        <w:t xml:space="preserve">activity information from </w:t>
      </w:r>
      <w:r w:rsidR="00FA6E99" w:rsidRPr="00563F81">
        <w:rPr>
          <w:rFonts w:hint="eastAsia"/>
          <w:color w:val="44546A" w:themeColor="text2"/>
        </w:rPr>
        <w:t xml:space="preserve">EDW to use in the costing process. </w:t>
      </w:r>
    </w:p>
    <w:p w14:paraId="1D28ACDF" w14:textId="1EF8A765" w:rsidR="00FA6E99" w:rsidRPr="00563F81" w:rsidRDefault="00FA6E99" w:rsidP="006044E0">
      <w:pPr>
        <w:pStyle w:val="ListParagraph"/>
        <w:numPr>
          <w:ilvl w:val="0"/>
          <w:numId w:val="6"/>
        </w:numPr>
        <w:rPr>
          <w:color w:val="44546A" w:themeColor="text2"/>
        </w:rPr>
      </w:pPr>
      <w:r w:rsidRPr="00563F81">
        <w:rPr>
          <w:rFonts w:hint="eastAsia"/>
          <w:color w:val="44546A" w:themeColor="text2"/>
        </w:rPr>
        <w:t xml:space="preserve">There was a statewide </w:t>
      </w:r>
      <w:r w:rsidR="00C34549">
        <w:rPr>
          <w:color w:val="44546A" w:themeColor="text2"/>
        </w:rPr>
        <w:t>upgrade</w:t>
      </w:r>
      <w:r w:rsidRPr="00563F81">
        <w:rPr>
          <w:rFonts w:hint="eastAsia"/>
          <w:color w:val="44546A" w:themeColor="text2"/>
        </w:rPr>
        <w:t xml:space="preserve"> from the PPM2 costing system to PPM3 (see further details below)</w:t>
      </w:r>
      <w:r>
        <w:rPr>
          <w:color w:val="44546A" w:themeColor="text2"/>
        </w:rPr>
        <w:t>.</w:t>
      </w:r>
    </w:p>
    <w:p w14:paraId="3C7CB982" w14:textId="1EDD1ED0" w:rsidR="00FA6E99" w:rsidRPr="00563F81" w:rsidRDefault="00FA6E99" w:rsidP="006044E0">
      <w:pPr>
        <w:pStyle w:val="ListParagraph"/>
        <w:numPr>
          <w:ilvl w:val="0"/>
          <w:numId w:val="6"/>
        </w:numPr>
        <w:rPr>
          <w:color w:val="44546A" w:themeColor="text2"/>
        </w:rPr>
      </w:pPr>
      <w:r w:rsidRPr="00563F81">
        <w:rPr>
          <w:rFonts w:hint="eastAsia"/>
          <w:color w:val="44546A" w:themeColor="text2"/>
        </w:rPr>
        <w:t xml:space="preserve">Two </w:t>
      </w:r>
      <w:r w:rsidR="00CB64BE">
        <w:rPr>
          <w:color w:val="44546A" w:themeColor="text2"/>
        </w:rPr>
        <w:t>QA</w:t>
      </w:r>
      <w:r w:rsidRPr="00563F81">
        <w:rPr>
          <w:rFonts w:hint="eastAsia"/>
          <w:color w:val="44546A" w:themeColor="text2"/>
        </w:rPr>
        <w:t xml:space="preserve"> packages were added into the DNR applications that are used across the state. These QA checks flag</w:t>
      </w:r>
      <w:r w:rsidR="00C34549">
        <w:rPr>
          <w:color w:val="44546A" w:themeColor="text2"/>
        </w:rPr>
        <w:t>ged</w:t>
      </w:r>
      <w:r w:rsidRPr="00563F81">
        <w:rPr>
          <w:rFonts w:hint="eastAsia"/>
          <w:color w:val="44546A" w:themeColor="text2"/>
        </w:rPr>
        <w:t xml:space="preserve"> critical errors that needed to be resolved before the DNRs could be submitted. For </w:t>
      </w:r>
      <w:r w:rsidR="00A02B6B">
        <w:rPr>
          <w:color w:val="44546A" w:themeColor="text2"/>
        </w:rPr>
        <w:t>future</w:t>
      </w:r>
      <w:r w:rsidRPr="00563F81">
        <w:rPr>
          <w:rFonts w:hint="eastAsia"/>
          <w:color w:val="44546A" w:themeColor="text2"/>
        </w:rPr>
        <w:t xml:space="preserve"> submission</w:t>
      </w:r>
      <w:r w:rsidR="00A02B6B">
        <w:rPr>
          <w:color w:val="44546A" w:themeColor="text2"/>
        </w:rPr>
        <w:t>s</w:t>
      </w:r>
      <w:r w:rsidRPr="00563F81">
        <w:rPr>
          <w:rFonts w:hint="eastAsia"/>
          <w:color w:val="44546A" w:themeColor="text2"/>
        </w:rPr>
        <w:t xml:space="preserve">, there are plans to build a dashboard to visualise the output of the </w:t>
      </w:r>
      <w:r w:rsidR="00CB64BE">
        <w:rPr>
          <w:color w:val="44546A" w:themeColor="text2"/>
        </w:rPr>
        <w:t>QA</w:t>
      </w:r>
      <w:r w:rsidRPr="00563F81">
        <w:rPr>
          <w:rFonts w:hint="eastAsia"/>
          <w:color w:val="44546A" w:themeColor="text2"/>
        </w:rPr>
        <w:t xml:space="preserve"> checks.</w:t>
      </w:r>
    </w:p>
    <w:p w14:paraId="17E5898B" w14:textId="04D7A5F8" w:rsidR="00FA6E99" w:rsidRPr="00563F81" w:rsidRDefault="00FA6E99" w:rsidP="006044E0">
      <w:pPr>
        <w:pStyle w:val="ListParagraph"/>
        <w:numPr>
          <w:ilvl w:val="0"/>
          <w:numId w:val="6"/>
        </w:numPr>
        <w:rPr>
          <w:color w:val="44546A" w:themeColor="text2"/>
        </w:rPr>
      </w:pPr>
      <w:r w:rsidRPr="00563F81">
        <w:rPr>
          <w:rFonts w:hint="eastAsia"/>
          <w:color w:val="44546A" w:themeColor="text2"/>
        </w:rPr>
        <w:t xml:space="preserve">Through discussion with IHACPA, NSW changed the costs that were allocated to the </w:t>
      </w:r>
      <w:r w:rsidR="00A02B6B">
        <w:rPr>
          <w:i/>
          <w:color w:val="44546A" w:themeColor="text2"/>
        </w:rPr>
        <w:t>O</w:t>
      </w:r>
      <w:r w:rsidRPr="00EB20D0">
        <w:rPr>
          <w:rFonts w:hint="eastAsia"/>
          <w:i/>
          <w:color w:val="44546A" w:themeColor="text2"/>
        </w:rPr>
        <w:t>ncost</w:t>
      </w:r>
      <w:r w:rsidRPr="00563F81">
        <w:rPr>
          <w:rFonts w:hint="eastAsia"/>
          <w:color w:val="44546A" w:themeColor="text2"/>
        </w:rPr>
        <w:t xml:space="preserve"> line item with long service leave being included in oncosts in 2023-24 for the first time, and one-off incentive payments</w:t>
      </w:r>
      <w:r>
        <w:rPr>
          <w:color w:val="44546A" w:themeColor="text2"/>
        </w:rPr>
        <w:t xml:space="preserve">. Previously these costs were in </w:t>
      </w:r>
      <w:r w:rsidR="008D5E39">
        <w:rPr>
          <w:color w:val="44546A" w:themeColor="text2"/>
        </w:rPr>
        <w:t>Salary &amp; Wages (</w:t>
      </w:r>
      <w:r w:rsidR="004474F5">
        <w:rPr>
          <w:i/>
          <w:iCs/>
        </w:rPr>
        <w:t>S&amp;W</w:t>
      </w:r>
      <w:r w:rsidR="008D5E39">
        <w:rPr>
          <w:i/>
          <w:iCs/>
        </w:rPr>
        <w:t>)</w:t>
      </w:r>
      <w:r>
        <w:rPr>
          <w:color w:val="44546A" w:themeColor="text2"/>
        </w:rPr>
        <w:t xml:space="preserve"> for relevant professional groups.</w:t>
      </w:r>
    </w:p>
    <w:p w14:paraId="5BDA60C0" w14:textId="77777777" w:rsidR="00FA6E99" w:rsidRPr="00D615BA" w:rsidRDefault="00FA6E99" w:rsidP="00FA6E99">
      <w:pPr>
        <w:spacing w:line="240" w:lineRule="auto"/>
        <w:rPr>
          <w:color w:val="44546A" w:themeColor="text2"/>
        </w:rPr>
      </w:pPr>
      <w:r w:rsidRPr="00D615BA">
        <w:rPr>
          <w:color w:val="44546A" w:themeColor="text2"/>
        </w:rPr>
        <w:t xml:space="preserve">The introduction of new costing </w:t>
      </w:r>
      <w:r>
        <w:rPr>
          <w:color w:val="44546A" w:themeColor="text2"/>
        </w:rPr>
        <w:t>software</w:t>
      </w:r>
      <w:r w:rsidRPr="005D1D70">
        <w:rPr>
          <w:color w:val="44546A" w:themeColor="text2"/>
        </w:rPr>
        <w:t>, enabl</w:t>
      </w:r>
      <w:r>
        <w:rPr>
          <w:color w:val="44546A" w:themeColor="text2"/>
        </w:rPr>
        <w:t>ed</w:t>
      </w:r>
      <w:r w:rsidRPr="00D615BA">
        <w:rPr>
          <w:color w:val="44546A" w:themeColor="text2"/>
        </w:rPr>
        <w:t xml:space="preserve"> the following changes to the NSW process: </w:t>
      </w:r>
    </w:p>
    <w:p w14:paraId="63BE9BFC" w14:textId="0D464E4E" w:rsidR="00FA6E99" w:rsidRPr="00A2517D" w:rsidRDefault="005440C1" w:rsidP="006044E0">
      <w:pPr>
        <w:pStyle w:val="ListParagraph"/>
        <w:numPr>
          <w:ilvl w:val="0"/>
          <w:numId w:val="6"/>
        </w:numPr>
        <w:rPr>
          <w:rFonts w:asciiTheme="minorHAnsi" w:hAnsiTheme="minorHAnsi"/>
          <w:color w:val="44546A" w:themeColor="text2"/>
        </w:rPr>
      </w:pPr>
      <w:r>
        <w:rPr>
          <w:color w:val="44546A" w:themeColor="text2"/>
        </w:rPr>
        <w:t>NSW undertook</w:t>
      </w:r>
      <w:r w:rsidR="00FA6E99">
        <w:rPr>
          <w:rFonts w:hint="eastAsia"/>
          <w:color w:val="44546A" w:themeColor="text2"/>
        </w:rPr>
        <w:t xml:space="preserve"> a </w:t>
      </w:r>
      <w:r>
        <w:rPr>
          <w:color w:val="44546A" w:themeColor="text2"/>
        </w:rPr>
        <w:t xml:space="preserve">review of </w:t>
      </w:r>
      <w:r w:rsidR="008B08F7">
        <w:rPr>
          <w:color w:val="44546A" w:themeColor="text2"/>
        </w:rPr>
        <w:t>c</w:t>
      </w:r>
      <w:r>
        <w:rPr>
          <w:color w:val="44546A" w:themeColor="text2"/>
        </w:rPr>
        <w:t xml:space="preserve">ost </w:t>
      </w:r>
      <w:r w:rsidR="008B08F7">
        <w:rPr>
          <w:color w:val="44546A" w:themeColor="text2"/>
        </w:rPr>
        <w:t>o</w:t>
      </w:r>
      <w:r>
        <w:rPr>
          <w:color w:val="44546A" w:themeColor="text2"/>
        </w:rPr>
        <w:t>utputs which resulted in</w:t>
      </w:r>
      <w:r w:rsidR="00FA6E99">
        <w:rPr>
          <w:rFonts w:hint="eastAsia"/>
          <w:color w:val="44546A" w:themeColor="text2"/>
        </w:rPr>
        <w:t xml:space="preserve"> a </w:t>
      </w:r>
      <w:r>
        <w:rPr>
          <w:color w:val="44546A" w:themeColor="text2"/>
        </w:rPr>
        <w:t>larger</w:t>
      </w:r>
      <w:r w:rsidR="00FA6E99">
        <w:rPr>
          <w:rFonts w:hint="eastAsia"/>
          <w:color w:val="44546A" w:themeColor="text2"/>
        </w:rPr>
        <w:t xml:space="preserve"> number of </w:t>
      </w:r>
      <w:r w:rsidR="008B08F7">
        <w:rPr>
          <w:color w:val="44546A" w:themeColor="text2"/>
        </w:rPr>
        <w:t>c</w:t>
      </w:r>
      <w:r>
        <w:rPr>
          <w:color w:val="44546A" w:themeColor="text2"/>
        </w:rPr>
        <w:t xml:space="preserve">ost </w:t>
      </w:r>
      <w:r w:rsidR="008B08F7">
        <w:rPr>
          <w:color w:val="44546A" w:themeColor="text2"/>
        </w:rPr>
        <w:t>o</w:t>
      </w:r>
      <w:r>
        <w:rPr>
          <w:color w:val="44546A" w:themeColor="text2"/>
        </w:rPr>
        <w:t>utputs</w:t>
      </w:r>
      <w:r w:rsidR="00FA6E99">
        <w:rPr>
          <w:rFonts w:hint="eastAsia"/>
          <w:color w:val="44546A" w:themeColor="text2"/>
        </w:rPr>
        <w:t xml:space="preserve"> to </w:t>
      </w:r>
      <w:r>
        <w:rPr>
          <w:color w:val="44546A" w:themeColor="text2"/>
        </w:rPr>
        <w:t>accommodate a greater level of granularity and improved allocation of costs</w:t>
      </w:r>
      <w:r w:rsidR="006730A1">
        <w:rPr>
          <w:color w:val="44546A" w:themeColor="text2"/>
        </w:rPr>
        <w:t xml:space="preserve"> e</w:t>
      </w:r>
      <w:r w:rsidR="00711F2E" w:rsidRPr="00A2517D">
        <w:rPr>
          <w:rFonts w:asciiTheme="minorHAnsi" w:hAnsiTheme="minorHAnsi" w:hint="eastAsia"/>
          <w:color w:val="44546A" w:themeColor="text2"/>
        </w:rPr>
        <w:t>.g.,</w:t>
      </w:r>
      <w:r w:rsidR="00FA6E99" w:rsidRPr="00A2517D">
        <w:rPr>
          <w:rFonts w:asciiTheme="minorHAnsi" w:hAnsiTheme="minorHAnsi" w:hint="eastAsia"/>
          <w:color w:val="44546A" w:themeColor="text2"/>
        </w:rPr>
        <w:t xml:space="preserve"> </w:t>
      </w:r>
      <w:r w:rsidR="00926F3C" w:rsidRPr="00C56C33">
        <w:rPr>
          <w:rFonts w:asciiTheme="minorHAnsi" w:hAnsiTheme="minorHAnsi"/>
          <w:i/>
          <w:iCs/>
          <w:color w:val="44546A" w:themeColor="text2"/>
        </w:rPr>
        <w:t>S&amp;W</w:t>
      </w:r>
      <w:r w:rsidR="00FA6E99" w:rsidRPr="00A2517D">
        <w:rPr>
          <w:rFonts w:asciiTheme="minorHAnsi" w:hAnsiTheme="minorHAnsi" w:hint="eastAsia"/>
          <w:color w:val="44546A" w:themeColor="text2"/>
        </w:rPr>
        <w:t xml:space="preserve"> were separated into productive and non-productive cost outputs. </w:t>
      </w:r>
    </w:p>
    <w:p w14:paraId="22730484" w14:textId="3C017831" w:rsidR="00FA6E99" w:rsidRPr="00A2517D" w:rsidRDefault="008B08F7" w:rsidP="006044E0">
      <w:pPr>
        <w:pStyle w:val="ListParagraph"/>
        <w:numPr>
          <w:ilvl w:val="0"/>
          <w:numId w:val="6"/>
        </w:numPr>
        <w:rPr>
          <w:rFonts w:asciiTheme="minorHAnsi" w:hAnsiTheme="minorHAnsi"/>
          <w:color w:val="44546A" w:themeColor="text2"/>
        </w:rPr>
      </w:pPr>
      <w:r>
        <w:rPr>
          <w:rFonts w:asciiTheme="minorHAnsi" w:hAnsiTheme="minorHAnsi"/>
          <w:color w:val="44546A" w:themeColor="text2"/>
        </w:rPr>
        <w:t xml:space="preserve">New functionality in PPM3 allowed for improved allocation of costs between care streams and reduced the need for reclass rules. This functionality </w:t>
      </w:r>
      <w:r w:rsidR="00FA6E99" w:rsidRPr="00A2517D">
        <w:rPr>
          <w:rFonts w:asciiTheme="minorHAnsi" w:hAnsiTheme="minorHAnsi" w:hint="eastAsia"/>
          <w:color w:val="44546A" w:themeColor="text2"/>
        </w:rPr>
        <w:t xml:space="preserve">was implemented by 3 </w:t>
      </w:r>
      <w:r w:rsidR="00FA6E99" w:rsidRPr="00A2517D">
        <w:rPr>
          <w:rFonts w:asciiTheme="minorHAnsi" w:hAnsiTheme="minorHAnsi"/>
          <w:color w:val="44546A" w:themeColor="text2"/>
        </w:rPr>
        <w:t>LHDs</w:t>
      </w:r>
      <w:r w:rsidR="00FA6E99" w:rsidRPr="00A2517D">
        <w:rPr>
          <w:rFonts w:asciiTheme="minorHAnsi" w:hAnsiTheme="minorHAnsi" w:hint="eastAsia"/>
          <w:color w:val="44546A" w:themeColor="text2"/>
        </w:rPr>
        <w:t xml:space="preserve"> (Northern NSW, Murrumbidgee and Southern LHDs) who observed an increase in non</w:t>
      </w:r>
      <w:r w:rsidR="002C31E7">
        <w:rPr>
          <w:rFonts w:asciiTheme="minorHAnsi" w:hAnsiTheme="minorHAnsi"/>
          <w:color w:val="44546A" w:themeColor="text2"/>
        </w:rPr>
        <w:noBreakHyphen/>
      </w:r>
      <w:r w:rsidR="00FA6E99" w:rsidRPr="00A2517D">
        <w:rPr>
          <w:rFonts w:asciiTheme="minorHAnsi" w:hAnsiTheme="minorHAnsi" w:hint="eastAsia"/>
          <w:color w:val="44546A" w:themeColor="text2"/>
        </w:rPr>
        <w:t xml:space="preserve">admitted medical costs as a result of this inclusion. </w:t>
      </w:r>
      <w:r w:rsidR="00F83FA4">
        <w:rPr>
          <w:rFonts w:asciiTheme="minorHAnsi" w:hAnsiTheme="minorHAnsi"/>
          <w:color w:val="44546A" w:themeColor="text2"/>
        </w:rPr>
        <w:t>There are plans to roll this functionality out further from 2024-25.</w:t>
      </w:r>
    </w:p>
    <w:p w14:paraId="3180F9FF" w14:textId="2D0589C4" w:rsidR="00FA6E99" w:rsidRPr="00D615BA" w:rsidRDefault="00FA6E99" w:rsidP="00FA6E99">
      <w:pPr>
        <w:spacing w:line="240" w:lineRule="auto"/>
        <w:rPr>
          <w:color w:val="44546A" w:themeColor="text2"/>
        </w:rPr>
      </w:pPr>
      <w:r w:rsidRPr="00D615BA">
        <w:rPr>
          <w:color w:val="44546A" w:themeColor="text2"/>
        </w:rPr>
        <w:t xml:space="preserve">NSW has reported variance from </w:t>
      </w:r>
      <w:r w:rsidR="002C31E7">
        <w:rPr>
          <w:color w:val="44546A" w:themeColor="text2"/>
        </w:rPr>
        <w:t>Australian Hospital Patient Costing Standards (</w:t>
      </w:r>
      <w:r w:rsidRPr="00D615BA">
        <w:rPr>
          <w:color w:val="44546A" w:themeColor="text2"/>
        </w:rPr>
        <w:t>AHPCS</w:t>
      </w:r>
      <w:r w:rsidR="002C31E7">
        <w:rPr>
          <w:color w:val="44546A" w:themeColor="text2"/>
        </w:rPr>
        <w:t>)</w:t>
      </w:r>
      <w:r w:rsidRPr="00D615BA">
        <w:rPr>
          <w:color w:val="44546A" w:themeColor="text2"/>
        </w:rPr>
        <w:t xml:space="preserve"> v4.2 in the following areas:</w:t>
      </w:r>
    </w:p>
    <w:p w14:paraId="166F489B" w14:textId="57C6477C" w:rsidR="004007CE" w:rsidRDefault="004007CE" w:rsidP="006044E0">
      <w:pPr>
        <w:pStyle w:val="ListParagraph"/>
        <w:numPr>
          <w:ilvl w:val="0"/>
          <w:numId w:val="6"/>
        </w:numPr>
      </w:pPr>
      <w:r w:rsidRPr="005D1D70">
        <w:t xml:space="preserve">Pathology services for private and compensable patients are </w:t>
      </w:r>
      <w:r w:rsidR="00C57813">
        <w:t>excluded from feeder files</w:t>
      </w:r>
      <w:r w:rsidR="00437E25">
        <w:t>. Pathology services are shown at zero cost for these patients</w:t>
      </w:r>
      <w:r w:rsidR="000D3A90">
        <w:t>.</w:t>
      </w:r>
    </w:p>
    <w:p w14:paraId="7203D109" w14:textId="6EB581B7" w:rsidR="00206CD5" w:rsidRDefault="0072297C" w:rsidP="00613253">
      <w:pPr>
        <w:pStyle w:val="ListParagraph"/>
        <w:numPr>
          <w:ilvl w:val="0"/>
          <w:numId w:val="6"/>
        </w:numPr>
      </w:pPr>
      <w:r>
        <w:rPr>
          <w:noProof/>
        </w:rPr>
        <mc:AlternateContent>
          <mc:Choice Requires="wps">
            <w:drawing>
              <wp:anchor distT="45720" distB="45720" distL="114300" distR="114300" simplePos="0" relativeHeight="251660374" behindDoc="0" locked="0" layoutInCell="1" allowOverlap="0" wp14:anchorId="6B4EA8BE" wp14:editId="5EC707E4">
                <wp:simplePos x="0" y="0"/>
                <wp:positionH relativeFrom="margin">
                  <wp:align>left</wp:align>
                </wp:positionH>
                <wp:positionV relativeFrom="margin">
                  <wp:posOffset>6072060</wp:posOffset>
                </wp:positionV>
                <wp:extent cx="5716270" cy="2707005"/>
                <wp:effectExtent l="0" t="0" r="0" b="0"/>
                <wp:wrapTopAndBottom/>
                <wp:docPr id="834560191" name="Text Box 2" descr="P1027TB9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707005"/>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0B95B22D" w14:textId="77777777" w:rsidR="003055FC" w:rsidRPr="001729F2" w:rsidRDefault="003055FC" w:rsidP="003055FC">
                            <w:pPr>
                              <w:spacing w:after="120"/>
                              <w:rPr>
                                <w:rFonts w:ascii="Avenir Next LT Pro Demi" w:hAnsi="Avenir Next LT Pro Demi"/>
                                <w:b/>
                                <w:bCs/>
                                <w:color w:val="FFFFFF" w:themeColor="background1"/>
                              </w:rPr>
                            </w:pPr>
                            <w:r w:rsidRPr="001729F2">
                              <w:rPr>
                                <w:rFonts w:ascii="Avenir Next LT Pro Demi" w:hAnsi="Avenir Next LT Pro Demi"/>
                                <w:b/>
                                <w:bCs/>
                                <w:color w:val="FFFFFF" w:themeColor="background1"/>
                              </w:rPr>
                              <w:t>NSW Costing Insights:</w:t>
                            </w:r>
                          </w:p>
                          <w:p w14:paraId="08E11861" w14:textId="77777777" w:rsidR="003055FC" w:rsidRPr="001729F2" w:rsidRDefault="003055FC" w:rsidP="003055FC">
                            <w:pPr>
                              <w:rPr>
                                <w:color w:val="FFFFFF" w:themeColor="background1"/>
                              </w:rPr>
                            </w:pPr>
                            <w:r w:rsidRPr="001729F2">
                              <w:rPr>
                                <w:color w:val="FFFFFF" w:themeColor="background1"/>
                              </w:rPr>
                              <w:t xml:space="preserve">The transition to PPM3 and some cost allocation changes to the </w:t>
                            </w:r>
                            <w:r w:rsidRPr="004D0CA5">
                              <w:rPr>
                                <w:i/>
                                <w:iCs/>
                                <w:color w:val="FFFFFF" w:themeColor="background1"/>
                              </w:rPr>
                              <w:t>Oncost</w:t>
                            </w:r>
                            <w:r w:rsidRPr="001729F2">
                              <w:rPr>
                                <w:color w:val="FFFFFF" w:themeColor="background1"/>
                              </w:rPr>
                              <w:t xml:space="preserve"> line item have resulted in a number of cost movements between 2022-23 and 2023-24 which should be noted for any year-on-year analysis, including:</w:t>
                            </w:r>
                          </w:p>
                          <w:p w14:paraId="3E710546" w14:textId="7F17405F" w:rsidR="003055FC" w:rsidRPr="001729F2" w:rsidRDefault="003055FC" w:rsidP="003055FC">
                            <w:pPr>
                              <w:pStyle w:val="Tablebulletpoint"/>
                              <w:rPr>
                                <w:color w:val="FFFFFF" w:themeColor="background1"/>
                              </w:rPr>
                            </w:pPr>
                            <w:r w:rsidRPr="001729F2">
                              <w:rPr>
                                <w:color w:val="FFFFFF" w:themeColor="background1"/>
                              </w:rPr>
                              <w:t xml:space="preserve">Shift of costs from </w:t>
                            </w:r>
                            <w:r>
                              <w:rPr>
                                <w:i/>
                                <w:color w:val="FFFFFF" w:themeColor="background1"/>
                              </w:rPr>
                              <w:t>S&amp;W</w:t>
                            </w:r>
                            <w:r w:rsidRPr="001729F2">
                              <w:rPr>
                                <w:color w:val="FFFFFF" w:themeColor="background1"/>
                              </w:rPr>
                              <w:t xml:space="preserve"> to </w:t>
                            </w:r>
                            <w:r w:rsidRPr="004D0CA5">
                              <w:rPr>
                                <w:i/>
                                <w:color w:val="FFFFFF" w:themeColor="background1"/>
                              </w:rPr>
                              <w:t>Oncost</w:t>
                            </w:r>
                            <w:r w:rsidRPr="001729F2">
                              <w:rPr>
                                <w:color w:val="FFFFFF" w:themeColor="background1"/>
                              </w:rPr>
                              <w:t xml:space="preserve"> line items for certain pay categories such as superannuation, long service leave (LSL) and one-off incentives</w:t>
                            </w:r>
                            <w:r>
                              <w:rPr>
                                <w:color w:val="FFFFFF" w:themeColor="background1"/>
                              </w:rPr>
                              <w:t>.</w:t>
                            </w:r>
                          </w:p>
                          <w:p w14:paraId="10E42593" w14:textId="77777777" w:rsidR="003055FC" w:rsidRPr="001729F2" w:rsidRDefault="003055FC" w:rsidP="003055FC">
                            <w:pPr>
                              <w:pStyle w:val="Tablebulletpoint"/>
                              <w:rPr>
                                <w:color w:val="FFFFFF" w:themeColor="background1"/>
                              </w:rPr>
                            </w:pPr>
                            <w:r w:rsidRPr="001729F2">
                              <w:rPr>
                                <w:color w:val="FFFFFF" w:themeColor="background1"/>
                              </w:rPr>
                              <w:t>Increases in overhead amounts as a result of the more granular cost output structure driven by the functionality in PPM3</w:t>
                            </w:r>
                            <w:r w:rsidRPr="001729F2" w:rsidDel="003B272D">
                              <w:rPr>
                                <w:color w:val="FFFFFF" w:themeColor="background1"/>
                              </w:rPr>
                              <w:t>.</w:t>
                            </w:r>
                          </w:p>
                          <w:p w14:paraId="1B823566" w14:textId="77777777" w:rsidR="003055FC" w:rsidRPr="001729F2" w:rsidRDefault="003055FC" w:rsidP="003055FC">
                            <w:pPr>
                              <w:pStyle w:val="Tablebulletpoint"/>
                              <w:rPr>
                                <w:color w:val="FFFFFF" w:themeColor="background1"/>
                              </w:rPr>
                            </w:pPr>
                            <w:r w:rsidRPr="001729F2">
                              <w:rPr>
                                <w:color w:val="FFFFFF" w:themeColor="background1"/>
                              </w:rPr>
                              <w:t xml:space="preserve">New activity driven </w:t>
                            </w:r>
                            <w:r>
                              <w:rPr>
                                <w:color w:val="FFFFFF" w:themeColor="background1"/>
                              </w:rPr>
                              <w:t>functionality</w:t>
                            </w:r>
                            <w:r w:rsidRPr="001729F2">
                              <w:rPr>
                                <w:color w:val="FFFFFF" w:themeColor="background1"/>
                              </w:rPr>
                              <w:t xml:space="preserve"> for allocating </w:t>
                            </w:r>
                            <w:r>
                              <w:rPr>
                                <w:color w:val="FFFFFF" w:themeColor="background1"/>
                              </w:rPr>
                              <w:t>M</w:t>
                            </w:r>
                            <w:r w:rsidRPr="001729F2">
                              <w:rPr>
                                <w:color w:val="FFFFFF" w:themeColor="background1"/>
                              </w:rPr>
                              <w:t xml:space="preserve">edical </w:t>
                            </w:r>
                            <w:r w:rsidRPr="005E12EA">
                              <w:rPr>
                                <w:i/>
                                <w:iCs/>
                                <w:color w:val="FFFFFF" w:themeColor="background1"/>
                              </w:rPr>
                              <w:t>S&amp;W</w:t>
                            </w:r>
                            <w:r w:rsidRPr="001729F2">
                              <w:rPr>
                                <w:color w:val="FFFFFF" w:themeColor="background1"/>
                              </w:rPr>
                              <w:t xml:space="preserve"> across streams has led to a shift of medical costs from admitted to non-admitted streams. This has particularly been noted in 3 LHDs to date (Northern NSW, Murrumbidgee and Southern</w:t>
                            </w:r>
                            <w:r>
                              <w:rPr>
                                <w:color w:val="FFFFFF" w:themeColor="background1"/>
                              </w:rPr>
                              <w:t xml:space="preserve"> NSW</w:t>
                            </w:r>
                            <w:r w:rsidRPr="001729F2">
                              <w:rPr>
                                <w:color w:val="FFFFFF" w:themeColor="background1"/>
                              </w:rPr>
                              <w:t>) with additional LHDs in NSW intending to use this approach from 2024-25.</w:t>
                            </w:r>
                          </w:p>
                        </w:txbxContent>
                      </wps:txbx>
                      <wps:bodyPr rot="0" vert="horz" wrap="square" lIns="180000" tIns="180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6B4EA8BE" id="_x0000_s1101" type="#_x0000_t202" alt="P1027TB97#y1" style="position:absolute;left:0;text-align:left;margin-left:0;margin-top:478.1pt;width:450.1pt;height:213.15pt;z-index:25166037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" o:allowoverlap="f" fillcolor="#343a5e [2405]" stroked="f" strokeweight="1pt">
                <v:textbox style="mso-fit-shape-to-text:t" inset="5mm,5mm,5mm,5mm">
                  <w:txbxContent>
                    <w:p w14:paraId="0B95B22D" w14:textId="77777777" w:rsidR="003055FC" w:rsidRPr="001729F2" w:rsidRDefault="003055FC" w:rsidP="003055FC">
                      <w:pPr>
                        <w:spacing w:after="120"/>
                        <w:rPr>
                          <w:rFonts w:ascii="Avenir Next LT Pro Demi" w:hAnsi="Avenir Next LT Pro Demi"/>
                          <w:b/>
                          <w:bCs/>
                          <w:color w:val="FFFFFF" w:themeColor="background1"/>
                        </w:rPr>
                      </w:pPr>
                      <w:r w:rsidRPr="001729F2">
                        <w:rPr>
                          <w:rFonts w:ascii="Avenir Next LT Pro Demi" w:hAnsi="Avenir Next LT Pro Demi"/>
                          <w:b/>
                          <w:bCs/>
                          <w:color w:val="FFFFFF" w:themeColor="background1"/>
                        </w:rPr>
                        <w:t>NSW Costing Insights:</w:t>
                      </w:r>
                    </w:p>
                    <w:p w14:paraId="08E11861" w14:textId="77777777" w:rsidR="003055FC" w:rsidRPr="001729F2" w:rsidRDefault="003055FC" w:rsidP="003055FC">
                      <w:pPr>
                        <w:rPr>
                          <w:color w:val="FFFFFF" w:themeColor="background1"/>
                        </w:rPr>
                      </w:pPr>
                      <w:r w:rsidRPr="001729F2">
                        <w:rPr>
                          <w:color w:val="FFFFFF" w:themeColor="background1"/>
                        </w:rPr>
                        <w:t xml:space="preserve">The transition to PPM3 and some cost allocation changes to the </w:t>
                      </w:r>
                      <w:r w:rsidRPr="004D0CA5">
                        <w:rPr>
                          <w:i/>
                          <w:iCs/>
                          <w:color w:val="FFFFFF" w:themeColor="background1"/>
                        </w:rPr>
                        <w:t>Oncost</w:t>
                      </w:r>
                      <w:r w:rsidRPr="001729F2">
                        <w:rPr>
                          <w:color w:val="FFFFFF" w:themeColor="background1"/>
                        </w:rPr>
                        <w:t xml:space="preserve"> line item have resulted in a number of cost movements between 2022-23 and 2023-24 which should be noted for any year-on-year analysis, including:</w:t>
                      </w:r>
                    </w:p>
                    <w:p w14:paraId="3E710546" w14:textId="7F17405F" w:rsidR="003055FC" w:rsidRPr="001729F2" w:rsidRDefault="003055FC" w:rsidP="003055FC">
                      <w:pPr>
                        <w:pStyle w:val="Tablebulletpoint"/>
                        <w:rPr>
                          <w:color w:val="FFFFFF" w:themeColor="background1"/>
                        </w:rPr>
                      </w:pPr>
                      <w:r w:rsidRPr="001729F2">
                        <w:rPr>
                          <w:color w:val="FFFFFF" w:themeColor="background1"/>
                        </w:rPr>
                        <w:t xml:space="preserve">Shift of costs from </w:t>
                      </w:r>
                      <w:r>
                        <w:rPr>
                          <w:i/>
                          <w:color w:val="FFFFFF" w:themeColor="background1"/>
                        </w:rPr>
                        <w:t>S&amp;W</w:t>
                      </w:r>
                      <w:r w:rsidRPr="001729F2">
                        <w:rPr>
                          <w:color w:val="FFFFFF" w:themeColor="background1"/>
                        </w:rPr>
                        <w:t xml:space="preserve"> to </w:t>
                      </w:r>
                      <w:r w:rsidRPr="004D0CA5">
                        <w:rPr>
                          <w:i/>
                          <w:color w:val="FFFFFF" w:themeColor="background1"/>
                        </w:rPr>
                        <w:t>Oncost</w:t>
                      </w:r>
                      <w:r w:rsidRPr="001729F2">
                        <w:rPr>
                          <w:color w:val="FFFFFF" w:themeColor="background1"/>
                        </w:rPr>
                        <w:t xml:space="preserve"> line items for certain pay categories such as superannuation, long service leave (LSL) and one-off incentives</w:t>
                      </w:r>
                      <w:r>
                        <w:rPr>
                          <w:color w:val="FFFFFF" w:themeColor="background1"/>
                        </w:rPr>
                        <w:t>.</w:t>
                      </w:r>
                    </w:p>
                    <w:p w14:paraId="10E42593" w14:textId="77777777" w:rsidR="003055FC" w:rsidRPr="001729F2" w:rsidRDefault="003055FC" w:rsidP="003055FC">
                      <w:pPr>
                        <w:pStyle w:val="Tablebulletpoint"/>
                        <w:rPr>
                          <w:color w:val="FFFFFF" w:themeColor="background1"/>
                        </w:rPr>
                      </w:pPr>
                      <w:r w:rsidRPr="001729F2">
                        <w:rPr>
                          <w:color w:val="FFFFFF" w:themeColor="background1"/>
                        </w:rPr>
                        <w:t>Increases in overhead amounts as a result of the more granular cost output structure driven by the functionality in PPM3</w:t>
                      </w:r>
                      <w:r w:rsidRPr="001729F2" w:rsidDel="003B272D">
                        <w:rPr>
                          <w:color w:val="FFFFFF" w:themeColor="background1"/>
                        </w:rPr>
                        <w:t>.</w:t>
                      </w:r>
                    </w:p>
                    <w:p w14:paraId="1B823566" w14:textId="77777777" w:rsidR="003055FC" w:rsidRPr="001729F2" w:rsidRDefault="003055FC" w:rsidP="003055FC">
                      <w:pPr>
                        <w:pStyle w:val="Tablebulletpoint"/>
                        <w:rPr>
                          <w:color w:val="FFFFFF" w:themeColor="background1"/>
                        </w:rPr>
                      </w:pPr>
                      <w:r w:rsidRPr="001729F2">
                        <w:rPr>
                          <w:color w:val="FFFFFF" w:themeColor="background1"/>
                        </w:rPr>
                        <w:t xml:space="preserve">New activity driven </w:t>
                      </w:r>
                      <w:r>
                        <w:rPr>
                          <w:color w:val="FFFFFF" w:themeColor="background1"/>
                        </w:rPr>
                        <w:t>functionality</w:t>
                      </w:r>
                      <w:r w:rsidRPr="001729F2">
                        <w:rPr>
                          <w:color w:val="FFFFFF" w:themeColor="background1"/>
                        </w:rPr>
                        <w:t xml:space="preserve"> for allocating </w:t>
                      </w:r>
                      <w:r>
                        <w:rPr>
                          <w:color w:val="FFFFFF" w:themeColor="background1"/>
                        </w:rPr>
                        <w:t>M</w:t>
                      </w:r>
                      <w:r w:rsidRPr="001729F2">
                        <w:rPr>
                          <w:color w:val="FFFFFF" w:themeColor="background1"/>
                        </w:rPr>
                        <w:t xml:space="preserve">edical </w:t>
                      </w:r>
                      <w:r w:rsidRPr="005E12EA">
                        <w:rPr>
                          <w:i/>
                          <w:iCs/>
                          <w:color w:val="FFFFFF" w:themeColor="background1"/>
                        </w:rPr>
                        <w:t>S&amp;W</w:t>
                      </w:r>
                      <w:r w:rsidRPr="001729F2">
                        <w:rPr>
                          <w:color w:val="FFFFFF" w:themeColor="background1"/>
                        </w:rPr>
                        <w:t xml:space="preserve"> across streams has led to a shift of medical costs from admitted to non-admitted streams. This has particularly been noted in 3 LHDs to date (Northern NSW, Murrumbidgee and Southern</w:t>
                      </w:r>
                      <w:r>
                        <w:rPr>
                          <w:color w:val="FFFFFF" w:themeColor="background1"/>
                        </w:rPr>
                        <w:t xml:space="preserve"> NSW</w:t>
                      </w:r>
                      <w:r w:rsidRPr="001729F2">
                        <w:rPr>
                          <w:color w:val="FFFFFF" w:themeColor="background1"/>
                        </w:rPr>
                        <w:t>) with additional LHDs in NSW intending to use this approach from 2024-25.</w:t>
                      </w:r>
                    </w:p>
                  </w:txbxContent>
                </v:textbox>
                <w10:wrap type="topAndBottom" anchorx="margin" anchory="margin"/>
              </v:shape>
            </w:pict>
          </mc:Fallback>
        </mc:AlternateContent>
      </w:r>
      <w:r w:rsidR="00613253" w:rsidRPr="00613253">
        <w:t xml:space="preserve">Costs associated with the Newborn and Paediatric Emergency Transport Service (NETS) </w:t>
      </w:r>
      <w:r w:rsidR="002573C8">
        <w:t>that</w:t>
      </w:r>
      <w:r w:rsidR="00613253" w:rsidRPr="00613253">
        <w:t xml:space="preserve"> do not relate to transport activities (including pre- and post-transfer clinical</w:t>
      </w:r>
      <w:r w:rsidR="00DD312F">
        <w:t xml:space="preserve"> </w:t>
      </w:r>
      <w:r w:rsidR="00613253" w:rsidRPr="00613253">
        <w:t>consultation and assessment, stabilisation, and handover) and are excluded from NSW’s submission. NSW is working towards including these costs in future costing rounds</w:t>
      </w:r>
      <w:r w:rsidR="00DD312F">
        <w:t>.</w:t>
      </w:r>
    </w:p>
    <w:p w14:paraId="785FCD20" w14:textId="443E360D" w:rsidR="008A0D18" w:rsidRPr="003226E9" w:rsidRDefault="008A0D18" w:rsidP="008A0D18">
      <w:r>
        <w:lastRenderedPageBreak/>
        <w:t xml:space="preserve">As part of the costing submission, a number of records with negative costs in nursing, medical and pharmacy line items across all LHDs were identified by IHACPA. NSW identified that these related to salary packaging arrangements </w:t>
      </w:r>
      <w:r w:rsidR="002573C8">
        <w:t xml:space="preserve">that </w:t>
      </w:r>
      <w:r>
        <w:t xml:space="preserve">were incorrectly allocated to the wrong line item. NSW </w:t>
      </w:r>
      <w:r w:rsidRPr="003226E9">
        <w:t>will be modifying the treatment of these arrangements for 2024-25’s costing process.</w:t>
      </w:r>
    </w:p>
    <w:p w14:paraId="69F5A4DF" w14:textId="50D035FF" w:rsidR="00206CD5" w:rsidRPr="00AD1F32" w:rsidRDefault="008A0D18" w:rsidP="003060BB">
      <w:pPr>
        <w:pStyle w:val="Heading4"/>
        <w:rPr>
          <w:color w:val="484B5D" w:themeColor="accent3"/>
        </w:rPr>
      </w:pPr>
      <w:r w:rsidRPr="00AD1F32">
        <w:rPr>
          <w:color w:val="484B5D" w:themeColor="accent3"/>
        </w:rPr>
        <w:t>NSW structural arrangements and inclusion in costing outputs</w:t>
      </w:r>
    </w:p>
    <w:p w14:paraId="1BFC7C0B" w14:textId="4117FA66" w:rsidR="00AD68ED" w:rsidRPr="003226E9" w:rsidRDefault="00AD68ED" w:rsidP="00AD68ED">
      <w:r w:rsidRPr="003226E9">
        <w:t xml:space="preserve">NSW has shared services arrangements for </w:t>
      </w:r>
      <w:r w:rsidR="00CA3B90" w:rsidRPr="003226E9">
        <w:t>several</w:t>
      </w:r>
      <w:r w:rsidRPr="003226E9">
        <w:t xml:space="preserve"> clinical and corporate expenses:</w:t>
      </w:r>
    </w:p>
    <w:p w14:paraId="402F6DCA" w14:textId="64BCC9F9" w:rsidR="00AD68ED" w:rsidRPr="003226E9" w:rsidRDefault="00AD68ED" w:rsidP="006044E0">
      <w:pPr>
        <w:pStyle w:val="ListParagraph"/>
        <w:numPr>
          <w:ilvl w:val="0"/>
          <w:numId w:val="6"/>
        </w:numPr>
      </w:pPr>
      <w:r w:rsidRPr="003226E9">
        <w:t xml:space="preserve">Healthshare NSW </w:t>
      </w:r>
      <w:r w:rsidR="00D6446F" w:rsidRPr="003226E9">
        <w:t>provides</w:t>
      </w:r>
      <w:r w:rsidRPr="003226E9">
        <w:t xml:space="preserve"> linen, food, transport, procurement, cleaning, finance, payroll</w:t>
      </w:r>
      <w:r w:rsidR="00BF4F97" w:rsidRPr="003226E9">
        <w:t>,</w:t>
      </w:r>
      <w:r w:rsidRPr="003226E9">
        <w:t xml:space="preserve"> and operational support services.</w:t>
      </w:r>
    </w:p>
    <w:p w14:paraId="7693B645" w14:textId="35968D44" w:rsidR="00AD68ED" w:rsidRPr="003226E9" w:rsidRDefault="00AD68ED" w:rsidP="006044E0">
      <w:pPr>
        <w:pStyle w:val="ListParagraph"/>
        <w:numPr>
          <w:ilvl w:val="0"/>
          <w:numId w:val="6"/>
        </w:numPr>
      </w:pPr>
      <w:r w:rsidRPr="003226E9">
        <w:t>eHealth provide</w:t>
      </w:r>
      <w:r w:rsidR="00BF4F97" w:rsidRPr="003226E9">
        <w:t>s</w:t>
      </w:r>
      <w:r w:rsidRPr="003226E9">
        <w:t xml:space="preserve"> information and communications technology (ICT) services. </w:t>
      </w:r>
    </w:p>
    <w:p w14:paraId="1BC477BE" w14:textId="52A5FECA" w:rsidR="00AD68ED" w:rsidRPr="005D1D70" w:rsidRDefault="00AD68ED" w:rsidP="006044E0">
      <w:pPr>
        <w:pStyle w:val="ListParagraph"/>
        <w:numPr>
          <w:ilvl w:val="0"/>
          <w:numId w:val="6"/>
        </w:numPr>
      </w:pPr>
      <w:r w:rsidRPr="003226E9">
        <w:t>NSW Pathology provide</w:t>
      </w:r>
      <w:r w:rsidR="00BF4F97" w:rsidRPr="003226E9">
        <w:t>s</w:t>
      </w:r>
      <w:r w:rsidRPr="003226E9">
        <w:t xml:space="preserve"> </w:t>
      </w:r>
      <w:r w:rsidRPr="005D1D70">
        <w:t>statewide pathology services.</w:t>
      </w:r>
    </w:p>
    <w:p w14:paraId="59D872FA" w14:textId="50192E94" w:rsidR="00DE70F6" w:rsidRDefault="00AD68ED" w:rsidP="00DB37CB">
      <w:r w:rsidRPr="005D1D70">
        <w:t xml:space="preserve">These organisations charge </w:t>
      </w:r>
      <w:r>
        <w:t>LHD</w:t>
      </w:r>
      <w:r w:rsidRPr="005D1D70">
        <w:t xml:space="preserve">s monthly via an intra-health invoice for services provided using an agreed rate card for the services delivered. The costs allocated to </w:t>
      </w:r>
      <w:r>
        <w:t>LHD</w:t>
      </w:r>
      <w:r w:rsidRPr="005D1D70">
        <w:t xml:space="preserve">s capture the operational costs of the relevant services and a share of the corporate or administrative costs incurred by the shared service function to manage and oversee the department. </w:t>
      </w:r>
      <w:r w:rsidR="00DE70F6" w:rsidRPr="005D1D70">
        <w:t xml:space="preserve">For NSW Pathology, a block charge to cover research and administrative costs </w:t>
      </w:r>
      <w:r w:rsidR="003707FF">
        <w:t>is</w:t>
      </w:r>
      <w:r w:rsidR="00DE70F6" w:rsidRPr="005D1D70">
        <w:t xml:space="preserve"> </w:t>
      </w:r>
      <w:r w:rsidR="00BA3A39">
        <w:t>included in the monthly charge to LHDs/SHNs.</w:t>
      </w:r>
    </w:p>
    <w:p w14:paraId="5B328578" w14:textId="6AB3E1FC" w:rsidR="00AD68ED" w:rsidRPr="005D1D70" w:rsidRDefault="008907C5" w:rsidP="00DB37CB">
      <w:r>
        <w:t xml:space="preserve">Additionally, </w:t>
      </w:r>
      <w:r w:rsidR="00BA3A39">
        <w:t>for Healthshare NSW and eHealth</w:t>
      </w:r>
      <w:r>
        <w:t xml:space="preserve">, </w:t>
      </w:r>
      <w:r w:rsidR="00DE70F6">
        <w:t>s</w:t>
      </w:r>
      <w:r w:rsidR="00AD68ED" w:rsidRPr="005D1D70">
        <w:t>ome special project</w:t>
      </w:r>
      <w:r>
        <w:t>-related expenses</w:t>
      </w:r>
      <w:r w:rsidR="00C9388E">
        <w:t xml:space="preserve"> </w:t>
      </w:r>
      <w:r w:rsidR="00DE70F6" w:rsidRPr="005D1D70">
        <w:t xml:space="preserve">that relate to specific </w:t>
      </w:r>
      <w:r w:rsidR="00DE70F6">
        <w:t>LHD</w:t>
      </w:r>
      <w:r w:rsidR="00DE70F6" w:rsidRPr="005D1D70">
        <w:t xml:space="preserve">s </w:t>
      </w:r>
      <w:r w:rsidR="00C9388E">
        <w:t xml:space="preserve">are </w:t>
      </w:r>
      <w:r w:rsidR="00DE70F6">
        <w:t>not invoiced monthly and are instead reconciled at year-end.</w:t>
      </w:r>
      <w:r w:rsidR="00C9388E">
        <w:t xml:space="preserve"> </w:t>
      </w:r>
      <w:r w:rsidR="00AD68ED" w:rsidRPr="005D1D70">
        <w:t xml:space="preserve">These costs will not be included in </w:t>
      </w:r>
      <w:r w:rsidR="00AD68ED">
        <w:t>LHD</w:t>
      </w:r>
      <w:r w:rsidR="00AD68ED" w:rsidRPr="005D1D70">
        <w:t>s</w:t>
      </w:r>
      <w:r w:rsidR="00BA3A39">
        <w:t>’</w:t>
      </w:r>
      <w:r w:rsidR="00AD68ED" w:rsidRPr="005D1D70">
        <w:t xml:space="preserve"> </w:t>
      </w:r>
      <w:r w:rsidR="00D36C29">
        <w:t>general ledger (</w:t>
      </w:r>
      <w:r w:rsidR="00AD68ED" w:rsidRPr="005D1D70">
        <w:t>GL</w:t>
      </w:r>
      <w:r w:rsidR="00D36C29">
        <w:t>)</w:t>
      </w:r>
      <w:r w:rsidR="00AD68ED" w:rsidRPr="005D1D70">
        <w:t xml:space="preserve"> but instead get added through the costing process and can be seen as a reconciliation item below. </w:t>
      </w:r>
    </w:p>
    <w:p w14:paraId="3C373771" w14:textId="77777777" w:rsidR="00AD68ED" w:rsidRPr="005D1D70" w:rsidRDefault="00AD68ED" w:rsidP="00AD68ED">
      <w:r w:rsidRPr="005D1D70">
        <w:t xml:space="preserve">In addition to the list above, the NSW MoH pass on some costs to </w:t>
      </w:r>
      <w:r>
        <w:t>LHD</w:t>
      </w:r>
      <w:r w:rsidRPr="005D1D70">
        <w:t>s, including:</w:t>
      </w:r>
    </w:p>
    <w:p w14:paraId="2D56C4A4" w14:textId="6FA61ACA" w:rsidR="00AD68ED" w:rsidRPr="005D1D70" w:rsidRDefault="00AD68ED" w:rsidP="006044E0">
      <w:pPr>
        <w:pStyle w:val="ListParagraph"/>
        <w:numPr>
          <w:ilvl w:val="0"/>
          <w:numId w:val="22"/>
        </w:numPr>
      </w:pPr>
      <w:r w:rsidRPr="005D1D70">
        <w:t xml:space="preserve">The management </w:t>
      </w:r>
      <w:r w:rsidR="00BA3A39">
        <w:t xml:space="preserve">and cost </w:t>
      </w:r>
      <w:r w:rsidRPr="005D1D70">
        <w:t xml:space="preserve">of medical indemnity insurance is </w:t>
      </w:r>
      <w:r w:rsidR="00BA3A39">
        <w:t>managed centrally by NSW M</w:t>
      </w:r>
      <w:r w:rsidR="00D36C29">
        <w:t>o</w:t>
      </w:r>
      <w:r w:rsidR="00BA3A39">
        <w:t>H and allocated to LHDs/SHNs in the DNR by transferring the cost from NSW M</w:t>
      </w:r>
      <w:r w:rsidR="00D36C29">
        <w:t>o</w:t>
      </w:r>
      <w:r w:rsidR="00BA3A39">
        <w:t>H costing ledger to LHDs/SHNs costing ledgers</w:t>
      </w:r>
      <w:r w:rsidRPr="005D1D70">
        <w:t xml:space="preserve">. The charges only cover the insurance </w:t>
      </w:r>
      <w:r w:rsidR="00892449">
        <w:t>premiums,</w:t>
      </w:r>
      <w:r w:rsidRPr="005D1D70">
        <w:t xml:space="preserve"> not the </w:t>
      </w:r>
      <w:r w:rsidR="00892449">
        <w:t>administrative</w:t>
      </w:r>
      <w:r w:rsidRPr="005D1D70">
        <w:t xml:space="preserve"> costs of the team providing the service.</w:t>
      </w:r>
    </w:p>
    <w:p w14:paraId="74C29234" w14:textId="77777777" w:rsidR="00AD68ED" w:rsidRPr="005D1D70" w:rsidRDefault="00AD68ED" w:rsidP="00AD68ED">
      <w:r w:rsidRPr="005D1D70">
        <w:t xml:space="preserve">There are some other services provided by the NSW MoH where no costs are passed onto </w:t>
      </w:r>
      <w:r>
        <w:t>LHD</w:t>
      </w:r>
      <w:r w:rsidRPr="005D1D70">
        <w:t>s or allocated to patients in the costing process. These include:</w:t>
      </w:r>
    </w:p>
    <w:p w14:paraId="676FD1CB" w14:textId="59C524DF" w:rsidR="00AD68ED" w:rsidRPr="003226E9" w:rsidRDefault="00AD68ED" w:rsidP="006044E0">
      <w:pPr>
        <w:pStyle w:val="ListParagraph"/>
        <w:numPr>
          <w:ilvl w:val="0"/>
          <w:numId w:val="7"/>
        </w:numPr>
      </w:pPr>
      <w:r w:rsidRPr="005D1D70">
        <w:t xml:space="preserve">The services provided by the </w:t>
      </w:r>
      <w:r w:rsidR="00E706AE">
        <w:t>CCDCS</w:t>
      </w:r>
      <w:r w:rsidR="00E706AE" w:rsidRPr="005D1D70" w:rsidDel="00E706AE">
        <w:t xml:space="preserve"> </w:t>
      </w:r>
      <w:r w:rsidRPr="005D1D70">
        <w:t xml:space="preserve">team (including updating costing standards, </w:t>
      </w:r>
      <w:r w:rsidRPr="003226E9">
        <w:t>receiving DNR costed submissions and collating these for the NHCDC submissions etc</w:t>
      </w:r>
      <w:r w:rsidR="004D0CA5" w:rsidRPr="003226E9">
        <w:t>.</w:t>
      </w:r>
      <w:r w:rsidRPr="003226E9">
        <w:t>).</w:t>
      </w:r>
    </w:p>
    <w:p w14:paraId="1DF2E8D9" w14:textId="0ADB9AB0" w:rsidR="00EA11B2" w:rsidRPr="003226E9" w:rsidRDefault="00AD68ED" w:rsidP="006044E0">
      <w:pPr>
        <w:pStyle w:val="ListParagraph"/>
        <w:numPr>
          <w:ilvl w:val="0"/>
          <w:numId w:val="7"/>
        </w:numPr>
      </w:pPr>
      <w:r w:rsidRPr="003226E9">
        <w:t>Services relating to the collation and reporting of activity records.</w:t>
      </w:r>
    </w:p>
    <w:p w14:paraId="49CB712B" w14:textId="140BE336" w:rsidR="008A0D18" w:rsidRPr="003226E9" w:rsidRDefault="00AD68ED" w:rsidP="006044E0">
      <w:pPr>
        <w:pStyle w:val="ListParagraph"/>
        <w:numPr>
          <w:ilvl w:val="0"/>
          <w:numId w:val="7"/>
        </w:numPr>
      </w:pPr>
      <w:r w:rsidRPr="003226E9">
        <w:t xml:space="preserve">Costs of the Financial and Corporate Services team around the </w:t>
      </w:r>
      <w:r w:rsidR="00A2517D" w:rsidRPr="003226E9">
        <w:t>GL</w:t>
      </w:r>
      <w:r w:rsidRPr="003226E9">
        <w:t xml:space="preserve"> management.</w:t>
      </w:r>
    </w:p>
    <w:p w14:paraId="7017583E" w14:textId="1BC89F3C" w:rsidR="00EA11B2" w:rsidRPr="00AD1F32" w:rsidRDefault="00EA11B2" w:rsidP="003060BB">
      <w:pPr>
        <w:pStyle w:val="Heading4"/>
        <w:rPr>
          <w:color w:val="484B5D" w:themeColor="accent3"/>
        </w:rPr>
      </w:pPr>
      <w:r w:rsidRPr="00AD1F32">
        <w:rPr>
          <w:color w:val="484B5D" w:themeColor="accent3"/>
        </w:rPr>
        <w:t>Contracted care costs included in costed records</w:t>
      </w:r>
    </w:p>
    <w:p w14:paraId="53FF5AB2" w14:textId="5E2AC9DD" w:rsidR="00904C17" w:rsidRDefault="00904C17" w:rsidP="00AD68ED">
      <w:r w:rsidRPr="003226E9">
        <w:t xml:space="preserve">There are a number of contracted care arrangements within NSW, with 39,670 episodes (across all streams) reported costs of $236.30 million in NSW in 2023-24. These arrangements were used extensively post-COVID to reduce the surgical wait lists. This was costed at a service encounter level at the agreed price with individual </w:t>
      </w:r>
      <w:r w:rsidRPr="005D1D70">
        <w:t xml:space="preserve">private hospitals, with the costs reported under the </w:t>
      </w:r>
      <w:r w:rsidR="00554E69" w:rsidRPr="00843FAD">
        <w:rPr>
          <w:i/>
        </w:rPr>
        <w:t>Goods</w:t>
      </w:r>
      <w:r w:rsidR="00554E69">
        <w:rPr>
          <w:i/>
        </w:rPr>
        <w:t> </w:t>
      </w:r>
      <w:r w:rsidR="005002A2" w:rsidRPr="00843FAD">
        <w:rPr>
          <w:i/>
        </w:rPr>
        <w:t>&amp;</w:t>
      </w:r>
      <w:r w:rsidRPr="00843FAD">
        <w:rPr>
          <w:i/>
        </w:rPr>
        <w:t xml:space="preserve"> Services</w:t>
      </w:r>
      <w:r w:rsidRPr="005D1D70">
        <w:t xml:space="preserve"> line item. The average cost per GWAU for contracted activity in NSW was $5,467, 12.8% lower than non-contracted car</w:t>
      </w:r>
      <w:r>
        <w:t>e.</w:t>
      </w:r>
    </w:p>
    <w:p w14:paraId="5BD70E30" w14:textId="23186F3B" w:rsidR="00BF64E9" w:rsidRDefault="00BF64E9" w:rsidP="00AD68ED">
      <w:r>
        <w:t xml:space="preserve">NSW does not include Northern Beach Hospital, a </w:t>
      </w:r>
      <w:r w:rsidR="00D36C29">
        <w:t>Public-Private Partnership (</w:t>
      </w:r>
      <w:r>
        <w:t>PPP</w:t>
      </w:r>
      <w:r w:rsidR="00D36C29">
        <w:t>)</w:t>
      </w:r>
      <w:r>
        <w:t>, in costing submissions due to patient level data being unavailable.</w:t>
      </w:r>
    </w:p>
    <w:p w14:paraId="75F916E7" w14:textId="2C04B900" w:rsidR="00904C17" w:rsidRPr="00AD1F32" w:rsidRDefault="0090328D" w:rsidP="003060BB">
      <w:pPr>
        <w:pStyle w:val="Heading4"/>
        <w:rPr>
          <w:color w:val="484B5D" w:themeColor="accent3"/>
        </w:rPr>
      </w:pPr>
      <w:r w:rsidRPr="00AD1F32">
        <w:rPr>
          <w:noProof/>
          <w:color w:val="484B5D" w:themeColor="accent3"/>
        </w:rPr>
        <w:lastRenderedPageBreak/>
        <mc:AlternateContent>
          <mc:Choice Requires="wps">
            <w:drawing>
              <wp:anchor distT="45720" distB="45720" distL="114300" distR="114300" simplePos="0" relativeHeight="251658244" behindDoc="0" locked="0" layoutInCell="1" allowOverlap="1" wp14:anchorId="7B056393" wp14:editId="496CC04A">
                <wp:simplePos x="0" y="0"/>
                <wp:positionH relativeFrom="margin">
                  <wp:align>left</wp:align>
                </wp:positionH>
                <wp:positionV relativeFrom="paragraph">
                  <wp:posOffset>15</wp:posOffset>
                </wp:positionV>
                <wp:extent cx="5715000" cy="1447800"/>
                <wp:effectExtent l="0" t="0" r="0" b="0"/>
                <wp:wrapTopAndBottom/>
                <wp:docPr id="670137687" name="Text Box 2" descr="P1045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5F2E7D3" w14:textId="16D83E4C" w:rsidR="00DB37CB" w:rsidRPr="001729F2" w:rsidRDefault="00DB37CB" w:rsidP="00DB37CB">
                            <w:pPr>
                              <w:spacing w:after="120"/>
                              <w:rPr>
                                <w:rFonts w:ascii="Avenir Next LT Pro Demi" w:hAnsi="Avenir Next LT Pro Demi"/>
                                <w:b/>
                                <w:bCs/>
                                <w:color w:val="FFFFFF" w:themeColor="background1"/>
                              </w:rPr>
                            </w:pPr>
                            <w:r w:rsidRPr="001729F2">
                              <w:rPr>
                                <w:rFonts w:ascii="Avenir Next LT Pro Demi" w:hAnsi="Avenir Next LT Pro Demi"/>
                                <w:b/>
                                <w:bCs/>
                                <w:color w:val="FFFFFF" w:themeColor="background1"/>
                              </w:rPr>
                              <w:t>Comparability of NSW’s costing outputs to other jurisdictions:</w:t>
                            </w:r>
                          </w:p>
                          <w:p w14:paraId="1E549906" w14:textId="40456D91" w:rsidR="00A67BBA" w:rsidRPr="001729F2" w:rsidRDefault="00A67BBA" w:rsidP="00A67BBA">
                            <w:pPr>
                              <w:pStyle w:val="Tablebulletpoint"/>
                              <w:rPr>
                                <w:color w:val="FFFFFF" w:themeColor="background1"/>
                              </w:rPr>
                            </w:pPr>
                            <w:r w:rsidRPr="001729F2">
                              <w:rPr>
                                <w:color w:val="FFFFFF" w:themeColor="background1"/>
                              </w:rPr>
                              <w:t>NSW does not submit costs within the ‘</w:t>
                            </w:r>
                            <w:r w:rsidR="003A7A96">
                              <w:rPr>
                                <w:color w:val="FFFFFF" w:themeColor="background1"/>
                              </w:rPr>
                              <w:t>E</w:t>
                            </w:r>
                            <w:r w:rsidRPr="001729F2">
                              <w:rPr>
                                <w:color w:val="FFFFFF" w:themeColor="background1"/>
                              </w:rPr>
                              <w:t xml:space="preserve">xclude’ </w:t>
                            </w:r>
                            <w:r w:rsidRPr="001729F2" w:rsidDel="00817593">
                              <w:rPr>
                                <w:color w:val="FFFFFF" w:themeColor="background1"/>
                              </w:rPr>
                              <w:t>c</w:t>
                            </w:r>
                            <w:r w:rsidRPr="001729F2">
                              <w:rPr>
                                <w:color w:val="FFFFFF" w:themeColor="background1"/>
                              </w:rPr>
                              <w:t xml:space="preserve">ost </w:t>
                            </w:r>
                            <w:r w:rsidRPr="001729F2" w:rsidDel="00817593">
                              <w:rPr>
                                <w:color w:val="FFFFFF" w:themeColor="background1"/>
                              </w:rPr>
                              <w:t>bucket</w:t>
                            </w:r>
                            <w:r w:rsidRPr="001729F2">
                              <w:rPr>
                                <w:color w:val="FFFFFF" w:themeColor="background1"/>
                              </w:rPr>
                              <w:t>.</w:t>
                            </w:r>
                          </w:p>
                          <w:p w14:paraId="2E7F3C98" w14:textId="742D110F" w:rsidR="00A67BBA" w:rsidRPr="001729F2" w:rsidRDefault="00A67BBA" w:rsidP="00A67BBA">
                            <w:pPr>
                              <w:pStyle w:val="Tablebulletpoint"/>
                              <w:rPr>
                                <w:color w:val="FFFFFF" w:themeColor="background1"/>
                              </w:rPr>
                            </w:pPr>
                            <w:r w:rsidRPr="001729F2">
                              <w:rPr>
                                <w:color w:val="FFFFFF" w:themeColor="background1"/>
                              </w:rPr>
                              <w:t>NSW removes $808 million for Community Mental Health submission from LHDs and submit</w:t>
                            </w:r>
                            <w:r w:rsidR="00A468F4">
                              <w:rPr>
                                <w:color w:val="FFFFFF" w:themeColor="background1"/>
                              </w:rPr>
                              <w:t>s</w:t>
                            </w:r>
                            <w:r w:rsidRPr="001729F2">
                              <w:rPr>
                                <w:color w:val="FFFFFF" w:themeColor="background1"/>
                              </w:rPr>
                              <w:t xml:space="preserve"> them under a different LHN ID “LHN199” – this will impact comparability when benchmarking to peers at LHN level.</w:t>
                            </w:r>
                          </w:p>
                          <w:p w14:paraId="39DFA861" w14:textId="47568ED8" w:rsidR="00DB37CB" w:rsidRDefault="00A67BBA" w:rsidP="00A67BBA">
                            <w:pPr>
                              <w:pStyle w:val="Tablebulletpoint"/>
                              <w:rPr>
                                <w:color w:val="FFFFFF" w:themeColor="background1"/>
                              </w:rPr>
                            </w:pPr>
                            <w:r w:rsidRPr="001729F2">
                              <w:rPr>
                                <w:color w:val="FFFFFF" w:themeColor="background1"/>
                              </w:rPr>
                              <w:t xml:space="preserve">All NSW LHDs except Southern and Murrumbidgee LHDs have pharmacy feeder systems. These LHDs remove s100 </w:t>
                            </w:r>
                            <w:r w:rsidRPr="001729F2" w:rsidDel="00A34A52">
                              <w:rPr>
                                <w:color w:val="FFFFFF" w:themeColor="background1"/>
                              </w:rPr>
                              <w:t>high</w:t>
                            </w:r>
                            <w:r w:rsidRPr="001729F2">
                              <w:rPr>
                                <w:color w:val="FFFFFF" w:themeColor="background1"/>
                              </w:rPr>
                              <w:t>-cost drug costs and spread other drugs costs across all episodes.</w:t>
                            </w:r>
                          </w:p>
                          <w:p w14:paraId="46E203BA" w14:textId="505227F2" w:rsidR="00DB37CB" w:rsidRPr="001729F2" w:rsidRDefault="00464F13" w:rsidP="00A67BBA">
                            <w:pPr>
                              <w:pStyle w:val="Tablebulletpoint"/>
                              <w:rPr>
                                <w:color w:val="FFFFFF" w:themeColor="background1"/>
                              </w:rPr>
                            </w:pPr>
                            <w:r>
                              <w:rPr>
                                <w:color w:val="FFFFFF" w:themeColor="background1"/>
                              </w:rPr>
                              <w:t>NSW</w:t>
                            </w:r>
                            <w:r w:rsidRPr="001729F2">
                              <w:rPr>
                                <w:color w:val="FFFFFF" w:themeColor="background1"/>
                              </w:rPr>
                              <w:t xml:space="preserve"> is one of </w:t>
                            </w:r>
                            <w:r w:rsidR="00B95642">
                              <w:rPr>
                                <w:color w:val="FFFFFF" w:themeColor="background1"/>
                              </w:rPr>
                              <w:t>2</w:t>
                            </w:r>
                            <w:r w:rsidRPr="001729F2">
                              <w:rPr>
                                <w:color w:val="FFFFFF" w:themeColor="background1"/>
                              </w:rPr>
                              <w:t xml:space="preserve"> states and territories that are not signatories to the Pharmaceutical Reform Agreements and therefore does not have the same arrangements relating to PBS subsidised drugs. This may explain higher costs in the </w:t>
                            </w:r>
                            <w:r w:rsidRPr="00B95642">
                              <w:rPr>
                                <w:i/>
                                <w:color w:val="FFFFFF" w:themeColor="background1"/>
                              </w:rPr>
                              <w:t>Pharmacy</w:t>
                            </w:r>
                            <w:r w:rsidRPr="001729F2">
                              <w:rPr>
                                <w:color w:val="FFFFFF" w:themeColor="background1"/>
                              </w:rPr>
                              <w:t xml:space="preserve"> </w:t>
                            </w:r>
                            <w:r w:rsidR="00B95642">
                              <w:rPr>
                                <w:color w:val="FFFFFF" w:themeColor="background1"/>
                              </w:rPr>
                              <w:t xml:space="preserve">NHCDC </w:t>
                            </w:r>
                            <w:r w:rsidRPr="001729F2">
                              <w:rPr>
                                <w:color w:val="FFFFFF" w:themeColor="background1"/>
                              </w:rPr>
                              <w:t>Cost Centre as they do not receive the rebate.</w:t>
                            </w:r>
                          </w:p>
                        </w:txbxContent>
                      </wps:txbx>
                      <wps:bodyPr rot="0" vert="horz" wrap="square" lIns="180000" tIns="180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7B056393" id="_x0000_s1102" type="#_x0000_t202" alt="P1045TB18#y1" style="position:absolute;left:0;text-align:left;margin-left:0;margin-top:0;width:450pt;height:114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" fillcolor="#343a5e [2405]" stroked="f" strokeweight="1pt">
                <v:textbox style="mso-fit-shape-to-text:t" inset="5mm,5mm,5mm,5mm">
                  <w:txbxContent>
                    <w:p w14:paraId="45F2E7D3" w14:textId="16D83E4C" w:rsidR="00DB37CB" w:rsidRPr="001729F2" w:rsidRDefault="00DB37CB" w:rsidP="00DB37CB">
                      <w:pPr>
                        <w:spacing w:after="120"/>
                        <w:rPr>
                          <w:rFonts w:ascii="Avenir Next LT Pro Demi" w:hAnsi="Avenir Next LT Pro Demi"/>
                          <w:b/>
                          <w:bCs/>
                          <w:color w:val="FFFFFF" w:themeColor="background1"/>
                        </w:rPr>
                      </w:pPr>
                      <w:r w:rsidRPr="001729F2">
                        <w:rPr>
                          <w:rFonts w:ascii="Avenir Next LT Pro Demi" w:hAnsi="Avenir Next LT Pro Demi"/>
                          <w:b/>
                          <w:bCs/>
                          <w:color w:val="FFFFFF" w:themeColor="background1"/>
                        </w:rPr>
                        <w:t>Comparability of NSW’s costing outputs to other jurisdictions:</w:t>
                      </w:r>
                    </w:p>
                    <w:p w14:paraId="1E549906" w14:textId="40456D91" w:rsidR="00A67BBA" w:rsidRPr="001729F2" w:rsidRDefault="00A67BBA" w:rsidP="00A67BBA">
                      <w:pPr>
                        <w:pStyle w:val="Tablebulletpoint"/>
                        <w:rPr>
                          <w:color w:val="FFFFFF" w:themeColor="background1"/>
                        </w:rPr>
                      </w:pPr>
                      <w:r w:rsidRPr="001729F2">
                        <w:rPr>
                          <w:color w:val="FFFFFF" w:themeColor="background1"/>
                        </w:rPr>
                        <w:t>NSW does not submit costs within the ‘</w:t>
                      </w:r>
                      <w:r w:rsidR="003A7A96">
                        <w:rPr>
                          <w:color w:val="FFFFFF" w:themeColor="background1"/>
                        </w:rPr>
                        <w:t>E</w:t>
                      </w:r>
                      <w:r w:rsidRPr="001729F2">
                        <w:rPr>
                          <w:color w:val="FFFFFF" w:themeColor="background1"/>
                        </w:rPr>
                        <w:t xml:space="preserve">xclude’ </w:t>
                      </w:r>
                      <w:r w:rsidRPr="001729F2" w:rsidDel="00817593">
                        <w:rPr>
                          <w:color w:val="FFFFFF" w:themeColor="background1"/>
                        </w:rPr>
                        <w:t>c</w:t>
                      </w:r>
                      <w:r w:rsidRPr="001729F2">
                        <w:rPr>
                          <w:color w:val="FFFFFF" w:themeColor="background1"/>
                        </w:rPr>
                        <w:t xml:space="preserve">ost </w:t>
                      </w:r>
                      <w:r w:rsidRPr="001729F2" w:rsidDel="00817593">
                        <w:rPr>
                          <w:color w:val="FFFFFF" w:themeColor="background1"/>
                        </w:rPr>
                        <w:t>bucket</w:t>
                      </w:r>
                      <w:r w:rsidRPr="001729F2">
                        <w:rPr>
                          <w:color w:val="FFFFFF" w:themeColor="background1"/>
                        </w:rPr>
                        <w:t>.</w:t>
                      </w:r>
                    </w:p>
                    <w:p w14:paraId="2E7F3C98" w14:textId="742D110F" w:rsidR="00A67BBA" w:rsidRPr="001729F2" w:rsidRDefault="00A67BBA" w:rsidP="00A67BBA">
                      <w:pPr>
                        <w:pStyle w:val="Tablebulletpoint"/>
                        <w:rPr>
                          <w:color w:val="FFFFFF" w:themeColor="background1"/>
                        </w:rPr>
                      </w:pPr>
                      <w:r w:rsidRPr="001729F2">
                        <w:rPr>
                          <w:color w:val="FFFFFF" w:themeColor="background1"/>
                        </w:rPr>
                        <w:t>NSW removes $808 million for Community Mental Health submission from LHDs and submit</w:t>
                      </w:r>
                      <w:r w:rsidR="00A468F4">
                        <w:rPr>
                          <w:color w:val="FFFFFF" w:themeColor="background1"/>
                        </w:rPr>
                        <w:t>s</w:t>
                      </w:r>
                      <w:r w:rsidRPr="001729F2">
                        <w:rPr>
                          <w:color w:val="FFFFFF" w:themeColor="background1"/>
                        </w:rPr>
                        <w:t xml:space="preserve"> them under a different LHN ID “LHN199” – this will impact comparability when benchmarking to peers at LHN level.</w:t>
                      </w:r>
                    </w:p>
                    <w:p w14:paraId="39DFA861" w14:textId="47568ED8" w:rsidR="00DB37CB" w:rsidRDefault="00A67BBA" w:rsidP="00A67BBA">
                      <w:pPr>
                        <w:pStyle w:val="Tablebulletpoint"/>
                        <w:rPr>
                          <w:color w:val="FFFFFF" w:themeColor="background1"/>
                        </w:rPr>
                      </w:pPr>
                      <w:r w:rsidRPr="001729F2">
                        <w:rPr>
                          <w:color w:val="FFFFFF" w:themeColor="background1"/>
                        </w:rPr>
                        <w:t xml:space="preserve">All NSW LHDs except Southern and Murrumbidgee LHDs have pharmacy feeder systems. These LHDs remove s100 </w:t>
                      </w:r>
                      <w:r w:rsidRPr="001729F2" w:rsidDel="00A34A52">
                        <w:rPr>
                          <w:color w:val="FFFFFF" w:themeColor="background1"/>
                        </w:rPr>
                        <w:t>high</w:t>
                      </w:r>
                      <w:r w:rsidRPr="001729F2">
                        <w:rPr>
                          <w:color w:val="FFFFFF" w:themeColor="background1"/>
                        </w:rPr>
                        <w:t>-cost drug costs and spread other drugs costs across all episodes.</w:t>
                      </w:r>
                    </w:p>
                    <w:p w14:paraId="46E203BA" w14:textId="505227F2" w:rsidR="00DB37CB" w:rsidRPr="001729F2" w:rsidRDefault="00464F13" w:rsidP="00A67BBA">
                      <w:pPr>
                        <w:pStyle w:val="Tablebulletpoint"/>
                        <w:rPr>
                          <w:color w:val="FFFFFF" w:themeColor="background1"/>
                        </w:rPr>
                      </w:pPr>
                      <w:r>
                        <w:rPr>
                          <w:color w:val="FFFFFF" w:themeColor="background1"/>
                        </w:rPr>
                        <w:t>NSW</w:t>
                      </w:r>
                      <w:r w:rsidRPr="001729F2">
                        <w:rPr>
                          <w:color w:val="FFFFFF" w:themeColor="background1"/>
                        </w:rPr>
                        <w:t xml:space="preserve"> is one of </w:t>
                      </w:r>
                      <w:r w:rsidR="00B95642">
                        <w:rPr>
                          <w:color w:val="FFFFFF" w:themeColor="background1"/>
                        </w:rPr>
                        <w:t>2</w:t>
                      </w:r>
                      <w:r w:rsidRPr="001729F2">
                        <w:rPr>
                          <w:color w:val="FFFFFF" w:themeColor="background1"/>
                        </w:rPr>
                        <w:t xml:space="preserve"> states and territories that are not signatories to the Pharmaceutical Reform Agreements and therefore does not have the same arrangements relating to PBS subsidised drugs. This may explain higher costs in the </w:t>
                      </w:r>
                      <w:r w:rsidRPr="00B95642">
                        <w:rPr>
                          <w:i/>
                          <w:color w:val="FFFFFF" w:themeColor="background1"/>
                        </w:rPr>
                        <w:t>Pharmacy</w:t>
                      </w:r>
                      <w:r w:rsidRPr="001729F2">
                        <w:rPr>
                          <w:color w:val="FFFFFF" w:themeColor="background1"/>
                        </w:rPr>
                        <w:t xml:space="preserve"> </w:t>
                      </w:r>
                      <w:r w:rsidR="00B95642">
                        <w:rPr>
                          <w:color w:val="FFFFFF" w:themeColor="background1"/>
                        </w:rPr>
                        <w:t xml:space="preserve">NHCDC </w:t>
                      </w:r>
                      <w:r w:rsidRPr="001729F2">
                        <w:rPr>
                          <w:color w:val="FFFFFF" w:themeColor="background1"/>
                        </w:rPr>
                        <w:t>Cost Centre as they do not receive the rebate.</w:t>
                      </w:r>
                    </w:p>
                  </w:txbxContent>
                </v:textbox>
                <w10:wrap type="topAndBottom" anchorx="margin"/>
              </v:shape>
            </w:pict>
          </mc:Fallback>
        </mc:AlternateContent>
      </w:r>
      <w:r w:rsidR="00904C17" w:rsidRPr="00AD1F32">
        <w:rPr>
          <w:color w:val="484B5D" w:themeColor="accent3"/>
        </w:rPr>
        <w:t>Corporate costs included in costed records</w:t>
      </w:r>
    </w:p>
    <w:p w14:paraId="17697C83" w14:textId="1E99BD8C" w:rsidR="00BB57FB" w:rsidRDefault="00502F75" w:rsidP="00FE3C18">
      <w:r w:rsidRPr="003226E9">
        <w:t>The AHPCS v4.2 provide guidance on the inclusion of corporate overhead expenses. Business Rule 3.1C.3.2 states that ‘</w:t>
      </w:r>
      <w:r w:rsidRPr="003226E9">
        <w:rPr>
          <w:b/>
          <w:bCs/>
          <w:i/>
          <w:iCs/>
        </w:rPr>
        <w:t xml:space="preserve">corporate overhead expenses should not be included for more than one level above the </w:t>
      </w:r>
      <w:r w:rsidRPr="005D1D70">
        <w:rPr>
          <w:b/>
          <w:bCs/>
          <w:i/>
          <w:iCs/>
        </w:rPr>
        <w:t xml:space="preserve">management of the hospital. Expenses related to the direct management of the LHN or corporate management are within scope.’ </w:t>
      </w:r>
      <w:r w:rsidRPr="005D1D70">
        <w:t xml:space="preserve">The table below shows how NSW </w:t>
      </w:r>
      <w:r>
        <w:t>LHD</w:t>
      </w:r>
      <w:r w:rsidRPr="005D1D70">
        <w:t>s</w:t>
      </w:r>
      <w:r>
        <w:t>, the NSW equivalent of an LHN,</w:t>
      </w:r>
      <w:r w:rsidRPr="005D1D70">
        <w:t xml:space="preserve"> are treating corporate costs and allocating them to patients in the costing process.</w:t>
      </w:r>
    </w:p>
    <w:p w14:paraId="27BFE855" w14:textId="6F767C3F" w:rsidR="00FE3C18" w:rsidRDefault="00FE3C18" w:rsidP="00FE3C18">
      <w:pPr>
        <w:pStyle w:val="Caption"/>
        <w:keepNext/>
      </w:pPr>
      <w:r>
        <w:t xml:space="preserve">Table </w:t>
      </w:r>
      <w:r>
        <w:fldChar w:fldCharType="begin"/>
      </w:r>
      <w:r>
        <w:instrText xml:space="preserve"> SEQ Table \* ARABIC </w:instrText>
      </w:r>
      <w:r>
        <w:fldChar w:fldCharType="separate"/>
      </w:r>
      <w:r w:rsidR="00CE6F96">
        <w:rPr>
          <w:noProof/>
        </w:rPr>
        <w:t>8</w:t>
      </w:r>
      <w:r>
        <w:fldChar w:fldCharType="end"/>
      </w:r>
      <w:r>
        <w:t xml:space="preserve">: </w:t>
      </w:r>
      <w:r w:rsidRPr="00822BC1">
        <w:t>NSW LHD treatment of corporate costs and patient allocation costing process</w:t>
      </w:r>
    </w:p>
    <w:tbl>
      <w:tblPr>
        <w:tblStyle w:val="ScyneTable"/>
        <w:tblW w:w="4967" w:type="pct"/>
        <w:tblInd w:w="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951"/>
        <w:gridCol w:w="2970"/>
        <w:gridCol w:w="1555"/>
        <w:gridCol w:w="1490"/>
      </w:tblGrid>
      <w:tr w:rsidR="003964D6" w:rsidRPr="00D422F0" w14:paraId="6E2CCF24" w14:textId="77777777" w:rsidTr="00265985">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646" w:type="pct"/>
            <w:tcBorders>
              <w:bottom w:val="single" w:sz="18" w:space="0" w:color="EFF0F7" w:themeColor="accent4" w:themeTint="33"/>
            </w:tcBorders>
            <w:shd w:val="clear" w:color="auto" w:fill="464E7E" w:themeFill="accent2"/>
            <w:vAlign w:val="center"/>
            <w:hideMark/>
          </w:tcPr>
          <w:p w14:paraId="24C9E754" w14:textId="77777777" w:rsidR="0090328D" w:rsidRPr="00D422F0" w:rsidRDefault="0090328D">
            <w:pPr>
              <w:pStyle w:val="TableNormalColumnHeading"/>
              <w:rPr>
                <w:rFonts w:asciiTheme="majorHAnsi" w:hAnsiTheme="majorHAnsi"/>
                <w:snapToGrid/>
                <w:sz w:val="20"/>
                <w:lang w:eastAsia="en-AU"/>
              </w:rPr>
            </w:pPr>
            <w:r w:rsidRPr="00D422F0">
              <w:rPr>
                <w:rFonts w:asciiTheme="majorHAnsi" w:hAnsiTheme="majorHAnsi"/>
                <w:sz w:val="20"/>
              </w:rPr>
              <w:t>Type of corporate cost</w:t>
            </w:r>
          </w:p>
        </w:tc>
        <w:tc>
          <w:tcPr>
            <w:tcW w:w="1656" w:type="pct"/>
            <w:tcBorders>
              <w:bottom w:val="single" w:sz="18" w:space="0" w:color="EFF0F7" w:themeColor="accent4" w:themeTint="33"/>
            </w:tcBorders>
            <w:shd w:val="clear" w:color="auto" w:fill="464E7E" w:themeFill="accent2"/>
            <w:vAlign w:val="center"/>
            <w:hideMark/>
          </w:tcPr>
          <w:p w14:paraId="70BC568E" w14:textId="3641231F" w:rsidR="0090328D" w:rsidRPr="00D422F0" w:rsidRDefault="0090328D">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 xml:space="preserve">Details of whether these are passed onto </w:t>
            </w:r>
            <w:r w:rsidR="00265985">
              <w:rPr>
                <w:rFonts w:asciiTheme="majorHAnsi" w:hAnsiTheme="majorHAnsi"/>
                <w:sz w:val="20"/>
              </w:rPr>
              <w:t>LHD</w:t>
            </w:r>
            <w:r w:rsidRPr="00D422F0">
              <w:rPr>
                <w:rFonts w:asciiTheme="majorHAnsi" w:hAnsiTheme="majorHAnsi"/>
                <w:sz w:val="20"/>
              </w:rPr>
              <w:t>s</w:t>
            </w:r>
          </w:p>
        </w:tc>
        <w:tc>
          <w:tcPr>
            <w:tcW w:w="867" w:type="pct"/>
            <w:tcBorders>
              <w:bottom w:val="single" w:sz="18" w:space="0" w:color="EFF0F7" w:themeColor="accent4" w:themeTint="33"/>
            </w:tcBorders>
            <w:shd w:val="clear" w:color="auto" w:fill="464E7E" w:themeFill="accent2"/>
            <w:vAlign w:val="center"/>
            <w:hideMark/>
          </w:tcPr>
          <w:p w14:paraId="04518C03" w14:textId="77777777" w:rsidR="0090328D" w:rsidRPr="00D422F0" w:rsidRDefault="0090328D" w:rsidP="00BB57FB">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Included in patient level costing</w:t>
            </w:r>
          </w:p>
        </w:tc>
        <w:tc>
          <w:tcPr>
            <w:tcW w:w="831" w:type="pct"/>
            <w:tcBorders>
              <w:bottom w:val="single" w:sz="18" w:space="0" w:color="EFF0F7" w:themeColor="accent4" w:themeTint="33"/>
            </w:tcBorders>
            <w:shd w:val="clear" w:color="auto" w:fill="464E7E" w:themeFill="accent2"/>
            <w:vAlign w:val="center"/>
            <w:hideMark/>
          </w:tcPr>
          <w:p w14:paraId="4774FD78" w14:textId="77777777" w:rsidR="0090328D" w:rsidRPr="00D422F0" w:rsidRDefault="0090328D" w:rsidP="00BB57FB">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 line with the guidance in the AHPCS</w:t>
            </w:r>
          </w:p>
        </w:tc>
      </w:tr>
      <w:tr w:rsidR="00034380" w:rsidRPr="00D422F0" w14:paraId="6B745E2E" w14:textId="77777777" w:rsidTr="00BB57FB">
        <w:trPr>
          <w:trHeight w:val="290"/>
        </w:trPr>
        <w:tc>
          <w:tcPr>
            <w:cnfStyle w:val="001000000000" w:firstRow="0" w:lastRow="0" w:firstColumn="1" w:lastColumn="0" w:oddVBand="0" w:evenVBand="0" w:oddHBand="0" w:evenHBand="0" w:firstRowFirstColumn="0" w:firstRowLastColumn="0" w:lastRowFirstColumn="0" w:lastRowLastColumn="0"/>
            <w:tcW w:w="164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48137D28" w14:textId="77777777" w:rsidR="00265985" w:rsidRPr="00D422F0" w:rsidRDefault="00265985" w:rsidP="00BB57FB">
            <w:pPr>
              <w:spacing w:before="120" w:after="120"/>
              <w:rPr>
                <w:lang w:val="en-GB"/>
              </w:rPr>
            </w:pPr>
            <w:r w:rsidRPr="00D81B73">
              <w:rPr>
                <w:color w:val="44546A" w:themeColor="text2"/>
              </w:rPr>
              <w:t>Corporate costs at the facility</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EB542B8" w14:textId="138352D7" w:rsidR="00265985" w:rsidRPr="00D422F0" w:rsidRDefault="00265985" w:rsidP="00BB57FB">
            <w:pPr>
              <w:spacing w:before="120" w:after="120"/>
              <w:cnfStyle w:val="000000000000" w:firstRow="0" w:lastRow="0" w:firstColumn="0" w:lastColumn="0" w:oddVBand="0" w:evenVBand="0" w:oddHBand="0" w:evenHBand="0" w:firstRowFirstColumn="0" w:firstRowLastColumn="0" w:lastRowFirstColumn="0" w:lastRowLastColumn="0"/>
            </w:pPr>
            <w:r w:rsidRPr="00D81B73">
              <w:rPr>
                <w:color w:val="44546A" w:themeColor="text2"/>
              </w:rPr>
              <w:t xml:space="preserve">Included in </w:t>
            </w:r>
            <w:r>
              <w:rPr>
                <w:color w:val="44546A" w:themeColor="text2"/>
              </w:rPr>
              <w:t>LHD</w:t>
            </w:r>
            <w:r w:rsidRPr="00D81B73">
              <w:rPr>
                <w:color w:val="44546A" w:themeColor="text2"/>
              </w:rPr>
              <w:t xml:space="preserve">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ACD68DA" w14:textId="77777777" w:rsidR="00265985" w:rsidRPr="00D422F0" w:rsidRDefault="00265985" w:rsidP="00265985">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53C757F" w14:textId="77777777" w:rsidR="00265985" w:rsidRPr="00D422F0" w:rsidRDefault="00265985" w:rsidP="00265985">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7DBF14D7" w14:textId="77777777" w:rsidTr="00BB57FB">
        <w:trPr>
          <w:trHeight w:val="290"/>
        </w:trPr>
        <w:tc>
          <w:tcPr>
            <w:cnfStyle w:val="001000000000" w:firstRow="0" w:lastRow="0" w:firstColumn="1" w:lastColumn="0" w:oddVBand="0" w:evenVBand="0" w:oddHBand="0" w:evenHBand="0" w:firstRowFirstColumn="0" w:firstRowLastColumn="0" w:lastRowFirstColumn="0" w:lastRowLastColumn="0"/>
            <w:tcW w:w="164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6A4DEAC4" w14:textId="1A3538B5" w:rsidR="00265985" w:rsidRPr="00D422F0" w:rsidRDefault="00265985" w:rsidP="00BB57FB">
            <w:pPr>
              <w:spacing w:before="120" w:after="120"/>
              <w:rPr>
                <w:lang w:val="en-GB"/>
              </w:rPr>
            </w:pPr>
            <w:r w:rsidRPr="00D81B73">
              <w:rPr>
                <w:color w:val="44546A" w:themeColor="text2"/>
              </w:rPr>
              <w:t xml:space="preserve">Corporate costs at the </w:t>
            </w:r>
            <w:r>
              <w:rPr>
                <w:color w:val="44546A" w:themeColor="text2"/>
              </w:rPr>
              <w:t>LHD</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A345C4F" w14:textId="099B559E" w:rsidR="00265985" w:rsidRPr="00D422F0" w:rsidRDefault="00265985" w:rsidP="00BB57FB">
            <w:pPr>
              <w:spacing w:before="120" w:after="120"/>
              <w:cnfStyle w:val="000000000000" w:firstRow="0" w:lastRow="0" w:firstColumn="0" w:lastColumn="0" w:oddVBand="0" w:evenVBand="0" w:oddHBand="0" w:evenHBand="0" w:firstRowFirstColumn="0" w:firstRowLastColumn="0" w:lastRowFirstColumn="0" w:lastRowLastColumn="0"/>
            </w:pPr>
            <w:r w:rsidRPr="00D81B73">
              <w:rPr>
                <w:color w:val="44546A" w:themeColor="text2"/>
              </w:rPr>
              <w:t xml:space="preserve">Included in </w:t>
            </w:r>
            <w:r>
              <w:rPr>
                <w:color w:val="44546A" w:themeColor="text2"/>
              </w:rPr>
              <w:t>LHD</w:t>
            </w:r>
            <w:r w:rsidRPr="00D81B73">
              <w:rPr>
                <w:color w:val="44546A" w:themeColor="text2"/>
              </w:rPr>
              <w:t xml:space="preserve">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5C62D3F" w14:textId="77777777" w:rsidR="00265985" w:rsidRPr="00D422F0" w:rsidRDefault="00265985" w:rsidP="00265985">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EC2AEF7" w14:textId="77777777" w:rsidR="00265985" w:rsidRPr="00D422F0" w:rsidRDefault="00265985" w:rsidP="00265985">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4AF30CC8" w14:textId="77777777" w:rsidTr="00BB57FB">
        <w:trPr>
          <w:trHeight w:val="290"/>
        </w:trPr>
        <w:tc>
          <w:tcPr>
            <w:cnfStyle w:val="001000000000" w:firstRow="0" w:lastRow="0" w:firstColumn="1" w:lastColumn="0" w:oddVBand="0" w:evenVBand="0" w:oddHBand="0" w:evenHBand="0" w:firstRowFirstColumn="0" w:firstRowLastColumn="0" w:lastRowFirstColumn="0" w:lastRowLastColumn="0"/>
            <w:tcW w:w="164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268F7784" w14:textId="7F36F8BF" w:rsidR="00265985" w:rsidRPr="00D422F0" w:rsidRDefault="00265985" w:rsidP="00BB57FB">
            <w:pPr>
              <w:spacing w:before="120" w:after="120"/>
            </w:pPr>
            <w:r w:rsidRPr="00D81B73">
              <w:rPr>
                <w:color w:val="44546A" w:themeColor="text2"/>
              </w:rPr>
              <w:t>Corporate costs at share service functions</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8E8BCB8" w14:textId="45C90353" w:rsidR="00265985" w:rsidRPr="00D422F0" w:rsidRDefault="00265985" w:rsidP="00BB57FB">
            <w:pPr>
              <w:spacing w:before="120" w:after="120"/>
              <w:cnfStyle w:val="000000000000" w:firstRow="0" w:lastRow="0" w:firstColumn="0" w:lastColumn="0" w:oddVBand="0" w:evenVBand="0" w:oddHBand="0" w:evenHBand="0" w:firstRowFirstColumn="0" w:firstRowLastColumn="0" w:lastRowFirstColumn="0" w:lastRowLastColumn="0"/>
            </w:pPr>
            <w:r w:rsidRPr="00D81B73">
              <w:rPr>
                <w:color w:val="44546A" w:themeColor="text2"/>
              </w:rPr>
              <w:t>Only corporate costs for the function delivering the direct services (i.e.</w:t>
            </w:r>
            <w:r w:rsidR="009C698B">
              <w:rPr>
                <w:color w:val="44546A" w:themeColor="text2"/>
              </w:rPr>
              <w:t>,</w:t>
            </w:r>
            <w:r w:rsidRPr="00D81B73">
              <w:rPr>
                <w:color w:val="44546A" w:themeColor="text2"/>
              </w:rPr>
              <w:t xml:space="preserve"> the laboratory performing tests, not the whole shared function)</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39CE0C5" w14:textId="77777777" w:rsidR="00265985" w:rsidRPr="00D422F0" w:rsidRDefault="00265985" w:rsidP="00265985">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467BE0E" w14:textId="77777777" w:rsidR="00265985" w:rsidRPr="00D422F0" w:rsidRDefault="00265985" w:rsidP="00265985">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7F0BB69E" w14:textId="77777777" w:rsidTr="00BB57FB">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64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693E2B7F" w14:textId="13ED39E8" w:rsidR="00265985" w:rsidRPr="00BB57FB" w:rsidRDefault="00265985" w:rsidP="00BB57FB">
            <w:pPr>
              <w:spacing w:before="120" w:after="120"/>
              <w:rPr>
                <w:b w:val="0"/>
                <w:bCs/>
              </w:rPr>
            </w:pPr>
            <w:r w:rsidRPr="00BB57FB">
              <w:rPr>
                <w:b w:val="0"/>
                <w:bCs/>
                <w:color w:val="44546A" w:themeColor="text2"/>
              </w:rPr>
              <w:t>Corporate costs at NSW MoH</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11794FC" w14:textId="5515AF68" w:rsidR="00265985" w:rsidRPr="00BB57FB" w:rsidRDefault="00265985" w:rsidP="00BB57FB">
            <w:pPr>
              <w:spacing w:before="120" w:after="120"/>
              <w:cnfStyle w:val="010000000000" w:firstRow="0" w:lastRow="1" w:firstColumn="0" w:lastColumn="0" w:oddVBand="0" w:evenVBand="0" w:oddHBand="0" w:evenHBand="0" w:firstRowFirstColumn="0" w:firstRowLastColumn="0" w:lastRowFirstColumn="0" w:lastRowLastColumn="0"/>
              <w:rPr>
                <w:b w:val="0"/>
                <w:bCs/>
              </w:rPr>
            </w:pPr>
            <w:r w:rsidRPr="00BB57FB">
              <w:rPr>
                <w:b w:val="0"/>
                <w:bCs/>
                <w:color w:val="44546A" w:themeColor="text2"/>
              </w:rPr>
              <w:t xml:space="preserve">Not allocated to LHD </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0BB45F6" w14:textId="77777777" w:rsidR="00265985" w:rsidRPr="008E61F2" w:rsidRDefault="00265985" w:rsidP="00265985">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b w:val="0"/>
                <w:bCs/>
              </w:rPr>
            </w:pPr>
            <w:r w:rsidRPr="008E61F2">
              <w:rPr>
                <w:rFonts w:ascii="Segoe UI Symbol" w:hAnsi="Segoe UI Symbol" w:cs="Segoe UI Symbol"/>
                <w:b w:val="0"/>
                <w:bC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B77D3F8" w14:textId="77777777" w:rsidR="00265985" w:rsidRPr="008E61F2" w:rsidRDefault="00265985" w:rsidP="00265985">
            <w:pPr>
              <w:spacing w:before="120" w:after="120"/>
              <w:jc w:val="center"/>
              <w:cnfStyle w:val="010000000000" w:firstRow="0" w:lastRow="1" w:firstColumn="0" w:lastColumn="0" w:oddVBand="0" w:evenVBand="0" w:oddHBand="0" w:evenHBand="0" w:firstRowFirstColumn="0" w:firstRowLastColumn="0" w:lastRowFirstColumn="0" w:lastRowLastColumn="0"/>
              <w:rPr>
                <w:b w:val="0"/>
                <w:bCs/>
              </w:rPr>
            </w:pPr>
            <w:r w:rsidRPr="008E61F2">
              <w:rPr>
                <w:rFonts w:ascii="Segoe UI Symbol" w:hAnsi="Segoe UI Symbol" w:cs="Segoe UI Symbol"/>
                <w:b w:val="0"/>
                <w:bCs/>
                <w:lang w:val="en-US"/>
              </w:rPr>
              <w:t>✔</w:t>
            </w:r>
          </w:p>
        </w:tc>
      </w:tr>
    </w:tbl>
    <w:p w14:paraId="2C5E8B96" w14:textId="73211521" w:rsidR="00AF7AB4" w:rsidRPr="005D1D70" w:rsidRDefault="00AF7AB4" w:rsidP="00AF7AB4">
      <w:pPr>
        <w:spacing w:before="120"/>
      </w:pPr>
      <w:r w:rsidRPr="005D1D70">
        <w:t xml:space="preserve">A project is underway </w:t>
      </w:r>
      <w:r w:rsidR="009805D6">
        <w:t>in</w:t>
      </w:r>
      <w:r w:rsidRPr="005D1D70">
        <w:t xml:space="preserve"> </w:t>
      </w:r>
      <w:r w:rsidR="009805D6">
        <w:t>NSW</w:t>
      </w:r>
      <w:r w:rsidRPr="005D1D70">
        <w:t xml:space="preserve"> to identify whether any of NSW Health’s corporate costs should be included in </w:t>
      </w:r>
      <w:r>
        <w:t>LHD</w:t>
      </w:r>
      <w:r w:rsidRPr="000D2DCD">
        <w:t>’s</w:t>
      </w:r>
      <w:r w:rsidRPr="005D1D70">
        <w:t xml:space="preserve"> costing submissions (in line with </w:t>
      </w:r>
      <w:r w:rsidR="00067D76">
        <w:t>AHPCS v4.2</w:t>
      </w:r>
      <w:r w:rsidRPr="005D1D70">
        <w:t>).</w:t>
      </w:r>
    </w:p>
    <w:p w14:paraId="15D0817B" w14:textId="6A530B8F" w:rsidR="00502F75" w:rsidRDefault="00AF7AB4" w:rsidP="00AF7AB4">
      <w:pPr>
        <w:pStyle w:val="Heading3"/>
      </w:pPr>
      <w:r>
        <w:lastRenderedPageBreak/>
        <w:t>Reconciliation from GL to submitted costs</w:t>
      </w:r>
    </w:p>
    <w:p w14:paraId="1E628F86" w14:textId="106E9532" w:rsidR="00E71570" w:rsidRPr="00AD1F32" w:rsidRDefault="00E71570" w:rsidP="00E71570">
      <w:pPr>
        <w:spacing w:line="240" w:lineRule="auto"/>
      </w:pPr>
      <w:r w:rsidRPr="005D1D70">
        <w:rPr>
          <w:color w:val="44546A" w:themeColor="text2"/>
        </w:rPr>
        <w:t xml:space="preserve">Two NSW </w:t>
      </w:r>
      <w:r>
        <w:rPr>
          <w:color w:val="44546A" w:themeColor="text2"/>
        </w:rPr>
        <w:t>LHD</w:t>
      </w:r>
      <w:r w:rsidRPr="005D1D70">
        <w:rPr>
          <w:color w:val="44546A" w:themeColor="text2"/>
        </w:rPr>
        <w:t xml:space="preserve">s participated in the </w:t>
      </w:r>
      <w:r w:rsidR="006F202F">
        <w:rPr>
          <w:color w:val="44546A" w:themeColor="text2"/>
        </w:rPr>
        <w:t>Independent Financial Review (</w:t>
      </w:r>
      <w:r w:rsidRPr="005D1D70">
        <w:rPr>
          <w:color w:val="44546A" w:themeColor="text2"/>
        </w:rPr>
        <w:t>IFR</w:t>
      </w:r>
      <w:r w:rsidR="006F202F">
        <w:rPr>
          <w:color w:val="44546A" w:themeColor="text2"/>
        </w:rPr>
        <w:t>)</w:t>
      </w:r>
      <w:r w:rsidR="00022C7D">
        <w:rPr>
          <w:color w:val="44546A" w:themeColor="text2"/>
        </w:rPr>
        <w:t>:</w:t>
      </w:r>
      <w:r w:rsidRPr="005D1D70">
        <w:rPr>
          <w:color w:val="44546A" w:themeColor="text2"/>
        </w:rPr>
        <w:t xml:space="preserve"> Hunter New England </w:t>
      </w:r>
      <w:r w:rsidR="00022C7D">
        <w:rPr>
          <w:color w:val="44546A" w:themeColor="text2"/>
        </w:rPr>
        <w:t>LHD</w:t>
      </w:r>
      <w:r w:rsidRPr="005D1D70">
        <w:rPr>
          <w:color w:val="44546A" w:themeColor="text2"/>
        </w:rPr>
        <w:t xml:space="preserve"> and Murrumbidgee LHD.</w:t>
      </w:r>
      <w:r w:rsidRPr="005D1D70">
        <w:t xml:space="preserve"> This section discusses major variances, reconciling items and adjustments from the </w:t>
      </w:r>
      <w:r w:rsidR="00A2517D">
        <w:t>GL</w:t>
      </w:r>
      <w:r w:rsidRPr="005D1D70">
        <w:t xml:space="preserve"> of the participating sites from NSW, through to the costed products ($) </w:t>
      </w:r>
      <w:r w:rsidRPr="003226E9">
        <w:t>submitted to IHACPA in the NHCDC submission.</w:t>
      </w:r>
    </w:p>
    <w:p w14:paraId="0D58DB1A" w14:textId="22265493" w:rsidR="00AF7AB4" w:rsidRPr="00AD1F32" w:rsidRDefault="00E71570" w:rsidP="003060BB">
      <w:pPr>
        <w:pStyle w:val="Heading4"/>
        <w:rPr>
          <w:color w:val="484B5D" w:themeColor="accent3"/>
        </w:rPr>
      </w:pPr>
      <w:r w:rsidRPr="00AD1F32">
        <w:rPr>
          <w:color w:val="484B5D" w:themeColor="accent3"/>
        </w:rPr>
        <w:t xml:space="preserve">Reconciliation from GL to NHCDC – </w:t>
      </w:r>
      <w:r w:rsidR="00233438" w:rsidRPr="00AD1F32">
        <w:rPr>
          <w:color w:val="484B5D" w:themeColor="accent3"/>
        </w:rPr>
        <w:t>HNELHD</w:t>
      </w:r>
    </w:p>
    <w:p w14:paraId="67C14F31" w14:textId="77777777" w:rsidR="006D3A6F" w:rsidRPr="003226E9" w:rsidRDefault="006D3A6F" w:rsidP="006D3A6F">
      <w:r w:rsidRPr="003226E9">
        <w:t xml:space="preserve">NSW’s total reported costs were </w:t>
      </w:r>
      <w:r w:rsidRPr="00AD1F32">
        <w:t>$21.6 billion (representing 29.2% of national costs).</w:t>
      </w:r>
    </w:p>
    <w:p w14:paraId="7E080468" w14:textId="08F8FF60" w:rsidR="006D3A6F" w:rsidRPr="003226E9" w:rsidRDefault="00233438" w:rsidP="006044E0">
      <w:pPr>
        <w:pStyle w:val="ListParagraph"/>
        <w:numPr>
          <w:ilvl w:val="0"/>
          <w:numId w:val="8"/>
        </w:numPr>
      </w:pPr>
      <w:r w:rsidRPr="003226E9">
        <w:t>HNELHD</w:t>
      </w:r>
      <w:r w:rsidR="006D3A6F" w:rsidRPr="003226E9">
        <w:t>’s GL was $3.07 billion.</w:t>
      </w:r>
    </w:p>
    <w:p w14:paraId="149E026B" w14:textId="77777777" w:rsidR="006D3A6F" w:rsidRPr="003226E9" w:rsidRDefault="006D3A6F" w:rsidP="006044E0">
      <w:pPr>
        <w:pStyle w:val="ListParagraph"/>
        <w:numPr>
          <w:ilvl w:val="1"/>
          <w:numId w:val="8"/>
        </w:numPr>
      </w:pPr>
      <w:r w:rsidRPr="003226E9">
        <w:t xml:space="preserve">Their submitted costs to the NHCDC were </w:t>
      </w:r>
      <w:r w:rsidRPr="003226E9">
        <w:rPr>
          <w:rFonts w:asciiTheme="minorHAnsi" w:hAnsiTheme="minorHAnsi" w:cs="Arial"/>
        </w:rPr>
        <w:t xml:space="preserve">$2.46 billion </w:t>
      </w:r>
      <w:r w:rsidRPr="003226E9">
        <w:t>(representing 11.4% of NSW costs).</w:t>
      </w:r>
    </w:p>
    <w:p w14:paraId="51946F43" w14:textId="50C61355" w:rsidR="007A0E5F" w:rsidRDefault="006D3A6F" w:rsidP="00384A85">
      <w:pPr>
        <w:pStyle w:val="ListParagraph"/>
        <w:numPr>
          <w:ilvl w:val="1"/>
          <w:numId w:val="8"/>
        </w:numPr>
      </w:pPr>
      <w:r w:rsidRPr="005D1D70">
        <w:t>Overall</w:t>
      </w:r>
      <w:r>
        <w:t>,</w:t>
      </w:r>
      <w:r w:rsidRPr="005D1D70">
        <w:t xml:space="preserve"> HNELHD submitted 80% of their GL to the NHCDC</w:t>
      </w:r>
      <w:r>
        <w:t>.</w:t>
      </w:r>
    </w:p>
    <w:p w14:paraId="1B366937" w14:textId="62682D08" w:rsidR="00E71570" w:rsidRDefault="006D3A6F" w:rsidP="00DF15D0">
      <w:pPr>
        <w:pStyle w:val="ListParagraph"/>
        <w:numPr>
          <w:ilvl w:val="1"/>
          <w:numId w:val="8"/>
        </w:numPr>
      </w:pPr>
      <w:r w:rsidRPr="005D1D70">
        <w:t>$609 million costs (20% of GL) were not included in NHCDC submissions for a variety of reasons including being out</w:t>
      </w:r>
      <w:r>
        <w:t>-</w:t>
      </w:r>
      <w:r w:rsidRPr="005D1D70">
        <w:t>of</w:t>
      </w:r>
      <w:r>
        <w:t>-</w:t>
      </w:r>
      <w:r w:rsidRPr="005D1D70">
        <w:t>scope, or an inability to link costs and activity due to data quality issues.</w:t>
      </w:r>
    </w:p>
    <w:p w14:paraId="2C73450F" w14:textId="2CEEADB0" w:rsidR="00D54243" w:rsidRDefault="00BB68B3"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8</w:t>
      </w:r>
      <w:r w:rsidR="00BD5B5E">
        <w:fldChar w:fldCharType="end"/>
      </w:r>
      <w:r>
        <w:t xml:space="preserve">: </w:t>
      </w:r>
      <w:r w:rsidR="00E30916" w:rsidRPr="00E30916">
        <w:t xml:space="preserve">Waterfall from GL to NHCDC submitted costs – </w:t>
      </w:r>
      <w:r w:rsidR="00031C84">
        <w:t>HNELHD</w:t>
      </w:r>
      <w:r w:rsidR="00591C58">
        <w:t>, NSW</w:t>
      </w:r>
    </w:p>
    <w:p w14:paraId="237FC874" w14:textId="0CBF683C" w:rsidR="006D3A6F" w:rsidRDefault="00157D39" w:rsidP="00EC0C63">
      <w:pPr>
        <w:pStyle w:val="Caption"/>
        <w:jc w:val="center"/>
      </w:pPr>
      <w:r w:rsidRPr="00EC0C63">
        <w:rPr>
          <w:noProof/>
          <w:sz w:val="14"/>
          <w:szCs w:val="14"/>
        </w:rPr>
        <mc:AlternateContent>
          <mc:Choice Requires="cx1">
            <w:drawing>
              <wp:inline distT="0" distB="0" distL="0" distR="0" wp14:anchorId="2E91C074" wp14:editId="27730173">
                <wp:extent cx="6245860" cy="2857500"/>
                <wp:effectExtent l="0" t="0" r="2540" b="0"/>
                <wp:docPr id="1365606364" name="Chart 1" descr="P1083#y1">
                  <a:extLst xmlns:a="http://schemas.openxmlformats.org/drawingml/2006/main">
                    <a:ext uri="{FF2B5EF4-FFF2-40B4-BE49-F238E27FC236}">
                      <a16:creationId xmlns:a16="http://schemas.microsoft.com/office/drawing/2014/main" id="{097B47D1-1BDE-4688-B2B3-EBDD55D3F4E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0"/>
                  </a:graphicData>
                </a:graphic>
              </wp:inline>
            </w:drawing>
          </mc:Choice>
          <mc:Fallback>
            <w:drawing>
              <wp:inline distT="0" distB="0" distL="0" distR="0" wp14:anchorId="2E91C074" wp14:editId="27730173">
                <wp:extent cx="6245860" cy="2857500"/>
                <wp:effectExtent l="0" t="0" r="2540" b="0"/>
                <wp:docPr id="1365606364" name="Chart 1" descr="The image is a waterfall chart showing adjustments from initial GL to final submitted costs. Starting value: HNELHD GL is $3,066M. Inclusions add $274M; Exclusions subtract $208M; Restated GL is $3,132M. Jurisdictional adjustments subtract $14M; Inclusions (Escalations) add $60M; Out of Scope subtract $22M; Inter Jurisdiction Transfer subtract $102M; Other exclusions subtract $337M; WIP subtract $121M; Non ABF subtract $139M. Final submitted to IHACPA is $2,457M.">
                  <a:extLst xmlns:a="http://schemas.openxmlformats.org/drawingml/2006/main">
                    <a:ext uri="{FF2B5EF4-FFF2-40B4-BE49-F238E27FC236}">
                      <a16:creationId xmlns:a16="http://schemas.microsoft.com/office/drawing/2014/main" id="{097B47D1-1BDE-4688-B2B3-EBDD55D3F4E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65606364" name="Chart 1" descr="The image is a waterfall chart showing adjustments from initial GL to final submitted costs. Starting value: HNELHD GL is $3,066M. Inclusions add $274M; Exclusions subtract $208M; Restated GL is $3,132M. Jurisdictional adjustments subtract $14M; Inclusions (Escalations) add $60M; Out of Scope subtract $22M; Inter Jurisdiction Transfer subtract $102M; Other exclusions subtract $337M; WIP subtract $121M; Non ABF subtract $139M. Final submitted to IHACPA is $2,457M.">
                          <a:extLst>
                            <a:ext uri="{FF2B5EF4-FFF2-40B4-BE49-F238E27FC236}">
                              <a16:creationId xmlns:a16="http://schemas.microsoft.com/office/drawing/2014/main" id="{097B47D1-1BDE-4688-B2B3-EBDD55D3F4E2}"/>
                            </a:ext>
                          </a:extLst>
                        </pic:cNvPr>
                        <pic:cNvPicPr>
                          <a:picLocks noGrp="1" noRot="1" noChangeAspect="1" noMove="1" noResize="1" noEditPoints="1" noAdjustHandles="1" noChangeArrowheads="1" noChangeShapeType="1"/>
                        </pic:cNvPicPr>
                      </pic:nvPicPr>
                      <pic:blipFill>
                        <a:blip r:embed="rId51"/>
                        <a:stretch>
                          <a:fillRect/>
                        </a:stretch>
                      </pic:blipFill>
                      <pic:spPr>
                        <a:xfrm>
                          <a:off x="0" y="0"/>
                          <a:ext cx="6245860" cy="2857500"/>
                        </a:xfrm>
                        <a:prstGeom prst="rect">
                          <a:avLst/>
                        </a:prstGeom>
                      </pic:spPr>
                    </pic:pic>
                  </a:graphicData>
                </a:graphic>
              </wp:inline>
            </w:drawing>
          </mc:Fallback>
        </mc:AlternateContent>
      </w:r>
    </w:p>
    <w:p w14:paraId="01880A3C" w14:textId="7FB2ABFD" w:rsidR="00B15826" w:rsidRPr="005D1D70" w:rsidRDefault="00B15826" w:rsidP="005E6E9B">
      <w:r w:rsidRPr="005D1D70">
        <w:t xml:space="preserve">This section discusses adjustments from the </w:t>
      </w:r>
      <w:r w:rsidR="00A2517D">
        <w:t>GL</w:t>
      </w:r>
      <w:r w:rsidRPr="005D1D70">
        <w:t xml:space="preserve"> of HNELHD, through to the costed products ($) submitted to IHACPA in the NHCDC submission.</w:t>
      </w:r>
    </w:p>
    <w:p w14:paraId="479E3CAC" w14:textId="525EB8C8" w:rsidR="00FF1B8C" w:rsidRPr="00EC0C63" w:rsidRDefault="00FF1B8C" w:rsidP="00EC0C63">
      <w:pPr>
        <w:pStyle w:val="ListParagraph"/>
        <w:numPr>
          <w:ilvl w:val="0"/>
          <w:numId w:val="9"/>
        </w:numPr>
      </w:pPr>
      <w:r w:rsidRPr="00A47640">
        <w:rPr>
          <w:b/>
          <w:bCs/>
        </w:rPr>
        <w:t>Inclusions</w:t>
      </w:r>
      <w:r w:rsidRPr="00EC0C63">
        <w:t xml:space="preserve"> – HNELHD added costs </w:t>
      </w:r>
      <w:r w:rsidR="002573C8">
        <w:t>that</w:t>
      </w:r>
      <w:r w:rsidR="002573C8" w:rsidRPr="00EC0C63">
        <w:t xml:space="preserve"> </w:t>
      </w:r>
      <w:r w:rsidRPr="00EC0C63">
        <w:t>are held centrally within the MoH GL:</w:t>
      </w:r>
    </w:p>
    <w:p w14:paraId="1C8A7D42" w14:textId="77777777" w:rsidR="00FF1B8C" w:rsidRPr="00EC0C63" w:rsidRDefault="00FF1B8C" w:rsidP="00EC0C63">
      <w:pPr>
        <w:pStyle w:val="ListParagraph"/>
        <w:numPr>
          <w:ilvl w:val="1"/>
          <w:numId w:val="9"/>
        </w:numPr>
      </w:pPr>
      <w:r w:rsidRPr="00EC0C63">
        <w:t>$50 million relating to medical indemnity;</w:t>
      </w:r>
    </w:p>
    <w:p w14:paraId="07F4209A" w14:textId="16E3C52C" w:rsidR="00B15826" w:rsidRPr="00EC0C63" w:rsidRDefault="00EC3473" w:rsidP="00EC0C63">
      <w:pPr>
        <w:pStyle w:val="ListParagraph"/>
        <w:numPr>
          <w:ilvl w:val="1"/>
          <w:numId w:val="9"/>
        </w:numPr>
      </w:pPr>
      <w:r>
        <w:t>$12 million in r</w:t>
      </w:r>
      <w:r w:rsidR="00B15826" w:rsidRPr="00EC0C63">
        <w:t xml:space="preserve">esidual </w:t>
      </w:r>
      <w:r w:rsidR="00885CBC" w:rsidRPr="00EC0C63">
        <w:t>costs</w:t>
      </w:r>
      <w:r w:rsidR="00B15826" w:rsidRPr="00EC0C63">
        <w:t xml:space="preserve"> from shared service providers, Healthshare and eHealth, relating to special projects </w:t>
      </w:r>
      <w:r w:rsidR="00A96971">
        <w:t>that</w:t>
      </w:r>
      <w:r w:rsidR="00A96971" w:rsidRPr="00EC0C63">
        <w:t xml:space="preserve"> </w:t>
      </w:r>
      <w:r w:rsidR="00B15826" w:rsidRPr="00EC0C63">
        <w:t xml:space="preserve">are </w:t>
      </w:r>
      <w:r w:rsidR="00D80AE8" w:rsidRPr="00EC0C63">
        <w:t>reconciled after</w:t>
      </w:r>
      <w:r w:rsidR="00B15826" w:rsidRPr="00EC0C63">
        <w:t xml:space="preserve"> an end-of-year </w:t>
      </w:r>
      <w:r w:rsidR="00D80AE8" w:rsidRPr="00EC0C63">
        <w:t>process</w:t>
      </w:r>
      <w:r w:rsidR="00B15826" w:rsidRPr="00EC0C63">
        <w:t xml:space="preserve"> and sit in the MoH GL at year end</w:t>
      </w:r>
      <w:r w:rsidR="006F6B16" w:rsidRPr="00EC0C63">
        <w:t>;</w:t>
      </w:r>
    </w:p>
    <w:p w14:paraId="3B935C55" w14:textId="3DECE3CC" w:rsidR="00FF1B8C" w:rsidRPr="00EC0C63" w:rsidRDefault="00FF1B8C" w:rsidP="00EC0C63">
      <w:pPr>
        <w:pStyle w:val="ListParagraph"/>
        <w:numPr>
          <w:ilvl w:val="1"/>
          <w:numId w:val="9"/>
        </w:numPr>
      </w:pPr>
      <w:r w:rsidRPr="00EC0C63">
        <w:t xml:space="preserve">$207 million relating to Calvary Mater Hospital, reported in HNELHD’s GL on an aggregate basis. The facility’s expenses are brought in at a detailed level to allow for costing. </w:t>
      </w:r>
      <w:r w:rsidRPr="00B3250B">
        <w:t>However</w:t>
      </w:r>
      <w:r w:rsidR="00B3250B" w:rsidRPr="00B3250B">
        <w:t>,</w:t>
      </w:r>
      <w:r w:rsidRPr="00EC0C63">
        <w:t xml:space="preserve"> these are then offset in the exclusions below (so the reported costs are not affected). </w:t>
      </w:r>
    </w:p>
    <w:p w14:paraId="1F49FF0C" w14:textId="2BAC2444" w:rsidR="00FF1B8C" w:rsidRPr="00EC0C63" w:rsidRDefault="00FF1B8C" w:rsidP="00EC0C63">
      <w:pPr>
        <w:pStyle w:val="ListParagraph"/>
        <w:numPr>
          <w:ilvl w:val="0"/>
          <w:numId w:val="9"/>
        </w:numPr>
      </w:pPr>
      <w:r w:rsidRPr="00A47640">
        <w:rPr>
          <w:b/>
          <w:bCs/>
        </w:rPr>
        <w:lastRenderedPageBreak/>
        <w:t>Exclusions</w:t>
      </w:r>
      <w:r w:rsidRPr="00EC0C63">
        <w:t xml:space="preserve"> – $208 million relating to the Calvary Mater third schedule arrangement described above and $1</w:t>
      </w:r>
      <w:r w:rsidR="00067D76">
        <w:t xml:space="preserve"> </w:t>
      </w:r>
      <w:r w:rsidRPr="00EC0C63">
        <w:t>m</w:t>
      </w:r>
      <w:r w:rsidR="00067D76">
        <w:t>illion</w:t>
      </w:r>
      <w:r w:rsidRPr="00EC0C63">
        <w:t xml:space="preserve"> relating to an adjustment for S100 drugs;</w:t>
      </w:r>
    </w:p>
    <w:p w14:paraId="74CA44DA" w14:textId="3B0FEDC5" w:rsidR="009F18C7" w:rsidRPr="00EC0C63" w:rsidRDefault="00BD289D" w:rsidP="00EC0C63">
      <w:pPr>
        <w:pStyle w:val="ListParagraph"/>
        <w:numPr>
          <w:ilvl w:val="0"/>
          <w:numId w:val="9"/>
        </w:numPr>
      </w:pPr>
      <w:r w:rsidRPr="00A47640">
        <w:rPr>
          <w:b/>
          <w:bCs/>
        </w:rPr>
        <w:t xml:space="preserve">Jurisdiction </w:t>
      </w:r>
      <w:r w:rsidR="009F18C7" w:rsidRPr="00A47640">
        <w:rPr>
          <w:b/>
          <w:bCs/>
        </w:rPr>
        <w:t>adjustment</w:t>
      </w:r>
      <w:r w:rsidRPr="00EC0C63">
        <w:t xml:space="preserve"> – </w:t>
      </w:r>
      <w:r w:rsidR="00067D76">
        <w:t xml:space="preserve">$14 million of </w:t>
      </w:r>
      <w:r w:rsidR="009F18C7" w:rsidRPr="00EC0C63">
        <w:t xml:space="preserve">2022-23 costs </w:t>
      </w:r>
      <w:r w:rsidR="002573C8">
        <w:t>that</w:t>
      </w:r>
      <w:r w:rsidR="002573C8" w:rsidRPr="00EC0C63">
        <w:t xml:space="preserve"> </w:t>
      </w:r>
      <w:r w:rsidR="009F18C7" w:rsidRPr="00EC0C63">
        <w:t>were recorded in the GL in the 2023-24 year relating to parental leave liabilities and were excluded from the NHCDC</w:t>
      </w:r>
      <w:r w:rsidR="00220457">
        <w:t xml:space="preserve"> </w:t>
      </w:r>
      <w:r w:rsidR="00220457" w:rsidRPr="00EC0C63">
        <w:t>2023-24</w:t>
      </w:r>
      <w:r w:rsidR="009F18C7" w:rsidRPr="00EC0C63">
        <w:t xml:space="preserve">. </w:t>
      </w:r>
    </w:p>
    <w:p w14:paraId="0EC042B4" w14:textId="77777777" w:rsidR="00BD289D" w:rsidRPr="00EC0C63" w:rsidRDefault="00BD289D" w:rsidP="00EC0C63">
      <w:pPr>
        <w:pStyle w:val="ListParagraph"/>
        <w:numPr>
          <w:ilvl w:val="0"/>
          <w:numId w:val="9"/>
        </w:numPr>
      </w:pPr>
      <w:r w:rsidRPr="00A47640">
        <w:rPr>
          <w:b/>
          <w:bCs/>
        </w:rPr>
        <w:t>Inclusions (escalations)</w:t>
      </w:r>
      <w:r w:rsidRPr="00EC0C63">
        <w:t xml:space="preserve"> – </w:t>
      </w:r>
      <w:r w:rsidR="00151B09" w:rsidRPr="00EC0C63">
        <w:t>HNELHD included costs of $60</w:t>
      </w:r>
      <w:r w:rsidR="00C61BE2" w:rsidRPr="00EC0C63">
        <w:t xml:space="preserve"> million of costs relating to patients who had been admitted in previous financial years</w:t>
      </w:r>
      <w:r w:rsidR="00FF1B8C" w:rsidRPr="00EC0C63">
        <w:t xml:space="preserve"> and were discharged during 2023-24.</w:t>
      </w:r>
    </w:p>
    <w:p w14:paraId="00CBAF43" w14:textId="7485BBDA" w:rsidR="00FF1B8C" w:rsidRPr="00EC0C63" w:rsidRDefault="00FF1B8C" w:rsidP="00EC0C63">
      <w:pPr>
        <w:pStyle w:val="ListParagraph"/>
        <w:numPr>
          <w:ilvl w:val="0"/>
          <w:numId w:val="9"/>
        </w:numPr>
      </w:pPr>
      <w:r w:rsidRPr="00A47640">
        <w:rPr>
          <w:b/>
          <w:bCs/>
        </w:rPr>
        <w:t>Out</w:t>
      </w:r>
      <w:r w:rsidR="00413F20" w:rsidRPr="00A47640">
        <w:rPr>
          <w:b/>
          <w:bCs/>
        </w:rPr>
        <w:t>-</w:t>
      </w:r>
      <w:r w:rsidRPr="00A47640">
        <w:rPr>
          <w:b/>
          <w:bCs/>
        </w:rPr>
        <w:t>of</w:t>
      </w:r>
      <w:r w:rsidR="00413F20" w:rsidRPr="00A47640">
        <w:rPr>
          <w:b/>
          <w:bCs/>
        </w:rPr>
        <w:t>-</w:t>
      </w:r>
      <w:r w:rsidRPr="00A47640">
        <w:rPr>
          <w:b/>
          <w:bCs/>
        </w:rPr>
        <w:t>Scope</w:t>
      </w:r>
      <w:r w:rsidRPr="00EC0C63">
        <w:t xml:space="preserve"> – HNELHD excluded items that do not map to a NHCDC Cost Centre totalling $12 million. HNELHD also removed a portion of medical costs relating to privately referred non-inpatient clinics ($9 million)</w:t>
      </w:r>
      <w:r w:rsidR="00220457">
        <w:t>.</w:t>
      </w:r>
    </w:p>
    <w:p w14:paraId="210F55D7" w14:textId="77777777" w:rsidR="00FF1B8C" w:rsidRPr="00EC0C63" w:rsidRDefault="00FF1B8C" w:rsidP="00EC0C63">
      <w:pPr>
        <w:pStyle w:val="ListParagraph"/>
        <w:numPr>
          <w:ilvl w:val="0"/>
          <w:numId w:val="9"/>
        </w:numPr>
      </w:pPr>
      <w:r w:rsidRPr="00A47640">
        <w:rPr>
          <w:b/>
          <w:bCs/>
        </w:rPr>
        <w:t>Inter Jurisdiction Transfer</w:t>
      </w:r>
      <w:r w:rsidRPr="00EC0C63">
        <w:t xml:space="preserve"> – NSW removed costs of $102 million relating to Community Mental Health. These are reported separately to IHACPA via a statewide Identifier “LHN199”.</w:t>
      </w:r>
    </w:p>
    <w:p w14:paraId="645CCAEF" w14:textId="77777777" w:rsidR="00A10784" w:rsidRPr="00EC0C63" w:rsidRDefault="00102F9E" w:rsidP="00EC0C63">
      <w:pPr>
        <w:pStyle w:val="ListParagraph"/>
        <w:numPr>
          <w:ilvl w:val="0"/>
          <w:numId w:val="9"/>
        </w:numPr>
      </w:pPr>
      <w:r w:rsidRPr="00A47640">
        <w:rPr>
          <w:b/>
          <w:bCs/>
        </w:rPr>
        <w:t>Other exclusions</w:t>
      </w:r>
      <w:r w:rsidRPr="00EC0C63">
        <w:t xml:space="preserve"> – </w:t>
      </w:r>
      <w:r w:rsidR="00645DE1" w:rsidRPr="00EC0C63">
        <w:t xml:space="preserve">totalled $337 </w:t>
      </w:r>
      <w:r w:rsidR="00AF66E3" w:rsidRPr="00EC0C63">
        <w:t>million including:</w:t>
      </w:r>
      <w:r w:rsidRPr="00EC0C63">
        <w:t xml:space="preserve"> </w:t>
      </w:r>
    </w:p>
    <w:p w14:paraId="56E21025" w14:textId="4A5A625D" w:rsidR="00A10784" w:rsidRPr="00EC0C63" w:rsidRDefault="00A10784" w:rsidP="00EC0C63">
      <w:pPr>
        <w:pStyle w:val="ListParagraph"/>
        <w:numPr>
          <w:ilvl w:val="1"/>
          <w:numId w:val="9"/>
        </w:numPr>
      </w:pPr>
      <w:r w:rsidRPr="00EC0C63">
        <w:t>$</w:t>
      </w:r>
      <w:r w:rsidR="00E51CD5" w:rsidRPr="00EC0C63">
        <w:t xml:space="preserve">199 </w:t>
      </w:r>
      <w:r w:rsidRPr="00EC0C63">
        <w:t>million of</w:t>
      </w:r>
      <w:r w:rsidR="00652184" w:rsidRPr="00EC0C63">
        <w:t xml:space="preserve"> costs relating to program level expenditure without patient level activity, termed “Z” encounters</w:t>
      </w:r>
      <w:r w:rsidR="00AD6A75" w:rsidRPr="00EC0C63">
        <w:t xml:space="preserve">. </w:t>
      </w:r>
      <w:r w:rsidR="00FF1B8C" w:rsidRPr="00EC0C63">
        <w:t>This included Teaching, Training</w:t>
      </w:r>
      <w:r w:rsidR="00AD6A75" w:rsidRPr="00EC0C63">
        <w:t xml:space="preserve"> and </w:t>
      </w:r>
      <w:r w:rsidR="00FF1B8C" w:rsidRPr="00EC0C63">
        <w:t>Research</w:t>
      </w:r>
      <w:r w:rsidR="00EC3473">
        <w:t xml:space="preserve"> (TTR)</w:t>
      </w:r>
      <w:r w:rsidR="006D288F" w:rsidRPr="00EC0C63">
        <w:t xml:space="preserve"> and population health.</w:t>
      </w:r>
    </w:p>
    <w:p w14:paraId="39925161" w14:textId="77777777" w:rsidR="00AA06EE" w:rsidRPr="00EC0C63" w:rsidRDefault="00AA06EE" w:rsidP="00EC0C63">
      <w:pPr>
        <w:pStyle w:val="ListParagraph"/>
        <w:numPr>
          <w:ilvl w:val="1"/>
          <w:numId w:val="9"/>
        </w:numPr>
      </w:pPr>
      <w:r w:rsidRPr="00EC0C63">
        <w:t>Unlinked costs of $117 million where cost records could not be matched to activity records.</w:t>
      </w:r>
    </w:p>
    <w:p w14:paraId="3D48CC55" w14:textId="6D216EAA" w:rsidR="00A10784" w:rsidRPr="00EC0C63" w:rsidRDefault="00AA06EE" w:rsidP="00EC0C63">
      <w:pPr>
        <w:pStyle w:val="ListParagraph"/>
        <w:numPr>
          <w:ilvl w:val="1"/>
          <w:numId w:val="9"/>
        </w:numPr>
      </w:pPr>
      <w:r w:rsidRPr="00EC0C63">
        <w:t>Other non</w:t>
      </w:r>
      <w:r w:rsidR="00FE314D" w:rsidRPr="00EC0C63">
        <w:t>-</w:t>
      </w:r>
      <w:r w:rsidRPr="00EC0C63">
        <w:t>patient</w:t>
      </w:r>
      <w:r w:rsidR="00FE314D" w:rsidRPr="00EC0C63">
        <w:t>-</w:t>
      </w:r>
      <w:r w:rsidRPr="00EC0C63">
        <w:t xml:space="preserve">level exclusions totalling </w:t>
      </w:r>
      <w:r w:rsidR="00A10784" w:rsidRPr="00EC0C63">
        <w:t>$</w:t>
      </w:r>
      <w:r w:rsidR="00DE39CE" w:rsidRPr="00EC0C63">
        <w:t xml:space="preserve">20 million, of which </w:t>
      </w:r>
      <w:r w:rsidR="00A10784" w:rsidRPr="00EC0C63">
        <w:t>$</w:t>
      </w:r>
      <w:r w:rsidR="00CC7FBF" w:rsidRPr="00EC0C63">
        <w:t>12</w:t>
      </w:r>
      <w:r w:rsidR="00A10784" w:rsidRPr="00EC0C63">
        <w:t xml:space="preserve"> million relat</w:t>
      </w:r>
      <w:r w:rsidR="00DE39CE" w:rsidRPr="00EC0C63">
        <w:t>ed</w:t>
      </w:r>
      <w:r w:rsidR="00A10784" w:rsidRPr="00EC0C63">
        <w:t xml:space="preserve"> to</w:t>
      </w:r>
      <w:r w:rsidR="00CC7FBF" w:rsidRPr="00EC0C63">
        <w:t xml:space="preserve"> pathology, imaging, pharmacy </w:t>
      </w:r>
      <w:r w:rsidR="003B36A6" w:rsidRPr="00EC0C63">
        <w:t xml:space="preserve">and prostheses costs </w:t>
      </w:r>
      <w:r w:rsidR="002573C8">
        <w:t>that</w:t>
      </w:r>
      <w:r w:rsidR="002573C8" w:rsidRPr="00EC0C63">
        <w:t xml:space="preserve"> </w:t>
      </w:r>
      <w:r w:rsidR="003B36A6" w:rsidRPr="00EC0C63">
        <w:t xml:space="preserve">could not be matched to </w:t>
      </w:r>
      <w:r w:rsidR="00DE39CE" w:rsidRPr="00EC0C63">
        <w:t>a patient</w:t>
      </w:r>
      <w:r w:rsidR="003B36A6" w:rsidRPr="00EC0C63">
        <w:t xml:space="preserve"> encounter</w:t>
      </w:r>
      <w:r w:rsidR="00DE39CE" w:rsidRPr="00EC0C63">
        <w:t>.</w:t>
      </w:r>
    </w:p>
    <w:p w14:paraId="2CD3A768" w14:textId="6D864626" w:rsidR="00B06A5E" w:rsidRPr="00EC0C63" w:rsidRDefault="00F7713A" w:rsidP="00EC0C63">
      <w:pPr>
        <w:pStyle w:val="ListParagraph"/>
        <w:numPr>
          <w:ilvl w:val="0"/>
          <w:numId w:val="9"/>
        </w:numPr>
      </w:pPr>
      <w:r>
        <w:rPr>
          <w:b/>
          <w:bCs/>
        </w:rPr>
        <w:t>Work in progress (</w:t>
      </w:r>
      <w:r w:rsidR="00B06A5E" w:rsidRPr="00A47640">
        <w:rPr>
          <w:b/>
          <w:bCs/>
        </w:rPr>
        <w:t>WIP</w:t>
      </w:r>
      <w:r>
        <w:rPr>
          <w:b/>
          <w:bCs/>
        </w:rPr>
        <w:t>)</w:t>
      </w:r>
      <w:r w:rsidR="00B06A5E" w:rsidRPr="00EC0C63">
        <w:t xml:space="preserve"> - $121</w:t>
      </w:r>
      <w:r w:rsidR="00C43AB9" w:rsidRPr="00EC0C63">
        <w:t xml:space="preserve"> million of costs relating to patients who had not been discharged at 30 June 2024 were excluded. </w:t>
      </w:r>
    </w:p>
    <w:p w14:paraId="4ECA020B" w14:textId="77777777" w:rsidR="00FF1B8C" w:rsidRPr="004A6730" w:rsidRDefault="00FF1B8C" w:rsidP="00EC0C63">
      <w:pPr>
        <w:pStyle w:val="ListParagraph"/>
        <w:numPr>
          <w:ilvl w:val="0"/>
          <w:numId w:val="9"/>
        </w:numPr>
      </w:pPr>
      <w:r w:rsidRPr="004A6730">
        <w:rPr>
          <w:b/>
          <w:bCs/>
        </w:rPr>
        <w:t>Non-ABF</w:t>
      </w:r>
      <w:r w:rsidRPr="004A6730">
        <w:t xml:space="preserve"> – $139 million of HNELHD costs relating to services which were not activity based funded were excluded.</w:t>
      </w:r>
    </w:p>
    <w:p w14:paraId="63D45F61" w14:textId="49FD8A13" w:rsidR="006D3A6F" w:rsidRPr="00AD1F32" w:rsidRDefault="00B15826" w:rsidP="003060BB">
      <w:pPr>
        <w:pStyle w:val="Heading4"/>
        <w:rPr>
          <w:color w:val="484B5D" w:themeColor="accent3"/>
        </w:rPr>
      </w:pPr>
      <w:r w:rsidRPr="00AD1F32">
        <w:rPr>
          <w:color w:val="484B5D" w:themeColor="accent3"/>
        </w:rPr>
        <w:t>Reconciliation from GL to NHCDC – Murrumbidgee LHD</w:t>
      </w:r>
    </w:p>
    <w:p w14:paraId="68B25F84" w14:textId="24A3F4BA" w:rsidR="00A0191F" w:rsidRPr="004A6730" w:rsidRDefault="00A0191F" w:rsidP="006044E0">
      <w:pPr>
        <w:pStyle w:val="ListParagraph"/>
        <w:numPr>
          <w:ilvl w:val="0"/>
          <w:numId w:val="9"/>
        </w:numPr>
      </w:pPr>
      <w:r w:rsidRPr="004A6730">
        <w:t>Murrumbidgee</w:t>
      </w:r>
      <w:r w:rsidR="00807284" w:rsidRPr="004A6730">
        <w:t xml:space="preserve"> LHD</w:t>
      </w:r>
      <w:r w:rsidRPr="004A6730">
        <w:t>’s GL was $909 million.</w:t>
      </w:r>
    </w:p>
    <w:p w14:paraId="1E073488" w14:textId="77777777" w:rsidR="00A0191F" w:rsidRPr="004A6730" w:rsidRDefault="00A0191F" w:rsidP="006044E0">
      <w:pPr>
        <w:pStyle w:val="ListParagraph"/>
        <w:numPr>
          <w:ilvl w:val="1"/>
          <w:numId w:val="9"/>
        </w:numPr>
      </w:pPr>
      <w:r w:rsidRPr="004A6730">
        <w:t>Their submitted costs to the NHCDC were $549 million (representing 2.5% of NSW costs).</w:t>
      </w:r>
    </w:p>
    <w:p w14:paraId="1576F643" w14:textId="77777777" w:rsidR="00A0191F" w:rsidRPr="005D1D70" w:rsidRDefault="00A0191F" w:rsidP="006044E0">
      <w:pPr>
        <w:pStyle w:val="ListParagraph"/>
        <w:numPr>
          <w:ilvl w:val="1"/>
          <w:numId w:val="9"/>
        </w:numPr>
      </w:pPr>
      <w:r w:rsidRPr="004A6730">
        <w:t xml:space="preserve">Overall, Murrumbidgee </w:t>
      </w:r>
      <w:r w:rsidRPr="005D1D70">
        <w:t>LHD submitted 60% of their GL to the NHCDC</w:t>
      </w:r>
      <w:r>
        <w:t>.</w:t>
      </w:r>
    </w:p>
    <w:p w14:paraId="0FD22C4E" w14:textId="4D4C1E68" w:rsidR="00A0191F" w:rsidRPr="005D1D70" w:rsidRDefault="00A0191F" w:rsidP="006044E0">
      <w:pPr>
        <w:pStyle w:val="ListParagraph"/>
        <w:numPr>
          <w:ilvl w:val="1"/>
          <w:numId w:val="9"/>
        </w:numPr>
      </w:pPr>
      <w:r w:rsidRPr="005D1D70">
        <w:t>$360 million costs (40% of GL) were not included in NHCDC submissions for a variety of reasons, as set out in the waterfall below</w:t>
      </w:r>
      <w:r>
        <w:t>.</w:t>
      </w:r>
    </w:p>
    <w:p w14:paraId="0B799684" w14:textId="4D5B820F" w:rsidR="008B020F" w:rsidRDefault="00335825" w:rsidP="00D5132D">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9</w:t>
      </w:r>
      <w:r w:rsidR="00BD5B5E">
        <w:fldChar w:fldCharType="end"/>
      </w:r>
      <w:r>
        <w:t xml:space="preserve">: </w:t>
      </w:r>
      <w:r w:rsidRPr="00E35BFD">
        <w:t xml:space="preserve">Waterfall from GL to NHCDC submitted costs </w:t>
      </w:r>
      <w:r w:rsidR="00D943E0">
        <w:t>–</w:t>
      </w:r>
      <w:r w:rsidRPr="00E35BFD">
        <w:t xml:space="preserve"> Murrumbidgee LHD</w:t>
      </w:r>
    </w:p>
    <w:p w14:paraId="711F9CC4" w14:textId="223C6431" w:rsidR="001A2F81" w:rsidRPr="001A2F81" w:rsidRDefault="006646DE" w:rsidP="001A2F81">
      <w:r>
        <w:rPr>
          <w:noProof/>
        </w:rPr>
        <mc:AlternateContent>
          <mc:Choice Requires="cx1">
            <w:drawing>
              <wp:inline distT="0" distB="0" distL="0" distR="0" wp14:anchorId="2BA03FDD" wp14:editId="44E88AAB">
                <wp:extent cx="5731510" cy="2873829"/>
                <wp:effectExtent l="0" t="0" r="2540" b="3175"/>
                <wp:docPr id="640089609" name="Chart 1" descr="P1106#y1">
                  <a:extLst xmlns:a="http://schemas.openxmlformats.org/drawingml/2006/main">
                    <a:ext uri="{FF2B5EF4-FFF2-40B4-BE49-F238E27FC236}">
                      <a16:creationId xmlns:a16="http://schemas.microsoft.com/office/drawing/2014/main" id="{850690FC-5896-42DE-A9EC-41EB07CFC6F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inline>
            </w:drawing>
          </mc:Choice>
          <mc:Fallback>
            <w:drawing>
              <wp:inline distT="0" distB="0" distL="0" distR="0" wp14:anchorId="2BA03FDD" wp14:editId="44E88AAB">
                <wp:extent cx="5731510" cy="2873829"/>
                <wp:effectExtent l="0" t="0" r="2540" b="3175"/>
                <wp:docPr id="640089609" name="Chart 1" descr="The image is a waterfall chart showing adjustments from initial GL to final submitted costs. Starting value: Murrumbidgee GL is $909M. Inclusions add $24M; Exclusions subtract $0M; Restated GL is $933M. Jurisdictional adjustments subtract $3M; Inclusions (Escalations) add $26M; Out of Scope subtract $2M; Inter Jurisdiction Transfer subtract $30M; Other exclusions subtract $126M; WIP subtract $126M; Non ABF subtract $123M. Final submitted to IHACPA is $549M.">
                  <a:extLst xmlns:a="http://schemas.openxmlformats.org/drawingml/2006/main">
                    <a:ext uri="{FF2B5EF4-FFF2-40B4-BE49-F238E27FC236}">
                      <a16:creationId xmlns:a16="http://schemas.microsoft.com/office/drawing/2014/main" id="{850690FC-5896-42DE-A9EC-41EB07CFC6F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40089609" name="Chart 1" descr="The image is a waterfall chart showing adjustments from initial GL to final submitted costs. Starting value: Murrumbidgee GL is $909M. Inclusions add $24M; Exclusions subtract $0M; Restated GL is $933M. Jurisdictional adjustments subtract $3M; Inclusions (Escalations) add $26M; Out of Scope subtract $2M; Inter Jurisdiction Transfer subtract $30M; Other exclusions subtract $126M; WIP subtract $126M; Non ABF subtract $123M. Final submitted to IHACPA is $549M.">
                          <a:extLst>
                            <a:ext uri="{FF2B5EF4-FFF2-40B4-BE49-F238E27FC236}">
                              <a16:creationId xmlns:a16="http://schemas.microsoft.com/office/drawing/2014/main" id="{850690FC-5896-42DE-A9EC-41EB07CFC6FF}"/>
                            </a:ext>
                          </a:extLst>
                        </pic:cNvPr>
                        <pic:cNvPicPr>
                          <a:picLocks noGrp="1" noRot="1" noChangeAspect="1" noMove="1" noResize="1" noEditPoints="1" noAdjustHandles="1" noChangeArrowheads="1" noChangeShapeType="1"/>
                        </pic:cNvPicPr>
                      </pic:nvPicPr>
                      <pic:blipFill>
                        <a:blip r:embed="rId53"/>
                        <a:stretch>
                          <a:fillRect/>
                        </a:stretch>
                      </pic:blipFill>
                      <pic:spPr>
                        <a:xfrm>
                          <a:off x="0" y="0"/>
                          <a:ext cx="5731510" cy="2873375"/>
                        </a:xfrm>
                        <a:prstGeom prst="rect">
                          <a:avLst/>
                        </a:prstGeom>
                      </pic:spPr>
                    </pic:pic>
                  </a:graphicData>
                </a:graphic>
              </wp:inline>
            </w:drawing>
          </mc:Fallback>
        </mc:AlternateContent>
      </w:r>
    </w:p>
    <w:p w14:paraId="51BF7F2B" w14:textId="1FC798AA" w:rsidR="00265C6A" w:rsidRPr="0046606B" w:rsidRDefault="00265C6A" w:rsidP="00151BB6">
      <w:r w:rsidRPr="0046606B">
        <w:t xml:space="preserve">This section discusses adjustments from the </w:t>
      </w:r>
      <w:r>
        <w:t>GL</w:t>
      </w:r>
      <w:r w:rsidRPr="0046606B">
        <w:t xml:space="preserve"> of </w:t>
      </w:r>
      <w:r>
        <w:t>Murrumbidgee LHD</w:t>
      </w:r>
      <w:r w:rsidRPr="0046606B">
        <w:t>, through to the costed products ($) submitted to IHACPA in the NHCDC submission.</w:t>
      </w:r>
    </w:p>
    <w:p w14:paraId="144912B6" w14:textId="7E234004" w:rsidR="009C3976" w:rsidRPr="00F31F6A" w:rsidRDefault="009C3976" w:rsidP="00F31F6A">
      <w:pPr>
        <w:pStyle w:val="ListParagraph"/>
        <w:numPr>
          <w:ilvl w:val="0"/>
          <w:numId w:val="9"/>
        </w:numPr>
        <w:rPr>
          <w:b/>
          <w:bCs/>
        </w:rPr>
      </w:pPr>
      <w:r w:rsidRPr="00F31F6A">
        <w:rPr>
          <w:b/>
          <w:bCs/>
        </w:rPr>
        <w:t>Inclusions</w:t>
      </w:r>
      <w:r w:rsidR="00E915BD" w:rsidRPr="00F31F6A">
        <w:rPr>
          <w:b/>
          <w:bCs/>
        </w:rPr>
        <w:t xml:space="preserve"> – </w:t>
      </w:r>
      <w:r w:rsidR="00E915BD">
        <w:t xml:space="preserve">Murrumbidgee </w:t>
      </w:r>
      <w:r w:rsidR="00220457">
        <w:t xml:space="preserve">LHD </w:t>
      </w:r>
      <w:r w:rsidR="00E915BD">
        <w:t>added</w:t>
      </w:r>
      <w:r w:rsidR="00836358">
        <w:t xml:space="preserve"> $17 million for medical indemnity</w:t>
      </w:r>
      <w:r w:rsidR="00F31F6A">
        <w:t xml:space="preserve"> and $7 million for </w:t>
      </w:r>
      <w:r w:rsidR="00F31F6A" w:rsidRPr="00F31F6A">
        <w:t>e</w:t>
      </w:r>
      <w:r w:rsidRPr="00EC0C63">
        <w:t>Health special project</w:t>
      </w:r>
      <w:r w:rsidR="00F31F6A">
        <w:t xml:space="preserve"> ex</w:t>
      </w:r>
      <w:r w:rsidR="009F1B2C">
        <w:t>penditure.</w:t>
      </w:r>
    </w:p>
    <w:p w14:paraId="32D203BE" w14:textId="47386CF3" w:rsidR="009C3976" w:rsidRPr="00021AA5" w:rsidRDefault="009C3976" w:rsidP="00021AA5">
      <w:pPr>
        <w:pStyle w:val="ListParagraph"/>
        <w:numPr>
          <w:ilvl w:val="0"/>
          <w:numId w:val="9"/>
        </w:numPr>
        <w:rPr>
          <w:b/>
          <w:bCs/>
        </w:rPr>
      </w:pPr>
      <w:r w:rsidRPr="009C3976">
        <w:rPr>
          <w:b/>
          <w:bCs/>
        </w:rPr>
        <w:t>Jurisdiction Adjustment</w:t>
      </w:r>
      <w:r w:rsidR="00021AA5">
        <w:rPr>
          <w:b/>
          <w:bCs/>
        </w:rPr>
        <w:t xml:space="preserve"> </w:t>
      </w:r>
      <w:r w:rsidR="00220457" w:rsidRPr="00151BB6">
        <w:t xml:space="preserve">- </w:t>
      </w:r>
      <w:r w:rsidR="00021AA5">
        <w:t>$</w:t>
      </w:r>
      <w:r w:rsidR="00021AA5" w:rsidRPr="00EC0C63">
        <w:t>3 million was excluded due to being a prior year cost for parental leave liabilities.</w:t>
      </w:r>
      <w:r w:rsidR="00021AA5">
        <w:rPr>
          <w:b/>
          <w:bCs/>
        </w:rPr>
        <w:t xml:space="preserve"> </w:t>
      </w:r>
    </w:p>
    <w:p w14:paraId="247B5545" w14:textId="5AB89326" w:rsidR="009C3976" w:rsidRPr="003912F5" w:rsidRDefault="009C3976" w:rsidP="003912F5">
      <w:pPr>
        <w:pStyle w:val="ListParagraph"/>
        <w:numPr>
          <w:ilvl w:val="0"/>
          <w:numId w:val="9"/>
        </w:numPr>
        <w:rPr>
          <w:b/>
          <w:bCs/>
        </w:rPr>
      </w:pPr>
      <w:r w:rsidRPr="00021AA5">
        <w:rPr>
          <w:b/>
          <w:bCs/>
        </w:rPr>
        <w:t>Inclusions (Escalations)</w:t>
      </w:r>
      <w:r w:rsidR="00021AA5">
        <w:rPr>
          <w:b/>
          <w:bCs/>
        </w:rPr>
        <w:t xml:space="preserve"> </w:t>
      </w:r>
      <w:r w:rsidR="00021AA5" w:rsidRPr="00EC0C63">
        <w:t xml:space="preserve">- </w:t>
      </w:r>
      <w:r w:rsidRPr="00EC0C63">
        <w:t>$</w:t>
      </w:r>
      <w:r w:rsidR="00021AA5" w:rsidRPr="00EC0C63">
        <w:t>26</w:t>
      </w:r>
      <w:r w:rsidR="0077028E">
        <w:t xml:space="preserve"> million included</w:t>
      </w:r>
      <w:r w:rsidRPr="00EC0C63">
        <w:t xml:space="preserve"> for patients admitted in prior years, discharged in 2023-24</w:t>
      </w:r>
      <w:r w:rsidR="0049173C">
        <w:t>.</w:t>
      </w:r>
    </w:p>
    <w:p w14:paraId="0D1B8A89" w14:textId="75F1EFB8" w:rsidR="009C3976" w:rsidRPr="00FB5277" w:rsidRDefault="009C3976" w:rsidP="00FB5277">
      <w:pPr>
        <w:pStyle w:val="ListParagraph"/>
        <w:numPr>
          <w:ilvl w:val="0"/>
          <w:numId w:val="9"/>
        </w:numPr>
        <w:rPr>
          <w:b/>
          <w:bCs/>
        </w:rPr>
      </w:pPr>
      <w:r w:rsidRPr="00FB5277">
        <w:rPr>
          <w:b/>
          <w:bCs/>
        </w:rPr>
        <w:t>Out-of-Scope</w:t>
      </w:r>
      <w:r w:rsidR="00021AA5" w:rsidRPr="00FB5277">
        <w:rPr>
          <w:b/>
          <w:bCs/>
        </w:rPr>
        <w:t xml:space="preserve"> costs </w:t>
      </w:r>
      <w:r w:rsidR="0077028E">
        <w:t>-</w:t>
      </w:r>
      <w:r w:rsidR="00021AA5" w:rsidRPr="00EC0C63">
        <w:t xml:space="preserve"> </w:t>
      </w:r>
      <w:r w:rsidR="00FB5277" w:rsidRPr="00EC0C63">
        <w:t xml:space="preserve">$2 million were excluded, primarily comprising </w:t>
      </w:r>
      <w:r w:rsidRPr="00EC0C63">
        <w:t xml:space="preserve">items not mapped to </w:t>
      </w:r>
      <w:r w:rsidR="0077028E">
        <w:t xml:space="preserve">an </w:t>
      </w:r>
      <w:r w:rsidRPr="00EC0C63">
        <w:t>NHCDC Cost Centre.</w:t>
      </w:r>
    </w:p>
    <w:p w14:paraId="5D36FFB9" w14:textId="5D865AA8" w:rsidR="009C3976" w:rsidRPr="00EC0C63" w:rsidRDefault="009C3976" w:rsidP="00E47550">
      <w:pPr>
        <w:pStyle w:val="ListParagraph"/>
        <w:numPr>
          <w:ilvl w:val="0"/>
          <w:numId w:val="9"/>
        </w:numPr>
      </w:pPr>
      <w:r w:rsidRPr="00E47550">
        <w:rPr>
          <w:b/>
          <w:bCs/>
        </w:rPr>
        <w:t>Inter-Jurisdiction Transfer</w:t>
      </w:r>
      <w:r w:rsidR="00A403DF" w:rsidRPr="00E47550">
        <w:rPr>
          <w:b/>
          <w:bCs/>
        </w:rPr>
        <w:t xml:space="preserve"> </w:t>
      </w:r>
      <w:r w:rsidR="0077028E">
        <w:t>-</w:t>
      </w:r>
      <w:r w:rsidR="0077028E" w:rsidRPr="00EC0C63">
        <w:t xml:space="preserve"> </w:t>
      </w:r>
      <w:r w:rsidR="00A403DF" w:rsidRPr="00EC0C63">
        <w:t>$30 million relating to Community Mental Health reported separately</w:t>
      </w:r>
      <w:r w:rsidR="00E47550" w:rsidRPr="00EC0C63">
        <w:t xml:space="preserve"> via LHN199.</w:t>
      </w:r>
    </w:p>
    <w:p w14:paraId="21FD3CCB" w14:textId="0650BFC4" w:rsidR="009C3976" w:rsidRPr="00E47550" w:rsidRDefault="009C3976" w:rsidP="00E47550">
      <w:pPr>
        <w:pStyle w:val="ListParagraph"/>
        <w:numPr>
          <w:ilvl w:val="0"/>
          <w:numId w:val="9"/>
        </w:numPr>
        <w:rPr>
          <w:b/>
          <w:bCs/>
        </w:rPr>
      </w:pPr>
      <w:r w:rsidRPr="00E47550">
        <w:rPr>
          <w:b/>
          <w:bCs/>
        </w:rPr>
        <w:t xml:space="preserve">Other Exclusions </w:t>
      </w:r>
      <w:r w:rsidR="00316D21">
        <w:rPr>
          <w:b/>
          <w:bCs/>
        </w:rPr>
        <w:t xml:space="preserve">- </w:t>
      </w:r>
      <w:r w:rsidR="00E47550" w:rsidRPr="00EC0C63">
        <w:t>totalled</w:t>
      </w:r>
      <w:r w:rsidR="00805D2B">
        <w:t xml:space="preserve"> $126 million </w:t>
      </w:r>
      <w:r w:rsidR="004744F0">
        <w:t xml:space="preserve">relating to </w:t>
      </w:r>
      <w:r w:rsidR="006B4CC7">
        <w:t xml:space="preserve">unlinked costs ($68 million); </w:t>
      </w:r>
      <w:r w:rsidR="00950F0E">
        <w:t>program</w:t>
      </w:r>
      <w:r w:rsidR="003B70FC">
        <w:noBreakHyphen/>
      </w:r>
      <w:r w:rsidR="00950F0E">
        <w:t xml:space="preserve">level </w:t>
      </w:r>
      <w:r w:rsidR="006B4CC7">
        <w:t xml:space="preserve">‘Z’ encounters </w:t>
      </w:r>
      <w:r w:rsidR="00950F0E">
        <w:t>($</w:t>
      </w:r>
      <w:r w:rsidR="00B53207">
        <w:t>52 million) and $7 million other non-patient level exclusions including unmatched pathology, imaging, pharmacy and prostheses costs.</w:t>
      </w:r>
    </w:p>
    <w:p w14:paraId="41A2BB53" w14:textId="4E6164E7" w:rsidR="009C3976" w:rsidRPr="00B53207" w:rsidRDefault="009C3976" w:rsidP="00B53207">
      <w:pPr>
        <w:pStyle w:val="ListParagraph"/>
        <w:numPr>
          <w:ilvl w:val="0"/>
          <w:numId w:val="9"/>
        </w:numPr>
        <w:rPr>
          <w:b/>
          <w:bCs/>
        </w:rPr>
      </w:pPr>
      <w:r w:rsidRPr="00B53207">
        <w:rPr>
          <w:b/>
          <w:bCs/>
        </w:rPr>
        <w:t>WIP</w:t>
      </w:r>
      <w:r w:rsidR="00B53207">
        <w:rPr>
          <w:b/>
          <w:bCs/>
        </w:rPr>
        <w:t xml:space="preserve"> costs</w:t>
      </w:r>
      <w:r w:rsidR="00B53207" w:rsidRPr="00EC0C63">
        <w:t xml:space="preserve"> </w:t>
      </w:r>
      <w:r w:rsidR="003B70FC">
        <w:t>-</w:t>
      </w:r>
      <w:r w:rsidR="003B70FC" w:rsidRPr="00EC0C63">
        <w:t xml:space="preserve"> </w:t>
      </w:r>
      <w:r w:rsidRPr="00EC0C63">
        <w:t>$12</w:t>
      </w:r>
      <w:r w:rsidR="00B53207" w:rsidRPr="00EC0C63">
        <w:t>6</w:t>
      </w:r>
      <w:r w:rsidR="003B70FC">
        <w:t xml:space="preserve"> million</w:t>
      </w:r>
      <w:r w:rsidRPr="00EC0C63">
        <w:t xml:space="preserve"> for patients not discharged by 30 June 2024</w:t>
      </w:r>
      <w:r w:rsidR="00B53207" w:rsidRPr="00EC0C63">
        <w:t xml:space="preserve"> were excluded</w:t>
      </w:r>
      <w:r w:rsidR="00FC2765">
        <w:t>.</w:t>
      </w:r>
    </w:p>
    <w:p w14:paraId="62F2DDA3" w14:textId="0968E29D" w:rsidR="009C3976" w:rsidRPr="0049173C" w:rsidRDefault="009C3976" w:rsidP="0049173C">
      <w:pPr>
        <w:pStyle w:val="ListParagraph"/>
        <w:numPr>
          <w:ilvl w:val="0"/>
          <w:numId w:val="9"/>
        </w:numPr>
        <w:rPr>
          <w:b/>
          <w:bCs/>
        </w:rPr>
      </w:pPr>
      <w:r w:rsidRPr="009C3976">
        <w:rPr>
          <w:b/>
          <w:bCs/>
        </w:rPr>
        <w:t>Non-ABF</w:t>
      </w:r>
      <w:r w:rsidR="00B53207">
        <w:rPr>
          <w:b/>
          <w:bCs/>
        </w:rPr>
        <w:t xml:space="preserve"> </w:t>
      </w:r>
      <w:r w:rsidR="003B70FC">
        <w:rPr>
          <w:b/>
          <w:bCs/>
        </w:rPr>
        <w:t xml:space="preserve">- </w:t>
      </w:r>
      <w:r w:rsidR="0049173C" w:rsidRPr="00EC0C63">
        <w:t xml:space="preserve">$123 million </w:t>
      </w:r>
      <w:r w:rsidR="003B70FC">
        <w:t xml:space="preserve">of costs </w:t>
      </w:r>
      <w:r w:rsidR="0049173C" w:rsidRPr="00EC0C63">
        <w:t>were excluded.</w:t>
      </w:r>
    </w:p>
    <w:p w14:paraId="599892F5" w14:textId="428987D7" w:rsidR="00A0191F" w:rsidRDefault="00830D55" w:rsidP="00830D55">
      <w:pPr>
        <w:pStyle w:val="Heading3"/>
      </w:pPr>
      <w:r>
        <w:lastRenderedPageBreak/>
        <w:t>ICU and Critical Care Focused Review</w:t>
      </w:r>
    </w:p>
    <w:p w14:paraId="4924C1EB" w14:textId="486CFA1A" w:rsidR="00175374" w:rsidRPr="000B39C2" w:rsidRDefault="001E6406" w:rsidP="00175374">
      <w:r>
        <w:rPr>
          <w:noProof/>
        </w:rPr>
        <mc:AlternateContent>
          <mc:Choice Requires="wpg">
            <w:drawing>
              <wp:anchor distT="0" distB="0" distL="114300" distR="114300" simplePos="0" relativeHeight="251658324" behindDoc="0" locked="0" layoutInCell="1" allowOverlap="1" wp14:anchorId="106960CA" wp14:editId="5F5F3C17">
                <wp:simplePos x="0" y="0"/>
                <wp:positionH relativeFrom="column">
                  <wp:posOffset>2705100</wp:posOffset>
                </wp:positionH>
                <wp:positionV relativeFrom="paragraph">
                  <wp:posOffset>17145</wp:posOffset>
                </wp:positionV>
                <wp:extent cx="3200400" cy="3342005"/>
                <wp:effectExtent l="0" t="0" r="0" b="0"/>
                <wp:wrapSquare wrapText="bothSides"/>
                <wp:docPr id="1534539248" name="Group 1" descr="P1117#y1"/>
                <wp:cNvGraphicFramePr/>
                <a:graphic xmlns:a="http://schemas.openxmlformats.org/drawingml/2006/main">
                  <a:graphicData uri="http://schemas.microsoft.com/office/word/2010/wordprocessingGroup">
                    <wpg:wgp>
                      <wpg:cNvGrpSpPr/>
                      <wpg:grpSpPr>
                        <a:xfrm>
                          <a:off x="0" y="0"/>
                          <a:ext cx="3200400" cy="3342005"/>
                          <a:chOff x="0" y="0"/>
                          <a:chExt cx="3200400" cy="3342005"/>
                        </a:xfrm>
                      </wpg:grpSpPr>
                      <pic:pic xmlns:pic="http://schemas.openxmlformats.org/drawingml/2006/picture">
                        <pic:nvPicPr>
                          <pic:cNvPr id="211381079" name="Picture 1" descr="A medical services informational chart&#10;&#10;AI-generated content may be incorrect."/>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266700"/>
                            <a:ext cx="3124200" cy="3075305"/>
                          </a:xfrm>
                          <a:prstGeom prst="rect">
                            <a:avLst/>
                          </a:prstGeom>
                        </pic:spPr>
                      </pic:pic>
                      <wps:wsp>
                        <wps:cNvPr id="1071811605" name="Text Box 1"/>
                        <wps:cNvSpPr txBox="1"/>
                        <wps:spPr>
                          <a:xfrm>
                            <a:off x="76200" y="0"/>
                            <a:ext cx="3124200" cy="197485"/>
                          </a:xfrm>
                          <a:prstGeom prst="rect">
                            <a:avLst/>
                          </a:prstGeom>
                          <a:solidFill>
                            <a:prstClr val="white"/>
                          </a:solidFill>
                          <a:ln>
                            <a:noFill/>
                          </a:ln>
                        </wps:spPr>
                        <wps:txbx>
                          <w:txbxContent>
                            <w:p w14:paraId="4D7848D4" w14:textId="28A4028E" w:rsidR="002D2EC5" w:rsidRPr="004C11B6" w:rsidRDefault="002D2EC5" w:rsidP="00EC0C63">
                              <w:pPr>
                                <w:pStyle w:val="Caption"/>
                              </w:pPr>
                              <w:r>
                                <w:t xml:space="preserve">Figure </w:t>
                              </w:r>
                              <w:r w:rsidR="00BD5B5E">
                                <w:fldChar w:fldCharType="begin"/>
                              </w:r>
                              <w:r w:rsidR="00BD5B5E">
                                <w:instrText xml:space="preserve"> SEQ Figure \* ARABIC </w:instrText>
                              </w:r>
                              <w:r w:rsidR="00BD5B5E">
                                <w:fldChar w:fldCharType="separate"/>
                              </w:r>
                              <w:r w:rsidR="00CE6F96">
                                <w:rPr>
                                  <w:noProof/>
                                </w:rPr>
                                <w:t>10</w:t>
                              </w:r>
                              <w:r w:rsidR="00BD5B5E">
                                <w:fldChar w:fldCharType="end"/>
                              </w:r>
                              <w:r>
                                <w:t xml:space="preserve"> : Critical </w:t>
                              </w:r>
                              <w:r w:rsidR="009746AA">
                                <w:t>c</w:t>
                              </w:r>
                              <w:r>
                                <w:t xml:space="preserve">are </w:t>
                              </w:r>
                              <w:r w:rsidR="009746AA">
                                <w:t>s</w:t>
                              </w:r>
                              <w:r>
                                <w:t>ervices at NSW</w:t>
                              </w:r>
                              <w:r w:rsidR="009746AA">
                                <w:t xml:space="preserve"> </w:t>
                              </w:r>
                              <w:r>
                                <w:t>participating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6960CA" id="_x0000_s1103" alt="P1117#y1" style="position:absolute;margin-left:213pt;margin-top:1.35pt;width:252pt;height:263.15pt;z-index:251658324;mso-position-horizontal-relative:text;mso-position-vertical-relative:text" coordsize="32004,3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">
                <v:shape id="Picture 1" o:spid="_x0000_s1104" type="#_x0000_t75" alt="A medical services informational chart&#10;&#10;AI-generated content may be incorrect." style="position:absolute;top:2667;width:31242;height:3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">
                  <v:imagedata r:id="rId55" o:title="A medical services informational chart&#10;&#10;AI-generated content may be incorrect"/>
                </v:shape>
                <v:shape id="_x0000_s1105" type="#_x0000_t202" style="position:absolute;left:762;width:31242;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" stroked="f">
                  <v:textbox inset="0,0,0,0">
                    <w:txbxContent>
                      <w:p w14:paraId="4D7848D4" w14:textId="28A4028E" w:rsidR="002D2EC5" w:rsidRPr="004C11B6" w:rsidRDefault="002D2EC5" w:rsidP="00EC0C63">
                        <w:pPr>
                          <w:pStyle w:val="Caption"/>
                        </w:pPr>
                        <w:r>
                          <w:t xml:space="preserve">Figure </w:t>
                        </w:r>
                        <w:r w:rsidR="00BD5B5E">
                          <w:fldChar w:fldCharType="begin"/>
                        </w:r>
                        <w:r w:rsidR="00BD5B5E">
                          <w:instrText xml:space="preserve"> SEQ Figure \* ARABIC </w:instrText>
                        </w:r>
                        <w:r w:rsidR="00BD5B5E">
                          <w:fldChar w:fldCharType="separate"/>
                        </w:r>
                        <w:r w:rsidR="00CE6F96">
                          <w:rPr>
                            <w:noProof/>
                          </w:rPr>
                          <w:t>10</w:t>
                        </w:r>
                        <w:r w:rsidR="00BD5B5E">
                          <w:fldChar w:fldCharType="end"/>
                        </w:r>
                        <w:r>
                          <w:t xml:space="preserve"> : Critical </w:t>
                        </w:r>
                        <w:r w:rsidR="009746AA">
                          <w:t>c</w:t>
                        </w:r>
                        <w:r>
                          <w:t xml:space="preserve">are </w:t>
                        </w:r>
                        <w:r w:rsidR="009746AA">
                          <w:t>s</w:t>
                        </w:r>
                        <w:r>
                          <w:t>ervices at NSW</w:t>
                        </w:r>
                        <w:r w:rsidR="009746AA">
                          <w:t xml:space="preserve"> </w:t>
                        </w:r>
                        <w:r>
                          <w:t>participating sites</w:t>
                        </w:r>
                      </w:p>
                    </w:txbxContent>
                  </v:textbox>
                </v:shape>
                <w10:wrap type="square"/>
              </v:group>
            </w:pict>
          </mc:Fallback>
        </mc:AlternateContent>
      </w:r>
      <w:r w:rsidR="00175374" w:rsidRPr="000B39C2">
        <w:t>John Hunter Hospital is a metropolitan facility in Newcastle. Its critical care services include:</w:t>
      </w:r>
      <w:r w:rsidR="002E2C36" w:rsidRPr="002E2C36">
        <w:rPr>
          <w:noProof/>
        </w:rPr>
        <w:t xml:space="preserve"> </w:t>
      </w:r>
    </w:p>
    <w:p w14:paraId="22301DA7" w14:textId="17CA5BB5" w:rsidR="00175374" w:rsidRPr="000B39C2" w:rsidRDefault="00450BD2" w:rsidP="000B39C2">
      <w:pPr>
        <w:pStyle w:val="ListParagraph"/>
        <w:numPr>
          <w:ilvl w:val="0"/>
          <w:numId w:val="9"/>
        </w:numPr>
      </w:pPr>
      <w:r>
        <w:t>Neonatal Intensive Care Unit (</w:t>
      </w:r>
      <w:r w:rsidR="00175374" w:rsidRPr="000B39C2">
        <w:t>NICU</w:t>
      </w:r>
      <w:r>
        <w:t>)</w:t>
      </w:r>
      <w:r w:rsidR="00175374" w:rsidRPr="000B39C2">
        <w:t xml:space="preserve"> is part of John Hunter Children’s Hospital</w:t>
      </w:r>
      <w:r>
        <w:t>.</w:t>
      </w:r>
      <w:r w:rsidR="00175374" w:rsidRPr="000B39C2">
        <w:t xml:space="preserve"> The NICU ward consists </w:t>
      </w:r>
      <w:r w:rsidR="00175374" w:rsidRPr="007C648A">
        <w:t xml:space="preserve">of </w:t>
      </w:r>
      <w:r w:rsidR="00175374" w:rsidRPr="003C28DB">
        <w:t>4</w:t>
      </w:r>
      <w:r w:rsidR="00431692" w:rsidRPr="003C28DB">
        <w:t>4</w:t>
      </w:r>
      <w:r w:rsidR="00175374" w:rsidRPr="003C28DB" w:rsidDel="001352A9">
        <w:t xml:space="preserve"> </w:t>
      </w:r>
      <w:r w:rsidR="00175374" w:rsidRPr="003C28DB">
        <w:t>beds</w:t>
      </w:r>
      <w:r w:rsidR="00175374" w:rsidRPr="000B39C2">
        <w:t xml:space="preserve">,15 </w:t>
      </w:r>
      <w:r>
        <w:t>Intensive Care Unit (</w:t>
      </w:r>
      <w:r w:rsidR="00175374" w:rsidRPr="000B39C2">
        <w:t>ICU</w:t>
      </w:r>
      <w:r>
        <w:t>)</w:t>
      </w:r>
      <w:r w:rsidR="00175374" w:rsidRPr="000B39C2">
        <w:t xml:space="preserve"> beds, 5 Step Down or </w:t>
      </w:r>
      <w:r>
        <w:t>High Dependency Unit (</w:t>
      </w:r>
      <w:r w:rsidR="001D562E">
        <w:t>HDU</w:t>
      </w:r>
      <w:r>
        <w:t>)</w:t>
      </w:r>
      <w:r w:rsidR="00175374" w:rsidRPr="000B39C2">
        <w:t xml:space="preserve"> beds</w:t>
      </w:r>
      <w:r w:rsidR="00ED3E8B">
        <w:t>,</w:t>
      </w:r>
      <w:r w:rsidR="00175374" w:rsidRPr="000B39C2">
        <w:t xml:space="preserve"> and 24 </w:t>
      </w:r>
      <w:r w:rsidR="007C648A">
        <w:t>s</w:t>
      </w:r>
      <w:r w:rsidR="00EE4443">
        <w:t>pecial care nursery</w:t>
      </w:r>
      <w:r w:rsidR="00175374" w:rsidRPr="000B39C2">
        <w:t xml:space="preserve"> beds.</w:t>
      </w:r>
      <w:r w:rsidR="00175374" w:rsidRPr="000B39C2" w:rsidDel="00E212FB">
        <w:t xml:space="preserve"> </w:t>
      </w:r>
      <w:r w:rsidR="00175374" w:rsidRPr="000B39C2">
        <w:t xml:space="preserve">They also provide neonatal hospital in the home care services. </w:t>
      </w:r>
    </w:p>
    <w:p w14:paraId="2AEE5BDF" w14:textId="2AA8FE8D" w:rsidR="00175374" w:rsidRPr="000B39C2" w:rsidRDefault="00175374" w:rsidP="000B39C2">
      <w:pPr>
        <w:pStyle w:val="ListParagraph"/>
        <w:numPr>
          <w:ilvl w:val="0"/>
          <w:numId w:val="9"/>
        </w:numPr>
      </w:pPr>
      <w:r w:rsidRPr="000B39C2">
        <w:t xml:space="preserve">Adult ICU services (29 beds). It is designated as a Level 3 ICU and is the tertiary referral centre for Central Coast, Hunter New England regions and Mid North Coast. It is co-located with an 8 bed </w:t>
      </w:r>
      <w:r w:rsidR="00450BD2">
        <w:t>Paediatric ICU (</w:t>
      </w:r>
      <w:r w:rsidRPr="000B39C2">
        <w:t>PICU</w:t>
      </w:r>
      <w:r w:rsidR="00450BD2">
        <w:t>)</w:t>
      </w:r>
      <w:r w:rsidRPr="000B39C2">
        <w:t xml:space="preserve"> unit. ICU and PICU have shared staffing but separate care teams on a day</w:t>
      </w:r>
      <w:r w:rsidRPr="000B39C2">
        <w:noBreakHyphen/>
        <w:t>to-day basis, and costs are managed in the same cost centre.</w:t>
      </w:r>
    </w:p>
    <w:p w14:paraId="15474970" w14:textId="33D3396A" w:rsidR="00175374" w:rsidRPr="000B39C2" w:rsidRDefault="00175374" w:rsidP="000B39C2">
      <w:pPr>
        <w:pStyle w:val="ListParagraph"/>
        <w:numPr>
          <w:ilvl w:val="0"/>
          <w:numId w:val="9"/>
        </w:numPr>
      </w:pPr>
      <w:r w:rsidRPr="000B39C2">
        <w:t xml:space="preserve">The ICU clinicians provide some other services in addition to treating the patients in their ward. These include retrieval services (consults across a broad geographic area), </w:t>
      </w:r>
      <w:r w:rsidR="00450BD2">
        <w:t>medical emergency team (</w:t>
      </w:r>
      <w:r w:rsidRPr="000B39C2">
        <w:t>MET</w:t>
      </w:r>
      <w:r w:rsidR="00450BD2">
        <w:t>)</w:t>
      </w:r>
      <w:r w:rsidRPr="000B39C2">
        <w:t xml:space="preserve"> calls and rapid responses within the hospital and some emergency services. </w:t>
      </w:r>
    </w:p>
    <w:p w14:paraId="6AD915D7" w14:textId="6F0CBE7A" w:rsidR="00175374" w:rsidRPr="000B39C2" w:rsidRDefault="00175374" w:rsidP="000B39C2">
      <w:r w:rsidRPr="000B39C2">
        <w:t xml:space="preserve">Wagga Wagga </w:t>
      </w:r>
      <w:r w:rsidR="00AC2CB5">
        <w:t xml:space="preserve">Base Hospital (Wagga Wagga Hospital) </w:t>
      </w:r>
      <w:r w:rsidRPr="000B39C2">
        <w:t xml:space="preserve">is a regional NSW hospital. Its critical care services include: </w:t>
      </w:r>
    </w:p>
    <w:p w14:paraId="2527D63D" w14:textId="5E4A7A41" w:rsidR="00175374" w:rsidRPr="000B39C2" w:rsidRDefault="00C61CEB" w:rsidP="000B39C2">
      <w:pPr>
        <w:pStyle w:val="ListParagraph"/>
        <w:numPr>
          <w:ilvl w:val="0"/>
          <w:numId w:val="11"/>
        </w:numPr>
      </w:pPr>
      <w:r w:rsidRPr="000B39C2">
        <w:t xml:space="preserve">A </w:t>
      </w:r>
      <w:r w:rsidR="00175374" w:rsidRPr="000B39C2">
        <w:rPr>
          <w:rFonts w:hint="eastAsia"/>
        </w:rPr>
        <w:t>12</w:t>
      </w:r>
      <w:r w:rsidR="00235BA8" w:rsidRPr="000B39C2">
        <w:t>-</w:t>
      </w:r>
      <w:r w:rsidR="00175374" w:rsidRPr="000B39C2">
        <w:rPr>
          <w:rFonts w:hint="eastAsia"/>
        </w:rPr>
        <w:t>bed ICU</w:t>
      </w:r>
      <w:r w:rsidR="00235BA8" w:rsidRPr="000B39C2">
        <w:t>,</w:t>
      </w:r>
      <w:r w:rsidR="00175374" w:rsidRPr="000B39C2">
        <w:rPr>
          <w:rFonts w:hint="eastAsia"/>
        </w:rPr>
        <w:t xml:space="preserve"> and</w:t>
      </w:r>
    </w:p>
    <w:p w14:paraId="0452A2D4" w14:textId="70088643" w:rsidR="00175374" w:rsidRPr="000B39C2" w:rsidRDefault="00C61CEB" w:rsidP="000B39C2">
      <w:pPr>
        <w:pStyle w:val="ListParagraph"/>
        <w:numPr>
          <w:ilvl w:val="0"/>
          <w:numId w:val="11"/>
        </w:numPr>
      </w:pPr>
      <w:r w:rsidRPr="000B39C2">
        <w:t xml:space="preserve">A </w:t>
      </w:r>
      <w:r w:rsidR="00175374" w:rsidRPr="000B39C2">
        <w:rPr>
          <w:rFonts w:hint="eastAsia"/>
        </w:rPr>
        <w:t>10</w:t>
      </w:r>
      <w:r w:rsidR="00235BA8" w:rsidRPr="000B39C2">
        <w:t>-</w:t>
      </w:r>
      <w:r w:rsidR="00175374" w:rsidRPr="000B39C2">
        <w:rPr>
          <w:rFonts w:hint="eastAsia"/>
        </w:rPr>
        <w:t xml:space="preserve">bed </w:t>
      </w:r>
      <w:r w:rsidR="00BA7CE9">
        <w:t>coronary care unit (</w:t>
      </w:r>
      <w:r w:rsidR="00175374" w:rsidRPr="000B39C2">
        <w:t>CCU</w:t>
      </w:r>
      <w:r w:rsidR="00BA7CE9">
        <w:t>)</w:t>
      </w:r>
      <w:r w:rsidR="00175374" w:rsidRPr="000B39C2">
        <w:rPr>
          <w:rFonts w:hint="eastAsia"/>
        </w:rPr>
        <w:t>, co-located with 4 respiratory beds (out</w:t>
      </w:r>
      <w:r w:rsidR="00E46078" w:rsidRPr="000B39C2">
        <w:t>-</w:t>
      </w:r>
      <w:r w:rsidR="00175374" w:rsidRPr="000B39C2">
        <w:rPr>
          <w:rFonts w:hint="eastAsia"/>
        </w:rPr>
        <w:t>of</w:t>
      </w:r>
      <w:r w:rsidR="00E46078" w:rsidRPr="000B39C2">
        <w:t>-</w:t>
      </w:r>
      <w:r w:rsidR="00175374" w:rsidRPr="000B39C2">
        <w:rPr>
          <w:rFonts w:hint="eastAsia"/>
        </w:rPr>
        <w:t>scope for the purposes of this review).</w:t>
      </w:r>
    </w:p>
    <w:p w14:paraId="713D491F" w14:textId="77777777" w:rsidR="00175374" w:rsidRPr="000B39C2" w:rsidRDefault="00175374" w:rsidP="000B39C2">
      <w:pPr>
        <w:pStyle w:val="ListParagraph"/>
        <w:numPr>
          <w:ilvl w:val="0"/>
          <w:numId w:val="11"/>
        </w:numPr>
      </w:pPr>
      <w:r w:rsidRPr="000B39C2">
        <w:rPr>
          <w:rFonts w:hint="eastAsia"/>
        </w:rPr>
        <w:t xml:space="preserve">The ICU director and intensivists are also part of the rapid response team across the hospital and run </w:t>
      </w:r>
      <w:r w:rsidRPr="000B39C2">
        <w:t>Total Parenteral Nutrition (</w:t>
      </w:r>
      <w:r w:rsidRPr="000B39C2">
        <w:rPr>
          <w:rFonts w:hint="eastAsia"/>
        </w:rPr>
        <w:t>TPN</w:t>
      </w:r>
      <w:r w:rsidRPr="000B39C2">
        <w:t>)</w:t>
      </w:r>
      <w:r w:rsidRPr="000B39C2">
        <w:rPr>
          <w:rFonts w:hint="eastAsia"/>
        </w:rPr>
        <w:t xml:space="preserve"> clinics.</w:t>
      </w:r>
    </w:p>
    <w:p w14:paraId="1012C937" w14:textId="6E7182B5" w:rsidR="00830D55" w:rsidRPr="004A6730" w:rsidRDefault="00175374" w:rsidP="00175374">
      <w:r w:rsidRPr="000B39C2">
        <w:t>Both John Hunter Hospital and Wagga Wagga Hospital are Level 3 ICU facilities and meet the criteria</w:t>
      </w:r>
      <w:r w:rsidR="00CE6F96">
        <w:rPr>
          <w:rFonts w:ascii="ZWAdobeF" w:hAnsi="ZWAdobeF" w:cs="ZWAdobeF"/>
          <w:color w:val="auto"/>
          <w:sz w:val="2"/>
          <w:szCs w:val="2"/>
        </w:rPr>
        <w:t>13F</w:t>
      </w:r>
      <w:r w:rsidR="00CE69E4" w:rsidRPr="000B39C2">
        <w:rPr>
          <w:rStyle w:val="FootnoteReference"/>
        </w:rPr>
        <w:footnoteReference w:id="15"/>
      </w:r>
      <w:r w:rsidRPr="000B39C2">
        <w:t xml:space="preserve"> for </w:t>
      </w:r>
      <w:r w:rsidRPr="004A6730">
        <w:t xml:space="preserve">IHACPA’s ICU adjustment for the </w:t>
      </w:r>
      <w:r w:rsidR="00BA7CE9" w:rsidRPr="004A6730">
        <w:t>national efficient price (</w:t>
      </w:r>
      <w:r w:rsidR="00CE69E4" w:rsidRPr="004A6730">
        <w:t>NEP</w:t>
      </w:r>
      <w:r w:rsidR="00BA7CE9" w:rsidRPr="004A6730">
        <w:t>)</w:t>
      </w:r>
      <w:r w:rsidRPr="004A6730">
        <w:t>.</w:t>
      </w:r>
      <w:r w:rsidR="00126360" w:rsidRPr="004A6730">
        <w:t xml:space="preserve"> NSW considers ICUs on IHACPA’s list of L</w:t>
      </w:r>
      <w:r w:rsidR="00706178">
        <w:t xml:space="preserve">evel </w:t>
      </w:r>
      <w:r w:rsidR="00126360" w:rsidRPr="004A6730">
        <w:t xml:space="preserve">3 </w:t>
      </w:r>
      <w:r w:rsidR="00706178">
        <w:t xml:space="preserve">ICU </w:t>
      </w:r>
      <w:r w:rsidR="00126360" w:rsidRPr="004A6730">
        <w:t>facilities as ‘designated’.</w:t>
      </w:r>
    </w:p>
    <w:p w14:paraId="671CEAE9" w14:textId="6911CC73" w:rsidR="001D13A1" w:rsidRPr="00AD1F32" w:rsidRDefault="002E61D0" w:rsidP="003060BB">
      <w:pPr>
        <w:pStyle w:val="Heading4"/>
        <w:rPr>
          <w:color w:val="484B5D" w:themeColor="accent3"/>
        </w:rPr>
      </w:pPr>
      <w:r w:rsidRPr="00AD1F32">
        <w:rPr>
          <w:color w:val="484B5D" w:themeColor="accent3"/>
        </w:rPr>
        <w:lastRenderedPageBreak/>
        <w:t>Critical Care Cost and</w:t>
      </w:r>
      <w:r w:rsidR="001D13A1" w:rsidRPr="00AD1F32">
        <w:rPr>
          <w:color w:val="484B5D" w:themeColor="accent3"/>
        </w:rPr>
        <w:t xml:space="preserve"> Activity Reporting</w:t>
      </w:r>
    </w:p>
    <w:p w14:paraId="60BD237D" w14:textId="67BE4D9F" w:rsidR="002E61D0" w:rsidRPr="004A6730" w:rsidRDefault="002E61D0" w:rsidP="007D316B">
      <w:r w:rsidRPr="004A6730">
        <w:t xml:space="preserve">IHACPA provides definitions in its </w:t>
      </w:r>
      <w:r w:rsidR="006F202F" w:rsidRPr="004A6730">
        <w:t>D</w:t>
      </w:r>
      <w:r w:rsidRPr="004A6730">
        <w:t xml:space="preserve">ata </w:t>
      </w:r>
      <w:r w:rsidR="006F202F" w:rsidRPr="004A6730">
        <w:t>R</w:t>
      </w:r>
      <w:r w:rsidRPr="004A6730">
        <w:t xml:space="preserve">equest </w:t>
      </w:r>
      <w:r w:rsidR="006F202F" w:rsidRPr="004A6730">
        <w:t>S</w:t>
      </w:r>
      <w:r w:rsidRPr="004A6730">
        <w:t>pecification</w:t>
      </w:r>
      <w:r w:rsidR="007A286D" w:rsidRPr="004A6730">
        <w:t xml:space="preserve"> (DRS)</w:t>
      </w:r>
      <w:r w:rsidRPr="004A6730">
        <w:t xml:space="preserve"> for the reporting of critical care costs and activity. These include:</w:t>
      </w:r>
    </w:p>
    <w:p w14:paraId="530762BA" w14:textId="541F7D4D" w:rsidR="002E61D0" w:rsidRPr="007D316B" w:rsidRDefault="002E61D0" w:rsidP="007D316B">
      <w:pPr>
        <w:pStyle w:val="ListParagraph"/>
        <w:numPr>
          <w:ilvl w:val="0"/>
          <w:numId w:val="23"/>
        </w:numPr>
        <w:ind w:left="714" w:hanging="357"/>
        <w:rPr>
          <w:i/>
        </w:rPr>
      </w:pPr>
      <w:r w:rsidRPr="007D316B">
        <w:t>The N</w:t>
      </w:r>
      <w:r w:rsidRPr="006F202F">
        <w:t>H</w:t>
      </w:r>
      <w:r w:rsidRPr="00A47640">
        <w:t xml:space="preserve">CDC </w:t>
      </w:r>
      <w:r w:rsidR="006F202F">
        <w:t>P</w:t>
      </w:r>
      <w:r w:rsidRPr="00561545">
        <w:t xml:space="preserve">ublic </w:t>
      </w:r>
      <w:r w:rsidR="006F202F">
        <w:t>S</w:t>
      </w:r>
      <w:r w:rsidRPr="00561545">
        <w:t xml:space="preserve">ector DRS </w:t>
      </w:r>
      <w:r w:rsidRPr="007D316B">
        <w:rPr>
          <w:i/>
        </w:rPr>
        <w:t>Critical</w:t>
      </w:r>
      <w:r w:rsidRPr="00561545">
        <w:t xml:space="preserve"> </w:t>
      </w:r>
      <w:r w:rsidR="0036040A">
        <w:t xml:space="preserve">NHCDC </w:t>
      </w:r>
      <w:r w:rsidRPr="00561545">
        <w:t xml:space="preserve">Cost Centre Group contains 10 codes to capture the types of critical care costs: </w:t>
      </w:r>
      <w:r w:rsidRPr="007D316B">
        <w:rPr>
          <w:i/>
        </w:rPr>
        <w:t>Ccu, Hdicu, Aicu, Cticu, Gencritcare, Nicu, OtherCritCare, Paedicu, Psychicu, Scnicu.</w:t>
      </w:r>
    </w:p>
    <w:p w14:paraId="56ACA8A8" w14:textId="77777777" w:rsidR="009F76A1" w:rsidRPr="007D316B" w:rsidRDefault="002E61D0" w:rsidP="007D316B">
      <w:pPr>
        <w:pStyle w:val="ListParagraph"/>
        <w:numPr>
          <w:ilvl w:val="0"/>
          <w:numId w:val="23"/>
        </w:numPr>
      </w:pPr>
      <w:r w:rsidRPr="00A47640">
        <w:rPr>
          <w:iCs/>
        </w:rPr>
        <w:t>The ABF Admitted Patie</w:t>
      </w:r>
      <w:r w:rsidRPr="006F202F">
        <w:rPr>
          <w:iCs/>
        </w:rPr>
        <w:t>nt</w:t>
      </w:r>
      <w:r w:rsidRPr="007D316B">
        <w:t xml:space="preserve"> Care DRS contains </w:t>
      </w:r>
      <w:r w:rsidR="007A286D" w:rsidRPr="007D316B">
        <w:t>2</w:t>
      </w:r>
      <w:r w:rsidRPr="007D316B">
        <w:t xml:space="preserve"> data items for ICU hours. These are</w:t>
      </w:r>
      <w:r w:rsidR="009F76A1" w:rsidRPr="007D316B">
        <w:t>:</w:t>
      </w:r>
    </w:p>
    <w:p w14:paraId="5D122737" w14:textId="77777777" w:rsidR="009F76A1" w:rsidRPr="007D316B" w:rsidRDefault="002E61D0" w:rsidP="007D316B">
      <w:pPr>
        <w:pStyle w:val="ListParagraph"/>
        <w:numPr>
          <w:ilvl w:val="1"/>
          <w:numId w:val="23"/>
        </w:numPr>
      </w:pPr>
      <w:r w:rsidRPr="007D316B">
        <w:t xml:space="preserve"> </w:t>
      </w:r>
      <w:r w:rsidRPr="007D316B">
        <w:rPr>
          <w:i/>
        </w:rPr>
        <w:t>Length of stay in ICU</w:t>
      </w:r>
      <w:r w:rsidR="009F76A1" w:rsidRPr="007D316B">
        <w:rPr>
          <w:i/>
        </w:rPr>
        <w:t>,</w:t>
      </w:r>
      <w:r w:rsidRPr="007D316B">
        <w:t xml:space="preserve"> defined as the number of hours reported by a hospital with approved Adult ICU </w:t>
      </w:r>
      <w:r w:rsidR="00FE78B5" w:rsidRPr="007D316B">
        <w:t>L</w:t>
      </w:r>
      <w:r w:rsidRPr="007D316B">
        <w:t>evel 3 or Paediatric ICU</w:t>
      </w:r>
      <w:r w:rsidR="009F76A1" w:rsidRPr="007D316B">
        <w:t>, and</w:t>
      </w:r>
    </w:p>
    <w:p w14:paraId="5D635E1F" w14:textId="21565123" w:rsidR="002E61D0" w:rsidRPr="007D316B" w:rsidRDefault="002E61D0" w:rsidP="007D316B">
      <w:pPr>
        <w:pStyle w:val="ListParagraph"/>
        <w:numPr>
          <w:ilvl w:val="1"/>
          <w:numId w:val="23"/>
        </w:numPr>
      </w:pPr>
      <w:r w:rsidRPr="007D316B">
        <w:t>Length of stay in ICU</w:t>
      </w:r>
      <w:r w:rsidR="006079DF" w:rsidRPr="007D316B">
        <w:t xml:space="preserve"> </w:t>
      </w:r>
      <w:r w:rsidR="007D316B" w:rsidRPr="007D316B">
        <w:t>–</w:t>
      </w:r>
      <w:r w:rsidRPr="007D316B">
        <w:t xml:space="preserve"> Other</w:t>
      </w:r>
      <w:r w:rsidR="007D316B" w:rsidRPr="007D316B">
        <w:t>,</w:t>
      </w:r>
      <w:r w:rsidRPr="007D316B">
        <w:t xml:space="preserve"> defined as hours reported by hospitals with approved </w:t>
      </w:r>
      <w:r w:rsidR="00926621" w:rsidRPr="007D316B">
        <w:t>ICUs</w:t>
      </w:r>
      <w:r w:rsidRPr="007D316B">
        <w:t xml:space="preserve"> other than </w:t>
      </w:r>
      <w:r w:rsidR="00926621" w:rsidRPr="007D316B">
        <w:t>L</w:t>
      </w:r>
      <w:r w:rsidRPr="007D316B">
        <w:t>evel 3 or Paediatric ICU.</w:t>
      </w:r>
    </w:p>
    <w:p w14:paraId="481EC253" w14:textId="5716C7DE" w:rsidR="002E61D0" w:rsidRPr="007D316B" w:rsidRDefault="002E61D0" w:rsidP="007D316B">
      <w:r w:rsidRPr="007D316B">
        <w:t xml:space="preserve">One of the findings of this IFR was that the definitions and guidance for both </w:t>
      </w:r>
      <w:r w:rsidR="00E33FA7" w:rsidRPr="007D316B">
        <w:rPr>
          <w:i/>
        </w:rPr>
        <w:t>Critical</w:t>
      </w:r>
      <w:r w:rsidRPr="007D316B">
        <w:t xml:space="preserve"> </w:t>
      </w:r>
      <w:r w:rsidR="00E33FA7" w:rsidRPr="007D316B">
        <w:t>NHCDC</w:t>
      </w:r>
      <w:r w:rsidRPr="007D316B">
        <w:t xml:space="preserve"> </w:t>
      </w:r>
      <w:r w:rsidR="00FC2765">
        <w:t>C</w:t>
      </w:r>
      <w:r w:rsidRPr="007D316B">
        <w:t xml:space="preserve">ost </w:t>
      </w:r>
      <w:r w:rsidR="00586B7C">
        <w:t>C</w:t>
      </w:r>
      <w:r w:rsidRPr="007D316B">
        <w:t xml:space="preserve">entres and ICU hours require clarity and alignment to each other, as they are treated differently by every jurisdiction. This section of the </w:t>
      </w:r>
      <w:r w:rsidR="00666CE5">
        <w:t xml:space="preserve">IFR </w:t>
      </w:r>
      <w:r w:rsidRPr="007D316B">
        <w:t xml:space="preserve">report seeks to provide information on how </w:t>
      </w:r>
      <w:r w:rsidR="006079DF" w:rsidRPr="007D316B">
        <w:t>NSW</w:t>
      </w:r>
      <w:r w:rsidRPr="007D316B">
        <w:t xml:space="preserve"> is reporting this information, noting there is ambiguity in the current definitions.</w:t>
      </w:r>
    </w:p>
    <w:p w14:paraId="1C3FB1C2" w14:textId="369F5044" w:rsidR="006D19E8" w:rsidRPr="007D316B" w:rsidRDefault="006D19E8" w:rsidP="007D316B">
      <w:r w:rsidRPr="007D316B">
        <w:t>All NSW LHDs uses the ‘bed type’ for costing purposes: NSW has 10 bed types relating to critical care, shown in the table below.</w:t>
      </w:r>
    </w:p>
    <w:p w14:paraId="529331BF" w14:textId="2FB3046D" w:rsidR="006D19E8" w:rsidRPr="007D316B" w:rsidRDefault="006D19E8" w:rsidP="00953D99">
      <w:r w:rsidRPr="007D316B">
        <w:t>Bed types are allocated to the patient at the start of an episode. Where care needs increase</w:t>
      </w:r>
      <w:r w:rsidR="00223FD1">
        <w:t xml:space="preserve"> or decrease</w:t>
      </w:r>
      <w:r w:rsidRPr="007D316B">
        <w:t xml:space="preserve">, bed types will be changed to reflect </w:t>
      </w:r>
      <w:r w:rsidR="00223FD1">
        <w:t>the change in level of care</w:t>
      </w:r>
      <w:r w:rsidR="004E3D03">
        <w:t>.</w:t>
      </w:r>
      <w:r w:rsidRPr="007D316B">
        <w:t xml:space="preserve"> </w:t>
      </w:r>
    </w:p>
    <w:p w14:paraId="33649384" w14:textId="40FF2C24" w:rsidR="006D19E8" w:rsidRPr="007D316B" w:rsidRDefault="004E3D03" w:rsidP="00953D99">
      <w:r>
        <w:t xml:space="preserve">NSW reports ICU hours in line with IHACPA’s DRS for activity. </w:t>
      </w:r>
      <w:r w:rsidR="006D19E8" w:rsidRPr="007D316B">
        <w:t>Across the state, NSW has standard definitions for how ICU activity is reported under IHACPA’s 2 ICU activity fields:</w:t>
      </w:r>
    </w:p>
    <w:p w14:paraId="347BFDB4" w14:textId="7CF99F66" w:rsidR="006D19E8" w:rsidRPr="007D316B" w:rsidRDefault="006D19E8" w:rsidP="006044E0">
      <w:pPr>
        <w:pStyle w:val="ListParagraph"/>
        <w:numPr>
          <w:ilvl w:val="0"/>
          <w:numId w:val="23"/>
        </w:numPr>
      </w:pPr>
      <w:r w:rsidRPr="007D316B">
        <w:t>Bed Type of 91</w:t>
      </w:r>
      <w:r w:rsidR="00666CE5">
        <w:t xml:space="preserve"> </w:t>
      </w:r>
      <w:r w:rsidR="003A7949">
        <w:t xml:space="preserve">is used to report </w:t>
      </w:r>
      <w:r w:rsidR="003A7949" w:rsidRPr="00EC0C63">
        <w:rPr>
          <w:i/>
        </w:rPr>
        <w:t>Level 3 ICU Hours</w:t>
      </w:r>
      <w:r w:rsidR="003A7949">
        <w:t xml:space="preserve"> for </w:t>
      </w:r>
      <w:r w:rsidR="00666CE5">
        <w:t>A</w:t>
      </w:r>
      <w:r w:rsidR="003A7949">
        <w:t xml:space="preserve">dult and </w:t>
      </w:r>
      <w:r w:rsidR="00666CE5">
        <w:t>P</w:t>
      </w:r>
      <w:r w:rsidR="003A7949">
        <w:t>aediatric within designated and non-designated ICUs;</w:t>
      </w:r>
    </w:p>
    <w:p w14:paraId="1EAAA18F" w14:textId="424C34EA" w:rsidR="006D19E8" w:rsidRPr="007D316B" w:rsidRDefault="003A7949" w:rsidP="00EC0C63">
      <w:pPr>
        <w:pStyle w:val="ListParagraph"/>
        <w:numPr>
          <w:ilvl w:val="0"/>
          <w:numId w:val="23"/>
        </w:numPr>
      </w:pPr>
      <w:r>
        <w:t xml:space="preserve">Bed Type of 92 is used to report </w:t>
      </w:r>
      <w:r w:rsidRPr="00EC0C63">
        <w:rPr>
          <w:i/>
          <w:iCs/>
        </w:rPr>
        <w:t>Other ICU Hours</w:t>
      </w:r>
    </w:p>
    <w:p w14:paraId="1304A6D2" w14:textId="19E64BD3" w:rsidR="006D19E8" w:rsidRPr="007D316B" w:rsidRDefault="006D19E8" w:rsidP="006044E0">
      <w:pPr>
        <w:pStyle w:val="ListParagraph"/>
        <w:numPr>
          <w:ilvl w:val="0"/>
          <w:numId w:val="23"/>
        </w:numPr>
      </w:pPr>
      <w:r w:rsidRPr="007D316B">
        <w:t>NICU hours (i.e.</w:t>
      </w:r>
      <w:r w:rsidR="003237F0">
        <w:t>,</w:t>
      </w:r>
      <w:r w:rsidRPr="007D316B">
        <w:t xml:space="preserve"> those with a Bed Type of 37) are not reported under either </w:t>
      </w:r>
      <w:r w:rsidRPr="007D316B">
        <w:rPr>
          <w:i/>
        </w:rPr>
        <w:t>Level 3 ICU Hours</w:t>
      </w:r>
      <w:r w:rsidRPr="007D316B">
        <w:t xml:space="preserve"> or </w:t>
      </w:r>
      <w:r w:rsidRPr="007D316B">
        <w:rPr>
          <w:i/>
        </w:rPr>
        <w:t>Other ICU Hours</w:t>
      </w:r>
      <w:r w:rsidRPr="007D316B">
        <w:t>.</w:t>
      </w:r>
    </w:p>
    <w:p w14:paraId="62424A1A" w14:textId="5FDB8D56" w:rsidR="00673C88" w:rsidRPr="007D316B" w:rsidRDefault="006D19E8" w:rsidP="00FE3C18">
      <w:r w:rsidRPr="007D316B">
        <w:t>NSW use the bed type to derive (map) the costed output to the NHCDC final cost centres (</w:t>
      </w:r>
      <w:r w:rsidRPr="007D316B">
        <w:rPr>
          <w:i/>
        </w:rPr>
        <w:t>Ccu, Hdicu, Aicu, Cticu, Gencritcare, Nicu, OtherCritCare, Paedicu, Psychicu, Scnicu).</w:t>
      </w:r>
      <w:r w:rsidRPr="007D316B">
        <w:t xml:space="preserve"> The table below shows how NSW map ICU costs and activity to IHACPA’s cost and activity types.</w:t>
      </w:r>
    </w:p>
    <w:p w14:paraId="4C4CC621" w14:textId="48116DCC" w:rsidR="00FE3C18" w:rsidRDefault="00FE3C18" w:rsidP="00FE3C18">
      <w:pPr>
        <w:pStyle w:val="Caption"/>
        <w:keepNext/>
      </w:pPr>
      <w:r>
        <w:t xml:space="preserve">Table </w:t>
      </w:r>
      <w:r>
        <w:fldChar w:fldCharType="begin"/>
      </w:r>
      <w:r>
        <w:instrText xml:space="preserve"> SEQ Table \* ARABIC </w:instrText>
      </w:r>
      <w:r>
        <w:fldChar w:fldCharType="separate"/>
      </w:r>
      <w:r w:rsidR="00CE6F96">
        <w:rPr>
          <w:noProof/>
        </w:rPr>
        <w:t>9</w:t>
      </w:r>
      <w:r>
        <w:fldChar w:fldCharType="end"/>
      </w:r>
      <w:r>
        <w:t xml:space="preserve">: </w:t>
      </w:r>
      <w:r w:rsidRPr="0079174E">
        <w:t>NSW ICU costs and activity mapped to IHACPA cost and activity types</w:t>
      </w:r>
    </w:p>
    <w:tbl>
      <w:tblPr>
        <w:tblStyle w:val="ScyneTable"/>
        <w:tblW w:w="5000"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1682"/>
        <w:gridCol w:w="3118"/>
        <w:gridCol w:w="1417"/>
        <w:gridCol w:w="1417"/>
        <w:gridCol w:w="1392"/>
      </w:tblGrid>
      <w:tr w:rsidR="003964D6" w:rsidRPr="00D422F0" w14:paraId="2EDFA8B3" w14:textId="47A5F814" w:rsidTr="00C17544">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932" w:type="pct"/>
            <w:tcBorders>
              <w:bottom w:val="single" w:sz="18" w:space="0" w:color="EFF0F7" w:themeColor="accent4" w:themeTint="33"/>
            </w:tcBorders>
            <w:shd w:val="clear" w:color="auto" w:fill="464E7E" w:themeFill="accent2"/>
            <w:vAlign w:val="center"/>
          </w:tcPr>
          <w:p w14:paraId="362E548A" w14:textId="50DE5B5A" w:rsidR="002A5B28" w:rsidRPr="002A5B28" w:rsidRDefault="002A5B28" w:rsidP="002A5B28">
            <w:pPr>
              <w:pStyle w:val="TableNormalColumnHeading"/>
              <w:rPr>
                <w:rFonts w:ascii="Avenir Next LT Pro Demi" w:hAnsi="Avenir Next LT Pro Demi"/>
                <w:snapToGrid/>
                <w:sz w:val="20"/>
                <w:lang w:eastAsia="en-AU"/>
              </w:rPr>
            </w:pPr>
            <w:r w:rsidRPr="00673C88">
              <w:rPr>
                <w:rFonts w:ascii="Avenir Next LT Pro Demi" w:hAnsi="Avenir Next LT Pro Demi"/>
                <w:b w:val="0"/>
                <w:sz w:val="20"/>
                <w:szCs w:val="22"/>
              </w:rPr>
              <w:t>NSW Bed Type</w:t>
            </w:r>
          </w:p>
        </w:tc>
        <w:tc>
          <w:tcPr>
            <w:tcW w:w="1727" w:type="pct"/>
            <w:tcBorders>
              <w:bottom w:val="single" w:sz="18" w:space="0" w:color="EFF0F7" w:themeColor="accent4" w:themeTint="33"/>
            </w:tcBorders>
            <w:shd w:val="clear" w:color="auto" w:fill="464E7E" w:themeFill="accent2"/>
            <w:vAlign w:val="center"/>
          </w:tcPr>
          <w:p w14:paraId="2A6DF1D3" w14:textId="7D6366E1" w:rsidR="002A5B28" w:rsidRPr="002A5B28" w:rsidRDefault="002A5B28" w:rsidP="002A5B28">
            <w:pPr>
              <w:pStyle w:val="TableNormalColumnHeading"/>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673C88">
              <w:rPr>
                <w:rFonts w:ascii="Avenir Next LT Pro Demi" w:hAnsi="Avenir Next LT Pro Demi"/>
                <w:b w:val="0"/>
                <w:sz w:val="20"/>
                <w:szCs w:val="22"/>
              </w:rPr>
              <w:t>Description of Bed Type</w:t>
            </w:r>
          </w:p>
        </w:tc>
        <w:tc>
          <w:tcPr>
            <w:tcW w:w="785" w:type="pct"/>
            <w:tcBorders>
              <w:bottom w:val="single" w:sz="18" w:space="0" w:color="EFF0F7" w:themeColor="accent4" w:themeTint="33"/>
            </w:tcBorders>
            <w:shd w:val="clear" w:color="auto" w:fill="464E7E" w:themeFill="accent2"/>
            <w:vAlign w:val="center"/>
          </w:tcPr>
          <w:p w14:paraId="56E2EE43" w14:textId="696EC81C" w:rsidR="002A5B28" w:rsidRPr="002A5B28" w:rsidRDefault="002A5B28" w:rsidP="002A5B28">
            <w:pPr>
              <w:pStyle w:val="TableNormalColumnHeading"/>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673C88">
              <w:rPr>
                <w:rFonts w:ascii="Avenir Next LT Pro Demi" w:hAnsi="Avenir Next LT Pro Demi"/>
                <w:b w:val="0"/>
                <w:sz w:val="20"/>
                <w:szCs w:val="22"/>
              </w:rPr>
              <w:t xml:space="preserve">NHCDC Cost Centre </w:t>
            </w:r>
          </w:p>
        </w:tc>
        <w:tc>
          <w:tcPr>
            <w:tcW w:w="785" w:type="pct"/>
            <w:tcBorders>
              <w:bottom w:val="single" w:sz="18" w:space="0" w:color="EFF0F7" w:themeColor="accent4" w:themeTint="33"/>
            </w:tcBorders>
            <w:shd w:val="clear" w:color="auto" w:fill="464E7E" w:themeFill="accent2"/>
            <w:vAlign w:val="center"/>
          </w:tcPr>
          <w:p w14:paraId="5ADB6C89" w14:textId="59FFDC79" w:rsidR="002A5B28" w:rsidRPr="002A5B28" w:rsidRDefault="002A5B28" w:rsidP="002A5B28">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673C88">
              <w:rPr>
                <w:rFonts w:ascii="Avenir Next LT Pro Demi" w:hAnsi="Avenir Next LT Pro Demi"/>
                <w:b w:val="0"/>
                <w:sz w:val="20"/>
                <w:szCs w:val="22"/>
              </w:rPr>
              <w:t xml:space="preserve">Reported as </w:t>
            </w:r>
            <w:r w:rsidRPr="001B5AFA">
              <w:rPr>
                <w:rFonts w:ascii="Avenir Next LT Pro Demi" w:hAnsi="Avenir Next LT Pro Demi"/>
                <w:b w:val="0"/>
                <w:i/>
                <w:sz w:val="20"/>
                <w:szCs w:val="22"/>
              </w:rPr>
              <w:t>L3 ICU Hours</w:t>
            </w:r>
          </w:p>
        </w:tc>
        <w:tc>
          <w:tcPr>
            <w:tcW w:w="771" w:type="pct"/>
            <w:tcBorders>
              <w:bottom w:val="single" w:sz="18" w:space="0" w:color="EFF0F7" w:themeColor="accent4" w:themeTint="33"/>
            </w:tcBorders>
            <w:shd w:val="clear" w:color="auto" w:fill="464E7E" w:themeFill="accent2"/>
            <w:vAlign w:val="center"/>
          </w:tcPr>
          <w:p w14:paraId="452AFDA8" w14:textId="47B9E2ED" w:rsidR="002A5B28" w:rsidRPr="002A5B28" w:rsidRDefault="002A5B28" w:rsidP="002A5B28">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673C88">
              <w:rPr>
                <w:rFonts w:ascii="Avenir Next LT Pro Demi" w:hAnsi="Avenir Next LT Pro Demi"/>
                <w:b w:val="0"/>
                <w:sz w:val="20"/>
                <w:szCs w:val="22"/>
              </w:rPr>
              <w:t xml:space="preserve">Reported as </w:t>
            </w:r>
            <w:r w:rsidRPr="001B5AFA">
              <w:rPr>
                <w:rFonts w:ascii="Avenir Next LT Pro Demi" w:hAnsi="Avenir Next LT Pro Demi"/>
                <w:b w:val="0"/>
                <w:i/>
                <w:sz w:val="20"/>
                <w:szCs w:val="22"/>
              </w:rPr>
              <w:t>Other ICU Hours</w:t>
            </w:r>
          </w:p>
        </w:tc>
      </w:tr>
      <w:tr w:rsidR="00034380" w:rsidRPr="00D422F0" w14:paraId="11461C95" w14:textId="5933B809"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557A834" w14:textId="088ACD0E" w:rsidR="002A5B28" w:rsidRPr="00FC6B54" w:rsidRDefault="002A5B28" w:rsidP="002A5B28">
            <w:pPr>
              <w:spacing w:before="120" w:after="120"/>
            </w:pPr>
            <w:r w:rsidRPr="005D1D70">
              <w:rPr>
                <w:color w:val="44546A" w:themeColor="text2"/>
              </w:rPr>
              <w:t>BT91ICU1</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EDCB02E" w14:textId="2D1C224B" w:rsidR="002A5B28" w:rsidRPr="00D422F0"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 xml:space="preserve">Adult ICU care, at </w:t>
            </w:r>
            <w:r w:rsidR="005C0135">
              <w:rPr>
                <w:color w:val="44546A" w:themeColor="text2"/>
              </w:rPr>
              <w:t>designated</w:t>
            </w:r>
            <w:r w:rsidRPr="005D1D70">
              <w:rPr>
                <w:color w:val="44546A" w:themeColor="text2"/>
              </w:rPr>
              <w:t xml:space="preserve"> Level 3 facilities</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35F8DA9" w14:textId="40D4115E"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i/>
              </w:rPr>
            </w:pPr>
            <w:r w:rsidRPr="005705F9">
              <w:rPr>
                <w:i/>
                <w:color w:val="44546A" w:themeColor="text2"/>
              </w:rPr>
              <w:t>Aicu</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3CA41AB" w14:textId="49E6892F" w:rsidR="002A5B28" w:rsidRPr="00D422F0"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pPr>
            <w:r w:rsidRPr="00E20C97">
              <w:rPr>
                <w:rFonts w:ascii="Segoe UI Symbol" w:hAnsi="Segoe UI Symbol" w:cs="Segoe UI Symbol"/>
                <w:lang w:val="en-U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0281526" w14:textId="028CFF43" w:rsidR="002A5B28" w:rsidRPr="00D422F0"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374AC7">
              <w:rPr>
                <w:rFonts w:ascii="Segoe UI Symbol" w:hAnsi="Segoe UI Symbol" w:cs="Segoe UI Symbol"/>
                <w:bCs/>
              </w:rPr>
              <w:t>✖</w:t>
            </w:r>
          </w:p>
        </w:tc>
      </w:tr>
      <w:tr w:rsidR="00034380" w:rsidRPr="00D422F0" w14:paraId="1B4578BC" w14:textId="41A94E51"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9C34357" w14:textId="22AB193E" w:rsidR="002A5B28" w:rsidRPr="00D422F0" w:rsidRDefault="002A5B28" w:rsidP="002A5B28">
            <w:pPr>
              <w:spacing w:before="120" w:after="120"/>
            </w:pPr>
            <w:r w:rsidRPr="005D1D70">
              <w:rPr>
                <w:color w:val="44546A" w:themeColor="text2"/>
              </w:rPr>
              <w:t>BT91ICU1P</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2FB37D2" w14:textId="4D05E582" w:rsidR="002A5B28" w:rsidRPr="00D422F0"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 xml:space="preserve">Paediatric ICU care at </w:t>
            </w:r>
            <w:r w:rsidR="005C0135">
              <w:rPr>
                <w:color w:val="44546A" w:themeColor="text2"/>
              </w:rPr>
              <w:t xml:space="preserve">designated </w:t>
            </w:r>
            <w:r w:rsidRPr="005D1D70">
              <w:rPr>
                <w:color w:val="44546A" w:themeColor="text2"/>
              </w:rPr>
              <w:t>Level 3 facilities</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A995D9C" w14:textId="6A9769FC"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i/>
              </w:rPr>
            </w:pPr>
            <w:r w:rsidRPr="005705F9">
              <w:rPr>
                <w:i/>
                <w:color w:val="44546A" w:themeColor="text2"/>
              </w:rPr>
              <w:t>Paedicu</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8A92035" w14:textId="5559E853" w:rsidR="002A5B28" w:rsidRPr="00D422F0"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pPr>
            <w:r w:rsidRPr="00E20C97">
              <w:rPr>
                <w:rFonts w:ascii="Segoe UI Symbol" w:hAnsi="Segoe UI Symbol" w:cs="Segoe UI Symbol"/>
                <w:lang w:val="en-U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72E6001" w14:textId="76294C5B" w:rsidR="002A5B28" w:rsidRPr="00D422F0"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374AC7">
              <w:rPr>
                <w:rFonts w:ascii="Segoe UI Symbol" w:hAnsi="Segoe UI Symbol" w:cs="Segoe UI Symbol"/>
                <w:bCs/>
              </w:rPr>
              <w:t>✖</w:t>
            </w:r>
          </w:p>
        </w:tc>
      </w:tr>
      <w:tr w:rsidR="00034380" w:rsidRPr="00D422F0" w14:paraId="72494B31" w14:textId="7CDB3E65"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33571DA" w14:textId="4DC9CA67" w:rsidR="002A5B28" w:rsidRPr="00FC6B54" w:rsidRDefault="002A5B28" w:rsidP="002A5B28">
            <w:pPr>
              <w:spacing w:before="120" w:after="120"/>
            </w:pPr>
            <w:r w:rsidRPr="005D1D70">
              <w:rPr>
                <w:color w:val="44546A" w:themeColor="text2"/>
              </w:rPr>
              <w:lastRenderedPageBreak/>
              <w:t>BT91ICU1Other</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14AD00C" w14:textId="70A27CD6" w:rsidR="002A5B28"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color w:val="44546A" w:themeColor="text2"/>
              </w:rPr>
            </w:pPr>
            <w:r w:rsidRPr="005D1D70">
              <w:rPr>
                <w:color w:val="44546A" w:themeColor="text2"/>
              </w:rPr>
              <w:t>ICU care, at non-</w:t>
            </w:r>
            <w:r w:rsidR="005C0135">
              <w:rPr>
                <w:color w:val="44546A" w:themeColor="text2"/>
              </w:rPr>
              <w:t xml:space="preserve">designated </w:t>
            </w:r>
            <w:r w:rsidRPr="005D1D70">
              <w:rPr>
                <w:color w:val="44546A" w:themeColor="text2"/>
              </w:rPr>
              <w:t>ICU facilities</w:t>
            </w:r>
            <w:r w:rsidR="005C0135">
              <w:rPr>
                <w:color w:val="44546A" w:themeColor="text2"/>
              </w:rPr>
              <w:t xml:space="preserve"> </w:t>
            </w:r>
          </w:p>
          <w:p w14:paraId="445DA2D1" w14:textId="0F650E49" w:rsidR="002A5B28" w:rsidRPr="00FC6B54" w:rsidRDefault="005C0135" w:rsidP="002A5B28">
            <w:pPr>
              <w:spacing w:before="120" w:after="120"/>
              <w:cnfStyle w:val="000000000000" w:firstRow="0" w:lastRow="0" w:firstColumn="0" w:lastColumn="0" w:oddVBand="0" w:evenVBand="0" w:oddHBand="0" w:evenHBand="0" w:firstRowFirstColumn="0" w:firstRowLastColumn="0" w:lastRowFirstColumn="0" w:lastRowLastColumn="0"/>
            </w:pPr>
            <w:r>
              <w:t>(the cost associated with non</w:t>
            </w:r>
            <w:r w:rsidR="001D24F7">
              <w:noBreakHyphen/>
            </w:r>
            <w:r>
              <w:t xml:space="preserve">designated ICUs is not included in </w:t>
            </w:r>
            <w:r w:rsidRPr="00EC0C63">
              <w:rPr>
                <w:i/>
                <w:iCs/>
              </w:rPr>
              <w:t>Aicu</w:t>
            </w:r>
            <w:r w:rsidR="00A23ADD">
              <w:rPr>
                <w:i/>
                <w:iCs/>
              </w:rPr>
              <w:t xml:space="preserve"> and Paedicu</w:t>
            </w:r>
            <w:r w:rsidR="003015B5">
              <w:rPr>
                <w:i/>
                <w:iCs/>
              </w:rPr>
              <w:t xml:space="preserve"> </w:t>
            </w:r>
            <w:r w:rsidR="003015B5" w:rsidRPr="00EC0C63">
              <w:t>cost centres, but the ICU hours are reported to IHACPA as per the Activity DRS</w:t>
            </w:r>
            <w:r w:rsidR="00C17544">
              <w:t>)</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73C17F9" w14:textId="6C0C85E7"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b/>
                <w:i/>
              </w:rPr>
            </w:pPr>
            <w:r w:rsidRPr="005705F9">
              <w:rPr>
                <w:i/>
                <w:color w:val="44546A" w:themeColor="text2"/>
              </w:rPr>
              <w:t>GenCritCare</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7708273" w14:textId="7532A625" w:rsidR="002A5B28" w:rsidRPr="008E61F2"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E20C97">
              <w:rPr>
                <w:rFonts w:ascii="Segoe UI Symbol" w:hAnsi="Segoe UI Symbol" w:cs="Segoe UI Symbol"/>
                <w:lang w:val="en-U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1F5AA19" w14:textId="296346E8" w:rsidR="002A5B28" w:rsidRPr="00293A9C"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74AC7">
              <w:rPr>
                <w:rFonts w:ascii="Segoe UI Symbol" w:hAnsi="Segoe UI Symbol" w:cs="Segoe UI Symbol"/>
                <w:bCs/>
              </w:rPr>
              <w:t>✖</w:t>
            </w:r>
          </w:p>
        </w:tc>
      </w:tr>
      <w:tr w:rsidR="00034380" w:rsidRPr="00D422F0" w14:paraId="12896338" w14:textId="5FB6F436"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00D699B4" w14:textId="3779E53B" w:rsidR="002A5B28" w:rsidRPr="00FC6B54" w:rsidRDefault="002A5B28" w:rsidP="002A5B28">
            <w:pPr>
              <w:spacing w:before="120" w:after="120"/>
            </w:pPr>
            <w:r w:rsidRPr="005D1D70">
              <w:rPr>
                <w:color w:val="44546A" w:themeColor="text2"/>
              </w:rPr>
              <w:t>BT92ICU2</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3D34E74" w14:textId="249C05E5" w:rsidR="002A5B28" w:rsidRPr="00FC6B54"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 xml:space="preserve">HDU care, </w:t>
            </w:r>
            <w:r w:rsidR="00C17544">
              <w:rPr>
                <w:color w:val="44546A" w:themeColor="text2"/>
              </w:rPr>
              <w:t>within designated and non-designated ICUs</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C759D99" w14:textId="10F07585"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rPr>
            </w:pPr>
            <w:r w:rsidRPr="005705F9">
              <w:rPr>
                <w:i/>
                <w:color w:val="44546A" w:themeColor="text2"/>
              </w:rPr>
              <w:t>GenCritCare</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72BB346" w14:textId="38B00673" w:rsidR="002A5B28" w:rsidRPr="008E61F2"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A01CF9">
              <w:rPr>
                <w:rFonts w:ascii="Segoe UI Symbol" w:hAnsi="Segoe UI Symbol" w:cs="Segoe UI Symbol"/>
                <w:bC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8C39310" w14:textId="650A0F34" w:rsidR="002A5B28" w:rsidRPr="00D422F0"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810820">
              <w:rPr>
                <w:rFonts w:ascii="Segoe UI Symbol" w:hAnsi="Segoe UI Symbol" w:cs="Segoe UI Symbol"/>
                <w:lang w:val="en-US"/>
              </w:rPr>
              <w:t>✔</w:t>
            </w:r>
          </w:p>
        </w:tc>
      </w:tr>
      <w:tr w:rsidR="00034380" w:rsidRPr="00D422F0" w14:paraId="2A0BE674" w14:textId="10A78866"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3BB00634" w14:textId="73D92E54" w:rsidR="002A5B28" w:rsidRPr="00FC6B54" w:rsidRDefault="002A5B28" w:rsidP="002A5B28">
            <w:pPr>
              <w:spacing w:before="120" w:after="120"/>
            </w:pPr>
            <w:r w:rsidRPr="005D1D70">
              <w:rPr>
                <w:color w:val="44546A" w:themeColor="text2"/>
              </w:rPr>
              <w:t>BT92ICU2P</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AEACED5" w14:textId="6DD34380" w:rsidR="002A5B28" w:rsidRPr="00FC6B54"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Paediatric HDU care, regardless of facility status</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D0DA854" w14:textId="5CD1706C"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rPr>
            </w:pPr>
            <w:r w:rsidRPr="005705F9">
              <w:rPr>
                <w:i/>
                <w:color w:val="44546A" w:themeColor="text2"/>
              </w:rPr>
              <w:t>GenCritCare</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FFF8E89" w14:textId="53F442B7" w:rsidR="002A5B28" w:rsidRPr="008E61F2"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A01CF9">
              <w:rPr>
                <w:rFonts w:ascii="Segoe UI Symbol" w:hAnsi="Segoe UI Symbol" w:cs="Segoe UI Symbol"/>
                <w:bC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6287A6A" w14:textId="4DF63A45" w:rsidR="002A5B28" w:rsidRPr="00D422F0"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810820">
              <w:rPr>
                <w:rFonts w:ascii="Segoe UI Symbol" w:hAnsi="Segoe UI Symbol" w:cs="Segoe UI Symbol"/>
                <w:lang w:val="en-US"/>
              </w:rPr>
              <w:t>✔</w:t>
            </w:r>
          </w:p>
        </w:tc>
      </w:tr>
      <w:tr w:rsidR="00034380" w:rsidRPr="00D422F0" w14:paraId="38D4E701" w14:textId="02A4ED78"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2594AAF6" w14:textId="69D2C0DD" w:rsidR="002A5B28" w:rsidRPr="00FC6B54" w:rsidRDefault="002A5B28" w:rsidP="002A5B28">
            <w:pPr>
              <w:spacing w:before="120" w:after="120"/>
            </w:pPr>
            <w:r w:rsidRPr="005D1D70">
              <w:rPr>
                <w:color w:val="44546A" w:themeColor="text2"/>
              </w:rPr>
              <w:t>BT37NICU</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36F6965" w14:textId="553DD220" w:rsidR="002A5B28" w:rsidRPr="00FC6B54"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NICU care</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42B3336" w14:textId="3FB2E86C"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rPr>
            </w:pPr>
            <w:r w:rsidRPr="005705F9">
              <w:rPr>
                <w:i/>
                <w:color w:val="44546A" w:themeColor="text2"/>
              </w:rPr>
              <w:t>Nicu</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858918F" w14:textId="5CB0579F" w:rsidR="002A5B28" w:rsidRPr="008E61F2"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A01CF9">
              <w:rPr>
                <w:rFonts w:ascii="Segoe UI Symbol" w:hAnsi="Segoe UI Symbol" w:cs="Segoe UI Symbol"/>
                <w:bC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C36C17B" w14:textId="70EBDE48" w:rsidR="002A5B28" w:rsidRPr="00B4563F"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926E0">
              <w:rPr>
                <w:rFonts w:ascii="Segoe UI Symbol" w:hAnsi="Segoe UI Symbol" w:cs="Segoe UI Symbol"/>
                <w:bCs/>
              </w:rPr>
              <w:t>✖</w:t>
            </w:r>
          </w:p>
        </w:tc>
      </w:tr>
      <w:tr w:rsidR="00034380" w:rsidRPr="00D422F0" w14:paraId="0012D53B" w14:textId="7F99BE6D"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AAED2D9" w14:textId="4D8B460F" w:rsidR="002A5B28" w:rsidRPr="00FC6B54" w:rsidRDefault="002A5B28" w:rsidP="002A5B28">
            <w:pPr>
              <w:spacing w:before="120" w:after="120"/>
            </w:pPr>
            <w:r w:rsidRPr="005D1D70">
              <w:rPr>
                <w:color w:val="44546A" w:themeColor="text2"/>
              </w:rPr>
              <w:t>BT16SCN</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FDBC597" w14:textId="65A61926" w:rsidR="002A5B28" w:rsidRPr="00FC6B54"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Neonatal Special Care Nursery</w:t>
            </w:r>
            <w:r w:rsidR="00FE00A9">
              <w:rPr>
                <w:color w:val="44546A" w:themeColor="text2"/>
              </w:rPr>
              <w:t xml:space="preserve"> (SCN)</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D382E3D" w14:textId="1CD06DDE"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rPr>
            </w:pPr>
            <w:r w:rsidRPr="005705F9">
              <w:rPr>
                <w:i/>
                <w:color w:val="44546A" w:themeColor="text2"/>
              </w:rPr>
              <w:t>Speccn</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F52A1B7" w14:textId="741E533D" w:rsidR="002A5B28" w:rsidRPr="008E61F2"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A01CF9">
              <w:rPr>
                <w:rFonts w:ascii="Segoe UI Symbol" w:hAnsi="Segoe UI Symbol" w:cs="Segoe UI Symbol"/>
                <w:bC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82B661A" w14:textId="23BB766E" w:rsidR="002A5B28" w:rsidRPr="00D422F0"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3926E0">
              <w:rPr>
                <w:rFonts w:ascii="Segoe UI Symbol" w:hAnsi="Segoe UI Symbol" w:cs="Segoe UI Symbol"/>
                <w:bCs/>
              </w:rPr>
              <w:t>✖</w:t>
            </w:r>
          </w:p>
        </w:tc>
      </w:tr>
      <w:tr w:rsidR="00034380" w:rsidRPr="00D422F0" w14:paraId="23FB9271" w14:textId="0F9BE153"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6D8AF38D" w14:textId="03139B52" w:rsidR="002A5B28" w:rsidRPr="00FC6B54" w:rsidRDefault="002A5B28" w:rsidP="002A5B28">
            <w:pPr>
              <w:spacing w:before="120" w:after="120"/>
            </w:pPr>
            <w:r w:rsidRPr="005D1D70">
              <w:rPr>
                <w:color w:val="44546A" w:themeColor="text2"/>
              </w:rPr>
              <w:t>BT33CoronaryCare</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6AE4E21" w14:textId="223A38B6" w:rsidR="002A5B28" w:rsidRPr="00FC6B54"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Coronary Care</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7F80A73" w14:textId="2E9E6022"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rPr>
            </w:pPr>
            <w:r w:rsidRPr="005705F9">
              <w:rPr>
                <w:i/>
                <w:color w:val="44546A" w:themeColor="text2"/>
              </w:rPr>
              <w:t>Ccu</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1B5BC0A" w14:textId="4A6C3B41" w:rsidR="002A5B28" w:rsidRPr="008E61F2"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A01CF9">
              <w:rPr>
                <w:rFonts w:ascii="Segoe UI Symbol" w:hAnsi="Segoe UI Symbol" w:cs="Segoe UI Symbol"/>
                <w:bC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A1FE19A" w14:textId="69BB209E" w:rsidR="002A5B28" w:rsidRPr="005F5485"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926E0">
              <w:rPr>
                <w:rFonts w:ascii="Segoe UI Symbol" w:hAnsi="Segoe UI Symbol" w:cs="Segoe UI Symbol"/>
                <w:bCs/>
              </w:rPr>
              <w:t>✖</w:t>
            </w:r>
          </w:p>
        </w:tc>
      </w:tr>
      <w:tr w:rsidR="00034380" w:rsidRPr="00D422F0" w14:paraId="56A09FDD" w14:textId="2BDD7962" w:rsidTr="00C17544">
        <w:trPr>
          <w:trHeight w:val="290"/>
        </w:trPr>
        <w:tc>
          <w:tcPr>
            <w:cnfStyle w:val="001000000000" w:firstRow="0" w:lastRow="0" w:firstColumn="1" w:lastColumn="0" w:oddVBand="0" w:evenVBand="0" w:oddHBand="0" w:evenHBand="0" w:firstRowFirstColumn="0" w:firstRowLastColumn="0" w:lastRowFirstColumn="0"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052DC57B" w14:textId="0CDAC3CF" w:rsidR="002A5B28" w:rsidRPr="00FC6B54" w:rsidRDefault="002A5B28" w:rsidP="002A5B28">
            <w:pPr>
              <w:spacing w:before="120" w:after="120"/>
            </w:pPr>
            <w:r w:rsidRPr="005D1D70">
              <w:rPr>
                <w:color w:val="44546A" w:themeColor="text2"/>
              </w:rPr>
              <w:t>BT93COU</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7FDBDA6" w14:textId="3F968C4E" w:rsidR="002A5B28" w:rsidRPr="00FC6B54" w:rsidRDefault="002A5B28" w:rsidP="002A5B28">
            <w:pPr>
              <w:spacing w:before="120" w:after="120"/>
              <w:cnfStyle w:val="000000000000" w:firstRow="0" w:lastRow="0" w:firstColumn="0" w:lastColumn="0" w:oddVBand="0" w:evenVBand="0" w:oddHBand="0" w:evenHBand="0" w:firstRowFirstColumn="0" w:firstRowLastColumn="0" w:lastRowFirstColumn="0" w:lastRowLastColumn="0"/>
            </w:pPr>
            <w:r w:rsidRPr="005D1D70">
              <w:rPr>
                <w:color w:val="44546A" w:themeColor="text2"/>
              </w:rPr>
              <w:t xml:space="preserve">Close Observation Unit </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C616B75" w14:textId="0D915758" w:rsidR="002A5B28" w:rsidRPr="005705F9" w:rsidRDefault="002A5B28" w:rsidP="002A5B28">
            <w:pPr>
              <w:spacing w:before="120" w:after="12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i/>
              </w:rPr>
            </w:pPr>
            <w:r w:rsidRPr="005705F9">
              <w:rPr>
                <w:i/>
                <w:color w:val="44546A" w:themeColor="text2"/>
              </w:rPr>
              <w:t>GenCritCare</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06465C1" w14:textId="3529FC43" w:rsidR="002A5B28" w:rsidRPr="008E61F2"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A01CF9">
              <w:rPr>
                <w:rFonts w:ascii="Segoe UI Symbol" w:hAnsi="Segoe UI Symbol" w:cs="Segoe UI Symbol"/>
                <w:bC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A8668EF" w14:textId="4ADF3240" w:rsidR="002A5B28" w:rsidRPr="005F5485" w:rsidRDefault="002A5B28" w:rsidP="002A5B28">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926E0">
              <w:rPr>
                <w:rFonts w:ascii="Segoe UI Symbol" w:hAnsi="Segoe UI Symbol" w:cs="Segoe UI Symbol"/>
                <w:bCs/>
              </w:rPr>
              <w:t>✖</w:t>
            </w:r>
          </w:p>
        </w:tc>
      </w:tr>
      <w:tr w:rsidR="00034380" w:rsidRPr="00D422F0" w14:paraId="25D8CF2F" w14:textId="4E2B119D" w:rsidTr="00C17544">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9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6B21B9C6" w14:textId="1BD077A1" w:rsidR="002A5B28" w:rsidRPr="002A5B28" w:rsidRDefault="002A5B28" w:rsidP="002A5B28">
            <w:pPr>
              <w:spacing w:before="120" w:after="120"/>
              <w:rPr>
                <w:b w:val="0"/>
                <w:bCs/>
              </w:rPr>
            </w:pPr>
            <w:r w:rsidRPr="002A5B28">
              <w:rPr>
                <w:b w:val="0"/>
                <w:bCs/>
                <w:color w:val="44546A" w:themeColor="text2"/>
              </w:rPr>
              <w:t>BT12PsychIC</w:t>
            </w:r>
          </w:p>
        </w:tc>
        <w:tc>
          <w:tcPr>
            <w:tcW w:w="172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7E0CEA1" w14:textId="278A18DB" w:rsidR="002A5B28" w:rsidRPr="002A5B28" w:rsidRDefault="002A5B28" w:rsidP="002A5B28">
            <w:pPr>
              <w:spacing w:before="120" w:after="120"/>
              <w:cnfStyle w:val="010000000000" w:firstRow="0" w:lastRow="1" w:firstColumn="0" w:lastColumn="0" w:oddVBand="0" w:evenVBand="0" w:oddHBand="0" w:evenHBand="0" w:firstRowFirstColumn="0" w:firstRowLastColumn="0" w:lastRowFirstColumn="0" w:lastRowLastColumn="0"/>
              <w:rPr>
                <w:b w:val="0"/>
                <w:bCs/>
              </w:rPr>
            </w:pPr>
            <w:r w:rsidRPr="002A5B28">
              <w:rPr>
                <w:b w:val="0"/>
                <w:bCs/>
                <w:color w:val="44546A" w:themeColor="text2"/>
              </w:rPr>
              <w:t>Psychiatric ICU care</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663A6F7" w14:textId="77E85A54" w:rsidR="002A5B28" w:rsidRPr="005705F9" w:rsidRDefault="002A5B28" w:rsidP="002A5B28">
            <w:pPr>
              <w:spacing w:before="120" w:after="120"/>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i/>
              </w:rPr>
            </w:pPr>
            <w:r w:rsidRPr="005705F9">
              <w:rPr>
                <w:b w:val="0"/>
                <w:i/>
                <w:color w:val="44546A" w:themeColor="text2"/>
              </w:rPr>
              <w:t>Psychicu</w:t>
            </w:r>
          </w:p>
        </w:tc>
        <w:tc>
          <w:tcPr>
            <w:tcW w:w="78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8093F93" w14:textId="26BF7367" w:rsidR="002A5B28" w:rsidRPr="002A5B28" w:rsidRDefault="002A5B28" w:rsidP="002A5B28">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2A5B28">
              <w:rPr>
                <w:rFonts w:ascii="Segoe UI Symbol" w:hAnsi="Segoe UI Symbol" w:cs="Segoe UI Symbol"/>
                <w:b w:val="0"/>
                <w:bCs/>
              </w:rPr>
              <w:t>✖</w:t>
            </w:r>
          </w:p>
        </w:tc>
        <w:tc>
          <w:tcPr>
            <w:tcW w:w="77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54F8D0C" w14:textId="6F97ADD2" w:rsidR="002A5B28" w:rsidRPr="002A5B28" w:rsidRDefault="002A5B28" w:rsidP="002A5B28">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2A5B28">
              <w:rPr>
                <w:rFonts w:ascii="Segoe UI Symbol" w:hAnsi="Segoe UI Symbol" w:cs="Segoe UI Symbol"/>
                <w:b w:val="0"/>
                <w:bCs/>
              </w:rPr>
              <w:t>✖</w:t>
            </w:r>
          </w:p>
        </w:tc>
      </w:tr>
    </w:tbl>
    <w:p w14:paraId="56CEAF93" w14:textId="77777777" w:rsidR="006D19E8" w:rsidRDefault="006D19E8" w:rsidP="001D13A1"/>
    <w:p w14:paraId="4F9B7DDB" w14:textId="0E4FBA24" w:rsidR="00AB366A" w:rsidRPr="00953D99" w:rsidRDefault="00AB366A" w:rsidP="00953D99">
      <w:r w:rsidRPr="00953D99">
        <w:t xml:space="preserve">NSW does not report NICU, </w:t>
      </w:r>
      <w:r w:rsidR="006D7916">
        <w:t>SCN</w:t>
      </w:r>
      <w:r w:rsidRPr="00953D99">
        <w:t xml:space="preserve">, </w:t>
      </w:r>
      <w:r w:rsidR="00B357BC">
        <w:t>CCU</w:t>
      </w:r>
      <w:r w:rsidRPr="00953D99">
        <w:t>, Close Observation Unit, or Psychiatric ICU in their ICU hours reporting to IHACPA.</w:t>
      </w:r>
    </w:p>
    <w:p w14:paraId="6CE50B45" w14:textId="51650756" w:rsidR="00AB366A" w:rsidRPr="00953D99" w:rsidRDefault="00AB366A" w:rsidP="001D13A1">
      <w:r w:rsidRPr="00953D99">
        <w:t xml:space="preserve">The chart below shows the total volume of </w:t>
      </w:r>
      <w:r w:rsidRPr="00953D99">
        <w:rPr>
          <w:i/>
        </w:rPr>
        <w:t>Level 3</w:t>
      </w:r>
      <w:r w:rsidR="00FE00A9">
        <w:rPr>
          <w:i/>
        </w:rPr>
        <w:t xml:space="preserve"> ICU Hours</w:t>
      </w:r>
      <w:r w:rsidRPr="00953D99">
        <w:t xml:space="preserve"> and </w:t>
      </w:r>
      <w:r w:rsidRPr="00953D99">
        <w:rPr>
          <w:i/>
        </w:rPr>
        <w:t xml:space="preserve">Other ICU </w:t>
      </w:r>
      <w:r w:rsidR="007155F8" w:rsidRPr="00953D99">
        <w:rPr>
          <w:i/>
        </w:rPr>
        <w:t>H</w:t>
      </w:r>
      <w:r w:rsidRPr="00953D99">
        <w:rPr>
          <w:i/>
        </w:rPr>
        <w:t>ours</w:t>
      </w:r>
      <w:r w:rsidRPr="00953D99">
        <w:t xml:space="preserve"> reported hours across all NSW LHDs and at the 2 participating sites.</w:t>
      </w:r>
    </w:p>
    <w:p w14:paraId="18949549" w14:textId="042091AE" w:rsidR="004C3036" w:rsidRDefault="004C3036" w:rsidP="004C3036">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11</w:t>
      </w:r>
      <w:r w:rsidR="00BD5B5E">
        <w:fldChar w:fldCharType="end"/>
      </w:r>
      <w:r>
        <w:t xml:space="preserve">: </w:t>
      </w:r>
      <w:r w:rsidRPr="00BC19F2">
        <w:t>Volume and percentage of ICU hours, reported by Level 3 ICU Hours and Other ICU Hours, at Wagga Wagga Hospital, John Hunter Hospital and all NSW hospitals</w:t>
      </w:r>
    </w:p>
    <w:p w14:paraId="0A26E6AE" w14:textId="163415B9" w:rsidR="000D3679" w:rsidRDefault="006807D8" w:rsidP="001D13A1">
      <w:r>
        <w:rPr>
          <w:noProof/>
        </w:rPr>
        <w:drawing>
          <wp:inline distT="0" distB="0" distL="0" distR="0" wp14:anchorId="2A489D60" wp14:editId="25A1EB16">
            <wp:extent cx="5991944" cy="2295974"/>
            <wp:effectExtent l="0" t="0" r="0" b="0"/>
            <wp:docPr id="999039750" name="Picture 9" descr="P12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39750" name="Picture 9" descr="P1212#yIS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0566" cy="2303109"/>
                    </a:xfrm>
                    <a:prstGeom prst="rect">
                      <a:avLst/>
                    </a:prstGeom>
                    <a:noFill/>
                  </pic:spPr>
                </pic:pic>
              </a:graphicData>
            </a:graphic>
          </wp:inline>
        </w:drawing>
      </w:r>
    </w:p>
    <w:p w14:paraId="3E75BEED" w14:textId="5FFECA93" w:rsidR="00B3239F" w:rsidRPr="00953D99" w:rsidRDefault="00B3239F" w:rsidP="00B3239F">
      <w:r w:rsidRPr="00953D99">
        <w:t>John Hunter’s activity profile is similar to the statewide average with 6</w:t>
      </w:r>
      <w:r w:rsidR="00696F9A">
        <w:t>8</w:t>
      </w:r>
      <w:r w:rsidRPr="00953D99">
        <w:t xml:space="preserve">% of its ICU hours comprising </w:t>
      </w:r>
      <w:r w:rsidRPr="00A47640">
        <w:rPr>
          <w:i/>
          <w:iCs/>
        </w:rPr>
        <w:t>Level 3</w:t>
      </w:r>
      <w:r w:rsidR="00FE00A9" w:rsidRPr="00A47640">
        <w:rPr>
          <w:i/>
          <w:iCs/>
        </w:rPr>
        <w:t xml:space="preserve"> ICU Hours</w:t>
      </w:r>
      <w:r w:rsidRPr="00953D99">
        <w:t>, and 3</w:t>
      </w:r>
      <w:r w:rsidR="00696F9A">
        <w:t>2</w:t>
      </w:r>
      <w:r w:rsidRPr="00953D99">
        <w:t xml:space="preserve">% comprising </w:t>
      </w:r>
      <w:r w:rsidRPr="00953D99">
        <w:rPr>
          <w:i/>
        </w:rPr>
        <w:t>Other ICU Hours</w:t>
      </w:r>
      <w:r w:rsidRPr="00953D99">
        <w:t xml:space="preserve"> (HDU or Step Down hours). In line with NSW guidance, NICU hours were not reported.</w:t>
      </w:r>
    </w:p>
    <w:p w14:paraId="462A656F" w14:textId="2FE9163D" w:rsidR="00B3239F" w:rsidRPr="004A6730" w:rsidRDefault="00B3239F" w:rsidP="00B3239F">
      <w:r w:rsidRPr="00953D99">
        <w:t xml:space="preserve">Wagga Wagga Hospital has a lower proportion of </w:t>
      </w:r>
      <w:r w:rsidRPr="00953D99">
        <w:rPr>
          <w:i/>
        </w:rPr>
        <w:t xml:space="preserve">Level 3 </w:t>
      </w:r>
      <w:r w:rsidR="00AB4EC0" w:rsidRPr="00953D99">
        <w:rPr>
          <w:i/>
        </w:rPr>
        <w:t>ICU H</w:t>
      </w:r>
      <w:r w:rsidRPr="00953D99">
        <w:rPr>
          <w:i/>
        </w:rPr>
        <w:t>ours</w:t>
      </w:r>
      <w:r w:rsidRPr="00953D99">
        <w:t xml:space="preserve"> than the statewide average (52%) and a higher proportion of </w:t>
      </w:r>
      <w:r w:rsidRPr="00953D99">
        <w:rPr>
          <w:i/>
        </w:rPr>
        <w:t xml:space="preserve">Other ICU </w:t>
      </w:r>
      <w:r w:rsidR="007155F8" w:rsidRPr="00953D99">
        <w:rPr>
          <w:i/>
        </w:rPr>
        <w:t>H</w:t>
      </w:r>
      <w:r w:rsidRPr="00953D99">
        <w:rPr>
          <w:i/>
        </w:rPr>
        <w:t>ours</w:t>
      </w:r>
      <w:r w:rsidRPr="00953D99">
        <w:t xml:space="preserve"> (48%), reflecting the patient cohort that were treated </w:t>
      </w:r>
      <w:r w:rsidRPr="004A6730">
        <w:t>in the 12 bed ICU ward and the NSW guidance on reporting ICU hours based on the bed type category.</w:t>
      </w:r>
      <w:r w:rsidRPr="004A6730" w:rsidDel="00144435">
        <w:t xml:space="preserve"> </w:t>
      </w:r>
      <w:r w:rsidRPr="004A6730">
        <w:t>In line with NSW guidance, Wagga Wagga Hospital’s CCU hours were not reported.</w:t>
      </w:r>
    </w:p>
    <w:p w14:paraId="5C6CFFF8" w14:textId="1A80DC33" w:rsidR="00B3239F" w:rsidRPr="00AD1F32" w:rsidRDefault="00B3239F" w:rsidP="003060BB">
      <w:pPr>
        <w:pStyle w:val="Heading4"/>
        <w:rPr>
          <w:color w:val="484B5D" w:themeColor="accent3"/>
        </w:rPr>
      </w:pPr>
      <w:r w:rsidRPr="00AD1F32">
        <w:rPr>
          <w:color w:val="484B5D" w:themeColor="accent3"/>
        </w:rPr>
        <w:t xml:space="preserve">Costs included in the </w:t>
      </w:r>
      <w:r w:rsidRPr="00AD1F32">
        <w:rPr>
          <w:i/>
          <w:color w:val="484B5D" w:themeColor="accent3"/>
        </w:rPr>
        <w:t>Critica</w:t>
      </w:r>
      <w:r w:rsidRPr="00AD1F32">
        <w:rPr>
          <w:color w:val="484B5D" w:themeColor="accent3"/>
        </w:rPr>
        <w:t xml:space="preserve">l </w:t>
      </w:r>
      <w:r w:rsidR="00C8230F" w:rsidRPr="00AD1F32">
        <w:rPr>
          <w:color w:val="484B5D" w:themeColor="accent3"/>
        </w:rPr>
        <w:t xml:space="preserve">NHCDC </w:t>
      </w:r>
      <w:r w:rsidRPr="00AD1F32">
        <w:rPr>
          <w:color w:val="484B5D" w:themeColor="accent3"/>
        </w:rPr>
        <w:t>Cost Centre Group</w:t>
      </w:r>
    </w:p>
    <w:p w14:paraId="04A6CF18" w14:textId="5D4E0125" w:rsidR="00B93283" w:rsidRPr="004A6730" w:rsidRDefault="00B93283" w:rsidP="00B93283">
      <w:r w:rsidRPr="004A6730">
        <w:t xml:space="preserve">The Critical Care Focused Review aimed at understanding the resources consumed by patients admitted into the different critical care departments, and identifying how these were allocated to individual patients, and which costs were reported against the </w:t>
      </w:r>
      <w:r w:rsidRPr="004A6730">
        <w:rPr>
          <w:i/>
        </w:rPr>
        <w:t>Critical</w:t>
      </w:r>
      <w:r w:rsidRPr="004A6730">
        <w:t xml:space="preserve"> </w:t>
      </w:r>
      <w:r w:rsidR="00332543" w:rsidRPr="004A6730">
        <w:t xml:space="preserve">NHCDC </w:t>
      </w:r>
      <w:r w:rsidRPr="004A6730">
        <w:t xml:space="preserve">Cost Centre Group within NHCDC reporting. </w:t>
      </w:r>
    </w:p>
    <w:p w14:paraId="0E637EE6" w14:textId="67005F6C" w:rsidR="00B93283" w:rsidRPr="005D1D70" w:rsidRDefault="00B93283" w:rsidP="00B93283">
      <w:r>
        <w:t xml:space="preserve">In general, NSW includes the following costs in the </w:t>
      </w:r>
      <w:r w:rsidRPr="009645A0">
        <w:rPr>
          <w:i/>
        </w:rPr>
        <w:t>Critical</w:t>
      </w:r>
      <w:r>
        <w:t xml:space="preserve"> </w:t>
      </w:r>
      <w:r w:rsidR="009645A0">
        <w:t xml:space="preserve">NHCDC </w:t>
      </w:r>
      <w:r>
        <w:t>Cost Centre Group:</w:t>
      </w:r>
    </w:p>
    <w:p w14:paraId="1A07F35B" w14:textId="77777777" w:rsidR="00B93283" w:rsidRPr="005D1D70" w:rsidRDefault="00B93283" w:rsidP="006044E0">
      <w:pPr>
        <w:pStyle w:val="ListParagraph"/>
        <w:numPr>
          <w:ilvl w:val="0"/>
          <w:numId w:val="16"/>
        </w:numPr>
      </w:pPr>
      <w:r w:rsidRPr="005D1D70">
        <w:t xml:space="preserve">the staffing costs for nurses, medical (only for intensivists operating in ICUs), admin staff allocated to the wards, </w:t>
      </w:r>
    </w:p>
    <w:p w14:paraId="3E0FAD92" w14:textId="77777777" w:rsidR="00B93283" w:rsidRPr="005D1D70" w:rsidRDefault="00B93283" w:rsidP="006044E0">
      <w:pPr>
        <w:pStyle w:val="ListParagraph"/>
        <w:numPr>
          <w:ilvl w:val="0"/>
          <w:numId w:val="16"/>
        </w:numPr>
      </w:pPr>
      <w:r w:rsidRPr="005D1D70">
        <w:t>imprest drugs, medical consumables, hotel costs</w:t>
      </w:r>
      <w:r>
        <w:t xml:space="preserve"> (food, cleaning and linen)</w:t>
      </w:r>
      <w:r w:rsidRPr="005D1D70">
        <w:t xml:space="preserve"> and overheads. </w:t>
      </w:r>
    </w:p>
    <w:p w14:paraId="7A8286C3" w14:textId="7785DFB3" w:rsidR="00B93283" w:rsidRPr="005D1D70" w:rsidRDefault="00B93283" w:rsidP="00B93283">
      <w:r w:rsidRPr="005D1D70">
        <w:t xml:space="preserve">The resources consumed by patients whilst in the ICU/critical care departments that are allocated to the patient but reported </w:t>
      </w:r>
      <w:r>
        <w:t>under</w:t>
      </w:r>
      <w:r w:rsidRPr="005D1D70">
        <w:t xml:space="preserve"> a different NHCDC </w:t>
      </w:r>
      <w:r>
        <w:t>Cost Centre Group</w:t>
      </w:r>
      <w:r w:rsidRPr="005D1D70">
        <w:t xml:space="preserve"> </w:t>
      </w:r>
      <w:r w:rsidR="00FE6488">
        <w:t xml:space="preserve">(e.g. not </w:t>
      </w:r>
      <w:r w:rsidR="00FE6488" w:rsidRPr="00AD1F32">
        <w:rPr>
          <w:i/>
          <w:iCs/>
        </w:rPr>
        <w:t>Critical</w:t>
      </w:r>
      <w:r w:rsidR="00FE6488">
        <w:t xml:space="preserve">) </w:t>
      </w:r>
      <w:r w:rsidRPr="005D1D70">
        <w:t xml:space="preserve">include pathology, imaging, drugs, allied health and other medical costs. </w:t>
      </w:r>
    </w:p>
    <w:p w14:paraId="7C78E70A" w14:textId="55B8555B" w:rsidR="00B93283" w:rsidRPr="005D1D70" w:rsidRDefault="00B93283" w:rsidP="00B93283">
      <w:r w:rsidRPr="005D1D70">
        <w:t>The analysis of NHCDC critical car</w:t>
      </w:r>
      <w:r w:rsidRPr="00885B85">
        <w:t>e costs has focused on the Adult ICU and</w:t>
      </w:r>
      <w:r>
        <w:t xml:space="preserve"> Paediatric ICU reported costs, as corresponding ICU hours were reported for these episodes. Other critical care costs (such as CCU, NICU</w:t>
      </w:r>
      <w:r w:rsidR="00FE3C18">
        <w:t>,</w:t>
      </w:r>
      <w:r>
        <w:t xml:space="preserve"> etc</w:t>
      </w:r>
      <w:r w:rsidR="00FE3C18">
        <w:t>.</w:t>
      </w:r>
      <w:r>
        <w:t xml:space="preserve">) cannot meaningfully be compared as no critical care hours for these episodes are reported.  </w:t>
      </w:r>
    </w:p>
    <w:p w14:paraId="454462BE" w14:textId="77777777" w:rsidR="00B93283" w:rsidRPr="005D1D70" w:rsidRDefault="00B93283" w:rsidP="00B93283">
      <w:r>
        <w:t>An analysis into the L</w:t>
      </w:r>
      <w:r w:rsidRPr="005D1D70">
        <w:t>evel 3</w:t>
      </w:r>
      <w:r>
        <w:t xml:space="preserve"> (L3)</w:t>
      </w:r>
      <w:r w:rsidRPr="005D1D70">
        <w:t xml:space="preserve"> ICU Costs Per Hour – defined as </w:t>
      </w:r>
      <w:r w:rsidRPr="005D1D70">
        <w:rPr>
          <w:i/>
        </w:rPr>
        <w:t>Aicu</w:t>
      </w:r>
      <w:r w:rsidRPr="005D1D70">
        <w:t xml:space="preserve"> + </w:t>
      </w:r>
      <w:r w:rsidRPr="005D1D70">
        <w:rPr>
          <w:i/>
        </w:rPr>
        <w:t>Paedicu</w:t>
      </w:r>
      <w:r w:rsidRPr="005D1D70">
        <w:t xml:space="preserve"> </w:t>
      </w:r>
      <w:r>
        <w:t>costs</w:t>
      </w:r>
      <w:r w:rsidRPr="005D1D70">
        <w:t xml:space="preserve">, divided by </w:t>
      </w:r>
      <w:r w:rsidRPr="0015299C">
        <w:rPr>
          <w:i/>
        </w:rPr>
        <w:t>Level 3 ICU Hours</w:t>
      </w:r>
      <w:r>
        <w:t>, shows the following</w:t>
      </w:r>
      <w:r w:rsidRPr="005D1D70">
        <w:t>:</w:t>
      </w:r>
    </w:p>
    <w:p w14:paraId="6B8CF374" w14:textId="77777777" w:rsidR="00B93283" w:rsidRPr="005D1D70" w:rsidRDefault="00B93283" w:rsidP="006044E0">
      <w:pPr>
        <w:pStyle w:val="ListParagraph"/>
        <w:numPr>
          <w:ilvl w:val="0"/>
          <w:numId w:val="15"/>
        </w:numPr>
      </w:pPr>
      <w:r w:rsidRPr="005D1D70">
        <w:lastRenderedPageBreak/>
        <w:t xml:space="preserve">The NSW </w:t>
      </w:r>
      <w:r>
        <w:t>a</w:t>
      </w:r>
      <w:r w:rsidRPr="005D1D70">
        <w:t>verage L3 ICU Cost Per Hour is $202.59</w:t>
      </w:r>
      <w:r>
        <w:t xml:space="preserve">. </w:t>
      </w:r>
    </w:p>
    <w:p w14:paraId="1964A094" w14:textId="77777777" w:rsidR="00B93283" w:rsidRPr="005D1D70" w:rsidRDefault="00B93283" w:rsidP="006044E0">
      <w:pPr>
        <w:pStyle w:val="ListParagraph"/>
        <w:numPr>
          <w:ilvl w:val="0"/>
          <w:numId w:val="15"/>
        </w:numPr>
      </w:pPr>
      <w:r w:rsidRPr="005D1D70">
        <w:t>John Hunter Hospital’s average L3 ICU Cost Per Hour is $218.89</w:t>
      </w:r>
      <w:r>
        <w:t xml:space="preserve"> (8% higher than the state average).</w:t>
      </w:r>
    </w:p>
    <w:p w14:paraId="447115EC" w14:textId="5FA88B4F" w:rsidR="00B93283" w:rsidRPr="005D1D70" w:rsidRDefault="00B93283" w:rsidP="006044E0">
      <w:pPr>
        <w:pStyle w:val="ListParagraph"/>
        <w:numPr>
          <w:ilvl w:val="0"/>
          <w:numId w:val="15"/>
        </w:numPr>
      </w:pPr>
      <w:r w:rsidRPr="005D1D70">
        <w:t xml:space="preserve">Wagga Wagga Hospital’s average L3 ICU Cost </w:t>
      </w:r>
      <w:r w:rsidR="000275A4">
        <w:t>P</w:t>
      </w:r>
      <w:r w:rsidRPr="005D1D70">
        <w:t>er Hour is $245.73</w:t>
      </w:r>
      <w:r>
        <w:t xml:space="preserve"> (21% higher than the state average).</w:t>
      </w:r>
    </w:p>
    <w:p w14:paraId="4162D580" w14:textId="18D718BF" w:rsidR="00B93283" w:rsidRPr="005D1D70" w:rsidRDefault="00B93283" w:rsidP="006044E0">
      <w:pPr>
        <w:pStyle w:val="ListParagraph"/>
        <w:numPr>
          <w:ilvl w:val="0"/>
          <w:numId w:val="15"/>
        </w:numPr>
      </w:pPr>
      <w:r w:rsidRPr="005D1D70">
        <w:t>One NSW LHD, Mid North Coast</w:t>
      </w:r>
      <w:r w:rsidR="00FE00A9">
        <w:t>,</w:t>
      </w:r>
      <w:r w:rsidRPr="005D1D70">
        <w:t xml:space="preserve"> is a clear outlier on this measure at &gt;$600 per hour, </w:t>
      </w:r>
      <w:r w:rsidR="002573C8">
        <w:t xml:space="preserve">that </w:t>
      </w:r>
      <w:r w:rsidRPr="005D1D70">
        <w:t>warrants further investigation to understand the</w:t>
      </w:r>
      <w:r>
        <w:t>ir higher cost per ICU hour</w:t>
      </w:r>
      <w:r w:rsidRPr="005D1D70">
        <w:t xml:space="preserve">. </w:t>
      </w:r>
    </w:p>
    <w:p w14:paraId="07A57661" w14:textId="2A140502" w:rsidR="00B93283" w:rsidRDefault="00B93283" w:rsidP="00B93283">
      <w:r>
        <w:t xml:space="preserve">Note that </w:t>
      </w:r>
      <w:r w:rsidRPr="0015299C">
        <w:rPr>
          <w:i/>
        </w:rPr>
        <w:t xml:space="preserve">Level 3 ICU </w:t>
      </w:r>
      <w:r w:rsidR="007155F8">
        <w:rPr>
          <w:i/>
          <w:iCs/>
        </w:rPr>
        <w:t>H</w:t>
      </w:r>
      <w:r w:rsidRPr="0015299C">
        <w:rPr>
          <w:i/>
          <w:iCs/>
        </w:rPr>
        <w:t>ours</w:t>
      </w:r>
      <w:r>
        <w:t xml:space="preserve"> include ICU hours at </w:t>
      </w:r>
      <w:r w:rsidRPr="005D1D70">
        <w:t xml:space="preserve">non-Level 3 </w:t>
      </w:r>
      <w:r>
        <w:t xml:space="preserve">ICU </w:t>
      </w:r>
      <w:r w:rsidRPr="005D1D70">
        <w:t>facilities</w:t>
      </w:r>
      <w:r>
        <w:t xml:space="preserve"> across the state</w:t>
      </w:r>
      <w:r w:rsidRPr="005D1D70">
        <w:t>.</w:t>
      </w:r>
    </w:p>
    <w:p w14:paraId="0211E80F" w14:textId="685B18FC" w:rsidR="00B93283" w:rsidRDefault="00096D09"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12</w:t>
      </w:r>
      <w:r w:rsidR="00BD5B5E">
        <w:fldChar w:fldCharType="end"/>
      </w:r>
      <w:r>
        <w:t xml:space="preserve">: </w:t>
      </w:r>
      <w:r w:rsidRPr="008F528C">
        <w:t>Average Cost per Level 3 ICU Hour in Adult and Paediatric ICU</w:t>
      </w:r>
      <w:r w:rsidR="00960EB1">
        <w:t xml:space="preserve"> - NSW</w:t>
      </w:r>
    </w:p>
    <w:p w14:paraId="169F7642" w14:textId="003E3FB6" w:rsidR="00B93283" w:rsidRDefault="00096D09" w:rsidP="001D13A1">
      <w:r>
        <w:rPr>
          <w:noProof/>
        </w:rPr>
        <mc:AlternateContent>
          <mc:Choice Requires="wps">
            <w:drawing>
              <wp:anchor distT="45720" distB="45720" distL="114300" distR="114300" simplePos="0" relativeHeight="251658245" behindDoc="0" locked="0" layoutInCell="1" allowOverlap="1" wp14:anchorId="59C6B88D" wp14:editId="6C19B72A">
                <wp:simplePos x="0" y="0"/>
                <wp:positionH relativeFrom="margin">
                  <wp:align>left</wp:align>
                </wp:positionH>
                <wp:positionV relativeFrom="paragraph">
                  <wp:posOffset>1903922</wp:posOffset>
                </wp:positionV>
                <wp:extent cx="5715000" cy="1447800"/>
                <wp:effectExtent l="0" t="0" r="0" b="0"/>
                <wp:wrapTopAndBottom/>
                <wp:docPr id="62803239" name="Text Box 2" descr="P1229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1471A69E" w14:textId="0DB90F62" w:rsidR="000C25EA" w:rsidRPr="001729F2" w:rsidRDefault="000C25EA" w:rsidP="00845B1A">
                            <w:pPr>
                              <w:rPr>
                                <w:rFonts w:ascii="Avenir Next LT Pro Demi" w:eastAsia="Times New Roman" w:hAnsi="Avenir Next LT Pro Demi" w:cs="Times New Roman"/>
                                <w:color w:val="FFFFFF" w:themeColor="background1"/>
                              </w:rPr>
                            </w:pPr>
                            <w:r w:rsidRPr="001729F2">
                              <w:rPr>
                                <w:rFonts w:ascii="Avenir Next LT Pro Demi" w:hAnsi="Avenir Next LT Pro Demi"/>
                                <w:color w:val="FFFFFF" w:themeColor="background1"/>
                              </w:rPr>
                              <w:t>Critical Care - Average Cost Per Hour Insights:</w:t>
                            </w:r>
                          </w:p>
                          <w:p w14:paraId="69D66306" w14:textId="2F36B498" w:rsidR="00845B1A" w:rsidRPr="001729F2" w:rsidRDefault="00845B1A" w:rsidP="00845B1A">
                            <w:pPr>
                              <w:pStyle w:val="Tablebulletpoint"/>
                              <w:rPr>
                                <w:color w:val="FFFFFF" w:themeColor="background1"/>
                              </w:rPr>
                            </w:pPr>
                            <w:r w:rsidRPr="001729F2">
                              <w:rPr>
                                <w:color w:val="FFFFFF" w:themeColor="background1"/>
                              </w:rPr>
                              <w:t xml:space="preserve">There is a mismatch between the costs and activity reported to IHACPA in NSW. NSW does not report NICU, </w:t>
                            </w:r>
                            <w:r w:rsidR="001E671F">
                              <w:rPr>
                                <w:color w:val="FFFFFF" w:themeColor="background1"/>
                              </w:rPr>
                              <w:t>SCN</w:t>
                            </w:r>
                            <w:r w:rsidRPr="001729F2">
                              <w:rPr>
                                <w:color w:val="FFFFFF" w:themeColor="background1"/>
                              </w:rPr>
                              <w:t xml:space="preserve">, </w:t>
                            </w:r>
                            <w:r w:rsidR="00F43E1F">
                              <w:rPr>
                                <w:color w:val="FFFFFF" w:themeColor="background1"/>
                              </w:rPr>
                              <w:t>CCU</w:t>
                            </w:r>
                            <w:r w:rsidRPr="001729F2">
                              <w:rPr>
                                <w:color w:val="FFFFFF" w:themeColor="background1"/>
                              </w:rPr>
                              <w:t>, Close Observation Unit and Psychiatric ICU care hours, but does report these critical care costs.</w:t>
                            </w:r>
                          </w:p>
                          <w:p w14:paraId="60A1D9A2" w14:textId="77777777" w:rsidR="00845B1A" w:rsidRPr="001729F2" w:rsidRDefault="00845B1A" w:rsidP="00845B1A">
                            <w:pPr>
                              <w:pStyle w:val="Tablebulletpoint"/>
                              <w:rPr>
                                <w:color w:val="FFFFFF" w:themeColor="background1"/>
                              </w:rPr>
                            </w:pPr>
                            <w:r w:rsidRPr="001729F2">
                              <w:rPr>
                                <w:color w:val="FFFFFF" w:themeColor="background1"/>
                              </w:rPr>
                              <w:t xml:space="preserve">ICU hours at non-Level 3 ICU facilities are reported as </w:t>
                            </w:r>
                            <w:r w:rsidRPr="00B32274">
                              <w:rPr>
                                <w:i/>
                                <w:color w:val="FFFFFF" w:themeColor="background1"/>
                              </w:rPr>
                              <w:t>Level 3 ICU Hours</w:t>
                            </w:r>
                            <w:r w:rsidRPr="001729F2">
                              <w:rPr>
                                <w:color w:val="FFFFFF" w:themeColor="background1"/>
                              </w:rPr>
                              <w:t xml:space="preserve">, but costs are reported under </w:t>
                            </w:r>
                            <w:r w:rsidRPr="008837EC">
                              <w:rPr>
                                <w:i/>
                                <w:color w:val="FFFFFF" w:themeColor="background1"/>
                              </w:rPr>
                              <w:t>Gencritcare</w:t>
                            </w:r>
                            <w:r w:rsidRPr="001729F2">
                              <w:rPr>
                                <w:color w:val="FFFFFF" w:themeColor="background1"/>
                              </w:rPr>
                              <w:t xml:space="preserve"> cost centre. </w:t>
                            </w:r>
                          </w:p>
                          <w:p w14:paraId="48E490C5" w14:textId="2A4976E7" w:rsidR="00096D09" w:rsidRPr="001729F2" w:rsidRDefault="00845B1A" w:rsidP="00DA2C88">
                            <w:pPr>
                              <w:pStyle w:val="Tablebulletpoint"/>
                              <w:rPr>
                                <w:color w:val="FFFFFF" w:themeColor="background1"/>
                              </w:rPr>
                            </w:pPr>
                            <w:r w:rsidRPr="004C74D4">
                              <w:rPr>
                                <w:color w:val="FFFFFF" w:themeColor="background1"/>
                              </w:rPr>
                              <w:t xml:space="preserve">Some costs incurred during an ICU stay (allied health, drugs, imaging and pathology) do not flow through to the </w:t>
                            </w:r>
                            <w:r w:rsidRPr="004C74D4">
                              <w:rPr>
                                <w:i/>
                                <w:iCs/>
                                <w:color w:val="FFFFFF" w:themeColor="background1"/>
                              </w:rPr>
                              <w:t>Critical</w:t>
                            </w:r>
                            <w:r w:rsidRPr="004C74D4">
                              <w:rPr>
                                <w:color w:val="FFFFFF" w:themeColor="background1"/>
                              </w:rPr>
                              <w:t xml:space="preserve"> </w:t>
                            </w:r>
                            <w:r w:rsidR="00FE00A9" w:rsidRPr="004C74D4">
                              <w:rPr>
                                <w:color w:val="FFFFFF" w:themeColor="background1"/>
                              </w:rPr>
                              <w:t xml:space="preserve">NHCDC </w:t>
                            </w:r>
                            <w:r w:rsidR="002A1CCA" w:rsidRPr="004C74D4">
                              <w:rPr>
                                <w:color w:val="FFFFFF" w:themeColor="background1"/>
                              </w:rPr>
                              <w:t>C</w:t>
                            </w:r>
                            <w:r w:rsidRPr="004C74D4">
                              <w:rPr>
                                <w:color w:val="FFFFFF" w:themeColor="background1"/>
                              </w:rPr>
                              <w:t>ost</w:t>
                            </w:r>
                            <w:r w:rsidR="003D7447" w:rsidRPr="004C74D4">
                              <w:rPr>
                                <w:color w:val="FFFFFF" w:themeColor="background1"/>
                              </w:rPr>
                              <w:t xml:space="preserve"> Centre Group.</w:t>
                            </w:r>
                            <w:r w:rsidR="005E12EA" w:rsidRPr="004C74D4">
                              <w:rPr>
                                <w:color w:val="FFFFFF" w:themeColor="background1"/>
                              </w:rPr>
                              <w:t xml:space="preserve"> This is </w:t>
                            </w:r>
                            <w:r w:rsidRPr="004C74D4">
                              <w:rPr>
                                <w:color w:val="FFFFFF" w:themeColor="background1"/>
                              </w:rPr>
                              <w:t>in line with other states and territories</w:t>
                            </w:r>
                            <w:r w:rsidR="00991ED0">
                              <w:rPr>
                                <w:color w:val="FFFFFF" w:themeColor="background1"/>
                              </w:rPr>
                              <w:t>.</w:t>
                            </w:r>
                          </w:p>
                        </w:txbxContent>
                      </wps:txbx>
                      <wps:bodyPr rot="0" vert="horz" wrap="square" lIns="180000" tIns="180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59C6B88D" id="_x0000_s1106" type="#_x0000_t202" alt="P1229TB19#y1" style="position:absolute;margin-left:0;margin-top:149.9pt;width:450pt;height:114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" fillcolor="#343a5e [2405]" stroked="f" strokeweight="1pt">
                <v:textbox style="mso-fit-shape-to-text:t" inset="5mm,5mm,5mm,5mm">
                  <w:txbxContent>
                    <w:p w14:paraId="1471A69E" w14:textId="0DB90F62" w:rsidR="000C25EA" w:rsidRPr="001729F2" w:rsidRDefault="000C25EA" w:rsidP="00845B1A">
                      <w:pPr>
                        <w:rPr>
                          <w:rFonts w:ascii="Avenir Next LT Pro Demi" w:eastAsia="Times New Roman" w:hAnsi="Avenir Next LT Pro Demi" w:cs="Times New Roman"/>
                          <w:color w:val="FFFFFF" w:themeColor="background1"/>
                        </w:rPr>
                      </w:pPr>
                      <w:r w:rsidRPr="001729F2">
                        <w:rPr>
                          <w:rFonts w:ascii="Avenir Next LT Pro Demi" w:hAnsi="Avenir Next LT Pro Demi"/>
                          <w:color w:val="FFFFFF" w:themeColor="background1"/>
                        </w:rPr>
                        <w:t>Critical Care - Average Cost Per Hour Insights:</w:t>
                      </w:r>
                    </w:p>
                    <w:p w14:paraId="69D66306" w14:textId="2F36B498" w:rsidR="00845B1A" w:rsidRPr="001729F2" w:rsidRDefault="00845B1A" w:rsidP="00845B1A">
                      <w:pPr>
                        <w:pStyle w:val="Tablebulletpoint"/>
                        <w:rPr>
                          <w:color w:val="FFFFFF" w:themeColor="background1"/>
                        </w:rPr>
                      </w:pPr>
                      <w:r w:rsidRPr="001729F2">
                        <w:rPr>
                          <w:color w:val="FFFFFF" w:themeColor="background1"/>
                        </w:rPr>
                        <w:t xml:space="preserve">There is a mismatch between the costs and activity reported to IHACPA in NSW. NSW does not report NICU, </w:t>
                      </w:r>
                      <w:r w:rsidR="001E671F">
                        <w:rPr>
                          <w:color w:val="FFFFFF" w:themeColor="background1"/>
                        </w:rPr>
                        <w:t>SCN</w:t>
                      </w:r>
                      <w:r w:rsidRPr="001729F2">
                        <w:rPr>
                          <w:color w:val="FFFFFF" w:themeColor="background1"/>
                        </w:rPr>
                        <w:t xml:space="preserve">, </w:t>
                      </w:r>
                      <w:r w:rsidR="00F43E1F">
                        <w:rPr>
                          <w:color w:val="FFFFFF" w:themeColor="background1"/>
                        </w:rPr>
                        <w:t>CCU</w:t>
                      </w:r>
                      <w:r w:rsidRPr="001729F2">
                        <w:rPr>
                          <w:color w:val="FFFFFF" w:themeColor="background1"/>
                        </w:rPr>
                        <w:t>, Close Observation Unit and Psychiatric ICU care hours, but does report these critical care costs.</w:t>
                      </w:r>
                    </w:p>
                    <w:p w14:paraId="60A1D9A2" w14:textId="77777777" w:rsidR="00845B1A" w:rsidRPr="001729F2" w:rsidRDefault="00845B1A" w:rsidP="00845B1A">
                      <w:pPr>
                        <w:pStyle w:val="Tablebulletpoint"/>
                        <w:rPr>
                          <w:color w:val="FFFFFF" w:themeColor="background1"/>
                        </w:rPr>
                      </w:pPr>
                      <w:r w:rsidRPr="001729F2">
                        <w:rPr>
                          <w:color w:val="FFFFFF" w:themeColor="background1"/>
                        </w:rPr>
                        <w:t xml:space="preserve">ICU hours at non-Level 3 ICU facilities are reported as </w:t>
                      </w:r>
                      <w:r w:rsidRPr="00B32274">
                        <w:rPr>
                          <w:i/>
                          <w:color w:val="FFFFFF" w:themeColor="background1"/>
                        </w:rPr>
                        <w:t>Level 3 ICU Hours</w:t>
                      </w:r>
                      <w:r w:rsidRPr="001729F2">
                        <w:rPr>
                          <w:color w:val="FFFFFF" w:themeColor="background1"/>
                        </w:rPr>
                        <w:t xml:space="preserve">, but costs are reported under </w:t>
                      </w:r>
                      <w:r w:rsidRPr="008837EC">
                        <w:rPr>
                          <w:i/>
                          <w:color w:val="FFFFFF" w:themeColor="background1"/>
                        </w:rPr>
                        <w:t>Gencritcare</w:t>
                      </w:r>
                      <w:r w:rsidRPr="001729F2">
                        <w:rPr>
                          <w:color w:val="FFFFFF" w:themeColor="background1"/>
                        </w:rPr>
                        <w:t xml:space="preserve"> cost centre. </w:t>
                      </w:r>
                    </w:p>
                    <w:p w14:paraId="48E490C5" w14:textId="2A4976E7" w:rsidR="00096D09" w:rsidRPr="001729F2" w:rsidRDefault="00845B1A" w:rsidP="00DA2C88">
                      <w:pPr>
                        <w:pStyle w:val="Tablebulletpoint"/>
                        <w:rPr>
                          <w:color w:val="FFFFFF" w:themeColor="background1"/>
                        </w:rPr>
                      </w:pPr>
                      <w:r w:rsidRPr="004C74D4">
                        <w:rPr>
                          <w:color w:val="FFFFFF" w:themeColor="background1"/>
                        </w:rPr>
                        <w:t xml:space="preserve">Some costs incurred during an ICU stay (allied health, drugs, imaging and pathology) do not flow through to the </w:t>
                      </w:r>
                      <w:r w:rsidRPr="004C74D4">
                        <w:rPr>
                          <w:i/>
                          <w:iCs/>
                          <w:color w:val="FFFFFF" w:themeColor="background1"/>
                        </w:rPr>
                        <w:t>Critical</w:t>
                      </w:r>
                      <w:r w:rsidRPr="004C74D4">
                        <w:rPr>
                          <w:color w:val="FFFFFF" w:themeColor="background1"/>
                        </w:rPr>
                        <w:t xml:space="preserve"> </w:t>
                      </w:r>
                      <w:r w:rsidR="00FE00A9" w:rsidRPr="004C74D4">
                        <w:rPr>
                          <w:color w:val="FFFFFF" w:themeColor="background1"/>
                        </w:rPr>
                        <w:t xml:space="preserve">NHCDC </w:t>
                      </w:r>
                      <w:r w:rsidR="002A1CCA" w:rsidRPr="004C74D4">
                        <w:rPr>
                          <w:color w:val="FFFFFF" w:themeColor="background1"/>
                        </w:rPr>
                        <w:t>C</w:t>
                      </w:r>
                      <w:r w:rsidRPr="004C74D4">
                        <w:rPr>
                          <w:color w:val="FFFFFF" w:themeColor="background1"/>
                        </w:rPr>
                        <w:t>ost</w:t>
                      </w:r>
                      <w:r w:rsidR="003D7447" w:rsidRPr="004C74D4">
                        <w:rPr>
                          <w:color w:val="FFFFFF" w:themeColor="background1"/>
                        </w:rPr>
                        <w:t xml:space="preserve"> Centre Group.</w:t>
                      </w:r>
                      <w:r w:rsidR="005E12EA" w:rsidRPr="004C74D4">
                        <w:rPr>
                          <w:color w:val="FFFFFF" w:themeColor="background1"/>
                        </w:rPr>
                        <w:t xml:space="preserve"> This is </w:t>
                      </w:r>
                      <w:r w:rsidRPr="004C74D4">
                        <w:rPr>
                          <w:color w:val="FFFFFF" w:themeColor="background1"/>
                        </w:rPr>
                        <w:t>in line with other states and territories</w:t>
                      </w:r>
                      <w:r w:rsidR="00991ED0">
                        <w:rPr>
                          <w:color w:val="FFFFFF" w:themeColor="background1"/>
                        </w:rPr>
                        <w:t>.</w:t>
                      </w:r>
                    </w:p>
                  </w:txbxContent>
                </v:textbox>
                <w10:wrap type="topAndBottom" anchorx="margin"/>
              </v:shape>
            </w:pict>
          </mc:Fallback>
        </mc:AlternateContent>
      </w:r>
      <w:r w:rsidR="00E6008D" w:rsidRPr="00E6008D">
        <w:rPr>
          <w:noProof/>
        </w:rPr>
        <w:drawing>
          <wp:anchor distT="0" distB="0" distL="114300" distR="114300" simplePos="0" relativeHeight="251658262" behindDoc="0" locked="0" layoutInCell="1" allowOverlap="1" wp14:anchorId="6DE20582" wp14:editId="67874022">
            <wp:simplePos x="0" y="0"/>
            <wp:positionH relativeFrom="margin">
              <wp:align>center</wp:align>
            </wp:positionH>
            <wp:positionV relativeFrom="paragraph">
              <wp:posOffset>-2097</wp:posOffset>
            </wp:positionV>
            <wp:extent cx="6273209" cy="1704873"/>
            <wp:effectExtent l="0" t="0" r="0" b="0"/>
            <wp:wrapSquare wrapText="bothSides"/>
            <wp:docPr id="1857094815" name="Picture 1" descr="P122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94815" name="Picture 1" descr="P1229#y1"/>
                    <pic:cNvPicPr/>
                  </pic:nvPicPr>
                  <pic:blipFill>
                    <a:blip r:embed="rId57">
                      <a:extLst>
                        <a:ext uri="{28A0092B-C50C-407E-A947-70E740481C1C}">
                          <a14:useLocalDpi xmlns:a14="http://schemas.microsoft.com/office/drawing/2010/main" val="0"/>
                        </a:ext>
                      </a:extLst>
                    </a:blip>
                    <a:stretch>
                      <a:fillRect/>
                    </a:stretch>
                  </pic:blipFill>
                  <pic:spPr>
                    <a:xfrm>
                      <a:off x="0" y="0"/>
                      <a:ext cx="6273209" cy="1704873"/>
                    </a:xfrm>
                    <a:prstGeom prst="rect">
                      <a:avLst/>
                    </a:prstGeom>
                  </pic:spPr>
                </pic:pic>
              </a:graphicData>
            </a:graphic>
          </wp:anchor>
        </w:drawing>
      </w:r>
    </w:p>
    <w:p w14:paraId="3CE61B3E" w14:textId="77777777" w:rsidR="00CA36C1" w:rsidRPr="00AD1F32" w:rsidRDefault="00B93283" w:rsidP="003060BB">
      <w:pPr>
        <w:pStyle w:val="Heading4"/>
        <w:rPr>
          <w:color w:val="484B5D" w:themeColor="accent3"/>
        </w:rPr>
      </w:pPr>
      <w:r w:rsidRPr="00AD1F32">
        <w:rPr>
          <w:color w:val="484B5D" w:themeColor="accent3"/>
        </w:rPr>
        <w:t>ICU Cost Allocation Methodologies</w:t>
      </w:r>
    </w:p>
    <w:p w14:paraId="752010CA" w14:textId="70872FB9" w:rsidR="00014E0F" w:rsidRDefault="00014E0F" w:rsidP="00CA36C1">
      <w:pPr>
        <w:sectPr w:rsidR="00014E0F" w:rsidSect="007A2B79">
          <w:headerReference w:type="default" r:id="rId58"/>
          <w:footnotePr>
            <w:pos w:val="beneathText"/>
          </w:footnotePr>
          <w:endnotePr>
            <w:numFmt w:val="decimal"/>
          </w:endnotePr>
          <w:pgSz w:w="11906" w:h="16838" w:code="9"/>
          <w:pgMar w:top="1440" w:right="1440" w:bottom="1440" w:left="1440" w:header="720" w:footer="720" w:gutter="0"/>
          <w:cols w:space="720"/>
          <w:docGrid w:linePitch="360"/>
        </w:sectPr>
      </w:pPr>
      <w:r w:rsidRPr="004A6730">
        <w:t xml:space="preserve">The tables below show details of the types of expenditure incurred by each ICU site, John Hunter Hospital and Wagga Wagga </w:t>
      </w:r>
      <w:r>
        <w:t>Hospital</w:t>
      </w:r>
      <w:r w:rsidRPr="005D1D70">
        <w:t xml:space="preserve">, the allocation methodologies used, and the ultimate </w:t>
      </w:r>
      <w:r w:rsidR="00FE00A9" w:rsidRPr="00EC0C63">
        <w:rPr>
          <w:i/>
        </w:rPr>
        <w:t>Critical</w:t>
      </w:r>
      <w:r w:rsidR="00FE00A9">
        <w:t xml:space="preserve"> </w:t>
      </w:r>
      <w:r>
        <w:t>NHCDC Cost Centre Group</w:t>
      </w:r>
      <w:r w:rsidRPr="005D1D70">
        <w:t xml:space="preserve"> that these expenditure</w:t>
      </w:r>
      <w:r>
        <w:t xml:space="preserve"> types map.</w:t>
      </w:r>
    </w:p>
    <w:p w14:paraId="2D00B326" w14:textId="50ACF0D2" w:rsidR="00E0218D" w:rsidRDefault="00FE3C18" w:rsidP="00E0218D">
      <w:pPr>
        <w:pStyle w:val="Caption"/>
        <w:keepNext/>
      </w:pPr>
      <w:r>
        <w:lastRenderedPageBreak/>
        <w:t>Table</w:t>
      </w:r>
      <w:r w:rsidR="00E0218D">
        <w:t xml:space="preserve"> </w:t>
      </w:r>
      <w:r>
        <w:fldChar w:fldCharType="begin"/>
      </w:r>
      <w:r>
        <w:instrText xml:space="preserve"> SEQ Table \* ARABIC </w:instrText>
      </w:r>
      <w:r>
        <w:fldChar w:fldCharType="separate"/>
      </w:r>
      <w:r w:rsidR="00CE6F96">
        <w:rPr>
          <w:noProof/>
        </w:rPr>
        <w:t>10</w:t>
      </w:r>
      <w:r>
        <w:fldChar w:fldCharType="end"/>
      </w:r>
      <w:r>
        <w:t>:</w:t>
      </w:r>
      <w:r w:rsidR="00E0218D">
        <w:t xml:space="preserve"> </w:t>
      </w:r>
      <w:r w:rsidR="00E0218D" w:rsidRPr="00587437">
        <w:t>John Hunter Hospital Cost Allocation Methodologies</w:t>
      </w:r>
    </w:p>
    <w:tbl>
      <w:tblPr>
        <w:tblStyle w:val="TableGrid"/>
        <w:tblpPr w:leftFromText="180" w:rightFromText="180" w:vertAnchor="tex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E40B76" w14:paraId="1933D733" w14:textId="77777777" w:rsidTr="00FE3C18">
        <w:tc>
          <w:tcPr>
            <w:tcW w:w="1134" w:type="dxa"/>
            <w:shd w:val="clear" w:color="auto" w:fill="EFF0F7" w:themeFill="accent4" w:themeFillTint="33"/>
            <w:vAlign w:val="center"/>
          </w:tcPr>
          <w:p w14:paraId="5D044354" w14:textId="77777777" w:rsidR="00E40B76" w:rsidRPr="00243F63" w:rsidRDefault="00E40B76" w:rsidP="00FE3C18">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0797D2BF" w14:textId="77777777" w:rsidR="00E40B76" w:rsidRDefault="00E40B76" w:rsidP="00FE3C18">
            <w:r>
              <w:t>Via patient level feeder system</w:t>
            </w:r>
          </w:p>
        </w:tc>
        <w:tc>
          <w:tcPr>
            <w:tcW w:w="1134" w:type="dxa"/>
            <w:shd w:val="clear" w:color="auto" w:fill="EFF0F7" w:themeFill="accent4" w:themeFillTint="33"/>
            <w:vAlign w:val="center"/>
          </w:tcPr>
          <w:p w14:paraId="667CAC12"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57E221B4" w14:textId="77777777" w:rsidR="00E40B76" w:rsidRDefault="00E40B76" w:rsidP="00FE3C18">
            <w:r>
              <w:t>Via weighted RVU, to ICU patients</w:t>
            </w:r>
          </w:p>
        </w:tc>
      </w:tr>
      <w:tr w:rsidR="00E40B76" w14:paraId="6C0F1193" w14:textId="77777777" w:rsidTr="00FE3C18">
        <w:tc>
          <w:tcPr>
            <w:tcW w:w="1134" w:type="dxa"/>
            <w:shd w:val="clear" w:color="auto" w:fill="EFF0F7" w:themeFill="accent4" w:themeFillTint="33"/>
            <w:vAlign w:val="center"/>
          </w:tcPr>
          <w:p w14:paraId="74D38D13" w14:textId="77777777" w:rsidR="00E40B76" w:rsidRDefault="00E40B76" w:rsidP="00FE3C18">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72D81207" w14:textId="77777777" w:rsidR="00E40B76" w:rsidRDefault="00E40B76" w:rsidP="00FE3C18">
            <w:r>
              <w:t>Using a standard RVU, to ICU patients</w:t>
            </w:r>
          </w:p>
        </w:tc>
        <w:tc>
          <w:tcPr>
            <w:tcW w:w="1134" w:type="dxa"/>
            <w:shd w:val="clear" w:color="auto" w:fill="EFF0F7" w:themeFill="accent4" w:themeFillTint="33"/>
            <w:vAlign w:val="center"/>
          </w:tcPr>
          <w:p w14:paraId="663887C2"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21BD0900" w14:textId="77777777" w:rsidR="00E40B76" w:rsidRDefault="00E40B76" w:rsidP="00FE3C18">
            <w:r>
              <w:t>Across ICU / non-ICU patients</w:t>
            </w:r>
          </w:p>
        </w:tc>
      </w:tr>
    </w:tbl>
    <w:p w14:paraId="4F788146" w14:textId="77777777" w:rsidR="00E40B76" w:rsidRPr="00E40B76" w:rsidRDefault="00E40B76" w:rsidP="00E40B76"/>
    <w:p w14:paraId="5717F270" w14:textId="77777777" w:rsidR="00FE3C18" w:rsidRDefault="00FE3C18" w:rsidP="00FE3C18"/>
    <w:p w14:paraId="78176C55" w14:textId="77777777" w:rsidR="00FE3C18" w:rsidRDefault="00FE3C18" w:rsidP="00FE3C18"/>
    <w:p w14:paraId="0867A8C2" w14:textId="77777777" w:rsidR="00FE3C18" w:rsidRPr="00FE3C18" w:rsidRDefault="00FE3C18" w:rsidP="00FE3C18"/>
    <w:tbl>
      <w:tblPr>
        <w:tblStyle w:val="ScyneTable"/>
        <w:tblW w:w="4993" w:type="pct"/>
        <w:tblInd w:w="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52"/>
        <w:gridCol w:w="4421"/>
        <w:gridCol w:w="4650"/>
        <w:gridCol w:w="1012"/>
        <w:gridCol w:w="1503"/>
      </w:tblGrid>
      <w:tr w:rsidR="003964D6" w:rsidRPr="00F0724D" w14:paraId="06A0F947" w14:textId="77777777" w:rsidTr="00265C6A">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2F2DD127" w14:textId="77777777" w:rsidR="00845B1A" w:rsidRPr="00F0724D" w:rsidRDefault="00845B1A">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t>Resources Consumed</w:t>
            </w:r>
          </w:p>
        </w:tc>
        <w:tc>
          <w:tcPr>
            <w:tcW w:w="1586"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BBD9FFC" w14:textId="77777777" w:rsidR="00845B1A" w:rsidRPr="00F0724D" w:rsidRDefault="00845B1A">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668"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4AF3FB9" w14:textId="77777777" w:rsidR="00845B1A" w:rsidRPr="00F0724D" w:rsidRDefault="00845B1A">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522C4006" w14:textId="70F2AEDA" w:rsidR="00845B1A" w:rsidRPr="00F0724D" w:rsidRDefault="00845B1A">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0C0758">
              <w:rPr>
                <w:rFonts w:ascii="Avenir Next LT Pro Demi" w:hAnsi="Avenir Next LT Pro Demi"/>
                <w:b w:val="0"/>
                <w:bCs/>
                <w:sz w:val="20"/>
              </w:rPr>
              <w:t xml:space="preserve">Critical </w:t>
            </w:r>
            <w:r w:rsidRPr="00F0724D">
              <w:rPr>
                <w:rFonts w:ascii="Avenir Next LT Pro Demi" w:hAnsi="Avenir Next LT Pro Demi"/>
                <w:b w:val="0"/>
                <w:bCs/>
                <w:sz w:val="20"/>
              </w:rPr>
              <w:t>Cost Centre Group</w:t>
            </w:r>
          </w:p>
        </w:tc>
      </w:tr>
      <w:tr w:rsidR="00034380" w:rsidRPr="00F0724D" w14:paraId="5ADD8AD5"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6887DD20" w14:textId="084392C7" w:rsidR="00DF7B50" w:rsidRPr="00F0724D" w:rsidRDefault="0029212C" w:rsidP="00DF7B50">
            <w:r>
              <w:t xml:space="preserve">Nursing </w:t>
            </w:r>
            <w:r w:rsidR="00DF7B50" w:rsidRPr="005D1D70">
              <w:t>S&amp;W</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1AF99E1" w14:textId="15F1E3ED" w:rsidR="00DF7B50" w:rsidRPr="005D1D70" w:rsidRDefault="00DF7B50" w:rsidP="00DF7B50">
            <w:pPr>
              <w:cnfStyle w:val="000000000000" w:firstRow="0" w:lastRow="0" w:firstColumn="0" w:lastColumn="0" w:oddVBand="0" w:evenVBand="0" w:oddHBand="0" w:evenHBand="0" w:firstRowFirstColumn="0" w:firstRowLastColumn="0" w:lastRowFirstColumn="0" w:lastRowLastColumn="0"/>
            </w:pPr>
            <w:r w:rsidRPr="005D1D70">
              <w:t>Approx</w:t>
            </w:r>
            <w:r w:rsidR="008A4F3D">
              <w:t>imately</w:t>
            </w:r>
            <w:r w:rsidRPr="005D1D70">
              <w:t xml:space="preserve"> 250 </w:t>
            </w:r>
            <w:r>
              <w:t>full</w:t>
            </w:r>
            <w:r w:rsidR="006E481C">
              <w:t>-</w:t>
            </w:r>
            <w:r>
              <w:t>time equivalent (</w:t>
            </w:r>
            <w:r w:rsidRPr="005D1D70">
              <w:t>FTE</w:t>
            </w:r>
            <w:r>
              <w:t>)</w:t>
            </w:r>
            <w:r w:rsidRPr="005D1D70">
              <w:t xml:space="preserve"> nursing staff shared across </w:t>
            </w:r>
            <w:r>
              <w:t>Adult ICU (</w:t>
            </w:r>
            <w:r w:rsidRPr="005D1D70">
              <w:t>AICU</w:t>
            </w:r>
            <w:r>
              <w:t>)</w:t>
            </w:r>
            <w:r w:rsidRPr="005D1D70">
              <w:t xml:space="preserve"> and PICU, mix of substantive and casual staff (no agency). </w:t>
            </w:r>
          </w:p>
          <w:p w14:paraId="38AF0A68" w14:textId="66ECE6B4" w:rsidR="00DF7B50" w:rsidRPr="005D1D70" w:rsidRDefault="00DF7B50" w:rsidP="00DF7B50">
            <w:pPr>
              <w:cnfStyle w:val="000000000000" w:firstRow="0" w:lastRow="0" w:firstColumn="0" w:lastColumn="0" w:oddVBand="0" w:evenVBand="0" w:oddHBand="0" w:evenHBand="0" w:firstRowFirstColumn="0" w:firstRowLastColumn="0" w:lastRowFirstColumn="0" w:lastRowLastColumn="0"/>
              <w:rPr>
                <w:color w:val="44546A" w:themeColor="text2"/>
              </w:rPr>
            </w:pPr>
            <w:r w:rsidRPr="005D1D70">
              <w:rPr>
                <w:color w:val="44546A" w:themeColor="text2"/>
              </w:rPr>
              <w:t xml:space="preserve">ICU and PICU patients at John Hunter Hospital are typically cared for with a 1:1 or 1:2 nursing ratio. NICU patients had a ratio of 1:1 or 1:2; 1:3 or 1:4 for </w:t>
            </w:r>
            <w:r w:rsidR="006D7916">
              <w:rPr>
                <w:color w:val="44546A" w:themeColor="text2"/>
              </w:rPr>
              <w:t>SCN</w:t>
            </w:r>
            <w:r w:rsidRPr="005D1D70">
              <w:rPr>
                <w:color w:val="44546A" w:themeColor="text2"/>
              </w:rPr>
              <w:t>.</w:t>
            </w:r>
          </w:p>
          <w:p w14:paraId="3F3B07A4" w14:textId="2E2EFE11"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rPr>
                <w:color w:val="44546A" w:themeColor="text2"/>
              </w:rPr>
            </w:pPr>
            <w:r w:rsidRPr="005D1D70">
              <w:rPr>
                <w:color w:val="44546A" w:themeColor="text2"/>
              </w:rPr>
              <w:t xml:space="preserve">Nursing team includes Clinical </w:t>
            </w:r>
            <w:r>
              <w:rPr>
                <w:color w:val="44546A" w:themeColor="text2"/>
              </w:rPr>
              <w:t>Nurse Unit Managers (</w:t>
            </w:r>
            <w:r w:rsidRPr="005D1D70">
              <w:rPr>
                <w:color w:val="44546A" w:themeColor="text2"/>
              </w:rPr>
              <w:t>NUMs</w:t>
            </w:r>
            <w:r>
              <w:rPr>
                <w:color w:val="44546A" w:themeColor="text2"/>
              </w:rPr>
              <w:t>) and</w:t>
            </w:r>
            <w:r w:rsidRPr="005D1D70">
              <w:rPr>
                <w:color w:val="44546A" w:themeColor="text2"/>
              </w:rPr>
              <w:t xml:space="preserve"> educators</w:t>
            </w:r>
            <w:r>
              <w:rPr>
                <w:color w:val="44546A" w:themeColor="text2"/>
              </w:rPr>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6A0F173" w14:textId="5731BB71"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 xml:space="preserve">Allocation of nursing costs that are based on their </w:t>
            </w:r>
            <w:r w:rsidR="002B18D0">
              <w:t>duration in ICU ward</w:t>
            </w:r>
            <w:r w:rsidRPr="005D1D70">
              <w:t xml:space="preserve"> with a</w:t>
            </w:r>
            <w:r w:rsidR="00AD1FDE">
              <w:t>n</w:t>
            </w:r>
            <w:r>
              <w:t xml:space="preserve"> </w:t>
            </w:r>
            <w:r w:rsidR="00FE00A9">
              <w:t>relative value unit (</w:t>
            </w:r>
            <w:r w:rsidRPr="005D1D70">
              <w:t>RVU</w:t>
            </w:r>
            <w:r w:rsidR="00FE00A9">
              <w:t>)</w:t>
            </w:r>
            <w:r w:rsidRPr="005D1D70">
              <w:t xml:space="preserve"> for each bed type</w:t>
            </w:r>
            <w:r>
              <w:t>.</w:t>
            </w:r>
            <w:r w:rsidRPr="005D1D70">
              <w:t xml:space="preserve"> This enables a higher nursing costing for Bed Type 91 (ICU Care) versus Bed Type 92 (Step Down Care) reflecting different nursing ratios ranging from 1:1 to </w:t>
            </w:r>
            <w:r>
              <w:t xml:space="preserve">1:2 or </w:t>
            </w:r>
            <w:r w:rsidRPr="005D1D70">
              <w:t>1:4</w:t>
            </w:r>
            <w:r>
              <w:t xml:space="preserve"> for non-ICU patients</w:t>
            </w:r>
            <w:r w:rsidRPr="005D1D70">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9C44363" w14:textId="77777777" w:rsidR="00DF7B50" w:rsidRPr="005D1D70" w:rsidRDefault="00DF7B50" w:rsidP="00DF7B50">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5D1D70">
              <w:rPr>
                <w:rFonts w:ascii="Cambria Math" w:hAnsi="Cambria Math" w:cs="Cambria Math"/>
              </w:rPr>
              <w:t>◕</w:t>
            </w:r>
          </w:p>
          <w:p w14:paraId="775B9E91" w14:textId="4C300889"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0DF200F"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Critical</w:t>
            </w:r>
          </w:p>
        </w:tc>
      </w:tr>
      <w:tr w:rsidR="00034380" w:rsidRPr="00F0724D" w14:paraId="0C064BB8"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023EDBE" w14:textId="14CE114A" w:rsidR="00DF7B50" w:rsidRPr="00F0724D" w:rsidRDefault="0029212C" w:rsidP="00DF7B50">
            <w:r>
              <w:t xml:space="preserve">Allied Health </w:t>
            </w:r>
            <w:r w:rsidR="00DF7B50" w:rsidRPr="005D1D70">
              <w:t xml:space="preserve">S&amp;W </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D6435C3" w14:textId="2EBDCFC3"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ICU</w:t>
            </w:r>
            <w:r w:rsidR="002B18D0">
              <w:t xml:space="preserve">, </w:t>
            </w:r>
            <w:r w:rsidRPr="005D1D70">
              <w:t xml:space="preserve">PICU </w:t>
            </w:r>
            <w:r w:rsidR="002B18D0">
              <w:t>and NICU</w:t>
            </w:r>
            <w:r w:rsidRPr="005D1D70">
              <w:t xml:space="preserve"> have shared dedicated allied health input from physiotherapists, social work, </w:t>
            </w:r>
            <w:r>
              <w:t>occupational therapist</w:t>
            </w:r>
            <w:r w:rsidRPr="005D1D70">
              <w:t xml:space="preserve">, dietician, but these costs do not sit in </w:t>
            </w:r>
            <w:r w:rsidR="000D1EB5">
              <w:t>c</w:t>
            </w:r>
            <w:r w:rsidRPr="005D1D70">
              <w:t>ritical</w:t>
            </w:r>
            <w:r w:rsidR="000D1EB5">
              <w:t xml:space="preserve"> care c</w:t>
            </w:r>
            <w:r w:rsidRPr="005D1D70">
              <w:t xml:space="preserve">ost </w:t>
            </w:r>
            <w:r w:rsidR="009C019E" w:rsidRPr="005D1D70">
              <w:t>entries</w:t>
            </w:r>
            <w:r w:rsidRPr="005D1D70">
              <w:t xml:space="preserve"> in the GL.</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86F6C56" w14:textId="1B76523F"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Allied health interventions recorded on IPM</w:t>
            </w:r>
            <w:r w:rsidR="002A1CCA">
              <w:t>.</w:t>
            </w:r>
            <w:r w:rsidRPr="005D1D70">
              <w:t xml:space="preserve"> </w:t>
            </w:r>
            <w:r>
              <w:t>Australian Classification of Health Interventions (</w:t>
            </w:r>
            <w:r w:rsidRPr="005D1D70">
              <w:t>ACHI</w:t>
            </w:r>
            <w:r>
              <w:t>)</w:t>
            </w:r>
            <w:r w:rsidRPr="005D1D70">
              <w:t xml:space="preserve"> codes</w:t>
            </w:r>
            <w:r w:rsidR="002A1CCA">
              <w:t xml:space="preserve"> </w:t>
            </w:r>
            <w:r w:rsidRPr="005D1D70">
              <w:t xml:space="preserve">are used to identify where a patient received allied health services. These are then allocated to the patient using a weight/RVU based on the </w:t>
            </w:r>
            <w:r>
              <w:t>diagnostic related groups (</w:t>
            </w:r>
            <w:r w:rsidRPr="005D1D70">
              <w:t>DRG</w:t>
            </w:r>
            <w:r w:rsidR="00550049">
              <w:t>s</w:t>
            </w:r>
            <w:r>
              <w:t>)</w:t>
            </w:r>
            <w:r w:rsidRPr="005D1D70">
              <w:t xml:space="preserve"> and type of intervention</w:t>
            </w:r>
            <w: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BCEB876" w14:textId="77777777" w:rsidR="00DF7B50" w:rsidRPr="005D1D70" w:rsidRDefault="00DF7B50" w:rsidP="00DF7B50">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5D1D70">
              <w:rPr>
                <w:rFonts w:ascii="Cambria Math" w:hAnsi="Cambria Math" w:cs="Cambria Math"/>
              </w:rPr>
              <w:t>◕</w:t>
            </w:r>
          </w:p>
          <w:p w14:paraId="2487644E" w14:textId="77777777" w:rsidR="00DF7B50" w:rsidRPr="005D1D70" w:rsidRDefault="00DF7B50" w:rsidP="00DF7B50">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59BCFB9" w14:textId="7B0722CB" w:rsidR="00DF7B50" w:rsidRPr="00C93B69" w:rsidRDefault="00DF7B50" w:rsidP="00DF7B50">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57CB3B1"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Allied</w:t>
            </w:r>
          </w:p>
        </w:tc>
      </w:tr>
      <w:tr w:rsidR="00034380" w:rsidRPr="00F0724D" w14:paraId="5C70D173"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8939115" w14:textId="42D84A06" w:rsidR="00DF7B50" w:rsidRPr="00F0724D" w:rsidRDefault="0029212C" w:rsidP="00DF7B50">
            <w:r>
              <w:lastRenderedPageBreak/>
              <w:t xml:space="preserve">Other </w:t>
            </w:r>
            <w:r w:rsidR="00DF7B50" w:rsidRPr="005D1D70">
              <w:t>S&amp;W</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031B829" w14:textId="74D30071"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 xml:space="preserve">Technical assistant, Clinical Support Officers, Ward clerk, </w:t>
            </w:r>
            <w:r w:rsidR="005A0E01">
              <w:t>Administration</w:t>
            </w:r>
            <w:r w:rsidR="004E5BFF">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E72B518" w14:textId="708AB3D5"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5D1D70">
              <w:t xml:space="preserve">Allocated using </w:t>
            </w:r>
            <w:r w:rsidR="00FC77DD">
              <w:t>duration of patient in ICU ward.</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19A1609"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b/>
                <w:bCs/>
              </w:rPr>
            </w:pPr>
            <w:r w:rsidRPr="005D1D7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F4C47F1"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Critical</w:t>
            </w:r>
          </w:p>
        </w:tc>
      </w:tr>
      <w:tr w:rsidR="00034380" w:rsidRPr="00F0724D" w14:paraId="4BA1AB85"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F200E01" w14:textId="7275D1B4" w:rsidR="00DF7B50" w:rsidRPr="00F0724D" w:rsidRDefault="0029212C" w:rsidP="00DF7B50">
            <w:r>
              <w:t xml:space="preserve">Medical </w:t>
            </w:r>
            <w:r w:rsidR="00DF7B50" w:rsidRPr="005D1D70">
              <w:t>S&amp;W (&amp; VMO)</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EBFA5D3" w14:textId="1E84F0BF" w:rsidR="00DF7B50" w:rsidRPr="005D1D70" w:rsidRDefault="00DF7B50" w:rsidP="00DF7B50">
            <w:pPr>
              <w:cnfStyle w:val="000000000000" w:firstRow="0" w:lastRow="0" w:firstColumn="0" w:lastColumn="0" w:oddVBand="0" w:evenVBand="0" w:oddHBand="0" w:evenHBand="0" w:firstRowFirstColumn="0" w:firstRowLastColumn="0" w:lastRowFirstColumn="0" w:lastRowLastColumn="0"/>
            </w:pPr>
            <w:r w:rsidRPr="005D1D70">
              <w:t>Intensivists (Adult, Paediatric);</w:t>
            </w:r>
            <w:r>
              <w:t xml:space="preserve"> Senior Resident Medical Officer</w:t>
            </w:r>
            <w:r w:rsidRPr="005D1D70">
              <w:t xml:space="preserve"> </w:t>
            </w:r>
            <w:r>
              <w:t>(</w:t>
            </w:r>
            <w:r w:rsidRPr="005D1D70">
              <w:t>SRMOs</w:t>
            </w:r>
            <w:r>
              <w:t>)</w:t>
            </w:r>
            <w:r w:rsidRPr="005D1D70">
              <w:t xml:space="preserve">; </w:t>
            </w:r>
            <w:r w:rsidR="0062500C">
              <w:t>J</w:t>
            </w:r>
            <w:r>
              <w:t xml:space="preserve">unior </w:t>
            </w:r>
            <w:r w:rsidR="0062500C">
              <w:t>M</w:t>
            </w:r>
            <w:r>
              <w:t xml:space="preserve">edical </w:t>
            </w:r>
            <w:r w:rsidR="0062500C">
              <w:t>O</w:t>
            </w:r>
            <w:r>
              <w:t>fficer (</w:t>
            </w:r>
            <w:r w:rsidRPr="005D1D70">
              <w:t>JMO</w:t>
            </w:r>
            <w:r>
              <w:t>)</w:t>
            </w:r>
            <w:r w:rsidRPr="005D1D70">
              <w:t xml:space="preserve"> positions are supernumerary. There is occasional </w:t>
            </w:r>
            <w:r w:rsidR="0062500C">
              <w:t>V</w:t>
            </w:r>
            <w:r>
              <w:t xml:space="preserve">isiting </w:t>
            </w:r>
            <w:r w:rsidR="0062500C">
              <w:t>M</w:t>
            </w:r>
            <w:r>
              <w:t xml:space="preserve">edical </w:t>
            </w:r>
            <w:r w:rsidR="0062500C">
              <w:t>O</w:t>
            </w:r>
            <w:r>
              <w:t>fficers (</w:t>
            </w:r>
            <w:r w:rsidRPr="005D1D70">
              <w:t>VMO</w:t>
            </w:r>
            <w:r>
              <w:t>)</w:t>
            </w:r>
            <w:r w:rsidRPr="005D1D70">
              <w:t xml:space="preserve"> usage to cover staffing shortages.</w:t>
            </w:r>
          </w:p>
          <w:p w14:paraId="3BC6256A" w14:textId="59CE61D4"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Consultant Neonatologists and JMOs</w:t>
            </w:r>
            <w:r w:rsidR="00855386">
              <w:t xml:space="preserve"> are</w:t>
            </w:r>
            <w:r w:rsidRPr="005D1D70">
              <w:t xml:space="preserve"> in NICU</w:t>
            </w:r>
            <w:r w:rsidR="00FE00A9">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A48AFBE" w14:textId="6D14A28E" w:rsidR="00DF7B50" w:rsidRDefault="00740D64" w:rsidP="00DF7B50">
            <w:pPr>
              <w:cnfStyle w:val="000000000000" w:firstRow="0" w:lastRow="0" w:firstColumn="0" w:lastColumn="0" w:oddVBand="0" w:evenVBand="0" w:oddHBand="0" w:evenHBand="0" w:firstRowFirstColumn="0" w:firstRowLastColumn="0" w:lastRowFirstColumn="0" w:lastRowLastColumn="0"/>
            </w:pPr>
            <w:r>
              <w:t>No</w:t>
            </w:r>
            <w:r w:rsidR="00DF7B50">
              <w:t xml:space="preserve"> adjustment </w:t>
            </w:r>
            <w:r w:rsidR="00B64C50">
              <w:t xml:space="preserve">is </w:t>
            </w:r>
            <w:r w:rsidR="00DF7B50">
              <w:t xml:space="preserve">made for the retrieval services or MET calls. </w:t>
            </w:r>
          </w:p>
          <w:p w14:paraId="51CAD208" w14:textId="77777777" w:rsidR="00554744" w:rsidRDefault="00554744" w:rsidP="00554744">
            <w:pPr>
              <w:cnfStyle w:val="000000000000" w:firstRow="0" w:lastRow="0" w:firstColumn="0" w:lastColumn="0" w:oddVBand="0" w:evenVBand="0" w:oddHBand="0" w:evenHBand="0" w:firstRowFirstColumn="0" w:firstRowLastColumn="0" w:lastRowFirstColumn="0" w:lastRowLastColumn="0"/>
            </w:pPr>
            <w:r>
              <w:t>Adult and Paediatric ICU medical cost is kept in the critical care area. Encounters will receive an allocation of medical costs that are based on their duration in ICU ward.</w:t>
            </w:r>
          </w:p>
          <w:p w14:paraId="289EC377" w14:textId="1CEE453B" w:rsidR="00DF7B50" w:rsidRPr="00F0724D" w:rsidRDefault="00554744" w:rsidP="00DF7B5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 xml:space="preserve">NICU Neonatologists are moved to a specialty Neonatology area, cost allocated based on medical hours duration. JMOs are in the NICU ward area and allocated on duration in NICU ward.   </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DBD6FE3"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77A587F" w14:textId="7C171FB0"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Critical</w:t>
            </w:r>
          </w:p>
        </w:tc>
      </w:tr>
      <w:tr w:rsidR="00034380" w:rsidRPr="00F0724D" w14:paraId="16A551C8"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43DEDAD" w14:textId="713772FF" w:rsidR="00DF7B50" w:rsidRPr="00F0724D" w:rsidRDefault="00DF7B50" w:rsidP="00DF7B50">
            <w:r w:rsidRPr="005D1D70">
              <w:t>Consumables</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CE14106" w14:textId="72338C22"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 xml:space="preserve">Includes </w:t>
            </w:r>
            <w:r>
              <w:t xml:space="preserve">medical supplies, </w:t>
            </w:r>
            <w:r w:rsidR="00843FAD" w:rsidRPr="00843FAD">
              <w:rPr>
                <w:i/>
                <w:iCs/>
              </w:rPr>
              <w:t>G</w:t>
            </w:r>
            <w:r w:rsidRPr="00843FAD">
              <w:rPr>
                <w:i/>
                <w:iCs/>
              </w:rPr>
              <w:t xml:space="preserve">oods &amp; </w:t>
            </w:r>
            <w:r w:rsidR="00843FAD" w:rsidRPr="00843FAD">
              <w:rPr>
                <w:i/>
                <w:iCs/>
              </w:rPr>
              <w:t>S</w:t>
            </w:r>
            <w:r w:rsidRPr="00843FAD">
              <w:rPr>
                <w:i/>
                <w:iCs/>
              </w:rPr>
              <w:t>ervices</w:t>
            </w:r>
            <w:r w:rsidRPr="005D1D70">
              <w:t xml:space="preserve"> expenses including lines, neuromonitoring and cardiac support devices</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BAD4000" w14:textId="43CE19EA" w:rsidR="00DF7B50" w:rsidRPr="00F0724D" w:rsidRDefault="005C4E14" w:rsidP="00DF7B5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 xml:space="preserve">Allocated using </w:t>
            </w:r>
            <w:r>
              <w:t>duration of patient in ICU ward.</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07CFCFD" w14:textId="77777777" w:rsidR="00DF7B50" w:rsidRPr="001D7F2E"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5D1D7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6027092"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Critical</w:t>
            </w:r>
          </w:p>
        </w:tc>
      </w:tr>
      <w:tr w:rsidR="00034380" w:rsidRPr="00F0724D" w14:paraId="0B8ED47B"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F3F16BC" w14:textId="77777777" w:rsidR="00DF7B50" w:rsidRPr="00F0724D" w:rsidRDefault="00DF7B50" w:rsidP="00DF7B50">
            <w:r w:rsidRPr="005D1D70">
              <w:t>Imaging</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258032A" w14:textId="1DF033AC"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Imaging services provided by John Hunter Hospital</w:t>
            </w:r>
            <w:r>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57E2611" w14:textId="13CDBE9E"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Allocated using feeder data of actual tests per patient</w:t>
            </w:r>
            <w:r>
              <w:t>.</w:t>
            </w:r>
            <w:r w:rsidRPr="005D1D70">
              <w:t xml:space="preserve"> </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38742C6" w14:textId="77777777" w:rsidR="00DF7B50" w:rsidRPr="001D7F2E"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5D1D70">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71995A6"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Imaging</w:t>
            </w:r>
          </w:p>
        </w:tc>
      </w:tr>
      <w:tr w:rsidR="00034380" w:rsidRPr="00F0724D" w14:paraId="52EBFA62"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17A17A1" w14:textId="77777777" w:rsidR="00DF7B50" w:rsidRPr="00F0724D" w:rsidRDefault="00DF7B50" w:rsidP="00DF7B50">
            <w:r w:rsidRPr="005D1D70">
              <w:t>Pathology</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3E91DA8" w14:textId="1E5C4D2C"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Provided by NSW Pathology</w:t>
            </w:r>
            <w:r>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1238947" w14:textId="3FBED012"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Allocated using feeder data of actual tests per patient</w:t>
            </w:r>
            <w:r>
              <w:t>.</w:t>
            </w:r>
            <w:r w:rsidRPr="005D1D70">
              <w:t xml:space="preserve"> </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B564688" w14:textId="77777777" w:rsidR="00DF7B50" w:rsidRPr="001D7F2E"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5D1D70">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7DC8BCD"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Pathology</w:t>
            </w:r>
          </w:p>
        </w:tc>
      </w:tr>
      <w:tr w:rsidR="00034380" w:rsidRPr="00F0724D" w14:paraId="5C2EC9CD"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1F1634F" w14:textId="77777777" w:rsidR="00DF7B50" w:rsidRPr="00F0724D" w:rsidRDefault="00DF7B50" w:rsidP="00DF7B50">
            <w:r w:rsidRPr="005D1D70">
              <w:lastRenderedPageBreak/>
              <w:t>Pharmacy</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0FC105C" w14:textId="77777777" w:rsidR="00DF7B50" w:rsidRPr="005D1D70" w:rsidRDefault="00DF7B50" w:rsidP="00DF7B50">
            <w:pPr>
              <w:cnfStyle w:val="000000000000" w:firstRow="0" w:lastRow="0" w:firstColumn="0" w:lastColumn="0" w:oddVBand="0" w:evenVBand="0" w:oddHBand="0" w:evenHBand="0" w:firstRowFirstColumn="0" w:firstRowLastColumn="0" w:lastRowFirstColumn="0" w:lastRowLastColumn="0"/>
            </w:pPr>
            <w:r w:rsidRPr="005D1D70">
              <w:t>Prescribed drugs to patients using iPharmacy</w:t>
            </w:r>
            <w:r>
              <w:t>.</w:t>
            </w:r>
          </w:p>
          <w:p w14:paraId="7608341D" w14:textId="210C6CF8"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 xml:space="preserve">Some commonly used drugs are also held in imprest. Pharmacist costs sit in </w:t>
            </w:r>
            <w:r w:rsidRPr="003C28DB">
              <w:rPr>
                <w:i/>
              </w:rPr>
              <w:t>Pharmacy</w:t>
            </w:r>
            <w:r w:rsidRPr="005D1D70">
              <w:t xml:space="preserve"> cost centre</w:t>
            </w:r>
            <w:r>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8C2C2C6" w14:textId="54593793"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 xml:space="preserve">Allocated using feeder data of actual </w:t>
            </w:r>
            <w:r w:rsidR="005C4E14">
              <w:t xml:space="preserve">drug charge </w:t>
            </w:r>
            <w:r w:rsidRPr="005D1D70">
              <w:t xml:space="preserve">per patient. Imprest is spread to all ICU patients based on </w:t>
            </w:r>
            <w:r w:rsidR="00FE00A9">
              <w:t>length of stay (</w:t>
            </w:r>
            <w:r w:rsidR="005C4E14">
              <w:t>LOS</w:t>
            </w:r>
            <w:r w:rsidR="00FE00A9">
              <w:t>)</w:t>
            </w:r>
            <w:r w:rsidR="005C4E14">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2FA9246" w14:textId="77777777" w:rsidR="00DF7B50" w:rsidRPr="005D1D70" w:rsidRDefault="00DF7B50" w:rsidP="00DF7B50">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5D1D70">
              <w:rPr>
                <w:rFonts w:ascii="Arial" w:hAnsi="Arial" w:cs="Arial"/>
                <w:sz w:val="32"/>
                <w:szCs w:val="32"/>
              </w:rPr>
              <w:t xml:space="preserve">● / </w:t>
            </w:r>
            <w:r w:rsidRPr="005D1D70">
              <w:rPr>
                <w:rFonts w:ascii="Cambria Math" w:hAnsi="Cambria Math" w:cs="Cambria Math"/>
              </w:rPr>
              <w:t>◑</w:t>
            </w:r>
          </w:p>
          <w:p w14:paraId="32B6E9AA" w14:textId="44A682F4" w:rsidR="00DF7B50" w:rsidRPr="00C93B69" w:rsidRDefault="00DF7B50" w:rsidP="00DF7B50">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D2E0AAC" w14:textId="77777777" w:rsidR="00114EB5" w:rsidRDefault="00DF7B50" w:rsidP="00DF7B50">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rsidRPr="005D1D70">
              <w:t>Pharmacy</w:t>
            </w:r>
          </w:p>
          <w:p w14:paraId="42301F9A" w14:textId="77777777" w:rsidR="00114EB5" w:rsidRDefault="00114EB5" w:rsidP="00DF7B50">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t>(dispensed)</w:t>
            </w:r>
          </w:p>
          <w:p w14:paraId="2E2F0064" w14:textId="4B391FB3" w:rsidR="00DF7B50" w:rsidRPr="00F0724D" w:rsidRDefault="00114EB5" w:rsidP="00DF7B50">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Pr>
                <w:iCs/>
              </w:rPr>
              <w:t>C</w:t>
            </w:r>
            <w:r w:rsidR="00DF7B50" w:rsidRPr="00114EB5">
              <w:rPr>
                <w:iCs/>
              </w:rPr>
              <w:t>ritical</w:t>
            </w:r>
            <w:r w:rsidR="00DF7B50" w:rsidRPr="005D1D70">
              <w:rPr>
                <w:i/>
              </w:rPr>
              <w:t xml:space="preserve"> </w:t>
            </w:r>
            <w:r w:rsidRPr="00114EB5">
              <w:rPr>
                <w:iCs/>
              </w:rPr>
              <w:t>(</w:t>
            </w:r>
            <w:r w:rsidR="00DF7B50" w:rsidRPr="00114EB5">
              <w:rPr>
                <w:iCs/>
              </w:rPr>
              <w:t>imprest</w:t>
            </w:r>
            <w:r w:rsidR="00DF7B50" w:rsidRPr="00A47640">
              <w:rPr>
                <w:iCs/>
              </w:rPr>
              <w:t>)</w:t>
            </w:r>
          </w:p>
        </w:tc>
      </w:tr>
      <w:tr w:rsidR="00034380" w:rsidRPr="00F0724D" w14:paraId="6246A0E6"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A00B6A3" w14:textId="77777777" w:rsidR="00DF7B50" w:rsidRPr="00F0724D" w:rsidRDefault="00DF7B50" w:rsidP="00DF7B50">
            <w:r w:rsidRPr="005D1D70">
              <w:t>Hotel</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3AA50FC" w14:textId="61E07C2E"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pPr>
            <w:r w:rsidRPr="005D1D70">
              <w:t xml:space="preserve">Includes cleaning, food and linen. Provided via Healthshare under </w:t>
            </w:r>
            <w:r w:rsidRPr="00843FAD">
              <w:rPr>
                <w:i/>
              </w:rPr>
              <w:t>Goods &amp; Services</w:t>
            </w:r>
            <w:r w:rsidRPr="005D1D70">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7F1A4EB" w14:textId="35C32B4C" w:rsidR="00DF7B50" w:rsidRPr="00F0724D" w:rsidRDefault="00DF7B50" w:rsidP="00DF7B50">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Allocated using general allocation statistics, appropriate for each expense type (e.g.</w:t>
            </w:r>
            <w:r w:rsidR="00EE7B55">
              <w:t>,</w:t>
            </w:r>
            <w:r w:rsidRPr="005D1D70">
              <w:t xml:space="preserve"> occupied bed days</w:t>
            </w:r>
            <w: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C50AF40" w14:textId="77777777"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5448F9E" w14:textId="1BB23B75" w:rsidR="00DF7B50" w:rsidRPr="00F0724D" w:rsidRDefault="00DF7B50" w:rsidP="00DF7B5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Critical</w:t>
            </w:r>
          </w:p>
        </w:tc>
      </w:tr>
      <w:tr w:rsidR="00034380" w:rsidRPr="00F0724D" w14:paraId="03F12650" w14:textId="77777777" w:rsidTr="00EC0C63">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A97852D" w14:textId="77777777" w:rsidR="00DF7B50" w:rsidRPr="00DF7B50" w:rsidRDefault="00DF7B50" w:rsidP="00DF7B50">
            <w:pPr>
              <w:rPr>
                <w:b w:val="0"/>
              </w:rPr>
            </w:pPr>
            <w:r w:rsidRPr="00DF7B50">
              <w:rPr>
                <w:b w:val="0"/>
              </w:rPr>
              <w:t>Overheads</w:t>
            </w:r>
          </w:p>
        </w:tc>
        <w:tc>
          <w:tcPr>
            <w:tcW w:w="158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1DCDF39" w14:textId="3887E725" w:rsidR="00DF7B50" w:rsidRPr="00DF7B50" w:rsidRDefault="00190A8E" w:rsidP="00DF7B50">
            <w:pPr>
              <w:cnfStyle w:val="010000000000" w:firstRow="0" w:lastRow="1" w:firstColumn="0" w:lastColumn="0" w:oddVBand="0" w:evenVBand="0" w:oddHBand="0" w:evenHBand="0" w:firstRowFirstColumn="0" w:firstRowLastColumn="0" w:lastRowFirstColumn="0" w:lastRowLastColumn="0"/>
              <w:rPr>
                <w:b w:val="0"/>
              </w:rPr>
            </w:pPr>
            <w:r>
              <w:rPr>
                <w:b w:val="0"/>
              </w:rPr>
              <w:t xml:space="preserve">Facility and corporate overheads, inclusive of LHD </w:t>
            </w:r>
            <w:r w:rsidR="00DF7B50" w:rsidRPr="00DF7B50">
              <w:rPr>
                <w:b w:val="0"/>
              </w:rPr>
              <w:t xml:space="preserve">biomedical engineering costs relating to </w:t>
            </w:r>
            <w:r w:rsidR="00993BD1">
              <w:rPr>
                <w:b w:val="0"/>
              </w:rPr>
              <w:t xml:space="preserve">medical equipment repairs and </w:t>
            </w:r>
            <w:r w:rsidR="00DF7B50" w:rsidRPr="00DF7B50">
              <w:rPr>
                <w:b w:val="0"/>
              </w:rPr>
              <w:t>maintenance</w:t>
            </w:r>
            <w:r w:rsidR="00993BD1">
              <w:rPr>
                <w:b w:val="0"/>
              </w:rPr>
              <w:t>.</w:t>
            </w:r>
          </w:p>
        </w:tc>
        <w:tc>
          <w:tcPr>
            <w:tcW w:w="16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16C5950" w14:textId="3BC41436" w:rsidR="00DF7B50" w:rsidRPr="00DF15D0" w:rsidRDefault="00DF7B50" w:rsidP="00DF7B50">
            <w:pP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DF15D0">
              <w:rPr>
                <w:b w:val="0"/>
              </w:rPr>
              <w:t>Allocated using general allocation statistics for each expense type (e.g.</w:t>
            </w:r>
            <w:r w:rsidR="00EE7B55" w:rsidRPr="00DF15D0">
              <w:rPr>
                <w:b w:val="0"/>
              </w:rPr>
              <w:t>,</w:t>
            </w:r>
            <w:r w:rsidRPr="00DF15D0">
              <w:rPr>
                <w:b w:val="0"/>
              </w:rPr>
              <w:t xml:space="preserve"> occupied bed days), </w:t>
            </w:r>
            <w:r w:rsidRPr="004C5C3E">
              <w:rPr>
                <w:b w:val="0"/>
                <w:iCs/>
              </w:rPr>
              <w:t>S&amp;W</w:t>
            </w:r>
            <w:r w:rsidRPr="00DF15D0">
              <w:rPr>
                <w:b w:val="0"/>
              </w:rPr>
              <w:t xml:space="preserve"> expense.</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4AB101B" w14:textId="77777777" w:rsidR="00DF7B50" w:rsidRPr="00DF7B50" w:rsidRDefault="00DF7B50" w:rsidP="00DF7B50">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DF7B50">
              <w:rPr>
                <w:rFonts w:ascii="Cambria Math" w:hAnsi="Cambria Math" w:cs="Cambria Math"/>
                <w:b w:val="0"/>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1959E93" w14:textId="77777777" w:rsidR="00DF7B50" w:rsidRPr="00DF7B50" w:rsidRDefault="00DF7B50" w:rsidP="00DF7B50">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DF7B50">
              <w:rPr>
                <w:b w:val="0"/>
                <w:bCs/>
              </w:rPr>
              <w:t>Critical</w:t>
            </w:r>
          </w:p>
        </w:tc>
      </w:tr>
    </w:tbl>
    <w:p w14:paraId="657DEBC7" w14:textId="77777777" w:rsidR="00014E0F" w:rsidRDefault="00014E0F" w:rsidP="00CA36C1"/>
    <w:p w14:paraId="020CBE99" w14:textId="4CE24075" w:rsidR="00C73101" w:rsidRDefault="00FE3C18" w:rsidP="00C73101">
      <w:pPr>
        <w:pStyle w:val="Caption"/>
        <w:keepNext/>
      </w:pPr>
      <w:r>
        <w:t>Table</w:t>
      </w:r>
      <w:r w:rsidR="00C73101">
        <w:t xml:space="preserve"> </w:t>
      </w:r>
      <w:r>
        <w:fldChar w:fldCharType="begin"/>
      </w:r>
      <w:r>
        <w:instrText xml:space="preserve"> SEQ Table \* ARABIC </w:instrText>
      </w:r>
      <w:r>
        <w:fldChar w:fldCharType="separate"/>
      </w:r>
      <w:r w:rsidR="00CE6F96">
        <w:rPr>
          <w:noProof/>
        </w:rPr>
        <w:t>11</w:t>
      </w:r>
      <w:r>
        <w:fldChar w:fldCharType="end"/>
      </w:r>
      <w:r>
        <w:t>:</w:t>
      </w:r>
      <w:r w:rsidR="00C73101">
        <w:t xml:space="preserve"> </w:t>
      </w:r>
      <w:r w:rsidR="00C73101" w:rsidRPr="00651B97">
        <w:t>Wagga Wagga Hospital Cost Allocation Methodologies</w:t>
      </w:r>
    </w:p>
    <w:tbl>
      <w:tblPr>
        <w:tblStyle w:val="TableGrid"/>
        <w:tblpPr w:leftFromText="180" w:rightFromText="180" w:vertAnchor="text"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E40B76" w14:paraId="5043E0E6" w14:textId="77777777" w:rsidTr="00FE3C18">
        <w:tc>
          <w:tcPr>
            <w:tcW w:w="1134" w:type="dxa"/>
            <w:shd w:val="clear" w:color="auto" w:fill="EFF0F7" w:themeFill="accent4" w:themeFillTint="33"/>
            <w:vAlign w:val="center"/>
          </w:tcPr>
          <w:p w14:paraId="0D082B74" w14:textId="77777777" w:rsidR="00E40B76" w:rsidRPr="00243F63" w:rsidRDefault="00E40B76" w:rsidP="00FE3C18">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0D77BFC9" w14:textId="77777777" w:rsidR="00E40B76" w:rsidRDefault="00E40B76" w:rsidP="00FE3C18">
            <w:r>
              <w:t>Via patient level feeder system</w:t>
            </w:r>
          </w:p>
        </w:tc>
        <w:tc>
          <w:tcPr>
            <w:tcW w:w="1134" w:type="dxa"/>
            <w:shd w:val="clear" w:color="auto" w:fill="EFF0F7" w:themeFill="accent4" w:themeFillTint="33"/>
            <w:vAlign w:val="center"/>
          </w:tcPr>
          <w:p w14:paraId="46052FCD"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5007A4A3" w14:textId="77777777" w:rsidR="00E40B76" w:rsidRDefault="00E40B76" w:rsidP="00FE3C18">
            <w:r>
              <w:t>Via weighted RVU, to ICU patients</w:t>
            </w:r>
          </w:p>
        </w:tc>
      </w:tr>
      <w:tr w:rsidR="00E40B76" w14:paraId="01B86BAC" w14:textId="77777777" w:rsidTr="00FE3C18">
        <w:tc>
          <w:tcPr>
            <w:tcW w:w="1134" w:type="dxa"/>
            <w:shd w:val="clear" w:color="auto" w:fill="EFF0F7" w:themeFill="accent4" w:themeFillTint="33"/>
            <w:vAlign w:val="center"/>
          </w:tcPr>
          <w:p w14:paraId="5717AFAB" w14:textId="77777777" w:rsidR="00E40B76" w:rsidRDefault="00E40B76" w:rsidP="00FE3C18">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42BB2457" w14:textId="77777777" w:rsidR="00E40B76" w:rsidRDefault="00E40B76" w:rsidP="00FE3C18">
            <w:r>
              <w:t>Using a standard RVU, to ICU patients</w:t>
            </w:r>
          </w:p>
        </w:tc>
        <w:tc>
          <w:tcPr>
            <w:tcW w:w="1134" w:type="dxa"/>
            <w:shd w:val="clear" w:color="auto" w:fill="EFF0F7" w:themeFill="accent4" w:themeFillTint="33"/>
            <w:vAlign w:val="center"/>
          </w:tcPr>
          <w:p w14:paraId="206DE2B1"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329E65E9" w14:textId="77777777" w:rsidR="00E40B76" w:rsidRDefault="00E40B76" w:rsidP="00FE3C18">
            <w:r>
              <w:t>Across ICU / non-ICU patients</w:t>
            </w:r>
          </w:p>
        </w:tc>
      </w:tr>
    </w:tbl>
    <w:p w14:paraId="49599724" w14:textId="77777777" w:rsidR="00E40B76" w:rsidRPr="00E40B76" w:rsidRDefault="00E40B76" w:rsidP="00E40B76"/>
    <w:p w14:paraId="5F7FD26F" w14:textId="77777777" w:rsidR="00FE3C18" w:rsidRDefault="00FE3C18" w:rsidP="00FE3C18"/>
    <w:p w14:paraId="5CD927F4" w14:textId="77777777" w:rsidR="00FE3C18" w:rsidRDefault="00FE3C18" w:rsidP="00FE3C18"/>
    <w:p w14:paraId="26131F16" w14:textId="77777777" w:rsidR="00FE3C18" w:rsidRPr="00FE3C18" w:rsidRDefault="00FE3C18" w:rsidP="00FE3C18"/>
    <w:tbl>
      <w:tblPr>
        <w:tblStyle w:val="ScyneTable"/>
        <w:tblW w:w="4986" w:type="pct"/>
        <w:tblInd w:w="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49"/>
        <w:gridCol w:w="3903"/>
        <w:gridCol w:w="5156"/>
        <w:gridCol w:w="1011"/>
        <w:gridCol w:w="1500"/>
      </w:tblGrid>
      <w:tr w:rsidR="003964D6" w:rsidRPr="00F0724D" w14:paraId="39D7171E" w14:textId="77777777" w:rsidTr="008E5563">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73C19DF" w14:textId="77777777" w:rsidR="00800FE3" w:rsidRPr="00F0724D" w:rsidRDefault="00800FE3">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t>Resources Consumed</w:t>
            </w:r>
          </w:p>
        </w:tc>
        <w:tc>
          <w:tcPr>
            <w:tcW w:w="140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27B9360A" w14:textId="77777777" w:rsidR="00800FE3" w:rsidRPr="00F0724D" w:rsidRDefault="00800FE3">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85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75AE6AF" w14:textId="77777777" w:rsidR="00800FE3" w:rsidRPr="00F0724D" w:rsidRDefault="00800FE3">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45506FA0" w14:textId="7532C259" w:rsidR="00800FE3" w:rsidRPr="00F0724D" w:rsidRDefault="00800FE3">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51128D">
              <w:rPr>
                <w:rFonts w:ascii="Avenir Next LT Pro Demi" w:hAnsi="Avenir Next LT Pro Demi"/>
                <w:b w:val="0"/>
                <w:bCs/>
                <w:sz w:val="20"/>
              </w:rPr>
              <w:t>Critical</w:t>
            </w:r>
            <w:r w:rsidRPr="00F0724D">
              <w:rPr>
                <w:rFonts w:ascii="Avenir Next LT Pro Demi" w:hAnsi="Avenir Next LT Pro Demi"/>
                <w:b w:val="0"/>
                <w:bCs/>
                <w:sz w:val="20"/>
              </w:rPr>
              <w:t xml:space="preserve"> Cost Centre Group</w:t>
            </w:r>
          </w:p>
        </w:tc>
      </w:tr>
      <w:tr w:rsidR="00034380" w:rsidRPr="00F0724D" w14:paraId="23E621D6"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0B9EAEB9" w14:textId="50BB50BB" w:rsidR="008E5563" w:rsidRPr="00F0724D" w:rsidRDefault="0029212C" w:rsidP="008E5563">
            <w:r>
              <w:t xml:space="preserve">Nursing </w:t>
            </w:r>
            <w:r w:rsidR="008E5563" w:rsidRPr="005D1D70">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69CCD1B" w14:textId="13226E2B" w:rsidR="008E5563" w:rsidRPr="005D1D70" w:rsidRDefault="008E5563" w:rsidP="008E5563">
            <w:pPr>
              <w:cnfStyle w:val="000000000000" w:firstRow="0" w:lastRow="0" w:firstColumn="0" w:lastColumn="0" w:oddVBand="0" w:evenVBand="0" w:oddHBand="0" w:evenHBand="0" w:firstRowFirstColumn="0" w:firstRowLastColumn="0" w:lastRowFirstColumn="0" w:lastRowLastColumn="0"/>
            </w:pPr>
            <w:r w:rsidRPr="005D1D70">
              <w:t xml:space="preserve">ICU has 38 FTE nursing </w:t>
            </w:r>
            <w:r w:rsidR="00441B2B">
              <w:t>and</w:t>
            </w:r>
            <w:r w:rsidRPr="005D1D70">
              <w:t xml:space="preserve"> a</w:t>
            </w:r>
            <w:r>
              <w:t xml:space="preserve"> Clinical Nurse Educator (</w:t>
            </w:r>
            <w:r w:rsidRPr="005D1D70">
              <w:t>CNE</w:t>
            </w:r>
            <w:r>
              <w:t>)</w:t>
            </w:r>
            <w:r w:rsidRPr="005D1D70">
              <w:t xml:space="preserve">, ICU Liaison </w:t>
            </w:r>
            <w:r w:rsidRPr="005D1D70">
              <w:lastRenderedPageBreak/>
              <w:t xml:space="preserve">Nurse, </w:t>
            </w:r>
            <w:r>
              <w:t>Clinical Nurse Consultant (</w:t>
            </w:r>
            <w:r w:rsidRPr="005D1D70">
              <w:t>CNC</w:t>
            </w:r>
            <w:r>
              <w:t>)</w:t>
            </w:r>
            <w:r w:rsidRPr="005D1D70">
              <w:t xml:space="preserve">. There was significant agency nurse usage in </w:t>
            </w:r>
            <w:r>
              <w:t>2023</w:t>
            </w:r>
            <w:r w:rsidRPr="005D1D70">
              <w:t>-24</w:t>
            </w:r>
            <w:r>
              <w:t>. Agency costs are allocated to the critical care GL cost centre.</w:t>
            </w:r>
          </w:p>
          <w:p w14:paraId="308068B5" w14:textId="18753690"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rPr>
                <w:color w:val="44546A" w:themeColor="text2"/>
              </w:rPr>
            </w:pPr>
            <w:r w:rsidRPr="005D1D70">
              <w:t>CCU has 37 FTE nursing.</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93DB947" w14:textId="3D14EB0D"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lastRenderedPageBreak/>
              <w:t xml:space="preserve">Allocation of nursing costs that are based on </w:t>
            </w:r>
            <w:r w:rsidR="005B199B">
              <w:t xml:space="preserve">the patient’s duration in ICU ward </w:t>
            </w:r>
            <w:r w:rsidRPr="005D1D70">
              <w:t xml:space="preserve">with an RVU for each </w:t>
            </w:r>
            <w:r w:rsidRPr="005D1D70">
              <w:lastRenderedPageBreak/>
              <w:t>bed type. This enables variable nursing reflecting different nursing ratios ranging from 1:1 to 1:4 (general patients</w:t>
            </w:r>
            <w: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FF9A43E" w14:textId="77777777" w:rsidR="008E5563" w:rsidRPr="005D1D70" w:rsidRDefault="008E5563" w:rsidP="008E5563">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5D1D70">
              <w:rPr>
                <w:rFonts w:ascii="Cambria Math" w:hAnsi="Cambria Math" w:cs="Cambria Math"/>
              </w:rPr>
              <w:lastRenderedPageBreak/>
              <w:t>◕</w:t>
            </w:r>
          </w:p>
          <w:p w14:paraId="071EDB5C"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5D1FD10"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Critical</w:t>
            </w:r>
          </w:p>
        </w:tc>
      </w:tr>
      <w:tr w:rsidR="00034380" w:rsidRPr="00F0724D" w14:paraId="6CB93F18"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EACCC1C" w14:textId="668A38BF" w:rsidR="008E5563" w:rsidRPr="00F0724D" w:rsidRDefault="0029212C" w:rsidP="008E5563">
            <w:r>
              <w:t xml:space="preserve">Allied Health </w:t>
            </w:r>
            <w:r w:rsidR="008E5563" w:rsidRPr="005D1D70">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2F2FC6A" w14:textId="48F1A27A"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t>Dedicated physiotherapy and pharmacist rounds and dietician support, other allied health input on a referral basis.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ECA2176" w14:textId="1C49A761"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t xml:space="preserve">Allied </w:t>
            </w:r>
            <w:r>
              <w:t>h</w:t>
            </w:r>
            <w:r w:rsidRPr="004E2A44">
              <w:t>ealth</w:t>
            </w:r>
            <w:r w:rsidRPr="005D1D70">
              <w:t xml:space="preserve"> professionals document their time spent with a patient in the </w:t>
            </w:r>
            <w:r w:rsidR="001B7986">
              <w:t>electronic medical rec</w:t>
            </w:r>
            <w:r w:rsidR="00A47640">
              <w:t>ord</w:t>
            </w:r>
            <w:r w:rsidR="001B7986">
              <w:t xml:space="preserve"> (</w:t>
            </w:r>
            <w:r w:rsidR="0034382F">
              <w:t>eMR</w:t>
            </w:r>
            <w:r w:rsidR="001B7986">
              <w:t xml:space="preserve">), </w:t>
            </w:r>
            <w:r w:rsidR="0034382F">
              <w:t xml:space="preserve"> </w:t>
            </w:r>
            <w:r w:rsidRPr="005D1D70">
              <w:t>Powerchart</w:t>
            </w:r>
            <w:r w:rsidR="001B7986">
              <w:t xml:space="preserve">, </w:t>
            </w:r>
            <w:r w:rsidRPr="005D1D70">
              <w:t>which is extracted and used as a feeder input to determine minutes per patient as a proportion of all minutes documented and used as a cost per min</w:t>
            </w:r>
            <w:r>
              <w:t>ute</w:t>
            </w:r>
            <w:r w:rsidRPr="005D1D70">
              <w:t xml:space="preserve"> to allocate to that patient.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A9AF107" w14:textId="77777777" w:rsidR="008E5563" w:rsidRPr="005D1D70" w:rsidRDefault="008E5563" w:rsidP="008E5563">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1D70">
              <w:rPr>
                <w:rFonts w:ascii="Arial" w:hAnsi="Arial" w:cs="Arial"/>
                <w:sz w:val="32"/>
                <w:szCs w:val="32"/>
              </w:rPr>
              <w:t>●</w:t>
            </w:r>
          </w:p>
          <w:p w14:paraId="39BD0C7A" w14:textId="77777777" w:rsidR="008E5563" w:rsidRPr="00C93B69" w:rsidRDefault="008E5563" w:rsidP="008E5563">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946A28"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Allied</w:t>
            </w:r>
          </w:p>
        </w:tc>
      </w:tr>
      <w:tr w:rsidR="00034380" w:rsidRPr="00F0724D" w14:paraId="1675820B"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9B66F43" w14:textId="5FAFEE39" w:rsidR="008E5563" w:rsidRPr="00F0724D" w:rsidRDefault="0029212C" w:rsidP="008E5563">
            <w:r>
              <w:t xml:space="preserve">Other </w:t>
            </w:r>
            <w:r w:rsidR="008E5563" w:rsidRPr="005D1D70">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6D7146A" w14:textId="50A6E504"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t>2 FTE – Ward Clerk and Clinical Support Officer</w:t>
            </w:r>
            <w:r w:rsidR="004E5BFF">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436ED65" w14:textId="350FB91A"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5D1D70">
              <w:t xml:space="preserve">Spread across all </w:t>
            </w:r>
            <w:r w:rsidR="005B199B">
              <w:t xml:space="preserve">ICU </w:t>
            </w:r>
            <w:r w:rsidRPr="005D1D70">
              <w:t xml:space="preserve">patients </w:t>
            </w:r>
            <w:r w:rsidR="005B199B">
              <w:t xml:space="preserve">based on a </w:t>
            </w:r>
            <w:r w:rsidRPr="005D1D70">
              <w:t>patient</w:t>
            </w:r>
            <w:r w:rsidR="005B199B">
              <w:t>’s duration in ICU ward.</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A3DE8B9"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b/>
                <w:bCs/>
              </w:rPr>
            </w:pPr>
            <w:r w:rsidRPr="005D1D7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415E16A"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Critical</w:t>
            </w:r>
          </w:p>
        </w:tc>
      </w:tr>
      <w:tr w:rsidR="00034380" w:rsidRPr="00F0724D" w14:paraId="2D584DF2"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50A8E01" w14:textId="373CE034" w:rsidR="008E5563" w:rsidRPr="00F0724D" w:rsidRDefault="0029212C" w:rsidP="008E5563">
            <w:r>
              <w:t xml:space="preserve">Medical </w:t>
            </w:r>
            <w:r w:rsidR="008E5563" w:rsidRPr="005D1D70">
              <w:t>S&amp;W (&amp; VMO)</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1667D94" w14:textId="77777777" w:rsidR="008E5563" w:rsidRPr="005D1D70" w:rsidRDefault="008E5563" w:rsidP="008E5563">
            <w:pPr>
              <w:cnfStyle w:val="000000000000" w:firstRow="0" w:lastRow="0" w:firstColumn="0" w:lastColumn="0" w:oddVBand="0" w:evenVBand="0" w:oddHBand="0" w:evenHBand="0" w:firstRowFirstColumn="0" w:firstRowLastColumn="0" w:lastRowFirstColumn="0" w:lastRowLastColumn="0"/>
            </w:pPr>
            <w:r w:rsidRPr="005D1D70">
              <w:t>Includes ICU Director, 6 sessional VMOs, SRMOs and JMOs.</w:t>
            </w:r>
          </w:p>
          <w:p w14:paraId="3C3579DC" w14:textId="3409650C"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t xml:space="preserve">CCU includes dedicated CCU JMO within </w:t>
            </w:r>
            <w:r w:rsidR="00036B19">
              <w:t xml:space="preserve">the </w:t>
            </w:r>
            <w:r w:rsidRPr="005D1D70">
              <w:t xml:space="preserve">CCU Cost Centre. </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B92462E" w14:textId="6250BA63" w:rsidR="008E5563" w:rsidRPr="005D1D70" w:rsidRDefault="008E5563" w:rsidP="008E5563">
            <w:pPr>
              <w:cnfStyle w:val="000000000000" w:firstRow="0" w:lastRow="0" w:firstColumn="0" w:lastColumn="0" w:oddVBand="0" w:evenVBand="0" w:oddHBand="0" w:evenHBand="0" w:firstRowFirstColumn="0" w:firstRowLastColumn="0" w:lastRowFirstColumn="0" w:lastRowLastColumn="0"/>
            </w:pPr>
            <w:r w:rsidRPr="005D1D70">
              <w:t xml:space="preserve">ICU patient encounters will receive an allocation of medical costs (intensivists/JMOs) that are based </w:t>
            </w:r>
            <w:r w:rsidR="005B199B">
              <w:t>a patient’s duration in ICU ward</w:t>
            </w:r>
            <w:r>
              <w:t>.</w:t>
            </w:r>
            <w:r w:rsidRPr="005D1D70">
              <w:t xml:space="preserve"> </w:t>
            </w:r>
          </w:p>
          <w:p w14:paraId="559B22F5" w14:textId="357208DA" w:rsidR="008E5563" w:rsidRPr="005D1D70" w:rsidRDefault="008E5563" w:rsidP="008E5563">
            <w:pPr>
              <w:cnfStyle w:val="000000000000" w:firstRow="0" w:lastRow="0" w:firstColumn="0" w:lastColumn="0" w:oddVBand="0" w:evenVBand="0" w:oddHBand="0" w:evenHBand="0" w:firstRowFirstColumn="0" w:firstRowLastColumn="0" w:lastRowFirstColumn="0" w:lastRowLastColumn="0"/>
            </w:pPr>
            <w:r w:rsidRPr="005D1D70">
              <w:t>Medical costs for CCU all held in ‘physician specialty cost centre’</w:t>
            </w:r>
            <w:r>
              <w:t>, t</w:t>
            </w:r>
            <w:r w:rsidRPr="005D1D70">
              <w:t>hese costs are spread to all patients admitted under each clinician</w:t>
            </w:r>
            <w:r>
              <w:t xml:space="preserve"> so ICU patients will have </w:t>
            </w:r>
            <w:r w:rsidR="00D623B5">
              <w:t>Medical</w:t>
            </w:r>
            <w:r>
              <w:t xml:space="preserve"> </w:t>
            </w:r>
            <w:r w:rsidRPr="00DF15D0">
              <w:t>S&amp;W</w:t>
            </w:r>
            <w:r>
              <w:t xml:space="preserve"> costs allocated under the </w:t>
            </w:r>
            <w:r w:rsidR="00C8230F" w:rsidRPr="00C8230F">
              <w:rPr>
                <w:i/>
                <w:iCs/>
              </w:rPr>
              <w:t>C</w:t>
            </w:r>
            <w:r w:rsidRPr="00C8230F">
              <w:rPr>
                <w:i/>
                <w:iCs/>
              </w:rPr>
              <w:t>linical</w:t>
            </w:r>
            <w:r>
              <w:t xml:space="preserve"> </w:t>
            </w:r>
            <w:r w:rsidR="00C8230F">
              <w:t>NHCDC</w:t>
            </w:r>
            <w:r>
              <w:t xml:space="preserve"> Cost Centre G</w:t>
            </w:r>
            <w:r w:rsidDel="0008447C">
              <w:t>roup</w:t>
            </w:r>
            <w:r>
              <w:t>.</w:t>
            </w:r>
          </w:p>
          <w:p w14:paraId="4F0EF98C" w14:textId="7F91E886"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C8843DC"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29FF3C9" w14:textId="32A4B995"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Critical / Clinical</w:t>
            </w:r>
          </w:p>
        </w:tc>
      </w:tr>
      <w:tr w:rsidR="00034380" w:rsidRPr="00F0724D" w14:paraId="2DDD21C5"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FB31448" w14:textId="77777777" w:rsidR="008E5563" w:rsidRPr="00F0724D" w:rsidRDefault="008E5563" w:rsidP="008E5563">
            <w:r w:rsidRPr="005D1D70">
              <w:lastRenderedPageBreak/>
              <w:t>Consumables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41DE00F" w14:textId="246C86A2"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t xml:space="preserve">Includes </w:t>
            </w:r>
            <w:r>
              <w:t xml:space="preserve">medical supplies, </w:t>
            </w:r>
            <w:r w:rsidR="00843FAD" w:rsidRPr="00843FAD">
              <w:rPr>
                <w:i/>
                <w:iCs/>
              </w:rPr>
              <w:t>G</w:t>
            </w:r>
            <w:r w:rsidRPr="00843FAD">
              <w:rPr>
                <w:i/>
                <w:iCs/>
              </w:rPr>
              <w:t xml:space="preserve">oods &amp; </w:t>
            </w:r>
            <w:r w:rsidR="00843FAD" w:rsidRPr="00843FAD">
              <w:rPr>
                <w:i/>
                <w:iCs/>
              </w:rPr>
              <w:t>S</w:t>
            </w:r>
            <w:r w:rsidRPr="00843FAD">
              <w:rPr>
                <w:i/>
                <w:iCs/>
              </w:rPr>
              <w:t>ervices</w:t>
            </w:r>
            <w:r w:rsidRPr="005D1D70">
              <w:t xml:space="preserve"> expenses including lines, neuromonitoring and cardiac support devices</w:t>
            </w:r>
            <w: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9294105" w14:textId="1252B6D5"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 xml:space="preserve">Spread across all patients in ICU based on </w:t>
            </w:r>
            <w:r w:rsidR="006A02CA">
              <w:t>a patient’s duration in ICU ward</w:t>
            </w:r>
            <w:r w:rsidRPr="005D1D70">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EB01EAF" w14:textId="77777777" w:rsidR="008E5563" w:rsidRPr="001D7F2E"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5D1D7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595C617"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Critical</w:t>
            </w:r>
          </w:p>
        </w:tc>
      </w:tr>
      <w:tr w:rsidR="00034380" w:rsidRPr="00F0724D" w14:paraId="3D43A4C7"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7654C00" w14:textId="77777777" w:rsidR="008E5563" w:rsidRPr="00F0724D" w:rsidRDefault="008E5563" w:rsidP="008E5563">
            <w:r w:rsidRPr="005D1D70">
              <w:t>Imaging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214FC7" w14:textId="03C23588"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t>Provided by Wagga Wagga Hospital</w:t>
            </w:r>
            <w: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CFE4C7A" w14:textId="77777777"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Allocated using feeder data of actual tests per patient</w:t>
            </w:r>
            <w:r>
              <w:t>.</w:t>
            </w:r>
            <w:r w:rsidRPr="005D1D70">
              <w:t xml:space="preserve"> </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2C8AD3A" w14:textId="77777777" w:rsidR="008E5563" w:rsidRPr="001D7F2E"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5D1D70">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7AA59CB"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Imaging</w:t>
            </w:r>
          </w:p>
        </w:tc>
      </w:tr>
      <w:tr w:rsidR="00034380" w:rsidRPr="00F0724D" w14:paraId="4FFB15E6"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7152C93" w14:textId="77777777" w:rsidR="008E5563" w:rsidRPr="00F0724D" w:rsidRDefault="008E5563" w:rsidP="008E5563">
            <w:r w:rsidRPr="005D1D70">
              <w:t>Pathology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25BEBC7" w14:textId="77777777"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pPr>
            <w:r w:rsidRPr="005D1D70">
              <w:t>Provided by NSW Pathology</w:t>
            </w:r>
            <w:r w:rsidRPr="005D1D70" w:rsidDel="00031790">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B710C1C" w14:textId="6DED566A" w:rsidR="008E5563" w:rsidRPr="00F0724D" w:rsidRDefault="008E5563" w:rsidP="008E5563">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D1D70">
              <w:t>Allocated using feeder data of actual tests per patient, based on price per test</w:t>
            </w:r>
            <w:r w:rsidR="00441B2B">
              <w:t>,</w:t>
            </w:r>
            <w:r w:rsidRPr="005D1D70">
              <w:t xml:space="preserve"> administration charge</w:t>
            </w:r>
            <w:r w:rsidR="00441B2B">
              <w:t>, and</w:t>
            </w:r>
            <w:r w:rsidRPr="005D1D70">
              <w:t xml:space="preserve"> point of care charge.</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AEA4759" w14:textId="77777777" w:rsidR="008E5563" w:rsidRPr="001D7F2E"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5D1D70">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8BFC526" w14:textId="77777777" w:rsidR="008E5563" w:rsidRPr="00F0724D" w:rsidRDefault="008E5563" w:rsidP="008E5563">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D1D70">
              <w:t>Pathology</w:t>
            </w:r>
          </w:p>
        </w:tc>
      </w:tr>
      <w:tr w:rsidR="00034380" w:rsidRPr="00F0724D" w14:paraId="3183E330"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E840340" w14:textId="77777777" w:rsidR="008E5563" w:rsidRPr="00C8230F" w:rsidRDefault="008E5563" w:rsidP="008E5563">
            <w:r w:rsidRPr="00DD0FC9">
              <w:t>Pharmacy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3A080A6" w14:textId="5B0613EE" w:rsidR="008E5563" w:rsidRPr="00C8230F" w:rsidRDefault="008E5563" w:rsidP="008E5563">
            <w:pPr>
              <w:cnfStyle w:val="000000000000" w:firstRow="0" w:lastRow="0" w:firstColumn="0" w:lastColumn="0" w:oddVBand="0" w:evenVBand="0" w:oddHBand="0" w:evenHBand="0" w:firstRowFirstColumn="0" w:firstRowLastColumn="0" w:lastRowFirstColumn="0" w:lastRowLastColumn="0"/>
            </w:pPr>
            <w:r w:rsidRPr="00DD0FC9">
              <w:t xml:space="preserve">Pharmacy includes drugs dispensed to ICU patients and imprest held on wards. </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2A8BD49" w14:textId="45642F52" w:rsidR="008E5563" w:rsidRPr="00C8230F" w:rsidRDefault="008E5563" w:rsidP="008E5563">
            <w:pPr>
              <w:cnfStyle w:val="000000000000" w:firstRow="0" w:lastRow="0" w:firstColumn="0" w:lastColumn="0" w:oddVBand="0" w:evenVBand="0" w:oddHBand="0" w:evenHBand="0" w:firstRowFirstColumn="0" w:firstRowLastColumn="0" w:lastRowFirstColumn="0" w:lastRowLastColumn="0"/>
            </w:pPr>
            <w:r w:rsidRPr="00DD0FC9">
              <w:t>S100 drugs are costed to a dummy patient ‘D encounter’ and not allocated to patients. This is due to no</w:t>
            </w:r>
            <w:r w:rsidR="009322E7" w:rsidRPr="00DD0FC9">
              <w:t>t having</w:t>
            </w:r>
            <w:r w:rsidRPr="00DD0FC9">
              <w:t xml:space="preserve"> feeder data </w:t>
            </w:r>
            <w:r w:rsidR="009322E7" w:rsidRPr="00DD0FC9">
              <w:t>available</w:t>
            </w:r>
            <w:r w:rsidRPr="00DD0FC9" w:rsidDel="009322E7">
              <w:t xml:space="preserve"> </w:t>
            </w:r>
            <w:r w:rsidRPr="00DD0FC9">
              <w:t>(total value $7 million).</w:t>
            </w:r>
          </w:p>
          <w:p w14:paraId="2E728A83" w14:textId="77777777" w:rsidR="008E5563" w:rsidRPr="00C8230F" w:rsidRDefault="008E5563" w:rsidP="008E5563">
            <w:pPr>
              <w:cnfStyle w:val="000000000000" w:firstRow="0" w:lastRow="0" w:firstColumn="0" w:lastColumn="0" w:oddVBand="0" w:evenVBand="0" w:oddHBand="0" w:evenHBand="0" w:firstRowFirstColumn="0" w:firstRowLastColumn="0" w:lastRowFirstColumn="0" w:lastRowLastColumn="0"/>
            </w:pPr>
            <w:r w:rsidRPr="00DD0FC9">
              <w:rPr>
                <w:rFonts w:eastAsiaTheme="majorEastAsia"/>
              </w:rPr>
              <w:t xml:space="preserve">Pharmacist and non-s100 </w:t>
            </w:r>
            <w:r w:rsidRPr="00DD0FC9">
              <w:t xml:space="preserve">are allocated to all patients in the hospital </w:t>
            </w:r>
            <w:r w:rsidRPr="00DD0FC9">
              <w:rPr>
                <w:rFonts w:eastAsiaTheme="majorEastAsia"/>
              </w:rPr>
              <w:t xml:space="preserve">based on </w:t>
            </w:r>
            <w:r w:rsidRPr="00DD0FC9">
              <w:t>occupied bed days.</w:t>
            </w:r>
          </w:p>
          <w:p w14:paraId="7F743D10" w14:textId="298793D2" w:rsidR="008E5563" w:rsidRPr="00C8230F" w:rsidRDefault="008E5563" w:rsidP="008E5563">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DD0FC9">
              <w:t xml:space="preserve">Imprest drug costs are spread to ICU patients, based on </w:t>
            </w:r>
            <w:r w:rsidR="009322E7" w:rsidRPr="00DD0FC9">
              <w:t>duration of patient in ICU ward</w:t>
            </w:r>
            <w:r w:rsidRPr="00DD0FC9">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57DDC53" w14:textId="77777777" w:rsidR="008E5563" w:rsidRPr="00C8230F" w:rsidRDefault="008E5563" w:rsidP="008E5563">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DD0FC9">
              <w:rPr>
                <w:rFonts w:ascii="Cambria Math" w:hAnsi="Cambria Math" w:cs="Cambria Math"/>
              </w:rPr>
              <w:t>◔</w:t>
            </w:r>
            <w:r w:rsidRPr="00DD0FC9">
              <w:rPr>
                <w:rFonts w:ascii="Arial" w:hAnsi="Arial" w:cs="Arial"/>
                <w:sz w:val="32"/>
                <w:szCs w:val="32"/>
              </w:rPr>
              <w:t xml:space="preserve"> / </w:t>
            </w:r>
            <w:r w:rsidRPr="00DD0FC9">
              <w:rPr>
                <w:rFonts w:ascii="Cambria Math" w:hAnsi="Cambria Math" w:cs="Cambria Math"/>
              </w:rPr>
              <w:t>◑</w:t>
            </w:r>
          </w:p>
          <w:p w14:paraId="1E58A6BD" w14:textId="77777777" w:rsidR="008E5563" w:rsidRPr="00C8230F" w:rsidRDefault="008E5563" w:rsidP="008E5563">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3CBCA83" w14:textId="77777777" w:rsidR="00192E9F" w:rsidRDefault="00192E9F" w:rsidP="00192E9F">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rsidRPr="005D1D70">
              <w:t>Pharmacy</w:t>
            </w:r>
          </w:p>
          <w:p w14:paraId="4C24F0E9" w14:textId="77777777" w:rsidR="00192E9F" w:rsidRDefault="00192E9F" w:rsidP="00192E9F">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t>(dispensed)</w:t>
            </w:r>
          </w:p>
          <w:p w14:paraId="4A015E1A" w14:textId="403AF502" w:rsidR="008E5563" w:rsidRPr="00C8230F" w:rsidRDefault="00192E9F" w:rsidP="00192E9F">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rPr>
                <w:iCs/>
              </w:rPr>
              <w:t>C</w:t>
            </w:r>
            <w:r w:rsidRPr="00114EB5">
              <w:rPr>
                <w:iCs/>
              </w:rPr>
              <w:t>ritical</w:t>
            </w:r>
            <w:r w:rsidRPr="005D1D70">
              <w:rPr>
                <w:i/>
              </w:rPr>
              <w:t xml:space="preserve"> </w:t>
            </w:r>
            <w:r w:rsidRPr="00114EB5">
              <w:rPr>
                <w:iCs/>
              </w:rPr>
              <w:t>(imprest</w:t>
            </w:r>
            <w:r w:rsidRPr="00A47640">
              <w:rPr>
                <w:iCs/>
              </w:rPr>
              <w:t>)</w:t>
            </w:r>
            <w:r w:rsidR="008E5563" w:rsidRPr="00DD0FC9">
              <w:t>, missing s100</w:t>
            </w:r>
          </w:p>
        </w:tc>
      </w:tr>
      <w:tr w:rsidR="00034380" w:rsidRPr="00F0724D" w14:paraId="47A73393" w14:textId="77777777" w:rsidTr="008E55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E20C738" w14:textId="37234E69" w:rsidR="009322E7" w:rsidRPr="00C8230F" w:rsidRDefault="006C2C83" w:rsidP="008E5563">
            <w:r w:rsidRPr="00C8230F">
              <w:t>Hotel</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A87940D" w14:textId="5494B27E" w:rsidR="009322E7" w:rsidRPr="00EC0C63" w:rsidRDefault="00F57A4C" w:rsidP="008E5563">
            <w:pPr>
              <w:cnfStyle w:val="000000000000" w:firstRow="0" w:lastRow="0" w:firstColumn="0" w:lastColumn="0" w:oddVBand="0" w:evenVBand="0" w:oddHBand="0" w:evenHBand="0" w:firstRowFirstColumn="0" w:firstRowLastColumn="0" w:lastRowFirstColumn="0" w:lastRowLastColumn="0"/>
            </w:pPr>
            <w:r w:rsidRPr="005D1D70">
              <w:t xml:space="preserve">Includes cleaning, food and linen. Provided via Healthshare under </w:t>
            </w:r>
            <w:r w:rsidR="001B7986" w:rsidRPr="00A47640">
              <w:rPr>
                <w:i/>
                <w:iCs/>
              </w:rPr>
              <w:t>G</w:t>
            </w:r>
            <w:r w:rsidRPr="00A47640">
              <w:rPr>
                <w:i/>
                <w:iCs/>
              </w:rPr>
              <w:t xml:space="preserve">oods &amp; </w:t>
            </w:r>
            <w:r w:rsidR="001B7986" w:rsidRPr="00A47640">
              <w:rPr>
                <w:i/>
                <w:iCs/>
              </w:rPr>
              <w:t>S</w:t>
            </w:r>
            <w:r w:rsidRPr="00A47640">
              <w:rPr>
                <w:i/>
                <w:iCs/>
              </w:rPr>
              <w:t>ervices</w:t>
            </w:r>
            <w:r w:rsidRPr="005D1D70">
              <w:t xml:space="preserve"> line item</w:t>
            </w:r>
            <w: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E476EFF" w14:textId="5D33603B" w:rsidR="009322E7" w:rsidRPr="00EC0C63" w:rsidRDefault="000D5305" w:rsidP="008E5563">
            <w:pPr>
              <w:cnfStyle w:val="000000000000" w:firstRow="0" w:lastRow="0" w:firstColumn="0" w:lastColumn="0" w:oddVBand="0" w:evenVBand="0" w:oddHBand="0" w:evenHBand="0" w:firstRowFirstColumn="0" w:firstRowLastColumn="0" w:lastRowFirstColumn="0" w:lastRowLastColumn="0"/>
            </w:pPr>
            <w:r w:rsidRPr="00EC0C63">
              <w:t xml:space="preserve">Cleaning is treated as an overhead and is allocated to ICU </w:t>
            </w:r>
            <w:r w:rsidR="007A0D3E">
              <w:rPr>
                <w:bCs/>
              </w:rPr>
              <w:t>cost centre in the costing system based on an allocation statistic based on S&amp;W costs.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579EFED" w14:textId="1DC24BE0" w:rsidR="009322E7" w:rsidRPr="008E5563" w:rsidRDefault="000D5305" w:rsidP="008E5563">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b/>
                <w:bCs/>
              </w:rPr>
            </w:pPr>
            <w:r w:rsidRPr="006C2CF4">
              <w:rPr>
                <w:rFonts w:ascii="Cambria Math" w:hAnsi="Cambria Math" w:cs="Cambria Math"/>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1F60EEC" w14:textId="2D47DB43" w:rsidR="009322E7" w:rsidRPr="00EC0C63" w:rsidRDefault="0008262E" w:rsidP="008E5563">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rsidRPr="00EC0C63">
              <w:t>Critical</w:t>
            </w:r>
          </w:p>
        </w:tc>
      </w:tr>
      <w:tr w:rsidR="00034380" w:rsidRPr="00F0724D" w14:paraId="3B93A661" w14:textId="77777777" w:rsidTr="008E5563">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92ECE1A" w14:textId="4C83435D" w:rsidR="009322E7" w:rsidRPr="00E40B76" w:rsidRDefault="006C2C83" w:rsidP="008E5563">
            <w:pPr>
              <w:rPr>
                <w:b w:val="0"/>
              </w:rPr>
            </w:pPr>
            <w:r>
              <w:rPr>
                <w:b w:val="0"/>
              </w:rPr>
              <w:t>Overheads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3A58CBE" w14:textId="3A1C66D6" w:rsidR="009322E7" w:rsidRPr="00265C6A" w:rsidRDefault="00F57A4C" w:rsidP="008E5563">
            <w:pPr>
              <w:cnfStyle w:val="010000000000" w:firstRow="0" w:lastRow="1" w:firstColumn="0" w:lastColumn="0" w:oddVBand="0" w:evenVBand="0" w:oddHBand="0" w:evenHBand="0" w:firstRowFirstColumn="0" w:firstRowLastColumn="0" w:lastRowFirstColumn="0" w:lastRowLastColumn="0"/>
              <w:rPr>
                <w:b w:val="0"/>
                <w:bCs/>
              </w:rPr>
            </w:pPr>
            <w:r w:rsidRPr="00EC0C63">
              <w:rPr>
                <w:b w:val="0"/>
                <w:bCs/>
              </w:rPr>
              <w:t xml:space="preserve">Corporate costs, biomedical engineering costs relating to </w:t>
            </w:r>
            <w:r w:rsidRPr="00EC0C63">
              <w:rPr>
                <w:b w:val="0"/>
                <w:bCs/>
              </w:rPr>
              <w:lastRenderedPageBreak/>
              <w:t>maintenance, repairs (materials and labour costs). These are held centrally.</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1531F0" w14:textId="7C1BA297" w:rsidR="009322E7" w:rsidRPr="00E40B76" w:rsidRDefault="000D5305" w:rsidP="008E5563">
            <w:pPr>
              <w:cnfStyle w:val="010000000000" w:firstRow="0" w:lastRow="1" w:firstColumn="0" w:lastColumn="0" w:oddVBand="0" w:evenVBand="0" w:oddHBand="0" w:evenHBand="0" w:firstRowFirstColumn="0" w:firstRowLastColumn="0" w:lastRowFirstColumn="0" w:lastRowLastColumn="0"/>
              <w:rPr>
                <w:b w:val="0"/>
              </w:rPr>
            </w:pPr>
            <w:r w:rsidRPr="000D5305">
              <w:rPr>
                <w:b w:val="0"/>
              </w:rPr>
              <w:lastRenderedPageBreak/>
              <w:t>Allocated using general allocation statistics for each expense type (e.g. occupied bed days), S&amp;W expense).</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52980A7" w14:textId="6EA35892" w:rsidR="009322E7" w:rsidRPr="008E5563" w:rsidRDefault="000D5305" w:rsidP="008E5563">
            <w:pPr>
              <w:tabs>
                <w:tab w:val="clear" w:pos="5309"/>
                <w:tab w:val="left" w:pos="3840"/>
              </w:tabs>
              <w:jc w:val="center"/>
              <w:cnfStyle w:val="010000000000" w:firstRow="0" w:lastRow="1" w:firstColumn="0" w:lastColumn="0" w:oddVBand="0" w:evenVBand="0" w:oddHBand="0" w:evenHBand="0" w:firstRowFirstColumn="0" w:firstRowLastColumn="0" w:lastRowFirstColumn="0" w:lastRowLastColumn="0"/>
              <w:rPr>
                <w:rFonts w:ascii="Cambria Math" w:hAnsi="Cambria Math" w:cs="Cambria Math"/>
                <w:b w:val="0"/>
                <w:bCs/>
              </w:rPr>
            </w:pPr>
            <w:r w:rsidRPr="006C2CF4">
              <w:rPr>
                <w:rFonts w:ascii="Cambria Math" w:hAnsi="Cambria Math" w:cs="Cambria Math"/>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43976E9" w14:textId="10657E4B" w:rsidR="009322E7" w:rsidRPr="008E5563" w:rsidRDefault="000D5305" w:rsidP="008E5563">
            <w:pPr>
              <w:tabs>
                <w:tab w:val="clear" w:pos="5309"/>
              </w:tabs>
              <w:spacing w:line="259" w:lineRule="auto"/>
              <w:jc w:val="center"/>
              <w:cnfStyle w:val="010000000000" w:firstRow="0" w:lastRow="1" w:firstColumn="0" w:lastColumn="0" w:oddVBand="0" w:evenVBand="0" w:oddHBand="0" w:evenHBand="0" w:firstRowFirstColumn="0" w:firstRowLastColumn="0" w:lastRowFirstColumn="0" w:lastRowLastColumn="0"/>
              <w:rPr>
                <w:b w:val="0"/>
                <w:bCs/>
              </w:rPr>
            </w:pPr>
            <w:r>
              <w:rPr>
                <w:b w:val="0"/>
                <w:bCs/>
              </w:rPr>
              <w:t>Critical</w:t>
            </w:r>
          </w:p>
        </w:tc>
      </w:tr>
    </w:tbl>
    <w:p w14:paraId="5169BFDF" w14:textId="450D9EF6" w:rsidR="00014E0F" w:rsidRDefault="00014E0F" w:rsidP="00CA36C1">
      <w:pPr>
        <w:sectPr w:rsidR="00014E0F" w:rsidSect="00014E0F">
          <w:footnotePr>
            <w:pos w:val="beneathText"/>
          </w:footnotePr>
          <w:endnotePr>
            <w:numFmt w:val="decimal"/>
          </w:endnotePr>
          <w:pgSz w:w="16838" w:h="11906" w:orient="landscape" w:code="9"/>
          <w:pgMar w:top="1440" w:right="1440" w:bottom="1440" w:left="1440" w:header="720" w:footer="720" w:gutter="0"/>
          <w:cols w:space="720"/>
          <w:docGrid w:linePitch="360"/>
        </w:sectPr>
      </w:pPr>
    </w:p>
    <w:p w14:paraId="6C52FCE7" w14:textId="42841A58" w:rsidR="00014E0F" w:rsidRDefault="004B5E27" w:rsidP="00EC0C63">
      <w:pPr>
        <w:pStyle w:val="Caption"/>
        <w:keepNext/>
      </w:pPr>
      <w:r w:rsidRPr="006911F9">
        <w:rPr>
          <w:noProof/>
        </w:rPr>
        <w:lastRenderedPageBreak/>
        <w:drawing>
          <wp:anchor distT="0" distB="0" distL="114300" distR="114300" simplePos="0" relativeHeight="251658322" behindDoc="0" locked="0" layoutInCell="1" allowOverlap="1" wp14:anchorId="00E88EFE" wp14:editId="1C597D99">
            <wp:simplePos x="0" y="0"/>
            <wp:positionH relativeFrom="margin">
              <wp:posOffset>-286385</wp:posOffset>
            </wp:positionH>
            <wp:positionV relativeFrom="paragraph">
              <wp:posOffset>284480</wp:posOffset>
            </wp:positionV>
            <wp:extent cx="6299835" cy="3495675"/>
            <wp:effectExtent l="0" t="0" r="5715" b="9525"/>
            <wp:wrapTopAndBottom/>
            <wp:docPr id="228992252" name="Picture 1" descr="P141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92252" name="Picture 1" descr="P1417#y1"/>
                    <pic:cNvPicPr/>
                  </pic:nvPicPr>
                  <pic:blipFill>
                    <a:blip r:embed="rId59">
                      <a:extLst>
                        <a:ext uri="{28A0092B-C50C-407E-A947-70E740481C1C}">
                          <a14:useLocalDpi xmlns:a14="http://schemas.microsoft.com/office/drawing/2010/main" val="0"/>
                        </a:ext>
                      </a:extLst>
                    </a:blip>
                    <a:stretch>
                      <a:fillRect/>
                    </a:stretch>
                  </pic:blipFill>
                  <pic:spPr>
                    <a:xfrm>
                      <a:off x="0" y="0"/>
                      <a:ext cx="6299835" cy="3495675"/>
                    </a:xfrm>
                    <a:prstGeom prst="rect">
                      <a:avLst/>
                    </a:prstGeom>
                  </pic:spPr>
                </pic:pic>
              </a:graphicData>
            </a:graphic>
            <wp14:sizeRelH relativeFrom="margin">
              <wp14:pctWidth>0</wp14:pctWidth>
            </wp14:sizeRelH>
            <wp14:sizeRelV relativeFrom="margin">
              <wp14:pctHeight>0</wp14:pctHeight>
            </wp14:sizeRelV>
          </wp:anchor>
        </w:drawing>
      </w:r>
      <w:r w:rsidR="00211893">
        <w:t xml:space="preserve">Figure </w:t>
      </w:r>
      <w:r w:rsidR="00BD5B5E">
        <w:fldChar w:fldCharType="begin"/>
      </w:r>
      <w:r w:rsidR="00BD5B5E">
        <w:instrText xml:space="preserve"> SEQ Figure \* ARABIC </w:instrText>
      </w:r>
      <w:r w:rsidR="00BD5B5E">
        <w:fldChar w:fldCharType="separate"/>
      </w:r>
      <w:r w:rsidR="00CE6F96">
        <w:rPr>
          <w:noProof/>
        </w:rPr>
        <w:t>13</w:t>
      </w:r>
      <w:r w:rsidR="00BD5B5E">
        <w:fldChar w:fldCharType="end"/>
      </w:r>
      <w:r w:rsidR="00211893">
        <w:t xml:space="preserve">: </w:t>
      </w:r>
      <w:r w:rsidR="00211893" w:rsidRPr="00763A3E">
        <w:t>Total Critical costs at NHCDC line</w:t>
      </w:r>
      <w:r w:rsidR="00491993">
        <w:t xml:space="preserve"> </w:t>
      </w:r>
      <w:r w:rsidR="00211893" w:rsidRPr="00763A3E">
        <w:t>item level</w:t>
      </w:r>
      <w:r w:rsidR="00F62F1F">
        <w:t xml:space="preserve"> - NSW</w:t>
      </w:r>
    </w:p>
    <w:p w14:paraId="21370B97" w14:textId="77777777" w:rsidR="00FB1708" w:rsidRDefault="00FB1708" w:rsidP="00CA36C1"/>
    <w:p w14:paraId="2F25BBEF" w14:textId="239BBC64" w:rsidR="00394778" w:rsidRDefault="00FB1708" w:rsidP="00CA36C1">
      <w:pPr>
        <w:sectPr w:rsidR="00394778" w:rsidSect="00E73F4E">
          <w:footnotePr>
            <w:pos w:val="beneathText"/>
          </w:footnotePr>
          <w:endnotePr>
            <w:numFmt w:val="decimal"/>
          </w:endnotePr>
          <w:pgSz w:w="11906" w:h="16838" w:code="9"/>
          <w:pgMar w:top="1440" w:right="1440" w:bottom="1440" w:left="1440" w:header="720" w:footer="720" w:gutter="0"/>
          <w:cols w:space="720"/>
          <w:docGrid w:linePitch="360"/>
        </w:sectPr>
      </w:pPr>
      <w:r>
        <w:rPr>
          <w:noProof/>
        </w:rPr>
        <mc:AlternateContent>
          <mc:Choice Requires="wps">
            <w:drawing>
              <wp:inline distT="0" distB="0" distL="0" distR="0" wp14:anchorId="28971B93" wp14:editId="7C3F0FD0">
                <wp:extent cx="5715000" cy="1447800"/>
                <wp:effectExtent l="0" t="0" r="0" b="635"/>
                <wp:docPr id="135278704" name="Text Box 2" descr="P1419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1DAB2519" w14:textId="77777777" w:rsidR="00FB1708" w:rsidRPr="001729F2" w:rsidRDefault="00FB1708" w:rsidP="00FB1708">
                            <w:pPr>
                              <w:rPr>
                                <w:rFonts w:ascii="Avenir Next LT Pro Demi" w:eastAsia="Times New Roman" w:hAnsi="Avenir Next LT Pro Demi" w:cs="Times New Roman"/>
                                <w:color w:val="FFFFFF" w:themeColor="background1"/>
                              </w:rPr>
                            </w:pPr>
                            <w:r w:rsidRPr="001729F2">
                              <w:rPr>
                                <w:rFonts w:ascii="Avenir Next LT Pro Demi" w:hAnsi="Avenir Next LT Pro Demi"/>
                                <w:color w:val="FFFFFF" w:themeColor="background1"/>
                              </w:rPr>
                              <w:t>Critical Care Comparability cost insights:</w:t>
                            </w:r>
                          </w:p>
                          <w:p w14:paraId="49BAF2B1" w14:textId="3767006F" w:rsidR="00FB1708" w:rsidRPr="001729F2" w:rsidRDefault="00FB1708" w:rsidP="00FB1708">
                            <w:pPr>
                              <w:pStyle w:val="Tablebulletpoint"/>
                              <w:rPr>
                                <w:color w:val="FFFFFF" w:themeColor="background1"/>
                              </w:rPr>
                            </w:pPr>
                            <w:r w:rsidRPr="001729F2">
                              <w:rPr>
                                <w:color w:val="FFFFFF" w:themeColor="background1"/>
                              </w:rPr>
                              <w:t>Both NSW sites rely on RVUs to allocate ICU costs. The RVU for nursing costs is weighted based on bed type to reflect higher care needs</w:t>
                            </w:r>
                            <w:r w:rsidR="001E4D22">
                              <w:rPr>
                                <w:color w:val="FFFFFF" w:themeColor="background1"/>
                              </w:rPr>
                              <w:t xml:space="preserve"> </w:t>
                            </w:r>
                            <w:r w:rsidRPr="001729F2">
                              <w:rPr>
                                <w:color w:val="FFFFFF" w:themeColor="background1"/>
                              </w:rPr>
                              <w:t>/</w:t>
                            </w:r>
                            <w:r w:rsidR="001E4D22">
                              <w:rPr>
                                <w:color w:val="FFFFFF" w:themeColor="background1"/>
                              </w:rPr>
                              <w:t xml:space="preserve"> </w:t>
                            </w:r>
                            <w:r w:rsidRPr="001729F2">
                              <w:rPr>
                                <w:color w:val="FFFFFF" w:themeColor="background1"/>
                              </w:rPr>
                              <w:t>nursing ratios.</w:t>
                            </w:r>
                          </w:p>
                          <w:p w14:paraId="42832436" w14:textId="1DDA88DE" w:rsidR="00B8260F" w:rsidRPr="00B8260F" w:rsidRDefault="00FB1708" w:rsidP="00DA20F2">
                            <w:pPr>
                              <w:pStyle w:val="Tablebulletpoint"/>
                              <w:rPr>
                                <w:color w:val="FFFFFF" w:themeColor="background1"/>
                              </w:rPr>
                            </w:pPr>
                            <w:r w:rsidRPr="00547EEB">
                              <w:rPr>
                                <w:color w:val="FFFFFF" w:themeColor="background1"/>
                              </w:rPr>
                              <w:t xml:space="preserve">Both sites had dedicated allied health support but these costs were allocated to the </w:t>
                            </w:r>
                            <w:r w:rsidR="001B7986" w:rsidRPr="00547EEB">
                              <w:rPr>
                                <w:i/>
                                <w:iCs/>
                                <w:color w:val="FFFFFF" w:themeColor="background1"/>
                              </w:rPr>
                              <w:t>A</w:t>
                            </w:r>
                            <w:r w:rsidRPr="00547EEB">
                              <w:rPr>
                                <w:i/>
                                <w:iCs/>
                                <w:color w:val="FFFFFF" w:themeColor="background1"/>
                              </w:rPr>
                              <w:t>llied</w:t>
                            </w:r>
                            <w:r w:rsidRPr="00547EEB">
                              <w:rPr>
                                <w:color w:val="FFFFFF" w:themeColor="background1"/>
                              </w:rPr>
                              <w:t xml:space="preserve"> </w:t>
                            </w:r>
                            <w:r w:rsidR="00547EEB" w:rsidRPr="00547EEB">
                              <w:rPr>
                                <w:color w:val="FFFFFF" w:themeColor="background1"/>
                              </w:rPr>
                              <w:t>NHCDC Cost Centre Group</w:t>
                            </w:r>
                            <w:r w:rsidRPr="00547EEB">
                              <w:rPr>
                                <w:color w:val="FFFFFF" w:themeColor="background1"/>
                              </w:rPr>
                              <w:t xml:space="preserve">, not </w:t>
                            </w:r>
                            <w:r w:rsidR="001B7986" w:rsidRPr="00547EEB">
                              <w:rPr>
                                <w:i/>
                                <w:iCs/>
                                <w:color w:val="FFFFFF" w:themeColor="background1"/>
                              </w:rPr>
                              <w:t>C</w:t>
                            </w:r>
                            <w:r w:rsidRPr="00547EEB">
                              <w:rPr>
                                <w:i/>
                                <w:iCs/>
                                <w:color w:val="FFFFFF" w:themeColor="background1"/>
                              </w:rPr>
                              <w:t>ritical</w:t>
                            </w:r>
                            <w:r w:rsidRPr="00547EEB">
                              <w:rPr>
                                <w:color w:val="FFFFFF" w:themeColor="background1"/>
                              </w:rPr>
                              <w:t xml:space="preserve">. </w:t>
                            </w:r>
                            <w:r w:rsidR="00DA20F2">
                              <w:rPr>
                                <w:color w:val="FFFFFF" w:themeColor="background1"/>
                              </w:rPr>
                              <w:t>This is consistent with treatment of allied health costs in other jurisdictions.</w:t>
                            </w:r>
                          </w:p>
                          <w:p w14:paraId="0DB5D607" w14:textId="169DA8C2" w:rsidR="00B8260F" w:rsidRPr="00B8260F" w:rsidRDefault="00FB1708" w:rsidP="00B8260F">
                            <w:pPr>
                              <w:pStyle w:val="Tablebulletpoint"/>
                              <w:rPr>
                                <w:color w:val="FFFFFF" w:themeColor="background1"/>
                              </w:rPr>
                            </w:pPr>
                            <w:r w:rsidRPr="00F33A20">
                              <w:rPr>
                                <w:color w:val="FFFFFF" w:themeColor="background1"/>
                              </w:rPr>
                              <w:t xml:space="preserve">Pharmacy, pathology, and imaging costs are sitting in the </w:t>
                            </w:r>
                            <w:r w:rsidR="00B8260F" w:rsidRPr="00AD1F32">
                              <w:rPr>
                                <w:i/>
                                <w:iCs/>
                                <w:color w:val="FFFFFF" w:themeColor="background1"/>
                              </w:rPr>
                              <w:t>P</w:t>
                            </w:r>
                            <w:r w:rsidRPr="00AD1F32">
                              <w:rPr>
                                <w:i/>
                                <w:iCs/>
                                <w:color w:val="FFFFFF" w:themeColor="background1"/>
                              </w:rPr>
                              <w:t xml:space="preserve">harmacy, </w:t>
                            </w:r>
                            <w:r w:rsidR="00B8260F" w:rsidRPr="00AD1F32">
                              <w:rPr>
                                <w:i/>
                                <w:iCs/>
                                <w:color w:val="FFFFFF" w:themeColor="background1"/>
                              </w:rPr>
                              <w:t>P</w:t>
                            </w:r>
                            <w:r w:rsidRPr="00AD1F32">
                              <w:rPr>
                                <w:i/>
                                <w:iCs/>
                                <w:color w:val="FFFFFF" w:themeColor="background1"/>
                              </w:rPr>
                              <w:t>athology</w:t>
                            </w:r>
                            <w:r w:rsidRPr="00F33A20">
                              <w:rPr>
                                <w:color w:val="FFFFFF" w:themeColor="background1"/>
                              </w:rPr>
                              <w:t xml:space="preserve">, and </w:t>
                            </w:r>
                            <w:r w:rsidR="00B8260F" w:rsidRPr="00AD1F32">
                              <w:rPr>
                                <w:i/>
                                <w:iCs/>
                                <w:color w:val="FFFFFF" w:themeColor="background1"/>
                              </w:rPr>
                              <w:t>I</w:t>
                            </w:r>
                            <w:r w:rsidRPr="00AD1F32">
                              <w:rPr>
                                <w:i/>
                                <w:iCs/>
                                <w:color w:val="FFFFFF" w:themeColor="background1"/>
                              </w:rPr>
                              <w:t>maging</w:t>
                            </w:r>
                            <w:r w:rsidRPr="00AD1F32">
                              <w:rPr>
                                <w:color w:val="FFFFFF" w:themeColor="background1"/>
                              </w:rPr>
                              <w:t xml:space="preserve"> </w:t>
                            </w:r>
                            <w:r w:rsidR="00B8260F" w:rsidRPr="00AD1F32">
                              <w:rPr>
                                <w:color w:val="FFFFFF" w:themeColor="background1"/>
                              </w:rPr>
                              <w:t>NHCDC Cost Centre Groups</w:t>
                            </w:r>
                            <w:r w:rsidRPr="00F33A20">
                              <w:rPr>
                                <w:color w:val="FFFFFF" w:themeColor="background1"/>
                              </w:rPr>
                              <w:t xml:space="preserve"> respectively, not </w:t>
                            </w:r>
                            <w:r w:rsidR="001B7986" w:rsidRPr="00F33A20">
                              <w:rPr>
                                <w:i/>
                                <w:color w:val="FFFFFF" w:themeColor="background1"/>
                              </w:rPr>
                              <w:t>C</w:t>
                            </w:r>
                            <w:r w:rsidRPr="00F33A20">
                              <w:rPr>
                                <w:i/>
                                <w:color w:val="FFFFFF" w:themeColor="background1"/>
                              </w:rPr>
                              <w:t>ritica</w:t>
                            </w:r>
                            <w:r w:rsidR="001B7986" w:rsidRPr="00F33A20">
                              <w:rPr>
                                <w:i/>
                                <w:color w:val="FFFFFF" w:themeColor="background1"/>
                              </w:rPr>
                              <w:t>l</w:t>
                            </w:r>
                            <w:r w:rsidRPr="00F33A20">
                              <w:rPr>
                                <w:color w:val="FFFFFF" w:themeColor="background1"/>
                              </w:rPr>
                              <w:t xml:space="preserve">. </w:t>
                            </w:r>
                            <w:r w:rsidR="007E0F93">
                              <w:rPr>
                                <w:color w:val="FFFFFF" w:themeColor="background1"/>
                              </w:rPr>
                              <w:t>This is consistent with other jurisdictions.</w:t>
                            </w:r>
                          </w:p>
                          <w:p w14:paraId="5FC08FFB" w14:textId="5D368C5C" w:rsidR="00FB1708" w:rsidRPr="00583145" w:rsidRDefault="00FB1708" w:rsidP="00FB1708">
                            <w:pPr>
                              <w:pStyle w:val="Tablebulletpoint"/>
                              <w:rPr>
                                <w:color w:val="FFFFFF" w:themeColor="background1"/>
                              </w:rPr>
                            </w:pPr>
                            <w:r w:rsidRPr="00583145">
                              <w:rPr>
                                <w:color w:val="FFFFFF" w:themeColor="background1"/>
                              </w:rPr>
                              <w:t xml:space="preserve">ICU staff perform activities outside of the ICU unit or not delivering care to ICU patients. These costs are spread to ICU patients, potentially overstating their </w:t>
                            </w:r>
                            <w:r w:rsidR="001B7986">
                              <w:rPr>
                                <w:color w:val="FFFFFF" w:themeColor="background1"/>
                              </w:rPr>
                              <w:t>M</w:t>
                            </w:r>
                            <w:r w:rsidRPr="00583145">
                              <w:rPr>
                                <w:color w:val="FFFFFF" w:themeColor="background1"/>
                              </w:rPr>
                              <w:t>edical</w:t>
                            </w:r>
                            <w:r w:rsidR="00F732D1">
                              <w:rPr>
                                <w:color w:val="FFFFFF" w:themeColor="background1"/>
                              </w:rPr>
                              <w:t xml:space="preserve"> </w:t>
                            </w:r>
                            <w:r w:rsidRPr="00583145">
                              <w:rPr>
                                <w:color w:val="FFFFFF" w:themeColor="background1"/>
                              </w:rPr>
                              <w:t>/</w:t>
                            </w:r>
                            <w:r w:rsidR="00F732D1">
                              <w:rPr>
                                <w:color w:val="FFFFFF" w:themeColor="background1"/>
                              </w:rPr>
                              <w:t xml:space="preserve"> </w:t>
                            </w:r>
                            <w:r w:rsidR="001B7986">
                              <w:rPr>
                                <w:color w:val="FFFFFF" w:themeColor="background1"/>
                              </w:rPr>
                              <w:t>N</w:t>
                            </w:r>
                            <w:r w:rsidRPr="00583145">
                              <w:rPr>
                                <w:color w:val="FFFFFF" w:themeColor="background1"/>
                              </w:rPr>
                              <w:t xml:space="preserve">ursing </w:t>
                            </w:r>
                            <w:r w:rsidRPr="000734D0">
                              <w:rPr>
                                <w:i/>
                                <w:iCs/>
                                <w:color w:val="FFFFFF" w:themeColor="background1"/>
                              </w:rPr>
                              <w:t>S&amp;W</w:t>
                            </w:r>
                            <w:r w:rsidRPr="00583145">
                              <w:rPr>
                                <w:color w:val="FFFFFF" w:themeColor="background1"/>
                              </w:rPr>
                              <w:t xml:space="preserve"> costs. Activities include:</w:t>
                            </w:r>
                          </w:p>
                          <w:p w14:paraId="79606F7D" w14:textId="7EE86B19" w:rsidR="00FB1708" w:rsidRPr="001729F2" w:rsidRDefault="00FB1708" w:rsidP="00FB1708">
                            <w:pPr>
                              <w:pStyle w:val="Tablebulletpoint"/>
                              <w:numPr>
                                <w:ilvl w:val="1"/>
                                <w:numId w:val="21"/>
                              </w:numPr>
                              <w:rPr>
                                <w:color w:val="FFFFFF" w:themeColor="background1"/>
                              </w:rPr>
                            </w:pPr>
                            <w:r w:rsidRPr="001729F2">
                              <w:rPr>
                                <w:color w:val="FFFFFF" w:themeColor="background1"/>
                              </w:rPr>
                              <w:t xml:space="preserve">John Hunter </w:t>
                            </w:r>
                            <w:r w:rsidR="00AB432B">
                              <w:rPr>
                                <w:color w:val="FFFFFF" w:themeColor="background1"/>
                              </w:rPr>
                              <w:t xml:space="preserve">Hospital </w:t>
                            </w:r>
                            <w:r w:rsidRPr="001729F2">
                              <w:rPr>
                                <w:color w:val="FFFFFF" w:themeColor="background1"/>
                              </w:rPr>
                              <w:t>provide</w:t>
                            </w:r>
                            <w:r w:rsidR="00AB432B">
                              <w:rPr>
                                <w:color w:val="FFFFFF" w:themeColor="background1"/>
                              </w:rPr>
                              <w:t>s</w:t>
                            </w:r>
                            <w:r w:rsidRPr="001729F2">
                              <w:rPr>
                                <w:color w:val="FFFFFF" w:themeColor="background1"/>
                              </w:rPr>
                              <w:t xml:space="preserve"> inter-LHD retrieval services, MET calls, triage and tertiary support.</w:t>
                            </w:r>
                          </w:p>
                          <w:p w14:paraId="03A2106A" w14:textId="2A4894EC" w:rsidR="00FB1708" w:rsidRPr="001729F2" w:rsidRDefault="00FB1708" w:rsidP="00FB1708">
                            <w:pPr>
                              <w:pStyle w:val="Tablebulletpoint"/>
                              <w:numPr>
                                <w:ilvl w:val="1"/>
                                <w:numId w:val="21"/>
                              </w:numPr>
                              <w:rPr>
                                <w:color w:val="FFFFFF" w:themeColor="background1"/>
                              </w:rPr>
                            </w:pPr>
                            <w:r w:rsidRPr="001729F2">
                              <w:rPr>
                                <w:color w:val="FFFFFF" w:themeColor="background1"/>
                              </w:rPr>
                              <w:t xml:space="preserve">Wagga Wagga </w:t>
                            </w:r>
                            <w:r w:rsidR="00AB432B">
                              <w:rPr>
                                <w:color w:val="FFFFFF" w:themeColor="background1"/>
                              </w:rPr>
                              <w:t xml:space="preserve">Hospital </w:t>
                            </w:r>
                            <w:r w:rsidRPr="001729F2">
                              <w:rPr>
                                <w:color w:val="FFFFFF" w:themeColor="background1"/>
                              </w:rPr>
                              <w:t xml:space="preserve">provide MET calls, outpatient services, TPN clinics. </w:t>
                            </w:r>
                          </w:p>
                          <w:p w14:paraId="7B5C6BAD" w14:textId="54B2657D" w:rsidR="00FB1708" w:rsidRPr="001729F2" w:rsidRDefault="00FB1708" w:rsidP="00FB1708">
                            <w:pPr>
                              <w:pStyle w:val="Tablebulletpoint"/>
                              <w:numPr>
                                <w:ilvl w:val="1"/>
                                <w:numId w:val="21"/>
                              </w:numPr>
                              <w:rPr>
                                <w:color w:val="FFFFFF" w:themeColor="background1"/>
                              </w:rPr>
                            </w:pPr>
                            <w:r w:rsidRPr="001729F2">
                              <w:rPr>
                                <w:color w:val="FFFFFF" w:themeColor="background1"/>
                              </w:rPr>
                              <w:t xml:space="preserve">Wagga Wagga </w:t>
                            </w:r>
                            <w:r w:rsidR="00AB432B">
                              <w:rPr>
                                <w:color w:val="FFFFFF" w:themeColor="background1"/>
                              </w:rPr>
                              <w:t xml:space="preserve">Hospital </w:t>
                            </w:r>
                            <w:r w:rsidRPr="001729F2">
                              <w:rPr>
                                <w:color w:val="FFFFFF" w:themeColor="background1"/>
                              </w:rPr>
                              <w:t>experienced general ward admissions to ICU, due to lack of available ward beds (approximately 5-10 admissions per month in 2023</w:t>
                            </w:r>
                            <w:r w:rsidR="00BE5278">
                              <w:rPr>
                                <w:color w:val="FFFFFF" w:themeColor="background1"/>
                              </w:rPr>
                              <w:noBreakHyphen/>
                            </w:r>
                            <w:r w:rsidRPr="001729F2">
                              <w:rPr>
                                <w:color w:val="FFFFFF" w:themeColor="background1"/>
                              </w:rPr>
                              <w:t>24). These patients were cared for by ICU nurses but remained under the care of the admitting doctor.</w:t>
                            </w:r>
                          </w:p>
                        </w:txbxContent>
                      </wps:txbx>
                      <wps:bodyPr rot="0" vert="horz" wrap="square" lIns="180000" tIns="180000" rIns="180000" bIns="180000" anchor="t" anchorCtr="0">
                        <a:spAutoFit/>
                      </wps:bodyPr>
                    </wps:wsp>
                  </a:graphicData>
                </a:graphic>
              </wp:inline>
            </w:drawing>
          </mc:Choice>
          <mc:Fallback>
            <w:pict>
              <v:shape w14:anchorId="28971B93" id="Text Box 2" o:spid="_x0000_s1107" type="#_x0000_t202" alt="P1419TB5#y1" style="width:450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" fillcolor="#343a5e [2405]" stroked="f" strokeweight="1pt">
                <v:textbox style="mso-fit-shape-to-text:t" inset="5mm,5mm,5mm,5mm">
                  <w:txbxContent>
                    <w:p w14:paraId="1DAB2519" w14:textId="77777777" w:rsidR="00FB1708" w:rsidRPr="001729F2" w:rsidRDefault="00FB1708" w:rsidP="00FB1708">
                      <w:pPr>
                        <w:rPr>
                          <w:rFonts w:ascii="Avenir Next LT Pro Demi" w:eastAsia="Times New Roman" w:hAnsi="Avenir Next LT Pro Demi" w:cs="Times New Roman"/>
                          <w:color w:val="FFFFFF" w:themeColor="background1"/>
                        </w:rPr>
                      </w:pPr>
                      <w:r w:rsidRPr="001729F2">
                        <w:rPr>
                          <w:rFonts w:ascii="Avenir Next LT Pro Demi" w:hAnsi="Avenir Next LT Pro Demi"/>
                          <w:color w:val="FFFFFF" w:themeColor="background1"/>
                        </w:rPr>
                        <w:t>Critical Care Comparability cost insights:</w:t>
                      </w:r>
                    </w:p>
                    <w:p w14:paraId="49BAF2B1" w14:textId="3767006F" w:rsidR="00FB1708" w:rsidRPr="001729F2" w:rsidRDefault="00FB1708" w:rsidP="00FB1708">
                      <w:pPr>
                        <w:pStyle w:val="Tablebulletpoint"/>
                        <w:rPr>
                          <w:color w:val="FFFFFF" w:themeColor="background1"/>
                        </w:rPr>
                      </w:pPr>
                      <w:r w:rsidRPr="001729F2">
                        <w:rPr>
                          <w:color w:val="FFFFFF" w:themeColor="background1"/>
                        </w:rPr>
                        <w:t>Both NSW sites rely on RVUs to allocate ICU costs. The RVU for nursing costs is weighted based on bed type to reflect higher care needs</w:t>
                      </w:r>
                      <w:r w:rsidR="001E4D22">
                        <w:rPr>
                          <w:color w:val="FFFFFF" w:themeColor="background1"/>
                        </w:rPr>
                        <w:t xml:space="preserve"> </w:t>
                      </w:r>
                      <w:r w:rsidRPr="001729F2">
                        <w:rPr>
                          <w:color w:val="FFFFFF" w:themeColor="background1"/>
                        </w:rPr>
                        <w:t>/</w:t>
                      </w:r>
                      <w:r w:rsidR="001E4D22">
                        <w:rPr>
                          <w:color w:val="FFFFFF" w:themeColor="background1"/>
                        </w:rPr>
                        <w:t xml:space="preserve"> </w:t>
                      </w:r>
                      <w:r w:rsidRPr="001729F2">
                        <w:rPr>
                          <w:color w:val="FFFFFF" w:themeColor="background1"/>
                        </w:rPr>
                        <w:t>nursing ratios.</w:t>
                      </w:r>
                    </w:p>
                    <w:p w14:paraId="42832436" w14:textId="1DDA88DE" w:rsidR="00B8260F" w:rsidRPr="00B8260F" w:rsidRDefault="00FB1708" w:rsidP="00DA20F2">
                      <w:pPr>
                        <w:pStyle w:val="Tablebulletpoint"/>
                        <w:rPr>
                          <w:color w:val="FFFFFF" w:themeColor="background1"/>
                        </w:rPr>
                      </w:pPr>
                      <w:r w:rsidRPr="00547EEB">
                        <w:rPr>
                          <w:color w:val="FFFFFF" w:themeColor="background1"/>
                        </w:rPr>
                        <w:t xml:space="preserve">Both sites had dedicated allied health support but these costs were allocated to the </w:t>
                      </w:r>
                      <w:r w:rsidR="001B7986" w:rsidRPr="00547EEB">
                        <w:rPr>
                          <w:i/>
                          <w:iCs/>
                          <w:color w:val="FFFFFF" w:themeColor="background1"/>
                        </w:rPr>
                        <w:t>A</w:t>
                      </w:r>
                      <w:r w:rsidRPr="00547EEB">
                        <w:rPr>
                          <w:i/>
                          <w:iCs/>
                          <w:color w:val="FFFFFF" w:themeColor="background1"/>
                        </w:rPr>
                        <w:t>llied</w:t>
                      </w:r>
                      <w:r w:rsidRPr="00547EEB">
                        <w:rPr>
                          <w:color w:val="FFFFFF" w:themeColor="background1"/>
                        </w:rPr>
                        <w:t xml:space="preserve"> </w:t>
                      </w:r>
                      <w:r w:rsidR="00547EEB" w:rsidRPr="00547EEB">
                        <w:rPr>
                          <w:color w:val="FFFFFF" w:themeColor="background1"/>
                        </w:rPr>
                        <w:t>NHCDC Cost Centre Group</w:t>
                      </w:r>
                      <w:r w:rsidRPr="00547EEB">
                        <w:rPr>
                          <w:color w:val="FFFFFF" w:themeColor="background1"/>
                        </w:rPr>
                        <w:t xml:space="preserve">, not </w:t>
                      </w:r>
                      <w:r w:rsidR="001B7986" w:rsidRPr="00547EEB">
                        <w:rPr>
                          <w:i/>
                          <w:iCs/>
                          <w:color w:val="FFFFFF" w:themeColor="background1"/>
                        </w:rPr>
                        <w:t>C</w:t>
                      </w:r>
                      <w:r w:rsidRPr="00547EEB">
                        <w:rPr>
                          <w:i/>
                          <w:iCs/>
                          <w:color w:val="FFFFFF" w:themeColor="background1"/>
                        </w:rPr>
                        <w:t>ritical</w:t>
                      </w:r>
                      <w:r w:rsidRPr="00547EEB">
                        <w:rPr>
                          <w:color w:val="FFFFFF" w:themeColor="background1"/>
                        </w:rPr>
                        <w:t xml:space="preserve">. </w:t>
                      </w:r>
                      <w:r w:rsidR="00DA20F2">
                        <w:rPr>
                          <w:color w:val="FFFFFF" w:themeColor="background1"/>
                        </w:rPr>
                        <w:t>This is consistent with treatment of allied health costs in other jurisdictions.</w:t>
                      </w:r>
                    </w:p>
                    <w:p w14:paraId="0DB5D607" w14:textId="169DA8C2" w:rsidR="00B8260F" w:rsidRPr="00B8260F" w:rsidRDefault="00FB1708" w:rsidP="00B8260F">
                      <w:pPr>
                        <w:pStyle w:val="Tablebulletpoint"/>
                        <w:rPr>
                          <w:color w:val="FFFFFF" w:themeColor="background1"/>
                        </w:rPr>
                      </w:pPr>
                      <w:r w:rsidRPr="00F33A20">
                        <w:rPr>
                          <w:color w:val="FFFFFF" w:themeColor="background1"/>
                        </w:rPr>
                        <w:t xml:space="preserve">Pharmacy, pathology, and imaging costs are sitting in the </w:t>
                      </w:r>
                      <w:r w:rsidR="00B8260F" w:rsidRPr="00AD1F32">
                        <w:rPr>
                          <w:i/>
                          <w:iCs/>
                          <w:color w:val="FFFFFF" w:themeColor="background1"/>
                        </w:rPr>
                        <w:t>P</w:t>
                      </w:r>
                      <w:r w:rsidRPr="00AD1F32">
                        <w:rPr>
                          <w:i/>
                          <w:iCs/>
                          <w:color w:val="FFFFFF" w:themeColor="background1"/>
                        </w:rPr>
                        <w:t xml:space="preserve">harmacy, </w:t>
                      </w:r>
                      <w:r w:rsidR="00B8260F" w:rsidRPr="00AD1F32">
                        <w:rPr>
                          <w:i/>
                          <w:iCs/>
                          <w:color w:val="FFFFFF" w:themeColor="background1"/>
                        </w:rPr>
                        <w:t>P</w:t>
                      </w:r>
                      <w:r w:rsidRPr="00AD1F32">
                        <w:rPr>
                          <w:i/>
                          <w:iCs/>
                          <w:color w:val="FFFFFF" w:themeColor="background1"/>
                        </w:rPr>
                        <w:t>athology</w:t>
                      </w:r>
                      <w:r w:rsidRPr="00F33A20">
                        <w:rPr>
                          <w:color w:val="FFFFFF" w:themeColor="background1"/>
                        </w:rPr>
                        <w:t xml:space="preserve">, and </w:t>
                      </w:r>
                      <w:r w:rsidR="00B8260F" w:rsidRPr="00AD1F32">
                        <w:rPr>
                          <w:i/>
                          <w:iCs/>
                          <w:color w:val="FFFFFF" w:themeColor="background1"/>
                        </w:rPr>
                        <w:t>I</w:t>
                      </w:r>
                      <w:r w:rsidRPr="00AD1F32">
                        <w:rPr>
                          <w:i/>
                          <w:iCs/>
                          <w:color w:val="FFFFFF" w:themeColor="background1"/>
                        </w:rPr>
                        <w:t>maging</w:t>
                      </w:r>
                      <w:r w:rsidRPr="00AD1F32">
                        <w:rPr>
                          <w:color w:val="FFFFFF" w:themeColor="background1"/>
                        </w:rPr>
                        <w:t xml:space="preserve"> </w:t>
                      </w:r>
                      <w:r w:rsidR="00B8260F" w:rsidRPr="00AD1F32">
                        <w:rPr>
                          <w:color w:val="FFFFFF" w:themeColor="background1"/>
                        </w:rPr>
                        <w:t>NHCDC Cost Centre Groups</w:t>
                      </w:r>
                      <w:r w:rsidRPr="00F33A20">
                        <w:rPr>
                          <w:color w:val="FFFFFF" w:themeColor="background1"/>
                        </w:rPr>
                        <w:t xml:space="preserve"> respectively, not </w:t>
                      </w:r>
                      <w:r w:rsidR="001B7986" w:rsidRPr="00F33A20">
                        <w:rPr>
                          <w:i/>
                          <w:color w:val="FFFFFF" w:themeColor="background1"/>
                        </w:rPr>
                        <w:t>C</w:t>
                      </w:r>
                      <w:r w:rsidRPr="00F33A20">
                        <w:rPr>
                          <w:i/>
                          <w:color w:val="FFFFFF" w:themeColor="background1"/>
                        </w:rPr>
                        <w:t>ritica</w:t>
                      </w:r>
                      <w:r w:rsidR="001B7986" w:rsidRPr="00F33A20">
                        <w:rPr>
                          <w:i/>
                          <w:color w:val="FFFFFF" w:themeColor="background1"/>
                        </w:rPr>
                        <w:t>l</w:t>
                      </w:r>
                      <w:r w:rsidRPr="00F33A20">
                        <w:rPr>
                          <w:color w:val="FFFFFF" w:themeColor="background1"/>
                        </w:rPr>
                        <w:t xml:space="preserve">. </w:t>
                      </w:r>
                      <w:r w:rsidR="007E0F93">
                        <w:rPr>
                          <w:color w:val="FFFFFF" w:themeColor="background1"/>
                        </w:rPr>
                        <w:t>This is consistent with other jurisdictions.</w:t>
                      </w:r>
                    </w:p>
                    <w:p w14:paraId="5FC08FFB" w14:textId="5D368C5C" w:rsidR="00FB1708" w:rsidRPr="00583145" w:rsidRDefault="00FB1708" w:rsidP="00FB1708">
                      <w:pPr>
                        <w:pStyle w:val="Tablebulletpoint"/>
                        <w:rPr>
                          <w:color w:val="FFFFFF" w:themeColor="background1"/>
                        </w:rPr>
                      </w:pPr>
                      <w:r w:rsidRPr="00583145">
                        <w:rPr>
                          <w:color w:val="FFFFFF" w:themeColor="background1"/>
                        </w:rPr>
                        <w:t xml:space="preserve">ICU staff perform activities outside of the ICU unit or not delivering care to ICU patients. These costs are spread to ICU patients, potentially overstating their </w:t>
                      </w:r>
                      <w:r w:rsidR="001B7986">
                        <w:rPr>
                          <w:color w:val="FFFFFF" w:themeColor="background1"/>
                        </w:rPr>
                        <w:t>M</w:t>
                      </w:r>
                      <w:r w:rsidRPr="00583145">
                        <w:rPr>
                          <w:color w:val="FFFFFF" w:themeColor="background1"/>
                        </w:rPr>
                        <w:t>edical</w:t>
                      </w:r>
                      <w:r w:rsidR="00F732D1">
                        <w:rPr>
                          <w:color w:val="FFFFFF" w:themeColor="background1"/>
                        </w:rPr>
                        <w:t xml:space="preserve"> </w:t>
                      </w:r>
                      <w:r w:rsidRPr="00583145">
                        <w:rPr>
                          <w:color w:val="FFFFFF" w:themeColor="background1"/>
                        </w:rPr>
                        <w:t>/</w:t>
                      </w:r>
                      <w:r w:rsidR="00F732D1">
                        <w:rPr>
                          <w:color w:val="FFFFFF" w:themeColor="background1"/>
                        </w:rPr>
                        <w:t xml:space="preserve"> </w:t>
                      </w:r>
                      <w:r w:rsidR="001B7986">
                        <w:rPr>
                          <w:color w:val="FFFFFF" w:themeColor="background1"/>
                        </w:rPr>
                        <w:t>N</w:t>
                      </w:r>
                      <w:r w:rsidRPr="00583145">
                        <w:rPr>
                          <w:color w:val="FFFFFF" w:themeColor="background1"/>
                        </w:rPr>
                        <w:t xml:space="preserve">ursing </w:t>
                      </w:r>
                      <w:r w:rsidRPr="000734D0">
                        <w:rPr>
                          <w:i/>
                          <w:iCs/>
                          <w:color w:val="FFFFFF" w:themeColor="background1"/>
                        </w:rPr>
                        <w:t>S&amp;W</w:t>
                      </w:r>
                      <w:r w:rsidRPr="00583145">
                        <w:rPr>
                          <w:color w:val="FFFFFF" w:themeColor="background1"/>
                        </w:rPr>
                        <w:t xml:space="preserve"> costs. Activities include:</w:t>
                      </w:r>
                    </w:p>
                    <w:p w14:paraId="79606F7D" w14:textId="7EE86B19" w:rsidR="00FB1708" w:rsidRPr="001729F2" w:rsidRDefault="00FB1708" w:rsidP="00FB1708">
                      <w:pPr>
                        <w:pStyle w:val="Tablebulletpoint"/>
                        <w:numPr>
                          <w:ilvl w:val="1"/>
                          <w:numId w:val="21"/>
                        </w:numPr>
                        <w:rPr>
                          <w:color w:val="FFFFFF" w:themeColor="background1"/>
                        </w:rPr>
                      </w:pPr>
                      <w:r w:rsidRPr="001729F2">
                        <w:rPr>
                          <w:color w:val="FFFFFF" w:themeColor="background1"/>
                        </w:rPr>
                        <w:t xml:space="preserve">John Hunter </w:t>
                      </w:r>
                      <w:r w:rsidR="00AB432B">
                        <w:rPr>
                          <w:color w:val="FFFFFF" w:themeColor="background1"/>
                        </w:rPr>
                        <w:t xml:space="preserve">Hospital </w:t>
                      </w:r>
                      <w:r w:rsidRPr="001729F2">
                        <w:rPr>
                          <w:color w:val="FFFFFF" w:themeColor="background1"/>
                        </w:rPr>
                        <w:t>provide</w:t>
                      </w:r>
                      <w:r w:rsidR="00AB432B">
                        <w:rPr>
                          <w:color w:val="FFFFFF" w:themeColor="background1"/>
                        </w:rPr>
                        <w:t>s</w:t>
                      </w:r>
                      <w:r w:rsidRPr="001729F2">
                        <w:rPr>
                          <w:color w:val="FFFFFF" w:themeColor="background1"/>
                        </w:rPr>
                        <w:t xml:space="preserve"> inter-LHD retrieval services, MET calls, triage and tertiary support.</w:t>
                      </w:r>
                    </w:p>
                    <w:p w14:paraId="03A2106A" w14:textId="2A4894EC" w:rsidR="00FB1708" w:rsidRPr="001729F2" w:rsidRDefault="00FB1708" w:rsidP="00FB1708">
                      <w:pPr>
                        <w:pStyle w:val="Tablebulletpoint"/>
                        <w:numPr>
                          <w:ilvl w:val="1"/>
                          <w:numId w:val="21"/>
                        </w:numPr>
                        <w:rPr>
                          <w:color w:val="FFFFFF" w:themeColor="background1"/>
                        </w:rPr>
                      </w:pPr>
                      <w:r w:rsidRPr="001729F2">
                        <w:rPr>
                          <w:color w:val="FFFFFF" w:themeColor="background1"/>
                        </w:rPr>
                        <w:t xml:space="preserve">Wagga Wagga </w:t>
                      </w:r>
                      <w:r w:rsidR="00AB432B">
                        <w:rPr>
                          <w:color w:val="FFFFFF" w:themeColor="background1"/>
                        </w:rPr>
                        <w:t xml:space="preserve">Hospital </w:t>
                      </w:r>
                      <w:r w:rsidRPr="001729F2">
                        <w:rPr>
                          <w:color w:val="FFFFFF" w:themeColor="background1"/>
                        </w:rPr>
                        <w:t xml:space="preserve">provide MET calls, outpatient services, TPN clinics. </w:t>
                      </w:r>
                    </w:p>
                    <w:p w14:paraId="7B5C6BAD" w14:textId="54B2657D" w:rsidR="00FB1708" w:rsidRPr="001729F2" w:rsidRDefault="00FB1708" w:rsidP="00FB1708">
                      <w:pPr>
                        <w:pStyle w:val="Tablebulletpoint"/>
                        <w:numPr>
                          <w:ilvl w:val="1"/>
                          <w:numId w:val="21"/>
                        </w:numPr>
                        <w:rPr>
                          <w:color w:val="FFFFFF" w:themeColor="background1"/>
                        </w:rPr>
                      </w:pPr>
                      <w:r w:rsidRPr="001729F2">
                        <w:rPr>
                          <w:color w:val="FFFFFF" w:themeColor="background1"/>
                        </w:rPr>
                        <w:t xml:space="preserve">Wagga Wagga </w:t>
                      </w:r>
                      <w:r w:rsidR="00AB432B">
                        <w:rPr>
                          <w:color w:val="FFFFFF" w:themeColor="background1"/>
                        </w:rPr>
                        <w:t xml:space="preserve">Hospital </w:t>
                      </w:r>
                      <w:r w:rsidRPr="001729F2">
                        <w:rPr>
                          <w:color w:val="FFFFFF" w:themeColor="background1"/>
                        </w:rPr>
                        <w:t>experienced general ward admissions to ICU, due to lack of available ward beds (approximately 5-10 admissions per month in 2023</w:t>
                      </w:r>
                      <w:r w:rsidR="00BE5278">
                        <w:rPr>
                          <w:color w:val="FFFFFF" w:themeColor="background1"/>
                        </w:rPr>
                        <w:noBreakHyphen/>
                      </w:r>
                      <w:r w:rsidRPr="001729F2">
                        <w:rPr>
                          <w:color w:val="FFFFFF" w:themeColor="background1"/>
                        </w:rPr>
                        <w:t>24). These patients were cared for by ICU nurses but remained under the care of the admitting doctor.</w:t>
                      </w:r>
                    </w:p>
                  </w:txbxContent>
                </v:textbox>
                <w10:anchorlock/>
              </v:shape>
            </w:pict>
          </mc:Fallback>
        </mc:AlternateContent>
      </w:r>
      <w:r w:rsidR="009A3E7C">
        <w:br w:type="page"/>
      </w:r>
    </w:p>
    <w:p w14:paraId="7481CEE8" w14:textId="66AA2E1A" w:rsidR="00210BE2" w:rsidRPr="00210BE2" w:rsidRDefault="00144DC9" w:rsidP="00101B44">
      <w:pPr>
        <w:pStyle w:val="Heading2"/>
      </w:pPr>
      <w:r w:rsidRPr="00314129">
        <w:lastRenderedPageBreak/>
        <w:t>Victoria</w:t>
      </w:r>
    </w:p>
    <w:p w14:paraId="1431F9AF" w14:textId="4A12BBAD" w:rsidR="00144DC9" w:rsidRDefault="00601407" w:rsidP="00A1514D">
      <w:pPr>
        <w:pStyle w:val="Heading3"/>
      </w:pPr>
      <w:r>
        <w:rPr>
          <w:noProof/>
        </w:rPr>
        <mc:AlternateContent>
          <mc:Choice Requires="wpg">
            <w:drawing>
              <wp:anchor distT="0" distB="0" distL="114300" distR="114300" simplePos="0" relativeHeight="251658292" behindDoc="1" locked="0" layoutInCell="1" allowOverlap="1" wp14:anchorId="7E224547" wp14:editId="1D727819">
                <wp:simplePos x="0" y="0"/>
                <wp:positionH relativeFrom="margin">
                  <wp:align>right</wp:align>
                </wp:positionH>
                <wp:positionV relativeFrom="paragraph">
                  <wp:posOffset>85887</wp:posOffset>
                </wp:positionV>
                <wp:extent cx="3143250" cy="3203575"/>
                <wp:effectExtent l="0" t="0" r="0" b="0"/>
                <wp:wrapTight wrapText="bothSides">
                  <wp:wrapPolygon edited="0">
                    <wp:start x="0" y="0"/>
                    <wp:lineTo x="0" y="21450"/>
                    <wp:lineTo x="21469" y="21450"/>
                    <wp:lineTo x="21469" y="0"/>
                    <wp:lineTo x="0" y="0"/>
                  </wp:wrapPolygon>
                </wp:wrapTight>
                <wp:docPr id="757912151" name="Group 1" descr="P14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0" cy="3203575"/>
                          <a:chOff x="190501" y="0"/>
                          <a:chExt cx="3143250" cy="3203575"/>
                        </a:xfrm>
                      </wpg:grpSpPr>
                      <wps:wsp>
                        <wps:cNvPr id="1102846636" name="Rectangle 3"/>
                        <wps:cNvSpPr/>
                        <wps:spPr>
                          <a:xfrm>
                            <a:off x="190501" y="0"/>
                            <a:ext cx="3143250" cy="3203575"/>
                          </a:xfrm>
                          <a:prstGeom prst="rect">
                            <a:avLst/>
                          </a:prstGeom>
                          <a:solidFill>
                            <a:srgbClr val="B4B5DB">
                              <a:lumMod val="40000"/>
                              <a:lumOff val="60000"/>
                            </a:srgbClr>
                          </a:solidFill>
                          <a:ln w="12700" cap="flat" cmpd="sng" algn="ctr">
                            <a:noFill/>
                            <a:prstDash val="solid"/>
                            <a:miter lim="800000"/>
                          </a:ln>
                          <a:effectLst/>
                        </wps:spPr>
                        <wps:bodyPr rtlCol="0" anchor="ctr"/>
                      </wps:wsp>
                      <wps:wsp>
                        <wps:cNvPr id="797850356" name="Text Placeholder 7"/>
                        <wps:cNvSpPr txBox="1">
                          <a:spLocks/>
                        </wps:cNvSpPr>
                        <wps:spPr>
                          <a:xfrm>
                            <a:off x="390525" y="1714500"/>
                            <a:ext cx="718185" cy="575310"/>
                          </a:xfrm>
                          <a:prstGeom prst="rect">
                            <a:avLst/>
                          </a:prstGeom>
                        </wps:spPr>
                        <wps:txbx>
                          <w:txbxContent>
                            <w:p w14:paraId="3FFE9B0A" w14:textId="3AA48E24" w:rsidR="00601407" w:rsidRPr="00601407" w:rsidRDefault="00601407" w:rsidP="00601407">
                              <w:pPr>
                                <w:spacing w:after="0" w:line="240" w:lineRule="auto"/>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38</w:t>
                              </w:r>
                            </w:p>
                          </w:txbxContent>
                        </wps:txbx>
                        <wps:bodyPr vert="horz" wrap="square" lIns="0" tIns="0" rIns="0" bIns="0" rtlCol="0" anchor="ctr" anchorCtr="0">
                          <a:noAutofit/>
                        </wps:bodyPr>
                      </wps:wsp>
                      <wps:wsp>
                        <wps:cNvPr id="742758491" name="Google Shape;1492;p120"/>
                        <wps:cNvSpPr txBox="1">
                          <a:spLocks/>
                        </wps:cNvSpPr>
                        <wps:spPr>
                          <a:xfrm>
                            <a:off x="1419225" y="1762125"/>
                            <a:ext cx="1532890" cy="575310"/>
                          </a:xfrm>
                          <a:prstGeom prst="rect">
                            <a:avLst/>
                          </a:prstGeom>
                        </wps:spPr>
                        <wps:txbx>
                          <w:txbxContent>
                            <w:p w14:paraId="258EB789" w14:textId="77777777" w:rsidR="00601407" w:rsidRPr="00411B4C" w:rsidRDefault="00601407" w:rsidP="00601407">
                              <w:pPr>
                                <w:spacing w:after="0" w:line="264" w:lineRule="auto"/>
                                <w:textAlignment w:val="baseline"/>
                                <w:rPr>
                                  <w:rFonts w:eastAsia="Times New Roman"/>
                                  <w:color w:val="484B5D"/>
                                  <w:kern w:val="24"/>
                                  <w:sz w:val="21"/>
                                  <w:szCs w:val="21"/>
                                </w:rPr>
                              </w:pPr>
                              <w:r w:rsidRPr="00411B4C">
                                <w:rPr>
                                  <w:rFonts w:eastAsia="Times New Roman"/>
                                  <w:color w:val="484B5D"/>
                                  <w:kern w:val="24"/>
                                  <w:sz w:val="21"/>
                                  <w:szCs w:val="21"/>
                                </w:rPr>
                                <w:t>Health Services</w:t>
                              </w:r>
                            </w:p>
                          </w:txbxContent>
                        </wps:txbx>
                        <wps:bodyPr vert="horz" wrap="square" lIns="0" tIns="0" rIns="0" bIns="0" rtlCol="0" anchor="ctr" anchorCtr="0">
                          <a:noAutofit/>
                        </wps:bodyPr>
                      </wps:wsp>
                      <wps:wsp>
                        <wps:cNvPr id="1950573418" name="Text Placeholder 7"/>
                        <wps:cNvSpPr txBox="1">
                          <a:spLocks/>
                        </wps:cNvSpPr>
                        <wps:spPr>
                          <a:xfrm>
                            <a:off x="1171575" y="1190625"/>
                            <a:ext cx="1892935" cy="575310"/>
                          </a:xfrm>
                          <a:prstGeom prst="rect">
                            <a:avLst/>
                          </a:prstGeom>
                        </wps:spPr>
                        <wps:txbx>
                          <w:txbxContent>
                            <w:p w14:paraId="49C84CE7" w14:textId="49EF841C" w:rsidR="00601407" w:rsidRPr="004E5C07"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4E5C07">
                                <w:rPr>
                                  <w:rFonts w:ascii="Avenir Next LT Pro Demi" w:eastAsia="Avenir Next LT Pro Regular" w:hAnsi="Avenir Next LT Pro Demi" w:cs="Avenir Next LT Pro Regular"/>
                                  <w:color w:val="44546A"/>
                                  <w:spacing w:val="-30"/>
                                  <w:kern w:val="24"/>
                                  <w:sz w:val="64"/>
                                  <w:szCs w:val="64"/>
                                </w:rPr>
                                <w:t>$</w:t>
                              </w:r>
                              <w:r>
                                <w:rPr>
                                  <w:rFonts w:ascii="Avenir Next LT Pro Demi" w:eastAsia="Avenir Next LT Pro Regular" w:hAnsi="Avenir Next LT Pro Demi" w:cs="Avenir Next LT Pro Regular"/>
                                  <w:color w:val="44546A"/>
                                  <w:spacing w:val="-30"/>
                                  <w:kern w:val="24"/>
                                  <w:sz w:val="64"/>
                                  <w:szCs w:val="64"/>
                                </w:rPr>
                                <w:t>19.6</w:t>
                              </w:r>
                              <w:r w:rsidR="00485636">
                                <w:rPr>
                                  <w:rFonts w:ascii="Avenir Next LT Pro Demi" w:eastAsia="Avenir Next LT Pro Regular" w:hAnsi="Avenir Next LT Pro Demi" w:cs="Avenir Next LT Pro Regular"/>
                                  <w:color w:val="44546A"/>
                                  <w:spacing w:val="-30"/>
                                  <w:kern w:val="24"/>
                                  <w:sz w:val="64"/>
                                  <w:szCs w:val="64"/>
                                </w:rPr>
                                <w:t>2</w:t>
                              </w:r>
                              <w:r w:rsidRPr="004E5C07">
                                <w:rPr>
                                  <w:rFonts w:ascii="Avenir Next LT Pro Demi" w:eastAsia="Avenir Next LT Pro Regular" w:hAnsi="Avenir Next LT Pro Demi" w:cs="Avenir Next LT Pro Regular"/>
                                  <w:color w:val="44546A"/>
                                  <w:spacing w:val="-30"/>
                                  <w:kern w:val="24"/>
                                  <w:sz w:val="64"/>
                                  <w:szCs w:val="64"/>
                                </w:rPr>
                                <w:t>bn</w:t>
                              </w:r>
                            </w:p>
                          </w:txbxContent>
                        </wps:txbx>
                        <wps:bodyPr vert="horz" wrap="square" lIns="0" tIns="0" rIns="0" bIns="0" rtlCol="0" anchor="ctr" anchorCtr="0">
                          <a:noAutofit/>
                        </wps:bodyPr>
                      </wps:wsp>
                      <wps:wsp>
                        <wps:cNvPr id="2019683830" name="Google Shape;1492;p120"/>
                        <wps:cNvSpPr txBox="1">
                          <a:spLocks/>
                        </wps:cNvSpPr>
                        <wps:spPr>
                          <a:xfrm>
                            <a:off x="390525" y="1190625"/>
                            <a:ext cx="1150078" cy="575924"/>
                          </a:xfrm>
                          <a:prstGeom prst="rect">
                            <a:avLst/>
                          </a:prstGeom>
                        </wps:spPr>
                        <wps:txbx>
                          <w:txbxContent>
                            <w:p w14:paraId="07836165" w14:textId="77777777" w:rsidR="00601407" w:rsidRDefault="00601407" w:rsidP="00601407">
                              <w:pPr>
                                <w:spacing w:after="0" w:line="264" w:lineRule="auto"/>
                                <w:rPr>
                                  <w:rFonts w:eastAsia="Times New Roman"/>
                                  <w:color w:val="484B5D"/>
                                  <w:kern w:val="24"/>
                                </w:rPr>
                              </w:pPr>
                              <w:r>
                                <w:rPr>
                                  <w:rFonts w:eastAsia="Times New Roman"/>
                                  <w:color w:val="484B5D"/>
                                  <w:kern w:val="24"/>
                                </w:rPr>
                                <w:t>Total costs submitted to NHCDC</w:t>
                              </w:r>
                            </w:p>
                          </w:txbxContent>
                        </wps:txbx>
                        <wps:bodyPr vert="horz" wrap="square" lIns="0" tIns="0" rIns="0" bIns="0" rtlCol="0" anchor="ctr" anchorCtr="0">
                          <a:noAutofit/>
                        </wps:bodyPr>
                      </wps:wsp>
                      <wps:wsp>
                        <wps:cNvPr id="211736170" name="Text Placeholder 7"/>
                        <wps:cNvSpPr txBox="1">
                          <a:spLocks/>
                        </wps:cNvSpPr>
                        <wps:spPr>
                          <a:xfrm>
                            <a:off x="390523" y="542926"/>
                            <a:ext cx="618490" cy="575945"/>
                          </a:xfrm>
                          <a:prstGeom prst="rect">
                            <a:avLst/>
                          </a:prstGeom>
                          <a:noFill/>
                        </wps:spPr>
                        <wps:txbx>
                          <w:txbxContent>
                            <w:p w14:paraId="5C644B83" w14:textId="78C4317D" w:rsidR="00601407" w:rsidRPr="00601407" w:rsidRDefault="00601407" w:rsidP="00601407">
                              <w:pPr>
                                <w:spacing w:after="0"/>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91</w:t>
                              </w:r>
                            </w:p>
                          </w:txbxContent>
                        </wps:txbx>
                        <wps:bodyPr vert="horz" wrap="none" lIns="0" tIns="0" rIns="0" bIns="0" rtlCol="0" anchor="b" anchorCtr="0">
                          <a:noAutofit/>
                        </wps:bodyPr>
                      </wps:wsp>
                      <wps:wsp>
                        <wps:cNvPr id="1176588751" name="Google Shape;1492;p120"/>
                        <wps:cNvSpPr txBox="1">
                          <a:spLocks/>
                        </wps:cNvSpPr>
                        <wps:spPr>
                          <a:xfrm>
                            <a:off x="1466850" y="628650"/>
                            <a:ext cx="1565275" cy="575310"/>
                          </a:xfrm>
                          <a:prstGeom prst="rect">
                            <a:avLst/>
                          </a:prstGeom>
                        </wps:spPr>
                        <wps:txbx>
                          <w:txbxContent>
                            <w:p w14:paraId="55B6C3B3" w14:textId="61EE12AE" w:rsidR="00601407" w:rsidRDefault="00601407" w:rsidP="00601407">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D738B2">
                                <w:rPr>
                                  <w:rFonts w:eastAsia="Times New Roman"/>
                                  <w:color w:val="484B5D"/>
                                  <w:kern w:val="24"/>
                                  <w:sz w:val="21"/>
                                  <w:szCs w:val="21"/>
                                </w:rPr>
                                <w:t>2023-24</w:t>
                              </w:r>
                            </w:p>
                          </w:txbxContent>
                        </wps:txbx>
                        <wps:bodyPr vert="horz" lIns="0" tIns="0" rIns="0" bIns="0" rtlCol="0" anchor="ctr" anchorCtr="0">
                          <a:noAutofit/>
                        </wps:bodyPr>
                      </wps:wsp>
                      <wps:wsp>
                        <wps:cNvPr id="380193169" name="Text Placeholder 7"/>
                        <wps:cNvSpPr txBox="1">
                          <a:spLocks/>
                        </wps:cNvSpPr>
                        <wps:spPr>
                          <a:xfrm>
                            <a:off x="1181100" y="2333625"/>
                            <a:ext cx="1884045" cy="575310"/>
                          </a:xfrm>
                          <a:prstGeom prst="rect">
                            <a:avLst/>
                          </a:prstGeom>
                        </wps:spPr>
                        <wps:txbx>
                          <w:txbxContent>
                            <w:p w14:paraId="12597B8D" w14:textId="04AC07F5" w:rsidR="00601407" w:rsidRPr="00CC500B"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CC500B">
                                <w:rPr>
                                  <w:rFonts w:ascii="Avenir Next LT Pro Demi" w:eastAsia="Avenir Next LT Pro Regular" w:hAnsi="Avenir Next LT Pro Demi" w:cs="Avenir Next LT Pro Regular"/>
                                  <w:color w:val="44546A"/>
                                  <w:spacing w:val="-30"/>
                                  <w:kern w:val="24"/>
                                  <w:sz w:val="72"/>
                                  <w:szCs w:val="72"/>
                                </w:rPr>
                                <w:t>$</w:t>
                              </w:r>
                              <w:r>
                                <w:rPr>
                                  <w:rFonts w:ascii="Avenir Next LT Pro Demi" w:eastAsia="Avenir Next LT Pro Regular" w:hAnsi="Avenir Next LT Pro Demi" w:cs="Avenir Next LT Pro Regular"/>
                                  <w:color w:val="44546A"/>
                                  <w:spacing w:val="-30"/>
                                  <w:kern w:val="24"/>
                                  <w:sz w:val="72"/>
                                  <w:szCs w:val="72"/>
                                </w:rPr>
                                <w:t>7,</w:t>
                              </w:r>
                              <w:r w:rsidR="00835805">
                                <w:rPr>
                                  <w:rFonts w:ascii="Avenir Next LT Pro Demi" w:eastAsia="Avenir Next LT Pro Regular" w:hAnsi="Avenir Next LT Pro Demi" w:cs="Avenir Next LT Pro Regular"/>
                                  <w:color w:val="44546A"/>
                                  <w:spacing w:val="-30"/>
                                  <w:kern w:val="24"/>
                                  <w:sz w:val="72"/>
                                  <w:szCs w:val="72"/>
                                </w:rPr>
                                <w:t>043</w:t>
                              </w:r>
                            </w:p>
                          </w:txbxContent>
                        </wps:txbx>
                        <wps:bodyPr vert="horz" lIns="0" tIns="0" rIns="0" bIns="0" rtlCol="0" anchor="ctr" anchorCtr="0">
                          <a:noAutofit/>
                        </wps:bodyPr>
                      </wps:wsp>
                      <wps:wsp>
                        <wps:cNvPr id="1292542328" name="Google Shape;1492;p120"/>
                        <wps:cNvSpPr txBox="1">
                          <a:spLocks/>
                        </wps:cNvSpPr>
                        <wps:spPr>
                          <a:xfrm>
                            <a:off x="390525" y="2333625"/>
                            <a:ext cx="1150078" cy="575924"/>
                          </a:xfrm>
                          <a:prstGeom prst="rect">
                            <a:avLst/>
                          </a:prstGeom>
                        </wps:spPr>
                        <wps:txbx>
                          <w:txbxContent>
                            <w:p w14:paraId="37DAC8A2" w14:textId="77777777" w:rsidR="00601407" w:rsidRDefault="00601407" w:rsidP="00601407">
                              <w:pPr>
                                <w:spacing w:after="0" w:line="264" w:lineRule="auto"/>
                                <w:rPr>
                                  <w:rFonts w:eastAsia="Times New Roman"/>
                                  <w:color w:val="484B5D"/>
                                  <w:kern w:val="24"/>
                                </w:rPr>
                              </w:pPr>
                              <w:r>
                                <w:rPr>
                                  <w:rFonts w:eastAsia="Times New Roman"/>
                                  <w:color w:val="484B5D"/>
                                  <w:kern w:val="24"/>
                                </w:rPr>
                                <w:t>Average cost per GWAU (excl. Community MH)</w:t>
                              </w:r>
                            </w:p>
                          </w:txbxContent>
                        </wps:txbx>
                        <wps:bodyPr vert="horz" wrap="square" lIns="0" tIns="0" rIns="0" bIns="0" rtlCol="0" anchor="ctr" anchorCtr="0">
                          <a:noAutofit/>
                        </wps:bodyPr>
                      </wps:wsp>
                      <wps:wsp>
                        <wps:cNvPr id="100782163" name="TextBox 21"/>
                        <wps:cNvSpPr txBox="1"/>
                        <wps:spPr>
                          <a:xfrm>
                            <a:off x="390525" y="276225"/>
                            <a:ext cx="2530057" cy="351108"/>
                          </a:xfrm>
                          <a:prstGeom prst="rect">
                            <a:avLst/>
                          </a:prstGeom>
                          <a:noFill/>
                        </wps:spPr>
                        <wps:txbx>
                          <w:txbxContent>
                            <w:p w14:paraId="114651D3" w14:textId="6B8614FF" w:rsidR="00601407" w:rsidRDefault="00601407" w:rsidP="00601407">
                              <w:pPr>
                                <w:rPr>
                                  <w:rFonts w:eastAsia="Times New Roman"/>
                                  <w:i/>
                                  <w:iCs/>
                                  <w:color w:val="464E7E"/>
                                  <w:kern w:val="24"/>
                                  <w:sz w:val="28"/>
                                  <w:szCs w:val="28"/>
                                </w:rPr>
                              </w:pPr>
                              <w:r>
                                <w:rPr>
                                  <w:rFonts w:eastAsia="Times New Roman"/>
                                  <w:i/>
                                  <w:iCs/>
                                  <w:color w:val="464E7E"/>
                                  <w:kern w:val="24"/>
                                  <w:sz w:val="28"/>
                                  <w:szCs w:val="28"/>
                                </w:rPr>
                                <w:t xml:space="preserve">At a glance: </w:t>
                              </w:r>
                              <w:r w:rsidR="007F7510">
                                <w:rPr>
                                  <w:rFonts w:eastAsia="Times New Roman"/>
                                  <w:i/>
                                  <w:iCs/>
                                  <w:color w:val="464E7E"/>
                                  <w:kern w:val="24"/>
                                  <w:sz w:val="28"/>
                                  <w:szCs w:val="28"/>
                                </w:rPr>
                                <w:t>Vic</w:t>
                              </w:r>
                              <w:r w:rsidR="001B7986">
                                <w:rPr>
                                  <w:rFonts w:eastAsia="Times New Roman"/>
                                  <w:i/>
                                  <w:iCs/>
                                  <w:color w:val="464E7E"/>
                                  <w:kern w:val="24"/>
                                  <w:sz w:val="28"/>
                                  <w:szCs w:val="28"/>
                                </w:rPr>
                                <w:t>toria</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7E224547" id="_x0000_s1108" alt="P1421#y1" style="position:absolute;left:0;text-align:left;margin-left:196.3pt;margin-top:6.75pt;width:247.5pt;height:252.25pt;z-index:-251658188;mso-position-horizontal:right;mso-position-horizontal-relative:margin;mso-position-vertical-relative:text;mso-width-relative:margin;mso-height-relative:margin" coordorigin="1905" coordsize="31432,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">
                <v:rect id="Rectangle 3" o:spid="_x0000_s1109" style="position:absolute;left:1905;width:31432;height:3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" fillcolor="#e1e1f1" stroked="f" strokeweight="1pt"/>
                <v:shape id="Text Placeholder 7" o:spid="_x0000_s1110" type="#_x0000_t202" style="position:absolute;left:3905;top:17145;width:7182;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" filled="f" stroked="f">
                  <v:textbox inset="0,0,0,0">
                    <w:txbxContent>
                      <w:p w14:paraId="3FFE9B0A" w14:textId="3AA48E24" w:rsidR="00601407" w:rsidRPr="00601407" w:rsidRDefault="00601407" w:rsidP="00601407">
                        <w:pPr>
                          <w:spacing w:after="0" w:line="240" w:lineRule="auto"/>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38</w:t>
                        </w:r>
                      </w:p>
                    </w:txbxContent>
                  </v:textbox>
                </v:shape>
                <v:shape id="Google Shape;1492;p120" o:spid="_x0000_s1111" type="#_x0000_t202" style="position:absolute;left:14192;top:17621;width:15329;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" filled="f" stroked="f">
                  <v:textbox inset="0,0,0,0">
                    <w:txbxContent>
                      <w:p w14:paraId="258EB789" w14:textId="77777777" w:rsidR="00601407" w:rsidRPr="00411B4C" w:rsidRDefault="00601407" w:rsidP="00601407">
                        <w:pPr>
                          <w:spacing w:after="0" w:line="264" w:lineRule="auto"/>
                          <w:textAlignment w:val="baseline"/>
                          <w:rPr>
                            <w:rFonts w:eastAsia="Times New Roman"/>
                            <w:color w:val="484B5D"/>
                            <w:kern w:val="24"/>
                            <w:sz w:val="21"/>
                            <w:szCs w:val="21"/>
                          </w:rPr>
                        </w:pPr>
                        <w:r w:rsidRPr="00411B4C">
                          <w:rPr>
                            <w:rFonts w:eastAsia="Times New Roman"/>
                            <w:color w:val="484B5D"/>
                            <w:kern w:val="24"/>
                            <w:sz w:val="21"/>
                            <w:szCs w:val="21"/>
                          </w:rPr>
                          <w:t>Health Services</w:t>
                        </w:r>
                      </w:p>
                    </w:txbxContent>
                  </v:textbox>
                </v:shape>
                <v:shape id="Text Placeholder 7" o:spid="_x0000_s1112" type="#_x0000_t202" style="position:absolute;left:11715;top:11906;width:1893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" filled="f" stroked="f">
                  <v:textbox inset="0,0,0,0">
                    <w:txbxContent>
                      <w:p w14:paraId="49C84CE7" w14:textId="49EF841C" w:rsidR="00601407" w:rsidRPr="004E5C07"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4E5C07">
                          <w:rPr>
                            <w:rFonts w:ascii="Avenir Next LT Pro Demi" w:eastAsia="Avenir Next LT Pro Regular" w:hAnsi="Avenir Next LT Pro Demi" w:cs="Avenir Next LT Pro Regular"/>
                            <w:color w:val="44546A"/>
                            <w:spacing w:val="-30"/>
                            <w:kern w:val="24"/>
                            <w:sz w:val="64"/>
                            <w:szCs w:val="64"/>
                          </w:rPr>
                          <w:t>$</w:t>
                        </w:r>
                        <w:r>
                          <w:rPr>
                            <w:rFonts w:ascii="Avenir Next LT Pro Demi" w:eastAsia="Avenir Next LT Pro Regular" w:hAnsi="Avenir Next LT Pro Demi" w:cs="Avenir Next LT Pro Regular"/>
                            <w:color w:val="44546A"/>
                            <w:spacing w:val="-30"/>
                            <w:kern w:val="24"/>
                            <w:sz w:val="64"/>
                            <w:szCs w:val="64"/>
                          </w:rPr>
                          <w:t>19.6</w:t>
                        </w:r>
                        <w:r w:rsidR="00485636">
                          <w:rPr>
                            <w:rFonts w:ascii="Avenir Next LT Pro Demi" w:eastAsia="Avenir Next LT Pro Regular" w:hAnsi="Avenir Next LT Pro Demi" w:cs="Avenir Next LT Pro Regular"/>
                            <w:color w:val="44546A"/>
                            <w:spacing w:val="-30"/>
                            <w:kern w:val="24"/>
                            <w:sz w:val="64"/>
                            <w:szCs w:val="64"/>
                          </w:rPr>
                          <w:t>2</w:t>
                        </w:r>
                        <w:r w:rsidRPr="004E5C07">
                          <w:rPr>
                            <w:rFonts w:ascii="Avenir Next LT Pro Demi" w:eastAsia="Avenir Next LT Pro Regular" w:hAnsi="Avenir Next LT Pro Demi" w:cs="Avenir Next LT Pro Regular"/>
                            <w:color w:val="44546A"/>
                            <w:spacing w:val="-30"/>
                            <w:kern w:val="24"/>
                            <w:sz w:val="64"/>
                            <w:szCs w:val="64"/>
                          </w:rPr>
                          <w:t>bn</w:t>
                        </w:r>
                      </w:p>
                    </w:txbxContent>
                  </v:textbox>
                </v:shape>
                <v:shape id="Google Shape;1492;p120" o:spid="_x0000_s1113" type="#_x0000_t202" style="position:absolute;left:3905;top:1190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" filled="f" stroked="f">
                  <v:textbox inset="0,0,0,0">
                    <w:txbxContent>
                      <w:p w14:paraId="07836165" w14:textId="77777777" w:rsidR="00601407" w:rsidRDefault="00601407" w:rsidP="00601407">
                        <w:pPr>
                          <w:spacing w:after="0" w:line="264" w:lineRule="auto"/>
                          <w:rPr>
                            <w:rFonts w:eastAsia="Times New Roman"/>
                            <w:color w:val="484B5D"/>
                            <w:kern w:val="24"/>
                          </w:rPr>
                        </w:pPr>
                        <w:r>
                          <w:rPr>
                            <w:rFonts w:eastAsia="Times New Roman"/>
                            <w:color w:val="484B5D"/>
                            <w:kern w:val="24"/>
                          </w:rPr>
                          <w:t>Total costs submitted to NHCDC</w:t>
                        </w:r>
                      </w:p>
                    </w:txbxContent>
                  </v:textbox>
                </v:shape>
                <v:shape id="Text Placeholder 7" o:spid="_x0000_s1114" type="#_x0000_t202" style="position:absolute;left:3905;top:5429;width:6185;height:575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" filled="f" stroked="f">
                  <v:textbox inset="0,0,0,0">
                    <w:txbxContent>
                      <w:p w14:paraId="5C644B83" w14:textId="78C4317D" w:rsidR="00601407" w:rsidRPr="00601407" w:rsidRDefault="00601407" w:rsidP="00601407">
                        <w:pPr>
                          <w:spacing w:after="0"/>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91</w:t>
                        </w:r>
                      </w:p>
                    </w:txbxContent>
                  </v:textbox>
                </v:shape>
                <v:shape id="Google Shape;1492;p120" o:spid="_x0000_s1115" type="#_x0000_t202" style="position:absolute;left:14668;top:6286;width:15653;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" filled="f" stroked="f">
                  <v:textbox inset="0,0,0,0">
                    <w:txbxContent>
                      <w:p w14:paraId="55B6C3B3" w14:textId="61EE12AE" w:rsidR="00601407" w:rsidRDefault="00601407" w:rsidP="00601407">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D738B2">
                          <w:rPr>
                            <w:rFonts w:eastAsia="Times New Roman"/>
                            <w:color w:val="484B5D"/>
                            <w:kern w:val="24"/>
                            <w:sz w:val="21"/>
                            <w:szCs w:val="21"/>
                          </w:rPr>
                          <w:t>2023-24</w:t>
                        </w:r>
                      </w:p>
                    </w:txbxContent>
                  </v:textbox>
                </v:shape>
                <v:shape id="Text Placeholder 7" o:spid="_x0000_s1116" type="#_x0000_t202" style="position:absolute;left:11811;top:23336;width:1884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" filled="f" stroked="f">
                  <v:textbox inset="0,0,0,0">
                    <w:txbxContent>
                      <w:p w14:paraId="12597B8D" w14:textId="04AC07F5" w:rsidR="00601407" w:rsidRPr="00CC500B"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CC500B">
                          <w:rPr>
                            <w:rFonts w:ascii="Avenir Next LT Pro Demi" w:eastAsia="Avenir Next LT Pro Regular" w:hAnsi="Avenir Next LT Pro Demi" w:cs="Avenir Next LT Pro Regular"/>
                            <w:color w:val="44546A"/>
                            <w:spacing w:val="-30"/>
                            <w:kern w:val="24"/>
                            <w:sz w:val="72"/>
                            <w:szCs w:val="72"/>
                          </w:rPr>
                          <w:t>$</w:t>
                        </w:r>
                        <w:r>
                          <w:rPr>
                            <w:rFonts w:ascii="Avenir Next LT Pro Demi" w:eastAsia="Avenir Next LT Pro Regular" w:hAnsi="Avenir Next LT Pro Demi" w:cs="Avenir Next LT Pro Regular"/>
                            <w:color w:val="44546A"/>
                            <w:spacing w:val="-30"/>
                            <w:kern w:val="24"/>
                            <w:sz w:val="72"/>
                            <w:szCs w:val="72"/>
                          </w:rPr>
                          <w:t>7,</w:t>
                        </w:r>
                        <w:r w:rsidR="00835805">
                          <w:rPr>
                            <w:rFonts w:ascii="Avenir Next LT Pro Demi" w:eastAsia="Avenir Next LT Pro Regular" w:hAnsi="Avenir Next LT Pro Demi" w:cs="Avenir Next LT Pro Regular"/>
                            <w:color w:val="44546A"/>
                            <w:spacing w:val="-30"/>
                            <w:kern w:val="24"/>
                            <w:sz w:val="72"/>
                            <w:szCs w:val="72"/>
                          </w:rPr>
                          <w:t>043</w:t>
                        </w:r>
                      </w:p>
                    </w:txbxContent>
                  </v:textbox>
                </v:shape>
                <v:shape id="Google Shape;1492;p120" o:spid="_x0000_s1117" type="#_x0000_t202" style="position:absolute;left:3905;top:2333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" filled="f" stroked="f">
                  <v:textbox inset="0,0,0,0">
                    <w:txbxContent>
                      <w:p w14:paraId="37DAC8A2" w14:textId="77777777" w:rsidR="00601407" w:rsidRDefault="00601407" w:rsidP="00601407">
                        <w:pPr>
                          <w:spacing w:after="0" w:line="264" w:lineRule="auto"/>
                          <w:rPr>
                            <w:rFonts w:eastAsia="Times New Roman"/>
                            <w:color w:val="484B5D"/>
                            <w:kern w:val="24"/>
                          </w:rPr>
                        </w:pPr>
                        <w:r>
                          <w:rPr>
                            <w:rFonts w:eastAsia="Times New Roman"/>
                            <w:color w:val="484B5D"/>
                            <w:kern w:val="24"/>
                          </w:rPr>
                          <w:t>Average cost per GWAU (excl. Community MH)</w:t>
                        </w:r>
                      </w:p>
                    </w:txbxContent>
                  </v:textbox>
                </v:shape>
                <v:shape id="TextBox 21" o:spid="_x0000_s1118" type="#_x0000_t202" style="position:absolute;left:3905;top:2762;width:2530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" filled="f" stroked="f">
                  <v:textbox style="mso-fit-shape-to-text:t" inset="0,0,0,0">
                    <w:txbxContent>
                      <w:p w14:paraId="114651D3" w14:textId="6B8614FF" w:rsidR="00601407" w:rsidRDefault="00601407" w:rsidP="00601407">
                        <w:pPr>
                          <w:rPr>
                            <w:rFonts w:eastAsia="Times New Roman"/>
                            <w:i/>
                            <w:iCs/>
                            <w:color w:val="464E7E"/>
                            <w:kern w:val="24"/>
                            <w:sz w:val="28"/>
                            <w:szCs w:val="28"/>
                          </w:rPr>
                        </w:pPr>
                        <w:r>
                          <w:rPr>
                            <w:rFonts w:eastAsia="Times New Roman"/>
                            <w:i/>
                            <w:iCs/>
                            <w:color w:val="464E7E"/>
                            <w:kern w:val="24"/>
                            <w:sz w:val="28"/>
                            <w:szCs w:val="28"/>
                          </w:rPr>
                          <w:t xml:space="preserve">At a glance: </w:t>
                        </w:r>
                        <w:r w:rsidR="007F7510">
                          <w:rPr>
                            <w:rFonts w:eastAsia="Times New Roman"/>
                            <w:i/>
                            <w:iCs/>
                            <w:color w:val="464E7E"/>
                            <w:kern w:val="24"/>
                            <w:sz w:val="28"/>
                            <w:szCs w:val="28"/>
                          </w:rPr>
                          <w:t>Vic</w:t>
                        </w:r>
                        <w:r w:rsidR="001B7986">
                          <w:rPr>
                            <w:rFonts w:eastAsia="Times New Roman"/>
                            <w:i/>
                            <w:iCs/>
                            <w:color w:val="464E7E"/>
                            <w:kern w:val="24"/>
                            <w:sz w:val="28"/>
                            <w:szCs w:val="28"/>
                          </w:rPr>
                          <w:t>toria</w:t>
                        </w:r>
                      </w:p>
                    </w:txbxContent>
                  </v:textbox>
                </v:shape>
                <w10:wrap type="tight" anchorx="margin"/>
              </v:group>
            </w:pict>
          </mc:Fallback>
        </mc:AlternateContent>
      </w:r>
      <w:r w:rsidR="00244130">
        <w:t>State-wide costed NHCDC 2023-24 submission</w:t>
      </w:r>
    </w:p>
    <w:p w14:paraId="12F3CF8B" w14:textId="2B93D2D1" w:rsidR="00601407" w:rsidRDefault="00D9227C" w:rsidP="00D9227C">
      <w:pPr>
        <w:spacing w:line="240" w:lineRule="auto"/>
        <w:rPr>
          <w:color w:val="44546A" w:themeColor="text2"/>
        </w:rPr>
      </w:pPr>
      <w:r w:rsidRPr="00FD6FDF">
        <w:rPr>
          <w:color w:val="44546A" w:themeColor="text2"/>
        </w:rPr>
        <w:t>Vic</w:t>
      </w:r>
      <w:r>
        <w:rPr>
          <w:color w:val="44546A" w:themeColor="text2"/>
        </w:rPr>
        <w:t xml:space="preserve">toria </w:t>
      </w:r>
      <w:r w:rsidRPr="00FD6FDF">
        <w:rPr>
          <w:color w:val="44546A" w:themeColor="text2"/>
        </w:rPr>
        <w:t>submits costed activity for 38 Health Services (HS) as part of the NHCDC.</w:t>
      </w:r>
    </w:p>
    <w:p w14:paraId="24F660D7" w14:textId="13B052C4" w:rsidR="00D9227C" w:rsidRPr="00FD6FDF" w:rsidRDefault="00D9227C" w:rsidP="00D9227C">
      <w:pPr>
        <w:spacing w:line="240" w:lineRule="auto"/>
        <w:rPr>
          <w:color w:val="44546A" w:themeColor="text2"/>
        </w:rPr>
      </w:pPr>
      <w:r w:rsidRPr="00FD6FDF">
        <w:rPr>
          <w:color w:val="44546A" w:themeColor="text2"/>
        </w:rPr>
        <w:t xml:space="preserve">Total costs submitted by </w:t>
      </w:r>
      <w:r w:rsidR="00C83695">
        <w:rPr>
          <w:color w:val="44546A" w:themeColor="text2"/>
        </w:rPr>
        <w:t xml:space="preserve">Victoria </w:t>
      </w:r>
      <w:r w:rsidRPr="00FD6FDF">
        <w:rPr>
          <w:color w:val="44546A" w:themeColor="text2"/>
        </w:rPr>
        <w:t>in 2023</w:t>
      </w:r>
      <w:r w:rsidR="001B7986">
        <w:rPr>
          <w:color w:val="44546A" w:themeColor="text2"/>
        </w:rPr>
        <w:noBreakHyphen/>
      </w:r>
      <w:r w:rsidRPr="00FD6FDF">
        <w:rPr>
          <w:color w:val="44546A" w:themeColor="text2"/>
        </w:rPr>
        <w:t xml:space="preserve">24 were </w:t>
      </w:r>
      <w:r w:rsidRPr="00FD6FDF">
        <w:rPr>
          <w:b/>
          <w:color w:val="44546A" w:themeColor="text2"/>
        </w:rPr>
        <w:t>$19.6</w:t>
      </w:r>
      <w:r w:rsidR="00411CAD">
        <w:rPr>
          <w:b/>
          <w:color w:val="44546A" w:themeColor="text2"/>
        </w:rPr>
        <w:t>2</w:t>
      </w:r>
      <w:r w:rsidRPr="00FD6FDF">
        <w:rPr>
          <w:b/>
          <w:color w:val="44546A" w:themeColor="text2"/>
        </w:rPr>
        <w:t xml:space="preserve"> billion</w:t>
      </w:r>
      <w:r w:rsidRPr="00FD6FDF">
        <w:rPr>
          <w:color w:val="44546A" w:themeColor="text2"/>
        </w:rPr>
        <w:t xml:space="preserve"> for </w:t>
      </w:r>
      <w:r w:rsidR="005068CD">
        <w:rPr>
          <w:b/>
          <w:bCs/>
          <w:color w:val="44546A" w:themeColor="text2"/>
        </w:rPr>
        <w:t>10.</w:t>
      </w:r>
      <w:r w:rsidR="0002665D">
        <w:rPr>
          <w:b/>
          <w:bCs/>
          <w:color w:val="44546A" w:themeColor="text2"/>
        </w:rPr>
        <w:t>29</w:t>
      </w:r>
      <w:r w:rsidR="0002665D">
        <w:rPr>
          <w:b/>
          <w:color w:val="44546A" w:themeColor="text2"/>
        </w:rPr>
        <w:t> </w:t>
      </w:r>
      <w:r w:rsidRPr="00FD6FDF">
        <w:rPr>
          <w:b/>
          <w:color w:val="44546A" w:themeColor="text2"/>
        </w:rPr>
        <w:t>million</w:t>
      </w:r>
      <w:r w:rsidRPr="00FD6FDF">
        <w:rPr>
          <w:color w:val="44546A" w:themeColor="text2"/>
        </w:rPr>
        <w:t xml:space="preserve"> episodes</w:t>
      </w:r>
      <w:r w:rsidR="00751491">
        <w:rPr>
          <w:color w:val="44546A" w:themeColor="text2"/>
        </w:rPr>
        <w:t>.</w:t>
      </w:r>
      <w:r w:rsidR="00CE6F96">
        <w:rPr>
          <w:rFonts w:ascii="ZWAdobeF" w:hAnsi="ZWAdobeF" w:cs="ZWAdobeF"/>
          <w:color w:val="auto"/>
          <w:sz w:val="2"/>
          <w:szCs w:val="2"/>
        </w:rPr>
        <w:t>14F</w:t>
      </w:r>
      <w:r w:rsidRPr="00FD6FDF">
        <w:rPr>
          <w:rStyle w:val="FootnoteReference"/>
          <w:color w:val="44546A" w:themeColor="text2"/>
        </w:rPr>
        <w:footnoteReference w:id="16"/>
      </w:r>
    </w:p>
    <w:p w14:paraId="1AEDE0F0" w14:textId="083BD1DB" w:rsidR="00D9227C" w:rsidRPr="00FD6FDF" w:rsidRDefault="008E1600" w:rsidP="00D9227C">
      <w:pPr>
        <w:spacing w:line="240" w:lineRule="auto"/>
        <w:rPr>
          <w:color w:val="44546A" w:themeColor="text2"/>
        </w:rPr>
      </w:pPr>
      <w:r>
        <w:rPr>
          <w:color w:val="44546A" w:themeColor="text2"/>
        </w:rPr>
        <w:t xml:space="preserve">The same scope </w:t>
      </w:r>
      <w:r w:rsidR="00655C8B">
        <w:rPr>
          <w:color w:val="44546A" w:themeColor="text2"/>
        </w:rPr>
        <w:t xml:space="preserve">of activity </w:t>
      </w:r>
      <w:r>
        <w:rPr>
          <w:color w:val="44546A" w:themeColor="text2"/>
        </w:rPr>
        <w:t xml:space="preserve">that was applied in the Cost Driver analysis has </w:t>
      </w:r>
      <w:r w:rsidR="00655C8B">
        <w:rPr>
          <w:color w:val="44546A" w:themeColor="text2"/>
        </w:rPr>
        <w:t>also</w:t>
      </w:r>
      <w:r>
        <w:rPr>
          <w:color w:val="44546A" w:themeColor="text2"/>
        </w:rPr>
        <w:t xml:space="preserve"> been applied in this section. </w:t>
      </w:r>
      <w:r w:rsidR="00D9227C" w:rsidRPr="00FD6FDF">
        <w:rPr>
          <w:color w:val="44546A" w:themeColor="text2"/>
        </w:rPr>
        <w:t xml:space="preserve">Costs for ABF hospitals </w:t>
      </w:r>
      <w:r>
        <w:rPr>
          <w:color w:val="44546A" w:themeColor="text2"/>
        </w:rPr>
        <w:t xml:space="preserve">and selected activity streams </w:t>
      </w:r>
      <w:r w:rsidR="00D9227C" w:rsidRPr="00FD6FDF">
        <w:rPr>
          <w:color w:val="44546A" w:themeColor="text2"/>
        </w:rPr>
        <w:t xml:space="preserve">in </w:t>
      </w:r>
      <w:r w:rsidR="00C83695">
        <w:rPr>
          <w:color w:val="44546A" w:themeColor="text2"/>
        </w:rPr>
        <w:t xml:space="preserve">Victoria </w:t>
      </w:r>
      <w:r w:rsidR="00D9227C" w:rsidRPr="00FD6FDF">
        <w:rPr>
          <w:color w:val="44546A" w:themeColor="text2"/>
        </w:rPr>
        <w:t xml:space="preserve">in 2023-24 were </w:t>
      </w:r>
      <w:r w:rsidR="00D9227C" w:rsidRPr="00FD6FDF">
        <w:rPr>
          <w:b/>
          <w:color w:val="44546A" w:themeColor="text2"/>
        </w:rPr>
        <w:t>$18.</w:t>
      </w:r>
      <w:r w:rsidR="00485636">
        <w:rPr>
          <w:b/>
          <w:color w:val="44546A" w:themeColor="text2"/>
        </w:rPr>
        <w:t>5</w:t>
      </w:r>
      <w:r w:rsidR="00D9227C" w:rsidRPr="00FD6FDF">
        <w:rPr>
          <w:b/>
          <w:color w:val="44546A" w:themeColor="text2"/>
        </w:rPr>
        <w:t xml:space="preserve"> billion</w:t>
      </w:r>
      <w:r w:rsidR="00D9227C" w:rsidRPr="00FD6FDF">
        <w:rPr>
          <w:rStyle w:val="CommentReference"/>
        </w:rPr>
        <w:t>.</w:t>
      </w:r>
      <w:r w:rsidR="00D9227C" w:rsidRPr="00FD6FDF">
        <w:rPr>
          <w:color w:val="44546A" w:themeColor="text2"/>
        </w:rPr>
        <w:t xml:space="preserve"> </w:t>
      </w:r>
      <w:r w:rsidR="00C83695">
        <w:rPr>
          <w:color w:val="44546A" w:themeColor="text2"/>
        </w:rPr>
        <w:t>Victoria</w:t>
      </w:r>
      <w:r w:rsidR="00D9227C" w:rsidRPr="00FD6FDF">
        <w:rPr>
          <w:color w:val="44546A" w:themeColor="text2"/>
        </w:rPr>
        <w:t xml:space="preserve"> is the second largest contributor to the NHCDC nationally.</w:t>
      </w:r>
    </w:p>
    <w:p w14:paraId="32DB1FF2" w14:textId="4C09AFE6" w:rsidR="00D9227C" w:rsidRPr="00FD6FDF" w:rsidRDefault="00D9227C" w:rsidP="00D9227C">
      <w:pPr>
        <w:spacing w:line="240" w:lineRule="auto"/>
        <w:rPr>
          <w:color w:val="44546A" w:themeColor="text2"/>
        </w:rPr>
      </w:pPr>
      <w:r w:rsidRPr="00FD6FDF">
        <w:rPr>
          <w:color w:val="44546A" w:themeColor="text2"/>
        </w:rPr>
        <w:t xml:space="preserve">The total number of costed ABF hospital episodes in 2023-24 was </w:t>
      </w:r>
      <w:r w:rsidRPr="00FD6FDF">
        <w:rPr>
          <w:b/>
          <w:color w:val="44546A" w:themeColor="text2"/>
        </w:rPr>
        <w:t>9.43 million</w:t>
      </w:r>
      <w:r w:rsidRPr="00FD6FDF">
        <w:rPr>
          <w:color w:val="44546A" w:themeColor="text2"/>
        </w:rPr>
        <w:t xml:space="preserve">, </w:t>
      </w:r>
      <w:r w:rsidR="0048179F">
        <w:rPr>
          <w:color w:val="44546A" w:themeColor="text2"/>
        </w:rPr>
        <w:t xml:space="preserve">representing a </w:t>
      </w:r>
      <w:r w:rsidRPr="00FD6FDF">
        <w:rPr>
          <w:color w:val="44546A" w:themeColor="text2"/>
        </w:rPr>
        <w:t xml:space="preserve">growth of </w:t>
      </w:r>
      <w:r w:rsidRPr="00FD6FDF">
        <w:rPr>
          <w:b/>
          <w:color w:val="44546A" w:themeColor="text2"/>
        </w:rPr>
        <w:t>8.5%</w:t>
      </w:r>
      <w:r w:rsidRPr="00FD6FDF">
        <w:rPr>
          <w:color w:val="44546A" w:themeColor="text2"/>
        </w:rPr>
        <w:t xml:space="preserve"> since 2022-23. </w:t>
      </w:r>
      <w:r w:rsidR="00C83695">
        <w:rPr>
          <w:color w:val="44546A" w:themeColor="text2"/>
        </w:rPr>
        <w:t>Victorian</w:t>
      </w:r>
      <w:r w:rsidRPr="00FD6FDF">
        <w:rPr>
          <w:color w:val="44546A" w:themeColor="text2"/>
        </w:rPr>
        <w:t xml:space="preserve"> ABF hospital episodes ma</w:t>
      </w:r>
      <w:r w:rsidR="00655C8B">
        <w:rPr>
          <w:color w:val="44546A" w:themeColor="text2"/>
        </w:rPr>
        <w:t>d</w:t>
      </w:r>
      <w:r w:rsidRPr="00FD6FDF">
        <w:rPr>
          <w:color w:val="44546A" w:themeColor="text2"/>
        </w:rPr>
        <w:t xml:space="preserve">e up </w:t>
      </w:r>
      <w:r w:rsidRPr="00FD6FDF">
        <w:rPr>
          <w:b/>
          <w:bCs/>
          <w:color w:val="44546A" w:themeColor="text2"/>
        </w:rPr>
        <w:t>21.7% of national ABF episodes for 2023-24.</w:t>
      </w:r>
    </w:p>
    <w:p w14:paraId="1B6548B4" w14:textId="6E63EA2A" w:rsidR="00D9227C" w:rsidRPr="00FD6FDF" w:rsidRDefault="00C83695" w:rsidP="00D9227C">
      <w:pPr>
        <w:spacing w:line="240" w:lineRule="auto"/>
        <w:rPr>
          <w:color w:val="44546A" w:themeColor="text2"/>
        </w:rPr>
      </w:pPr>
      <w:r>
        <w:rPr>
          <w:color w:val="44546A" w:themeColor="text2"/>
        </w:rPr>
        <w:t>Victoria</w:t>
      </w:r>
      <w:r w:rsidR="00D9227C" w:rsidRPr="00FD6FDF">
        <w:rPr>
          <w:color w:val="44546A" w:themeColor="text2"/>
        </w:rPr>
        <w:t xml:space="preserve"> delivered </w:t>
      </w:r>
      <w:r w:rsidR="00D9227C" w:rsidRPr="00FD6FDF">
        <w:rPr>
          <w:b/>
          <w:color w:val="44546A" w:themeColor="text2"/>
        </w:rPr>
        <w:t xml:space="preserve">2.63 million </w:t>
      </w:r>
      <w:r w:rsidR="00D9227C" w:rsidRPr="00FD6FDF">
        <w:rPr>
          <w:color w:val="44546A" w:themeColor="text2"/>
        </w:rPr>
        <w:t>GWAU</w:t>
      </w:r>
      <w:r w:rsidR="0048179F">
        <w:rPr>
          <w:color w:val="44546A" w:themeColor="text2"/>
        </w:rPr>
        <w:t xml:space="preserve"> in 2023-24</w:t>
      </w:r>
      <w:r w:rsidR="00CE6F96">
        <w:rPr>
          <w:rFonts w:ascii="ZWAdobeF" w:hAnsi="ZWAdobeF" w:cs="ZWAdobeF"/>
          <w:color w:val="auto"/>
          <w:sz w:val="2"/>
          <w:szCs w:val="2"/>
        </w:rPr>
        <w:t>15F</w:t>
      </w:r>
      <w:r w:rsidR="00D9227C" w:rsidRPr="00FD6FDF">
        <w:rPr>
          <w:rStyle w:val="FootnoteReference"/>
          <w:color w:val="44546A" w:themeColor="text2"/>
        </w:rPr>
        <w:footnoteReference w:id="17"/>
      </w:r>
      <w:r w:rsidR="00D9227C" w:rsidRPr="00FD6FDF">
        <w:rPr>
          <w:color w:val="44546A" w:themeColor="text2"/>
        </w:rPr>
        <w:t xml:space="preserve">, </w:t>
      </w:r>
      <w:r w:rsidR="00D9227C">
        <w:rPr>
          <w:color w:val="44546A" w:themeColor="text2"/>
        </w:rPr>
        <w:t>representing 25.3% of weighted activity nationally,</w:t>
      </w:r>
      <w:r w:rsidR="00D9227C" w:rsidRPr="00FD6FDF">
        <w:rPr>
          <w:color w:val="44546A" w:themeColor="text2"/>
        </w:rPr>
        <w:t xml:space="preserve"> with a growth of </w:t>
      </w:r>
      <w:r w:rsidR="00D9227C" w:rsidRPr="00FD6FDF">
        <w:rPr>
          <w:b/>
          <w:bCs/>
          <w:color w:val="44546A" w:themeColor="text2"/>
        </w:rPr>
        <w:t xml:space="preserve">7.6% </w:t>
      </w:r>
      <w:r w:rsidR="00D9227C" w:rsidRPr="00FD6FDF">
        <w:rPr>
          <w:color w:val="44546A" w:themeColor="text2"/>
        </w:rPr>
        <w:t xml:space="preserve">since 2022-23. </w:t>
      </w:r>
    </w:p>
    <w:p w14:paraId="17A2E74D" w14:textId="30D8A4F8" w:rsidR="00D9227C" w:rsidRPr="00FD6FDF" w:rsidRDefault="00D9227C" w:rsidP="00D9227C">
      <w:pPr>
        <w:spacing w:line="240" w:lineRule="auto"/>
        <w:rPr>
          <w:color w:val="44546A" w:themeColor="text2"/>
        </w:rPr>
      </w:pPr>
      <w:r w:rsidRPr="00FD6FDF">
        <w:rPr>
          <w:color w:val="44546A" w:themeColor="text2"/>
        </w:rPr>
        <w:t xml:space="preserve">The average cost per GWAU in </w:t>
      </w:r>
      <w:r w:rsidR="00C83695">
        <w:rPr>
          <w:color w:val="44546A" w:themeColor="text2"/>
        </w:rPr>
        <w:t xml:space="preserve">Victoria </w:t>
      </w:r>
      <w:r w:rsidRPr="00FD6FDF">
        <w:rPr>
          <w:color w:val="44546A" w:themeColor="text2"/>
        </w:rPr>
        <w:t xml:space="preserve">was </w:t>
      </w:r>
      <w:r w:rsidRPr="00FD6FDF">
        <w:rPr>
          <w:b/>
          <w:color w:val="44546A" w:themeColor="text2"/>
        </w:rPr>
        <w:t>$7,</w:t>
      </w:r>
      <w:r w:rsidR="00E61487">
        <w:rPr>
          <w:b/>
          <w:color w:val="44546A" w:themeColor="text2"/>
        </w:rPr>
        <w:t>043</w:t>
      </w:r>
      <w:r w:rsidR="00E61487" w:rsidRPr="00FD6FDF">
        <w:rPr>
          <w:b/>
          <w:color w:val="44546A" w:themeColor="text2"/>
        </w:rPr>
        <w:t xml:space="preserve"> </w:t>
      </w:r>
      <w:r w:rsidRPr="00FD6FDF">
        <w:rPr>
          <w:color w:val="44546A" w:themeColor="text2"/>
        </w:rPr>
        <w:t xml:space="preserve">in </w:t>
      </w:r>
      <w:r w:rsidRPr="00FD6FDF">
        <w:rPr>
          <w:bCs/>
          <w:color w:val="44546A" w:themeColor="text2"/>
        </w:rPr>
        <w:t>2023</w:t>
      </w:r>
      <w:r w:rsidRPr="00FD6FDF">
        <w:rPr>
          <w:color w:val="44546A" w:themeColor="text2"/>
        </w:rPr>
        <w:t xml:space="preserve">-24, representing growth of </w:t>
      </w:r>
      <w:r w:rsidR="00E61487">
        <w:rPr>
          <w:b/>
          <w:color w:val="44546A" w:themeColor="text2"/>
        </w:rPr>
        <w:t>3.9</w:t>
      </w:r>
      <w:r w:rsidRPr="00FD6FDF">
        <w:rPr>
          <w:b/>
          <w:color w:val="44546A" w:themeColor="text2"/>
        </w:rPr>
        <w:t>%</w:t>
      </w:r>
      <w:r w:rsidRPr="00FD6FDF">
        <w:rPr>
          <w:color w:val="44546A" w:themeColor="text2"/>
        </w:rPr>
        <w:t xml:space="preserve"> since 2022-23.</w:t>
      </w:r>
    </w:p>
    <w:p w14:paraId="5F903A81" w14:textId="0B4053F2" w:rsidR="00D9227C" w:rsidRPr="00FD6FDF" w:rsidRDefault="00D9227C" w:rsidP="00D9227C">
      <w:pPr>
        <w:spacing w:line="240" w:lineRule="auto"/>
        <w:rPr>
          <w:color w:val="44546A" w:themeColor="text2"/>
        </w:rPr>
      </w:pPr>
      <w:r w:rsidRPr="00FD6FDF">
        <w:rPr>
          <w:color w:val="44546A" w:themeColor="text2"/>
        </w:rPr>
        <w:t xml:space="preserve">Overall, </w:t>
      </w:r>
      <w:r w:rsidR="00C83695">
        <w:rPr>
          <w:color w:val="44546A" w:themeColor="text2"/>
        </w:rPr>
        <w:t>Victoria</w:t>
      </w:r>
      <w:r w:rsidRPr="00FD6FDF">
        <w:rPr>
          <w:color w:val="44546A" w:themeColor="text2"/>
        </w:rPr>
        <w:t xml:space="preserve"> has experienced high growth in episodes (8.5%) and a slightly lower for GWAU growth (7.6%)</w:t>
      </w:r>
      <w:r w:rsidR="00DB5082">
        <w:rPr>
          <w:color w:val="44546A" w:themeColor="text2"/>
        </w:rPr>
        <w:t>,</w:t>
      </w:r>
      <w:r w:rsidRPr="00FD6FDF">
        <w:rPr>
          <w:color w:val="44546A" w:themeColor="text2"/>
        </w:rPr>
        <w:t xml:space="preserve"> indicating a slightly lower patient complexity during 2023-24 compared to the prior year. </w:t>
      </w:r>
    </w:p>
    <w:p w14:paraId="3B215648" w14:textId="68FE3245" w:rsidR="00D9227C" w:rsidRPr="00FD6FDF" w:rsidRDefault="00D9227C" w:rsidP="00D9227C">
      <w:pPr>
        <w:spacing w:line="240" w:lineRule="auto"/>
        <w:rPr>
          <w:color w:val="44546A" w:themeColor="text2"/>
        </w:rPr>
      </w:pPr>
      <w:r w:rsidRPr="00FD6FDF">
        <w:rPr>
          <w:color w:val="44546A" w:themeColor="text2"/>
        </w:rPr>
        <w:t>Cost growth per GWAU in the range of 3-4% is expected in the context of an inflationary environment and year</w:t>
      </w:r>
      <w:r>
        <w:rPr>
          <w:color w:val="44546A" w:themeColor="text2"/>
        </w:rPr>
        <w:noBreakHyphen/>
      </w:r>
      <w:r w:rsidRPr="00FD6FDF">
        <w:rPr>
          <w:color w:val="44546A" w:themeColor="text2"/>
        </w:rPr>
        <w:t>on</w:t>
      </w:r>
      <w:r>
        <w:rPr>
          <w:color w:val="44546A" w:themeColor="text2"/>
        </w:rPr>
        <w:noBreakHyphen/>
      </w:r>
      <w:r w:rsidRPr="00FD6FDF">
        <w:rPr>
          <w:color w:val="44546A" w:themeColor="text2"/>
        </w:rPr>
        <w:t>year EBA wage rises for healthcare workers</w:t>
      </w:r>
      <w:r w:rsidR="00655C8B">
        <w:rPr>
          <w:color w:val="44546A" w:themeColor="text2"/>
        </w:rPr>
        <w:t xml:space="preserve"> and</w:t>
      </w:r>
      <w:r w:rsidRPr="00FD6FDF">
        <w:rPr>
          <w:color w:val="44546A" w:themeColor="text2"/>
        </w:rPr>
        <w:t xml:space="preserve"> </w:t>
      </w:r>
      <w:r w:rsidR="007F7510">
        <w:rPr>
          <w:color w:val="44546A" w:themeColor="text2"/>
        </w:rPr>
        <w:t>Vic</w:t>
      </w:r>
      <w:r w:rsidR="00655C8B">
        <w:rPr>
          <w:color w:val="44546A" w:themeColor="text2"/>
        </w:rPr>
        <w:t>toria’</w:t>
      </w:r>
      <w:r w:rsidR="007F7510">
        <w:rPr>
          <w:color w:val="44546A" w:themeColor="text2"/>
        </w:rPr>
        <w:t>s</w:t>
      </w:r>
      <w:r w:rsidRPr="00FD6FDF">
        <w:rPr>
          <w:color w:val="44546A" w:themeColor="text2"/>
        </w:rPr>
        <w:t xml:space="preserve"> average cost per GWAU growth of </w:t>
      </w:r>
      <w:r w:rsidR="002C4A9A">
        <w:rPr>
          <w:color w:val="44546A" w:themeColor="text2"/>
        </w:rPr>
        <w:t>3.9</w:t>
      </w:r>
      <w:r w:rsidRPr="00FD6FDF">
        <w:rPr>
          <w:color w:val="44546A" w:themeColor="text2"/>
        </w:rPr>
        <w:t xml:space="preserve">% </w:t>
      </w:r>
      <w:r w:rsidR="00655C8B">
        <w:rPr>
          <w:color w:val="44546A" w:themeColor="text2"/>
        </w:rPr>
        <w:t>was at the upper end of this range</w:t>
      </w:r>
      <w:r w:rsidR="002C4A9A">
        <w:rPr>
          <w:color w:val="44546A" w:themeColor="text2"/>
        </w:rPr>
        <w:t>.</w:t>
      </w:r>
    </w:p>
    <w:p w14:paraId="08F7E5D2" w14:textId="0EDD1B46" w:rsidR="00D9227C" w:rsidRPr="00FD6FDF" w:rsidRDefault="00D9227C" w:rsidP="00D9227C">
      <w:pPr>
        <w:spacing w:line="240" w:lineRule="auto"/>
        <w:rPr>
          <w:color w:val="44546A" w:themeColor="text2"/>
        </w:rPr>
      </w:pPr>
      <w:r w:rsidRPr="00FD6FDF">
        <w:rPr>
          <w:color w:val="44546A" w:themeColor="text2"/>
        </w:rPr>
        <w:t xml:space="preserve">From 1 July 2025, </w:t>
      </w:r>
      <w:r w:rsidR="00C83695">
        <w:rPr>
          <w:color w:val="44546A" w:themeColor="text2"/>
        </w:rPr>
        <w:t xml:space="preserve">Victoria </w:t>
      </w:r>
      <w:r w:rsidRPr="00FD6FDF">
        <w:rPr>
          <w:color w:val="44546A" w:themeColor="text2"/>
        </w:rPr>
        <w:t xml:space="preserve">is moving towards amalgamating their </w:t>
      </w:r>
      <w:r>
        <w:rPr>
          <w:color w:val="44546A" w:themeColor="text2"/>
        </w:rPr>
        <w:t>HSs</w:t>
      </w:r>
      <w:r w:rsidRPr="00FD6FDF">
        <w:rPr>
          <w:color w:val="44546A" w:themeColor="text2"/>
        </w:rPr>
        <w:t xml:space="preserve"> into 12 Local Health Service Networks (LHSN), aimed at driving efficiencies in both cost of delivery and improved access to the healthcare workforce. </w:t>
      </w:r>
    </w:p>
    <w:p w14:paraId="19599B67" w14:textId="0F8C538F" w:rsidR="00244130" w:rsidRDefault="00370984" w:rsidP="00A1514D">
      <w:pPr>
        <w:pStyle w:val="Heading3"/>
      </w:pPr>
      <w:r>
        <w:lastRenderedPageBreak/>
        <w:t xml:space="preserve">Cost </w:t>
      </w:r>
      <w:r w:rsidR="00EF7DDE">
        <w:t>D</w:t>
      </w:r>
      <w:r>
        <w:t>river analysis by activity stream</w:t>
      </w:r>
    </w:p>
    <w:p w14:paraId="472AFFA8" w14:textId="7151AF4B" w:rsidR="00345822" w:rsidRPr="00FD6FDF" w:rsidRDefault="00345822" w:rsidP="00A1514D">
      <w:r w:rsidRPr="00FD6FDF">
        <w:t xml:space="preserve">Analysis was undertaken on the NHCDC 2023-24 </w:t>
      </w:r>
      <w:r w:rsidR="008D3929" w:rsidRPr="00FD6FDF">
        <w:t>submissio</w:t>
      </w:r>
      <w:r w:rsidRPr="00FD6FDF">
        <w:t xml:space="preserve">n to understand how submitted activity and cost have changed since 2022-23 and whether any drivers of change could be identified. This analysis considered a subset of the submitted cost data, focusing on 5 key activity streams: </w:t>
      </w:r>
    </w:p>
    <w:p w14:paraId="579EBD93" w14:textId="77777777" w:rsidR="00345822" w:rsidRPr="00FD6FDF" w:rsidRDefault="00345822" w:rsidP="006044E0">
      <w:pPr>
        <w:pStyle w:val="ListParagraph"/>
        <w:numPr>
          <w:ilvl w:val="0"/>
          <w:numId w:val="20"/>
        </w:numPr>
      </w:pPr>
      <w:r w:rsidRPr="00FD6FDF">
        <w:t>Admitted acute</w:t>
      </w:r>
    </w:p>
    <w:p w14:paraId="7FDB9FAB" w14:textId="77777777" w:rsidR="00345822" w:rsidRPr="00FD6FDF" w:rsidRDefault="00345822" w:rsidP="006044E0">
      <w:pPr>
        <w:pStyle w:val="ListParagraph"/>
        <w:numPr>
          <w:ilvl w:val="0"/>
          <w:numId w:val="20"/>
        </w:numPr>
      </w:pPr>
      <w:r w:rsidRPr="00FD6FDF">
        <w:t xml:space="preserve">Non-admitted care, </w:t>
      </w:r>
    </w:p>
    <w:p w14:paraId="27895936" w14:textId="77777777" w:rsidR="00345822" w:rsidRPr="00FD6FDF" w:rsidRDefault="00345822" w:rsidP="006044E0">
      <w:pPr>
        <w:pStyle w:val="ListParagraph"/>
        <w:numPr>
          <w:ilvl w:val="0"/>
          <w:numId w:val="20"/>
        </w:numPr>
      </w:pPr>
      <w:r w:rsidRPr="00FD6FDF">
        <w:t>Subacute and non-acute care,</w:t>
      </w:r>
    </w:p>
    <w:p w14:paraId="5B302A48" w14:textId="1AD32BE1" w:rsidR="00345822" w:rsidRPr="00FD6FDF" w:rsidRDefault="00345822" w:rsidP="006044E0">
      <w:pPr>
        <w:pStyle w:val="ListParagraph"/>
        <w:numPr>
          <w:ilvl w:val="0"/>
          <w:numId w:val="20"/>
        </w:numPr>
      </w:pPr>
      <w:r w:rsidRPr="00FD6FDF">
        <w:t>E</w:t>
      </w:r>
      <w:r w:rsidR="005E5D7C">
        <w:t>D</w:t>
      </w:r>
      <w:r w:rsidRPr="00FD6FDF">
        <w:t xml:space="preserve"> care and, </w:t>
      </w:r>
    </w:p>
    <w:p w14:paraId="61D2F8CD" w14:textId="77777777" w:rsidR="00345822" w:rsidRPr="00FD6FDF" w:rsidRDefault="00345822" w:rsidP="006044E0">
      <w:pPr>
        <w:pStyle w:val="ListParagraph"/>
        <w:numPr>
          <w:ilvl w:val="0"/>
          <w:numId w:val="20"/>
        </w:numPr>
      </w:pPr>
      <w:r w:rsidRPr="00FD6FDF">
        <w:t xml:space="preserve">Mental health care (with mental health split by admitted and community). </w:t>
      </w:r>
    </w:p>
    <w:p w14:paraId="55F06860" w14:textId="54EDF386" w:rsidR="00370984" w:rsidRDefault="00345822" w:rsidP="00345822">
      <w:pPr>
        <w:rPr>
          <w:color w:val="44546A" w:themeColor="text2"/>
        </w:rPr>
      </w:pPr>
      <w:r w:rsidRPr="00FD6FDF">
        <w:rPr>
          <w:color w:val="44546A" w:themeColor="text2"/>
        </w:rPr>
        <w:t xml:space="preserve">A summary of the analysis is presented in the sections below. In this analysis, GWAU </w:t>
      </w:r>
      <w:r w:rsidR="00381DD7" w:rsidRPr="00FD6FDF">
        <w:rPr>
          <w:color w:val="44546A" w:themeColor="text2"/>
        </w:rPr>
        <w:t>was</w:t>
      </w:r>
      <w:r w:rsidRPr="00FD6FDF">
        <w:rPr>
          <w:color w:val="44546A" w:themeColor="text2"/>
        </w:rPr>
        <w:t xml:space="preserve"> used as a standardised activity unit, accounting for the relative complexity and resource intensity associated with treating patients. Furthermore, the results below are related to activity and cost submitted for </w:t>
      </w:r>
      <w:r w:rsidRPr="00FD6FDF">
        <w:rPr>
          <w:b/>
          <w:color w:val="44546A" w:themeColor="text2"/>
        </w:rPr>
        <w:t>ABF hospitals only</w:t>
      </w:r>
      <w:r w:rsidRPr="00FD6FDF">
        <w:rPr>
          <w:color w:val="44546A" w:themeColor="text2"/>
        </w:rPr>
        <w:t xml:space="preserve"> unless stated otherwise.</w:t>
      </w:r>
    </w:p>
    <w:p w14:paraId="2CA2D969" w14:textId="74266B9E" w:rsidR="007419F9" w:rsidRDefault="007419F9" w:rsidP="007419F9">
      <w:pPr>
        <w:pStyle w:val="Caption"/>
        <w:keepNext/>
      </w:pPr>
      <w:r>
        <w:rPr>
          <w:noProof/>
        </w:rPr>
        <mc:AlternateContent>
          <mc:Choice Requires="wpg">
            <w:drawing>
              <wp:anchor distT="0" distB="0" distL="114300" distR="114300" simplePos="0" relativeHeight="251658293" behindDoc="0" locked="0" layoutInCell="1" allowOverlap="1" wp14:anchorId="2A8C7D66" wp14:editId="432A24CA">
                <wp:simplePos x="0" y="0"/>
                <wp:positionH relativeFrom="column">
                  <wp:posOffset>666750</wp:posOffset>
                </wp:positionH>
                <wp:positionV relativeFrom="paragraph">
                  <wp:posOffset>258445</wp:posOffset>
                </wp:positionV>
                <wp:extent cx="1259840" cy="762057"/>
                <wp:effectExtent l="0" t="0" r="16510" b="0"/>
                <wp:wrapTopAndBottom/>
                <wp:docPr id="651290389" name="Group 10" descr="P143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62057"/>
                          <a:chOff x="0" y="0"/>
                          <a:chExt cx="1262597" cy="762249"/>
                        </a:xfrm>
                      </wpg:grpSpPr>
                      <pic:pic xmlns:pic="http://schemas.openxmlformats.org/drawingml/2006/picture">
                        <pic:nvPicPr>
                          <pic:cNvPr id="4" name="Graphic 3" descr="Inpatient outline">
                            <a:extLst>
                              <a:ext uri="{FF2B5EF4-FFF2-40B4-BE49-F238E27FC236}">
                                <a16:creationId xmlns:a16="http://schemas.microsoft.com/office/drawing/2014/main" id="{BCDC57CC-C400-5455-5F76-68B393467E07}"/>
                              </a:ext>
                            </a:extLst>
                          </pic:cNvPr>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430242" y="0"/>
                            <a:ext cx="402590" cy="393065"/>
                          </a:xfrm>
                          <a:prstGeom prst="rect">
                            <a:avLst/>
                          </a:prstGeom>
                        </pic:spPr>
                      </pic:pic>
                      <wps:wsp>
                        <wps:cNvPr id="5" name="TextBox 4">
                          <a:extLst>
                            <a:ext uri="{FF2B5EF4-FFF2-40B4-BE49-F238E27FC236}">
                              <a16:creationId xmlns:a16="http://schemas.microsoft.com/office/drawing/2014/main" id="{38DE3F24-F4C6-371A-C991-0FA8D1795357}"/>
                            </a:ext>
                          </a:extLst>
                        </wps:cNvPr>
                        <wps:cNvSpPr txBox="1"/>
                        <wps:spPr>
                          <a:xfrm>
                            <a:off x="0" y="405289"/>
                            <a:ext cx="1262597" cy="356960"/>
                          </a:xfrm>
                          <a:prstGeom prst="rect">
                            <a:avLst/>
                          </a:prstGeom>
                          <a:noFill/>
                          <a:ln>
                            <a:noFill/>
                          </a:ln>
                        </wps:spPr>
                        <wps:txbx>
                          <w:txbxContent>
                            <w:p w14:paraId="7374FA22" w14:textId="7767ACEA" w:rsidR="00FE6069" w:rsidRPr="001729F2" w:rsidRDefault="00FE3C18" w:rsidP="000C598D">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 xml:space="preserve">-24 Episodes </w:t>
                              </w:r>
                            </w:p>
                            <w:p w14:paraId="69ACD14D" w14:textId="77777777" w:rsidR="00FE6069" w:rsidRPr="001729F2" w:rsidRDefault="00FE6069" w:rsidP="000C598D">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2A8C7D66" id="_x0000_s1119" alt="P1439#y1" style="position:absolute;margin-left:52.5pt;margin-top:20.35pt;width:99.2pt;height:60pt;z-index:251658293;mso-position-horizontal-relative:text;mso-position-vertical-relative:text" coordsize="12625,76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">
                <v:shape id="Graphic 3" o:spid="_x0000_s1120" type="#_x0000_t75" alt="Inpatient outline" style="position:absolute;left:4302;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">
                  <v:imagedata r:id="rId41" o:title="Inpatient outline"/>
                </v:shape>
                <v:shape id="TextBox 4" o:spid="_x0000_s1121" type="#_x0000_t202" style="position:absolute;top:4052;width:1262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7374FA22" w14:textId="7767ACEA" w:rsidR="00FE6069" w:rsidRPr="001729F2" w:rsidRDefault="00FE3C18" w:rsidP="000C598D">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 xml:space="preserve">-24 Episodes </w:t>
                        </w:r>
                      </w:p>
                      <w:p w14:paraId="69ACD14D" w14:textId="77777777" w:rsidR="00FE6069" w:rsidRPr="001729F2" w:rsidRDefault="00FE6069" w:rsidP="000C598D">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w10:wrap type="topAndBottom"/>
              </v:group>
            </w:pict>
          </mc:Fallback>
        </mc:AlternateContent>
      </w:r>
      <w:r>
        <w:rPr>
          <w:noProof/>
        </w:rPr>
        <mc:AlternateContent>
          <mc:Choice Requires="wpg">
            <w:drawing>
              <wp:anchor distT="0" distB="0" distL="114300" distR="114300" simplePos="0" relativeHeight="251658294" behindDoc="0" locked="0" layoutInCell="1" allowOverlap="1" wp14:anchorId="53165303" wp14:editId="42D23552">
                <wp:simplePos x="0" y="0"/>
                <wp:positionH relativeFrom="column">
                  <wp:posOffset>4210050</wp:posOffset>
                </wp:positionH>
                <wp:positionV relativeFrom="paragraph">
                  <wp:posOffset>258445</wp:posOffset>
                </wp:positionV>
                <wp:extent cx="1259840" cy="770272"/>
                <wp:effectExtent l="0" t="0" r="16510" b="10795"/>
                <wp:wrapTopAndBottom/>
                <wp:docPr id="1718473480" name="Group 8" descr="P1439#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72"/>
                          <a:chOff x="0" y="0"/>
                          <a:chExt cx="1260000" cy="770331"/>
                        </a:xfrm>
                      </wpg:grpSpPr>
                      <pic:pic xmlns:pic="http://schemas.openxmlformats.org/drawingml/2006/picture">
                        <pic:nvPicPr>
                          <pic:cNvPr id="3" name="Graphic 2" descr="Dollar outline">
                            <a:extLst>
                              <a:ext uri="{FF2B5EF4-FFF2-40B4-BE49-F238E27FC236}">
                                <a16:creationId xmlns:a16="http://schemas.microsoft.com/office/drawing/2014/main" id="{8796D1DF-5BC0-1E51-E3B6-C69F4908FAF1}"/>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429167" y="0"/>
                            <a:ext cx="402590" cy="393065"/>
                          </a:xfrm>
                          <a:prstGeom prst="rect">
                            <a:avLst/>
                          </a:prstGeom>
                        </pic:spPr>
                      </pic:pic>
                      <wps:wsp>
                        <wps:cNvPr id="7" name="TextBox 6">
                          <a:extLst>
                            <a:ext uri="{FF2B5EF4-FFF2-40B4-BE49-F238E27FC236}">
                              <a16:creationId xmlns:a16="http://schemas.microsoft.com/office/drawing/2014/main" id="{D2D301F9-C108-75BF-6E77-D189282B5791}"/>
                            </a:ext>
                          </a:extLst>
                        </wps:cNvPr>
                        <wps:cNvSpPr txBox="1"/>
                        <wps:spPr>
                          <a:xfrm>
                            <a:off x="0" y="413434"/>
                            <a:ext cx="1260000" cy="356897"/>
                          </a:xfrm>
                          <a:prstGeom prst="rect">
                            <a:avLst/>
                          </a:prstGeom>
                          <a:noFill/>
                          <a:ln>
                            <a:noFill/>
                          </a:ln>
                        </wps:spPr>
                        <wps:txbx>
                          <w:txbxContent>
                            <w:p w14:paraId="7DEDFFD2" w14:textId="61DFD9A9" w:rsidR="00FE6069" w:rsidRPr="001729F2" w:rsidRDefault="00FE3C18" w:rsidP="000C598D">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-24 costs</w:t>
                              </w:r>
                            </w:p>
                            <w:p w14:paraId="2E7C0BAF" w14:textId="77777777" w:rsidR="00FE6069" w:rsidRPr="001729F2" w:rsidRDefault="00FE6069" w:rsidP="000C598D">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53165303" id="_x0000_s1122" alt="P1439#y2" style="position:absolute;margin-left:331.5pt;margin-top:20.35pt;width:99.2pt;height:60.65pt;z-index:251658294;mso-position-horizontal-relative:text;mso-position-vertical-relative:text" coordsize="12600,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">
                <v:shape id="Graphic 2" o:spid="_x0000_s1123" type="#_x0000_t75" alt="Dollar outline" style="position:absolute;left:4291;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">
                  <v:imagedata r:id="rId35" o:title="Dollar outline"/>
                </v:shape>
                <v:shape id="TextBox 6" o:spid="_x0000_s1124" type="#_x0000_t202" style="position:absolute;top:4134;width:1260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7DEDFFD2" w14:textId="61DFD9A9" w:rsidR="00FE6069" w:rsidRPr="001729F2" w:rsidRDefault="00FE3C18" w:rsidP="000C598D">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-24 costs</w:t>
                        </w:r>
                      </w:p>
                      <w:p w14:paraId="2E7C0BAF" w14:textId="77777777" w:rsidR="00FE6069" w:rsidRPr="001729F2" w:rsidRDefault="00FE6069" w:rsidP="000C598D">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w10:wrap type="topAndBottom"/>
              </v:group>
            </w:pict>
          </mc:Fallback>
        </mc:AlternateContent>
      </w:r>
      <w:r>
        <w:rPr>
          <w:noProof/>
        </w:rPr>
        <mc:AlternateContent>
          <mc:Choice Requires="wpg">
            <w:drawing>
              <wp:anchor distT="0" distB="0" distL="114300" distR="114300" simplePos="0" relativeHeight="251658295" behindDoc="0" locked="0" layoutInCell="1" allowOverlap="1" wp14:anchorId="386B23ED" wp14:editId="15545FC3">
                <wp:simplePos x="0" y="0"/>
                <wp:positionH relativeFrom="column">
                  <wp:posOffset>2438400</wp:posOffset>
                </wp:positionH>
                <wp:positionV relativeFrom="paragraph">
                  <wp:posOffset>258445</wp:posOffset>
                </wp:positionV>
                <wp:extent cx="1259840" cy="770260"/>
                <wp:effectExtent l="0" t="0" r="16510" b="10795"/>
                <wp:wrapTopAndBottom/>
                <wp:docPr id="1400143645" name="Group 9" descr="P1439#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60"/>
                          <a:chOff x="0" y="0"/>
                          <a:chExt cx="1260224" cy="770319"/>
                        </a:xfrm>
                      </wpg:grpSpPr>
                      <wps:wsp>
                        <wps:cNvPr id="6" name="TextBox 5">
                          <a:extLst>
                            <a:ext uri="{FF2B5EF4-FFF2-40B4-BE49-F238E27FC236}">
                              <a16:creationId xmlns:a16="http://schemas.microsoft.com/office/drawing/2014/main" id="{09FF3CF4-1515-AC8D-52D6-B6614FC0BF37}"/>
                            </a:ext>
                          </a:extLst>
                        </wps:cNvPr>
                        <wps:cNvSpPr txBox="1"/>
                        <wps:spPr>
                          <a:xfrm>
                            <a:off x="0" y="413422"/>
                            <a:ext cx="1260224" cy="356897"/>
                          </a:xfrm>
                          <a:prstGeom prst="rect">
                            <a:avLst/>
                          </a:prstGeom>
                          <a:noFill/>
                          <a:ln>
                            <a:noFill/>
                          </a:ln>
                        </wps:spPr>
                        <wps:txbx>
                          <w:txbxContent>
                            <w:p w14:paraId="25E666FE" w14:textId="2966FDA1" w:rsidR="00FE6069" w:rsidRPr="001729F2" w:rsidRDefault="00FE3C18" w:rsidP="000C598D">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 xml:space="preserve">-24 GWAU </w:t>
                              </w:r>
                            </w:p>
                            <w:p w14:paraId="1309E6F5" w14:textId="77777777" w:rsidR="00FE6069" w:rsidRPr="001729F2" w:rsidRDefault="00FE6069" w:rsidP="000C598D">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pic:pic xmlns:pic="http://schemas.openxmlformats.org/drawingml/2006/picture">
                        <pic:nvPicPr>
                          <pic:cNvPr id="8" name="Graphic 7" descr="Scales of justice with solid fill">
                            <a:extLst>
                              <a:ext uri="{FF2B5EF4-FFF2-40B4-BE49-F238E27FC236}">
                                <a16:creationId xmlns:a16="http://schemas.microsoft.com/office/drawing/2014/main" id="{31C9B975-D7C6-0120-3747-907BA2ADFF5F}"/>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428894" y="0"/>
                            <a:ext cx="402590" cy="393065"/>
                          </a:xfrm>
                          <a:prstGeom prst="rect">
                            <a:avLst/>
                          </a:prstGeom>
                        </pic:spPr>
                      </pic:pic>
                    </wpg:wgp>
                  </a:graphicData>
                </a:graphic>
              </wp:anchor>
            </w:drawing>
          </mc:Choice>
          <mc:Fallback>
            <w:pict>
              <v:group w14:anchorId="386B23ED" id="_x0000_s1125" alt="P1439#y3" style="position:absolute;margin-left:192pt;margin-top:20.35pt;width:99.2pt;height:60.65pt;z-index:251658295;mso-position-horizontal-relative:text;mso-position-vertical-relative:text" coordsize="12602,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">
                <v:shape id="TextBox 5" o:spid="_x0000_s1126" type="#_x0000_t202" style="position:absolute;top:4134;width:12602;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5E666FE" w14:textId="2966FDA1" w:rsidR="00FE6069" w:rsidRPr="001729F2" w:rsidRDefault="00FE3C18" w:rsidP="000C598D">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Pr="001729F2">
                          <w:rPr>
                            <w:rFonts w:asciiTheme="minorHAnsi"/>
                            <w:b/>
                            <w:bCs/>
                            <w:color w:val="404040" w:themeColor="text1" w:themeTint="BF"/>
                            <w:kern w:val="24"/>
                          </w:rPr>
                          <w:t xml:space="preserve">-24 GWAU </w:t>
                        </w:r>
                      </w:p>
                      <w:p w14:paraId="1309E6F5" w14:textId="77777777" w:rsidR="00FE6069" w:rsidRPr="001729F2" w:rsidRDefault="00FE6069" w:rsidP="000C598D">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v:shape id="Graphic 7" o:spid="_x0000_s1127" type="#_x0000_t75" alt="Scales of justice with solid fill" style="position:absolute;left:4288;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">
                  <v:imagedata r:id="rId38" o:title="Scales of justice with solid fill"/>
                </v:shape>
                <w10:wrap type="topAndBottom"/>
              </v:group>
            </w:pict>
          </mc:Fallback>
        </mc:AlternateContent>
      </w:r>
      <w:r>
        <w:t xml:space="preserve">Figure </w:t>
      </w:r>
      <w:r w:rsidR="00BD5B5E">
        <w:fldChar w:fldCharType="begin"/>
      </w:r>
      <w:r w:rsidR="00BD5B5E">
        <w:instrText xml:space="preserve"> SEQ Figure \* ARABIC </w:instrText>
      </w:r>
      <w:r w:rsidR="00BD5B5E">
        <w:fldChar w:fldCharType="separate"/>
      </w:r>
      <w:r w:rsidR="00CE6F96">
        <w:rPr>
          <w:noProof/>
        </w:rPr>
        <w:t>14</w:t>
      </w:r>
      <w:r w:rsidR="00BD5B5E">
        <w:fldChar w:fldCharType="end"/>
      </w:r>
      <w:r>
        <w:t xml:space="preserve">: Growth in activity, GWAU and total cost for </w:t>
      </w:r>
      <w:r w:rsidR="00C83695">
        <w:t xml:space="preserve">Victoria </w:t>
      </w:r>
      <w:r>
        <w:t>2023-24</w:t>
      </w:r>
    </w:p>
    <w:p w14:paraId="0B9ED356" w14:textId="7D5E7A68" w:rsidR="00345822" w:rsidRDefault="00AE67F5" w:rsidP="00345822">
      <w:pPr>
        <w:rPr>
          <w:color w:val="44546A" w:themeColor="text2"/>
        </w:rPr>
      </w:pPr>
      <w:r>
        <w:rPr>
          <w:noProof/>
        </w:rPr>
        <w:drawing>
          <wp:inline distT="0" distB="0" distL="0" distR="0" wp14:anchorId="6163B35C" wp14:editId="4923722C">
            <wp:extent cx="5731510" cy="3348000"/>
            <wp:effectExtent l="0" t="0" r="2540" b="0"/>
            <wp:docPr id="1676262974" name="Chart 1" descr="P1440#yIS1">
              <a:extLst xmlns:a="http://schemas.openxmlformats.org/drawingml/2006/main">
                <a:ext uri="{FF2B5EF4-FFF2-40B4-BE49-F238E27FC236}">
                  <a16:creationId xmlns:a16="http://schemas.microsoft.com/office/drawing/2014/main" id="{11D84ED9-09E2-CC7D-92F7-5BD118CA47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A439195" w14:textId="7C9F804D" w:rsidR="00FE6069" w:rsidRDefault="00662383">
      <w:pPr>
        <w:tabs>
          <w:tab w:val="clear" w:pos="5309"/>
        </w:tabs>
        <w:spacing w:line="279" w:lineRule="auto"/>
        <w:rPr>
          <w:color w:val="44546A" w:themeColor="text2"/>
        </w:rPr>
      </w:pPr>
      <w:r>
        <w:rPr>
          <w:i/>
          <w:iCs/>
        </w:rPr>
        <w:br w:type="page"/>
      </w:r>
    </w:p>
    <w:p w14:paraId="7ACA41DC" w14:textId="22D0E099" w:rsidR="00345822" w:rsidRDefault="00410386" w:rsidP="00EC0C63">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15</w:t>
      </w:r>
      <w:r w:rsidR="00BD5B5E">
        <w:fldChar w:fldCharType="end"/>
      </w:r>
      <w:r>
        <w:t>: Average cost per GWAU</w:t>
      </w:r>
      <w:r w:rsidR="004A6293" w:rsidRPr="00A816EE">
        <w:rPr>
          <w:noProof/>
        </w:rPr>
        <mc:AlternateContent>
          <mc:Choice Requires="wpg">
            <w:drawing>
              <wp:anchor distT="0" distB="0" distL="114300" distR="114300" simplePos="0" relativeHeight="251658296" behindDoc="0" locked="0" layoutInCell="1" allowOverlap="1" wp14:anchorId="2589367F" wp14:editId="679817C7">
                <wp:simplePos x="0" y="0"/>
                <wp:positionH relativeFrom="column">
                  <wp:posOffset>4362450</wp:posOffset>
                </wp:positionH>
                <wp:positionV relativeFrom="paragraph">
                  <wp:posOffset>152400</wp:posOffset>
                </wp:positionV>
                <wp:extent cx="1845310" cy="591233"/>
                <wp:effectExtent l="0" t="0" r="0" b="0"/>
                <wp:wrapNone/>
                <wp:docPr id="318923239" name="Group 2" descr="P144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5310" cy="591233"/>
                          <a:chOff x="5633546" y="0"/>
                          <a:chExt cx="1846025" cy="591297"/>
                        </a:xfrm>
                      </wpg:grpSpPr>
                      <wps:wsp>
                        <wps:cNvPr id="1230107583" name="TextBox 16"/>
                        <wps:cNvSpPr txBox="1"/>
                        <wps:spPr>
                          <a:xfrm>
                            <a:off x="5633546" y="321393"/>
                            <a:ext cx="1846025" cy="269904"/>
                          </a:xfrm>
                          <a:prstGeom prst="rect">
                            <a:avLst/>
                          </a:prstGeom>
                          <a:noFill/>
                          <a:ln>
                            <a:noFill/>
                          </a:ln>
                        </wps:spPr>
                        <wps:txbx>
                          <w:txbxContent>
                            <w:p w14:paraId="466C470B" w14:textId="77777777" w:rsidR="00A816EE" w:rsidRPr="001729F2" w:rsidRDefault="00A816EE" w:rsidP="0062012A">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 xml:space="preserve">Average cost per GWAU </w:t>
                              </w:r>
                            </w:p>
                          </w:txbxContent>
                        </wps:txbx>
                        <wps:bodyPr wrap="square" rtlCol="0">
                          <a:spAutoFit/>
                        </wps:bodyPr>
                      </wps:wsp>
                      <pic:pic xmlns:pic="http://schemas.openxmlformats.org/drawingml/2006/picture">
                        <pic:nvPicPr>
                          <pic:cNvPr id="271262295" name="Graphic 18" descr="Upward trend with solid fill"/>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6355061" y="0"/>
                            <a:ext cx="403200" cy="403200"/>
                          </a:xfrm>
                          <a:prstGeom prst="rect">
                            <a:avLst/>
                          </a:prstGeom>
                        </pic:spPr>
                      </pic:pic>
                    </wpg:wgp>
                  </a:graphicData>
                </a:graphic>
                <wp14:sizeRelH relativeFrom="margin">
                  <wp14:pctWidth>0</wp14:pctWidth>
                </wp14:sizeRelH>
              </wp:anchor>
            </w:drawing>
          </mc:Choice>
          <mc:Fallback>
            <w:pict>
              <v:group w14:anchorId="2589367F" id="_x0000_s1128" alt="P1442#y1" style="position:absolute;margin-left:343.5pt;margin-top:12pt;width:145.3pt;height:46.55pt;z-index:251658296;mso-position-horizontal-relative:text;mso-position-vertical-relative:text;mso-width-relative:margin" coordorigin="56335" coordsize="18460,59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">
                <v:shape id="TextBox 16" o:spid="_x0000_s1129" type="#_x0000_t202" style="position:absolute;left:56335;top:3213;width:1846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" filled="f" stroked="f">
                  <v:textbox style="mso-fit-shape-to-text:t">
                    <w:txbxContent>
                      <w:p w14:paraId="466C470B" w14:textId="77777777" w:rsidR="00A816EE" w:rsidRPr="001729F2" w:rsidRDefault="00A816EE" w:rsidP="0062012A">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 xml:space="preserve">Average cost per GWAU </w:t>
                        </w:r>
                      </w:p>
                    </w:txbxContent>
                  </v:textbox>
                </v:shape>
                <v:shape id="Graphic 18" o:spid="_x0000_s1130" type="#_x0000_t75" alt="Upward trend with solid fill" style="position:absolute;left:63550;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">
                  <v:imagedata r:id="rId45" o:title="Upward trend with solid fill"/>
                </v:shape>
              </v:group>
            </w:pict>
          </mc:Fallback>
        </mc:AlternateContent>
      </w:r>
      <w:r w:rsidR="0062012A" w:rsidRPr="00A816EE">
        <w:rPr>
          <w:noProof/>
        </w:rPr>
        <mc:AlternateContent>
          <mc:Choice Requires="wpg">
            <w:drawing>
              <wp:anchor distT="0" distB="0" distL="114300" distR="114300" simplePos="0" relativeHeight="251658297" behindDoc="0" locked="0" layoutInCell="1" allowOverlap="1" wp14:anchorId="12B4A1DE" wp14:editId="409BC658">
                <wp:simplePos x="0" y="0"/>
                <wp:positionH relativeFrom="column">
                  <wp:posOffset>895350</wp:posOffset>
                </wp:positionH>
                <wp:positionV relativeFrom="paragraph">
                  <wp:posOffset>155575</wp:posOffset>
                </wp:positionV>
                <wp:extent cx="1650365" cy="590550"/>
                <wp:effectExtent l="0" t="0" r="0" b="0"/>
                <wp:wrapNone/>
                <wp:docPr id="2" name="Group 1" descr="P1442#y2">
                  <a:extLst xmlns:a="http://schemas.openxmlformats.org/drawingml/2006/main">
                    <a:ext uri="{FF2B5EF4-FFF2-40B4-BE49-F238E27FC236}">
                      <a16:creationId xmlns:a16="http://schemas.microsoft.com/office/drawing/2014/main" id="{D3760D3F-7D36-E008-1175-2B0B23EDE7D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50365" cy="590550"/>
                          <a:chOff x="1081330" y="9968"/>
                          <a:chExt cx="1650365" cy="590744"/>
                        </a:xfrm>
                      </wpg:grpSpPr>
                      <pic:pic xmlns:pic="http://schemas.openxmlformats.org/drawingml/2006/picture">
                        <pic:nvPicPr>
                          <pic:cNvPr id="1008616341" name="Graphic 5" descr="Hospital outline">
                            <a:extLst>
                              <a:ext uri="{FF2B5EF4-FFF2-40B4-BE49-F238E27FC236}">
                                <a16:creationId xmlns:a16="http://schemas.microsoft.com/office/drawing/2014/main" id="{65313F99-FF16-6D78-3C0C-00A1B870B55F}"/>
                              </a:ext>
                            </a:extLst>
                          </pic:cNvPr>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704951" y="9968"/>
                            <a:ext cx="403200" cy="393504"/>
                          </a:xfrm>
                          <a:prstGeom prst="rect">
                            <a:avLst/>
                          </a:prstGeom>
                        </pic:spPr>
                      </pic:pic>
                      <wps:wsp>
                        <wps:cNvPr id="747267362" name="TextBox 6">
                          <a:extLst>
                            <a:ext uri="{FF2B5EF4-FFF2-40B4-BE49-F238E27FC236}">
                              <a16:creationId xmlns:a16="http://schemas.microsoft.com/office/drawing/2014/main" id="{46EC9AC1-41C2-785E-4A9C-777560D4F287}"/>
                            </a:ext>
                          </a:extLst>
                        </wps:cNvPr>
                        <wps:cNvSpPr txBox="1"/>
                        <wps:spPr>
                          <a:xfrm>
                            <a:off x="1081330" y="330837"/>
                            <a:ext cx="1650365" cy="269875"/>
                          </a:xfrm>
                          <a:prstGeom prst="rect">
                            <a:avLst/>
                          </a:prstGeom>
                          <a:noFill/>
                          <a:ln>
                            <a:noFill/>
                          </a:ln>
                        </wps:spPr>
                        <wps:txbx>
                          <w:txbxContent>
                            <w:p w14:paraId="16AAA79B" w14:textId="77777777" w:rsidR="00A816EE" w:rsidRPr="001729F2" w:rsidRDefault="00A816EE" w:rsidP="0062012A">
                              <w:pPr>
                                <w:spacing w:after="0"/>
                                <w:rPr>
                                  <w:rFonts w:asciiTheme="minorHAnsi"/>
                                  <w:b/>
                                  <w:bCs/>
                                  <w:color w:val="404040" w:themeColor="text1" w:themeTint="BF"/>
                                  <w:kern w:val="24"/>
                                </w:rPr>
                              </w:pPr>
                              <w:r w:rsidRPr="001729F2">
                                <w:rPr>
                                  <w:rFonts w:asciiTheme="minorHAnsi"/>
                                  <w:b/>
                                  <w:bCs/>
                                  <w:color w:val="404040" w:themeColor="text1" w:themeTint="BF"/>
                                  <w:kern w:val="24"/>
                                </w:rPr>
                                <w:t>Average costs / GWAU</w:t>
                              </w:r>
                            </w:p>
                          </w:txbxContent>
                        </wps:txbx>
                        <wps:bodyPr wrap="square" rtlCol="0">
                          <a:spAutoFit/>
                        </wps:bodyPr>
                      </wps:wsp>
                    </wpg:wgp>
                  </a:graphicData>
                </a:graphic>
              </wp:anchor>
            </w:drawing>
          </mc:Choice>
          <mc:Fallback>
            <w:pict>
              <v:group w14:anchorId="12B4A1DE" id="_x0000_s1131" alt="P1442#y2" style="position:absolute;margin-left:70.5pt;margin-top:12.25pt;width:129.95pt;height:46.5pt;z-index:251658297;mso-position-horizontal-relative:text;mso-position-vertical-relative:text" coordorigin="10813,99" coordsize="16503,59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">
                <v:shape id="Graphic 5" o:spid="_x0000_s1132" type="#_x0000_t75" alt="Hospital outline" style="position:absolute;left:17049;top:99;width:4032;height: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">
                  <v:imagedata r:id="rId49" o:title="Hospital outline"/>
                </v:shape>
                <v:shape id="TextBox 6" o:spid="_x0000_s1133" type="#_x0000_t202" style="position:absolute;left:10813;top:3308;width:1650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" filled="f" stroked="f">
                  <v:textbox style="mso-fit-shape-to-text:t">
                    <w:txbxContent>
                      <w:p w14:paraId="16AAA79B" w14:textId="77777777" w:rsidR="00A816EE" w:rsidRPr="001729F2" w:rsidRDefault="00A816EE" w:rsidP="0062012A">
                        <w:pPr>
                          <w:spacing w:after="0"/>
                          <w:rPr>
                            <w:rFonts w:asciiTheme="minorHAnsi"/>
                            <w:b/>
                            <w:bCs/>
                            <w:color w:val="404040" w:themeColor="text1" w:themeTint="BF"/>
                            <w:kern w:val="24"/>
                          </w:rPr>
                        </w:pPr>
                        <w:r w:rsidRPr="001729F2">
                          <w:rPr>
                            <w:rFonts w:asciiTheme="minorHAnsi"/>
                            <w:b/>
                            <w:bCs/>
                            <w:color w:val="404040" w:themeColor="text1" w:themeTint="BF"/>
                            <w:kern w:val="24"/>
                          </w:rPr>
                          <w:t>Average costs / GWAU</w:t>
                        </w:r>
                      </w:p>
                    </w:txbxContent>
                  </v:textbox>
                </v:shape>
              </v:group>
            </w:pict>
          </mc:Fallback>
        </mc:AlternateContent>
      </w:r>
      <w:r w:rsidR="00F62F1F">
        <w:t xml:space="preserve"> - V</w:t>
      </w:r>
      <w:r w:rsidR="00404D29">
        <w:t>ictoria</w:t>
      </w:r>
    </w:p>
    <w:p w14:paraId="69820E64" w14:textId="1D6C1E07" w:rsidR="007419F9" w:rsidRDefault="007419F9" w:rsidP="00345822"/>
    <w:p w14:paraId="65D1037C" w14:textId="096C2F3A" w:rsidR="007419F9" w:rsidRDefault="00B21E96" w:rsidP="00345822">
      <w:r>
        <w:rPr>
          <w:noProof/>
        </w:rPr>
        <mc:AlternateContent>
          <mc:Choice Requires="wpg">
            <w:drawing>
              <wp:anchor distT="0" distB="0" distL="114300" distR="114300" simplePos="0" relativeHeight="251658298" behindDoc="0" locked="0" layoutInCell="1" allowOverlap="1" wp14:anchorId="165C6AA9" wp14:editId="31B5BEE4">
                <wp:simplePos x="0" y="0"/>
                <wp:positionH relativeFrom="column">
                  <wp:posOffset>5130140</wp:posOffset>
                </wp:positionH>
                <wp:positionV relativeFrom="paragraph">
                  <wp:posOffset>356260</wp:posOffset>
                </wp:positionV>
                <wp:extent cx="867412" cy="2015490"/>
                <wp:effectExtent l="0" t="0" r="0" b="3810"/>
                <wp:wrapTopAndBottom/>
                <wp:docPr id="1425506069" name="Group 7" descr="P1444#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7412" cy="2015490"/>
                          <a:chOff x="-3" y="0"/>
                          <a:chExt cx="867412" cy="2015490"/>
                        </a:xfrm>
                      </wpg:grpSpPr>
                      <wpg:grpSp>
                        <wpg:cNvPr id="12" name="Group 11">
                          <a:extLst>
                            <a:ext uri="{FF2B5EF4-FFF2-40B4-BE49-F238E27FC236}">
                              <a16:creationId xmlns:a16="http://schemas.microsoft.com/office/drawing/2014/main" id="{762E9845-7035-CC7E-8E21-BA757FC5F0B7}"/>
                            </a:ext>
                          </a:extLst>
                        </wpg:cNvPr>
                        <wpg:cNvGrpSpPr/>
                        <wpg:grpSpPr>
                          <a:xfrm>
                            <a:off x="23747" y="866869"/>
                            <a:ext cx="843662" cy="269875"/>
                            <a:chOff x="6236439" y="1777696"/>
                            <a:chExt cx="844445" cy="269875"/>
                          </a:xfrm>
                        </wpg:grpSpPr>
                        <wps:wsp>
                          <wps:cNvPr id="32825129" name="Arrow: Right 32825129">
                            <a:extLst>
                              <a:ext uri="{FF2B5EF4-FFF2-40B4-BE49-F238E27FC236}">
                                <a16:creationId xmlns:a16="http://schemas.microsoft.com/office/drawing/2014/main" id="{F18E555A-81BE-BBD5-196E-421111FCB224}"/>
                              </a:ext>
                            </a:extLst>
                          </wps:cNvPr>
                          <wps:cNvSpPr/>
                          <wps:spPr>
                            <a:xfrm rot="16200000">
                              <a:off x="6207583" y="1812429"/>
                              <a:ext cx="234525"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293593" name="TextBox 13">
                            <a:extLst>
                              <a:ext uri="{FF2B5EF4-FFF2-40B4-BE49-F238E27FC236}">
                                <a16:creationId xmlns:a16="http://schemas.microsoft.com/office/drawing/2014/main" id="{F61AB5F4-2BAE-C97B-A8C2-5E4C2527AE68}"/>
                              </a:ext>
                            </a:extLst>
                          </wps:cNvPr>
                          <wps:cNvSpPr txBox="1"/>
                          <wps:spPr>
                            <a:xfrm>
                              <a:off x="6445295" y="1777696"/>
                              <a:ext cx="635589" cy="269875"/>
                            </a:xfrm>
                            <a:prstGeom prst="rect">
                              <a:avLst/>
                            </a:prstGeom>
                            <a:noFill/>
                          </wps:spPr>
                          <wps:txbx>
                            <w:txbxContent>
                              <w:p w14:paraId="2BECAC6B" w14:textId="56B9F70D" w:rsidR="00A816EE" w:rsidRDefault="001A7507" w:rsidP="0062012A">
                                <w:pPr>
                                  <w:spacing w:after="0"/>
                                  <w:rPr>
                                    <w:rFonts w:asciiTheme="minorHAnsi"/>
                                    <w:color w:val="000000" w:themeColor="text1"/>
                                    <w:kern w:val="24"/>
                                  </w:rPr>
                                </w:pPr>
                                <w:r>
                                  <w:rPr>
                                    <w:rFonts w:asciiTheme="minorHAnsi"/>
                                    <w:color w:val="000000" w:themeColor="text1"/>
                                    <w:kern w:val="24"/>
                                  </w:rPr>
                                  <w:t>3.6</w:t>
                                </w:r>
                                <w:r w:rsidR="00A816EE">
                                  <w:rPr>
                                    <w:rFonts w:asciiTheme="minorHAnsi"/>
                                    <w:color w:val="000000" w:themeColor="text1"/>
                                    <w:kern w:val="24"/>
                                  </w:rPr>
                                  <w:t>%</w:t>
                                </w:r>
                              </w:p>
                            </w:txbxContent>
                          </wps:txbx>
                          <wps:bodyPr wrap="square" rtlCol="0">
                            <a:spAutoFit/>
                          </wps:bodyPr>
                        </wps:wsp>
                      </wpg:grpSp>
                      <wpg:grpSp>
                        <wpg:cNvPr id="10" name="Group 9">
                          <a:extLst>
                            <a:ext uri="{FF2B5EF4-FFF2-40B4-BE49-F238E27FC236}">
                              <a16:creationId xmlns:a16="http://schemas.microsoft.com/office/drawing/2014/main" id="{6CF314C1-05AC-9EB3-6366-60F9ECAF73EC}"/>
                            </a:ext>
                          </a:extLst>
                        </wpg:cNvPr>
                        <wpg:cNvGrpSpPr/>
                        <wpg:grpSpPr>
                          <a:xfrm>
                            <a:off x="-3" y="439373"/>
                            <a:ext cx="864699" cy="269875"/>
                            <a:chOff x="6214219" y="1348851"/>
                            <a:chExt cx="865501" cy="269875"/>
                          </a:xfrm>
                        </wpg:grpSpPr>
                        <wps:wsp>
                          <wps:cNvPr id="2092282676" name="Arrow: Right 2092282676">
                            <a:extLst>
                              <a:ext uri="{FF2B5EF4-FFF2-40B4-BE49-F238E27FC236}">
                                <a16:creationId xmlns:a16="http://schemas.microsoft.com/office/drawing/2014/main" id="{6D8334B9-EE66-7AE1-B072-020D3A5F163F}"/>
                              </a:ext>
                            </a:extLst>
                          </wps:cNvPr>
                          <wps:cNvSpPr/>
                          <wps:spPr>
                            <a:xfrm>
                              <a:off x="6214219" y="1385695"/>
                              <a:ext cx="240303" cy="172561"/>
                            </a:xfrm>
                            <a:prstGeom prst="rightArrow">
                              <a:avLst/>
                            </a:prstGeom>
                            <a:solidFill>
                              <a:srgbClr val="FFC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82578521" name="TextBox 14">
                            <a:extLst>
                              <a:ext uri="{FF2B5EF4-FFF2-40B4-BE49-F238E27FC236}">
                                <a16:creationId xmlns:a16="http://schemas.microsoft.com/office/drawing/2014/main" id="{8D20CFBD-B64C-E959-E09C-A6FE5797BB92}"/>
                              </a:ext>
                            </a:extLst>
                          </wps:cNvPr>
                          <wps:cNvSpPr txBox="1"/>
                          <wps:spPr>
                            <a:xfrm>
                              <a:off x="6444131" y="1348851"/>
                              <a:ext cx="635589" cy="269875"/>
                            </a:xfrm>
                            <a:prstGeom prst="rect">
                              <a:avLst/>
                            </a:prstGeom>
                            <a:noFill/>
                          </wps:spPr>
                          <wps:txbx>
                            <w:txbxContent>
                              <w:p w14:paraId="319F46CF" w14:textId="37479EA4" w:rsidR="00A816EE" w:rsidRDefault="00A816EE" w:rsidP="0062012A">
                                <w:pPr>
                                  <w:spacing w:after="0"/>
                                  <w:rPr>
                                    <w:rFonts w:asciiTheme="minorHAnsi"/>
                                    <w:color w:val="000000" w:themeColor="text1"/>
                                    <w:kern w:val="24"/>
                                  </w:rPr>
                                </w:pPr>
                                <w:r>
                                  <w:rPr>
                                    <w:rFonts w:asciiTheme="minorHAnsi"/>
                                    <w:color w:val="000000" w:themeColor="text1"/>
                                    <w:kern w:val="24"/>
                                  </w:rPr>
                                  <w:t>-</w:t>
                                </w:r>
                                <w:r w:rsidR="00455FEA">
                                  <w:rPr>
                                    <w:rFonts w:asciiTheme="minorHAnsi"/>
                                    <w:color w:val="000000" w:themeColor="text1"/>
                                    <w:kern w:val="24"/>
                                  </w:rPr>
                                  <w:t>2.1</w:t>
                                </w:r>
                                <w:r>
                                  <w:rPr>
                                    <w:rFonts w:asciiTheme="minorHAnsi"/>
                                    <w:color w:val="000000" w:themeColor="text1"/>
                                    <w:kern w:val="24"/>
                                  </w:rPr>
                                  <w:t>%</w:t>
                                </w:r>
                              </w:p>
                            </w:txbxContent>
                          </wps:txbx>
                          <wps:bodyPr wrap="square" rtlCol="0">
                            <a:spAutoFit/>
                          </wps:bodyPr>
                        </wps:wsp>
                      </wpg:grpSp>
                      <wpg:grpSp>
                        <wpg:cNvPr id="24" name="Group 23">
                          <a:extLst>
                            <a:ext uri="{FF2B5EF4-FFF2-40B4-BE49-F238E27FC236}">
                              <a16:creationId xmlns:a16="http://schemas.microsoft.com/office/drawing/2014/main" id="{9673D6C2-B5FD-57D4-0450-11CF880131D6}"/>
                            </a:ext>
                          </a:extLst>
                        </wpg:cNvPr>
                        <wpg:cNvGrpSpPr/>
                        <wpg:grpSpPr>
                          <a:xfrm>
                            <a:off x="23751" y="0"/>
                            <a:ext cx="832364" cy="269875"/>
                            <a:chOff x="6245963" y="741269"/>
                            <a:chExt cx="833135" cy="269875"/>
                          </a:xfrm>
                        </wpg:grpSpPr>
                        <wps:wsp>
                          <wps:cNvPr id="1745410774" name="TextBox 15">
                            <a:extLst>
                              <a:ext uri="{FF2B5EF4-FFF2-40B4-BE49-F238E27FC236}">
                                <a16:creationId xmlns:a16="http://schemas.microsoft.com/office/drawing/2014/main" id="{5E921C24-71E2-0044-01C1-35637C044835}"/>
                              </a:ext>
                            </a:extLst>
                          </wps:cNvPr>
                          <wps:cNvSpPr txBox="1"/>
                          <wps:spPr>
                            <a:xfrm>
                              <a:off x="6444145" y="741269"/>
                              <a:ext cx="634953" cy="269875"/>
                            </a:xfrm>
                            <a:prstGeom prst="rect">
                              <a:avLst/>
                            </a:prstGeom>
                            <a:noFill/>
                          </wps:spPr>
                          <wps:txbx>
                            <w:txbxContent>
                              <w:p w14:paraId="42EE54A7" w14:textId="519DC927" w:rsidR="00A816EE" w:rsidRDefault="00455FEA" w:rsidP="0062012A">
                                <w:pPr>
                                  <w:spacing w:after="0"/>
                                  <w:rPr>
                                    <w:rFonts w:asciiTheme="minorHAnsi"/>
                                    <w:color w:val="000000" w:themeColor="text1"/>
                                    <w:kern w:val="24"/>
                                  </w:rPr>
                                </w:pPr>
                                <w:r>
                                  <w:rPr>
                                    <w:rFonts w:asciiTheme="minorHAnsi"/>
                                    <w:color w:val="000000" w:themeColor="text1"/>
                                    <w:kern w:val="24"/>
                                  </w:rPr>
                                  <w:t>5.5</w:t>
                                </w:r>
                                <w:r w:rsidR="00A816EE">
                                  <w:rPr>
                                    <w:rFonts w:asciiTheme="minorHAnsi"/>
                                    <w:color w:val="000000" w:themeColor="text1"/>
                                    <w:kern w:val="24"/>
                                  </w:rPr>
                                  <w:t>%</w:t>
                                </w:r>
                              </w:p>
                            </w:txbxContent>
                          </wps:txbx>
                          <wps:bodyPr wrap="square" rtlCol="0">
                            <a:spAutoFit/>
                          </wps:bodyPr>
                        </wps:wsp>
                        <wps:wsp>
                          <wps:cNvPr id="2061715640" name="Arrow: Right 2061715640">
                            <a:extLst>
                              <a:ext uri="{FF2B5EF4-FFF2-40B4-BE49-F238E27FC236}">
                                <a16:creationId xmlns:a16="http://schemas.microsoft.com/office/drawing/2014/main" id="{DD51219F-64E8-99B5-7459-A12AAC973401}"/>
                              </a:ext>
                            </a:extLst>
                          </wps:cNvPr>
                          <wps:cNvSpPr/>
                          <wps:spPr>
                            <a:xfrm rot="16200000">
                              <a:off x="6214218" y="775973"/>
                              <a:ext cx="240303"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 name="Group 17">
                          <a:extLst>
                            <a:ext uri="{FF2B5EF4-FFF2-40B4-BE49-F238E27FC236}">
                              <a16:creationId xmlns:a16="http://schemas.microsoft.com/office/drawing/2014/main" id="{E852A220-F6B0-F302-1982-2BA9693F8BBE}"/>
                            </a:ext>
                          </a:extLst>
                        </wpg:cNvPr>
                        <wpg:cNvGrpSpPr/>
                        <wpg:grpSpPr>
                          <a:xfrm>
                            <a:off x="23751" y="1306242"/>
                            <a:ext cx="835568" cy="269875"/>
                            <a:chOff x="6243288" y="2235768"/>
                            <a:chExt cx="836343" cy="269875"/>
                          </a:xfrm>
                        </wpg:grpSpPr>
                        <wps:wsp>
                          <wps:cNvPr id="874664506" name="TextBox 12">
                            <a:extLst>
                              <a:ext uri="{FF2B5EF4-FFF2-40B4-BE49-F238E27FC236}">
                                <a16:creationId xmlns:a16="http://schemas.microsoft.com/office/drawing/2014/main" id="{0F700894-A413-47F8-2B14-1AB9B12E4052}"/>
                              </a:ext>
                            </a:extLst>
                          </wps:cNvPr>
                          <wps:cNvSpPr txBox="1"/>
                          <wps:spPr>
                            <a:xfrm>
                              <a:off x="6445313" y="2235768"/>
                              <a:ext cx="634318" cy="269875"/>
                            </a:xfrm>
                            <a:prstGeom prst="rect">
                              <a:avLst/>
                            </a:prstGeom>
                            <a:noFill/>
                          </wps:spPr>
                          <wps:txbx>
                            <w:txbxContent>
                              <w:p w14:paraId="4C325479" w14:textId="2D3AB343" w:rsidR="00A816EE" w:rsidRDefault="001A7507" w:rsidP="0062012A">
                                <w:pPr>
                                  <w:spacing w:after="0"/>
                                  <w:rPr>
                                    <w:rFonts w:asciiTheme="minorHAnsi"/>
                                    <w:color w:val="000000" w:themeColor="text1"/>
                                    <w:kern w:val="24"/>
                                  </w:rPr>
                                </w:pPr>
                                <w:r>
                                  <w:rPr>
                                    <w:rFonts w:asciiTheme="minorHAnsi"/>
                                    <w:color w:val="000000" w:themeColor="text1"/>
                                    <w:kern w:val="24"/>
                                  </w:rPr>
                                  <w:t>4.9</w:t>
                                </w:r>
                                <w:r w:rsidR="00A816EE">
                                  <w:rPr>
                                    <w:rFonts w:asciiTheme="minorHAnsi"/>
                                    <w:color w:val="000000" w:themeColor="text1"/>
                                    <w:kern w:val="24"/>
                                  </w:rPr>
                                  <w:t>%</w:t>
                                </w:r>
                              </w:p>
                            </w:txbxContent>
                          </wps:txbx>
                          <wps:bodyPr wrap="square" rtlCol="0">
                            <a:spAutoFit/>
                          </wps:bodyPr>
                        </wps:wsp>
                        <wps:wsp>
                          <wps:cNvPr id="1572242737" name="Arrow: Right 1572242737">
                            <a:extLst>
                              <a:ext uri="{FF2B5EF4-FFF2-40B4-BE49-F238E27FC236}">
                                <a16:creationId xmlns:a16="http://schemas.microsoft.com/office/drawing/2014/main" id="{2D69A8D5-C7CF-25A0-6CFE-90E89F27238B}"/>
                              </a:ext>
                            </a:extLst>
                          </wps:cNvPr>
                          <wps:cNvSpPr/>
                          <wps:spPr>
                            <a:xfrm rot="16200000">
                              <a:off x="6214432" y="2270515"/>
                              <a:ext cx="234525"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 name="Group 19">
                          <a:extLst>
                            <a:ext uri="{FF2B5EF4-FFF2-40B4-BE49-F238E27FC236}">
                              <a16:creationId xmlns:a16="http://schemas.microsoft.com/office/drawing/2014/main" id="{2D4B6B85-CD2F-CAA9-D91D-8A7C038C489D}"/>
                            </a:ext>
                          </a:extLst>
                        </wpg:cNvPr>
                        <wpg:cNvGrpSpPr/>
                        <wpg:grpSpPr>
                          <a:xfrm>
                            <a:off x="35627" y="1745615"/>
                            <a:ext cx="826745" cy="269875"/>
                            <a:chOff x="6252042" y="2599369"/>
                            <a:chExt cx="827616" cy="269875"/>
                          </a:xfrm>
                        </wpg:grpSpPr>
                        <wps:wsp>
                          <wps:cNvPr id="1626618535" name="TextBox 4">
                            <a:extLst>
                              <a:ext uri="{FF2B5EF4-FFF2-40B4-BE49-F238E27FC236}">
                                <a16:creationId xmlns:a16="http://schemas.microsoft.com/office/drawing/2014/main" id="{B94B392A-5A6A-232C-5A3C-6E419A83F8FF}"/>
                              </a:ext>
                            </a:extLst>
                          </wps:cNvPr>
                          <wps:cNvSpPr txBox="1"/>
                          <wps:spPr>
                            <a:xfrm>
                              <a:off x="6443989" y="2599369"/>
                              <a:ext cx="635669" cy="269875"/>
                            </a:xfrm>
                            <a:prstGeom prst="rect">
                              <a:avLst/>
                            </a:prstGeom>
                            <a:noFill/>
                          </wps:spPr>
                          <wps:txbx>
                            <w:txbxContent>
                              <w:p w14:paraId="41DF7C93" w14:textId="3FFBDFDD" w:rsidR="00A816EE" w:rsidRDefault="001A7507" w:rsidP="0062012A">
                                <w:pPr>
                                  <w:spacing w:after="0"/>
                                  <w:rPr>
                                    <w:rFonts w:asciiTheme="minorHAnsi"/>
                                    <w:color w:val="000000" w:themeColor="text1"/>
                                    <w:kern w:val="24"/>
                                  </w:rPr>
                                </w:pPr>
                                <w:r>
                                  <w:rPr>
                                    <w:rFonts w:asciiTheme="minorHAnsi"/>
                                    <w:color w:val="000000" w:themeColor="text1"/>
                                    <w:kern w:val="24"/>
                                  </w:rPr>
                                  <w:t>4.5</w:t>
                                </w:r>
                                <w:r w:rsidR="00A816EE">
                                  <w:rPr>
                                    <w:rFonts w:asciiTheme="minorHAnsi"/>
                                    <w:color w:val="000000" w:themeColor="text1"/>
                                    <w:kern w:val="24"/>
                                  </w:rPr>
                                  <w:t>%</w:t>
                                </w:r>
                              </w:p>
                            </w:txbxContent>
                          </wps:txbx>
                          <wps:bodyPr wrap="square" rtlCol="0">
                            <a:spAutoFit/>
                          </wps:bodyPr>
                        </wps:wsp>
                        <wps:wsp>
                          <wps:cNvPr id="2060083795" name="Arrow: Right 2060083795">
                            <a:extLst>
                              <a:ext uri="{FF2B5EF4-FFF2-40B4-BE49-F238E27FC236}">
                                <a16:creationId xmlns:a16="http://schemas.microsoft.com/office/drawing/2014/main" id="{4B70B873-47CF-1485-C338-081C9E8686D1}"/>
                              </a:ext>
                            </a:extLst>
                          </wps:cNvPr>
                          <wps:cNvSpPr/>
                          <wps:spPr>
                            <a:xfrm rot="16200000">
                              <a:off x="6223186" y="2634130"/>
                              <a:ext cx="234525"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165C6AA9" id="_x0000_s1134" alt="P1444#y2" style="position:absolute;margin-left:403.95pt;margin-top:28.05pt;width:68.3pt;height:158.7pt;z-index:251658298;mso-position-horizontal-relative:text;mso-position-vertical-relative:text" coordorigin="" coordsize="8674,20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">
                <v:group id="Group 11" o:spid="_x0000_s1135" style="position:absolute;left:237;top:8668;width:8437;height:2699" coordorigin="62364,17776" coordsize="8444,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row: Right 32825129" o:spid="_x0000_s1136" type="#_x0000_t13" style="position:absolute;left:62075;top:18124;width:2345;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" adj="13458" fillcolor="red" stroked="f" strokeweight="1pt">
                    <v:fill opacity="26214f"/>
                  </v:shape>
                  <v:shape id="TextBox 13" o:spid="_x0000_s1137" type="#_x0000_t202" style="position:absolute;left:64452;top:17776;width:63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" filled="f" stroked="f">
                    <v:textbox style="mso-fit-shape-to-text:t">
                      <w:txbxContent>
                        <w:p w14:paraId="2BECAC6B" w14:textId="56B9F70D" w:rsidR="00A816EE" w:rsidRDefault="001A7507" w:rsidP="0062012A">
                          <w:pPr>
                            <w:spacing w:after="0"/>
                            <w:rPr>
                              <w:rFonts w:asciiTheme="minorHAnsi"/>
                              <w:color w:val="000000" w:themeColor="text1"/>
                              <w:kern w:val="24"/>
                            </w:rPr>
                          </w:pPr>
                          <w:r>
                            <w:rPr>
                              <w:rFonts w:asciiTheme="minorHAnsi"/>
                              <w:color w:val="000000" w:themeColor="text1"/>
                              <w:kern w:val="24"/>
                            </w:rPr>
                            <w:t>3.6</w:t>
                          </w:r>
                          <w:r w:rsidR="00A816EE">
                            <w:rPr>
                              <w:rFonts w:asciiTheme="minorHAnsi"/>
                              <w:color w:val="000000" w:themeColor="text1"/>
                              <w:kern w:val="24"/>
                            </w:rPr>
                            <w:t>%</w:t>
                          </w:r>
                        </w:p>
                      </w:txbxContent>
                    </v:textbox>
                  </v:shape>
                </v:group>
                <v:group id="_x0000_s1138" style="position:absolute;top:4393;width:8646;height:2699" coordorigin="62142,13488" coordsize="8655,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rrow: Right 2092282676" o:spid="_x0000_s1139" type="#_x0000_t13" style="position:absolute;left:62142;top:13856;width:2403;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" adj="13845" fillcolor="#ffc000" stroked="f" strokeweight="1pt">
                    <v:fill opacity="26214f"/>
                  </v:shape>
                  <v:shape id="TextBox 14" o:spid="_x0000_s1140" type="#_x0000_t202" style="position:absolute;left:64441;top:13488;width:63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" filled="f" stroked="f">
                    <v:textbox style="mso-fit-shape-to-text:t">
                      <w:txbxContent>
                        <w:p w14:paraId="319F46CF" w14:textId="37479EA4" w:rsidR="00A816EE" w:rsidRDefault="00A816EE" w:rsidP="0062012A">
                          <w:pPr>
                            <w:spacing w:after="0"/>
                            <w:rPr>
                              <w:rFonts w:asciiTheme="minorHAnsi"/>
                              <w:color w:val="000000" w:themeColor="text1"/>
                              <w:kern w:val="24"/>
                            </w:rPr>
                          </w:pPr>
                          <w:r>
                            <w:rPr>
                              <w:rFonts w:asciiTheme="minorHAnsi"/>
                              <w:color w:val="000000" w:themeColor="text1"/>
                              <w:kern w:val="24"/>
                            </w:rPr>
                            <w:t>-</w:t>
                          </w:r>
                          <w:r w:rsidR="00455FEA">
                            <w:rPr>
                              <w:rFonts w:asciiTheme="minorHAnsi"/>
                              <w:color w:val="000000" w:themeColor="text1"/>
                              <w:kern w:val="24"/>
                            </w:rPr>
                            <w:t>2.1</w:t>
                          </w:r>
                          <w:r>
                            <w:rPr>
                              <w:rFonts w:asciiTheme="minorHAnsi"/>
                              <w:color w:val="000000" w:themeColor="text1"/>
                              <w:kern w:val="24"/>
                            </w:rPr>
                            <w:t>%</w:t>
                          </w:r>
                        </w:p>
                      </w:txbxContent>
                    </v:textbox>
                  </v:shape>
                </v:group>
                <v:group id="Group 23" o:spid="_x0000_s1141" style="position:absolute;left:237;width:8324;height:2698" coordorigin="62459,7412" coordsize="8331,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Box 15" o:spid="_x0000_s1142" type="#_x0000_t202" style="position:absolute;left:64441;top:7412;width:634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" filled="f" stroked="f">
                    <v:textbox style="mso-fit-shape-to-text:t">
                      <w:txbxContent>
                        <w:p w14:paraId="42EE54A7" w14:textId="519DC927" w:rsidR="00A816EE" w:rsidRDefault="00455FEA" w:rsidP="0062012A">
                          <w:pPr>
                            <w:spacing w:after="0"/>
                            <w:rPr>
                              <w:rFonts w:asciiTheme="minorHAnsi"/>
                              <w:color w:val="000000" w:themeColor="text1"/>
                              <w:kern w:val="24"/>
                            </w:rPr>
                          </w:pPr>
                          <w:r>
                            <w:rPr>
                              <w:rFonts w:asciiTheme="minorHAnsi"/>
                              <w:color w:val="000000" w:themeColor="text1"/>
                              <w:kern w:val="24"/>
                            </w:rPr>
                            <w:t>5.5</w:t>
                          </w:r>
                          <w:r w:rsidR="00A816EE">
                            <w:rPr>
                              <w:rFonts w:asciiTheme="minorHAnsi"/>
                              <w:color w:val="000000" w:themeColor="text1"/>
                              <w:kern w:val="24"/>
                            </w:rPr>
                            <w:t>%</w:t>
                          </w:r>
                        </w:p>
                      </w:txbxContent>
                    </v:textbox>
                  </v:shape>
                  <v:shape id="Arrow: Right 2061715640" o:spid="_x0000_s1143" type="#_x0000_t13" style="position:absolute;left:62141;top:7760;width:2403;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" adj="13653" fillcolor="red" stroked="f" strokeweight="1pt">
                    <v:fill opacity="26214f"/>
                  </v:shape>
                </v:group>
                <v:group id="Group 17" o:spid="_x0000_s1144" style="position:absolute;left:237;top:13062;width:8356;height:2699" coordorigin="62432,22357" coordsize="8363,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Box 12" o:spid="_x0000_s1145" type="#_x0000_t202" style="position:absolute;left:64453;top:22357;width:634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" filled="f" stroked="f">
                    <v:textbox style="mso-fit-shape-to-text:t">
                      <w:txbxContent>
                        <w:p w14:paraId="4C325479" w14:textId="2D3AB343" w:rsidR="00A816EE" w:rsidRDefault="001A7507" w:rsidP="0062012A">
                          <w:pPr>
                            <w:spacing w:after="0"/>
                            <w:rPr>
                              <w:rFonts w:asciiTheme="minorHAnsi"/>
                              <w:color w:val="000000" w:themeColor="text1"/>
                              <w:kern w:val="24"/>
                            </w:rPr>
                          </w:pPr>
                          <w:r>
                            <w:rPr>
                              <w:rFonts w:asciiTheme="minorHAnsi"/>
                              <w:color w:val="000000" w:themeColor="text1"/>
                              <w:kern w:val="24"/>
                            </w:rPr>
                            <w:t>4.9</w:t>
                          </w:r>
                          <w:r w:rsidR="00A816EE">
                            <w:rPr>
                              <w:rFonts w:asciiTheme="minorHAnsi"/>
                              <w:color w:val="000000" w:themeColor="text1"/>
                              <w:kern w:val="24"/>
                            </w:rPr>
                            <w:t>%</w:t>
                          </w:r>
                        </w:p>
                      </w:txbxContent>
                    </v:textbox>
                  </v:shape>
                  <v:shape id="Arrow: Right 1572242737" o:spid="_x0000_s1146" type="#_x0000_t13" style="position:absolute;left:62144;top:22704;width:2345;height:17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" adj="13458" fillcolor="red" stroked="f" strokeweight="1pt">
                    <v:fill opacity="26214f"/>
                  </v:shape>
                </v:group>
                <v:group id="Group 19" o:spid="_x0000_s1147" style="position:absolute;left:356;top:17456;width:8267;height:2698" coordorigin="62520,25993" coordsize="8276,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4" o:spid="_x0000_s1148" type="#_x0000_t202" style="position:absolute;left:64439;top:25993;width:635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" filled="f" stroked="f">
                    <v:textbox style="mso-fit-shape-to-text:t">
                      <w:txbxContent>
                        <w:p w14:paraId="41DF7C93" w14:textId="3FFBDFDD" w:rsidR="00A816EE" w:rsidRDefault="001A7507" w:rsidP="0062012A">
                          <w:pPr>
                            <w:spacing w:after="0"/>
                            <w:rPr>
                              <w:rFonts w:asciiTheme="minorHAnsi"/>
                              <w:color w:val="000000" w:themeColor="text1"/>
                              <w:kern w:val="24"/>
                            </w:rPr>
                          </w:pPr>
                          <w:r>
                            <w:rPr>
                              <w:rFonts w:asciiTheme="minorHAnsi"/>
                              <w:color w:val="000000" w:themeColor="text1"/>
                              <w:kern w:val="24"/>
                            </w:rPr>
                            <w:t>4.5</w:t>
                          </w:r>
                          <w:r w:rsidR="00A816EE">
                            <w:rPr>
                              <w:rFonts w:asciiTheme="minorHAnsi"/>
                              <w:color w:val="000000" w:themeColor="text1"/>
                              <w:kern w:val="24"/>
                            </w:rPr>
                            <w:t>%</w:t>
                          </w:r>
                        </w:p>
                      </w:txbxContent>
                    </v:textbox>
                  </v:shape>
                  <v:shape id="Arrow: Right 2060083795" o:spid="_x0000_s1149" type="#_x0000_t13" style="position:absolute;left:62231;top:26341;width:2345;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" adj="13458" fillcolor="red" stroked="f" strokeweight="1pt">
                    <v:fill opacity="26214f"/>
                  </v:shape>
                </v:group>
                <w10:wrap type="topAndBottom"/>
              </v:group>
            </w:pict>
          </mc:Fallback>
        </mc:AlternateContent>
      </w:r>
      <w:r w:rsidRPr="00A816EE">
        <w:rPr>
          <w:noProof/>
        </w:rPr>
        <w:drawing>
          <wp:anchor distT="0" distB="0" distL="114300" distR="114300" simplePos="0" relativeHeight="251658277" behindDoc="0" locked="0" layoutInCell="1" allowOverlap="1" wp14:anchorId="47A706AD" wp14:editId="23166CEB">
            <wp:simplePos x="0" y="0"/>
            <wp:positionH relativeFrom="margin">
              <wp:align>left</wp:align>
            </wp:positionH>
            <wp:positionV relativeFrom="paragraph">
              <wp:posOffset>213360</wp:posOffset>
            </wp:positionV>
            <wp:extent cx="5058410" cy="2774950"/>
            <wp:effectExtent l="0" t="0" r="0" b="6350"/>
            <wp:wrapTopAndBottom/>
            <wp:docPr id="2011521017" name="Chart 1" descr="P1444#y1">
              <a:extLst xmlns:a="http://schemas.openxmlformats.org/drawingml/2006/main">
                <a:ext uri="{FF2B5EF4-FFF2-40B4-BE49-F238E27FC236}">
                  <a16:creationId xmlns:a16="http://schemas.microsoft.com/office/drawing/2014/main" id="{23845986-A5FF-0A3B-69C2-4CA62926D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anchor>
        </w:drawing>
      </w:r>
    </w:p>
    <w:p w14:paraId="5D3B7153" w14:textId="7F6BC654" w:rsidR="0062012A" w:rsidRDefault="00FF0DAA" w:rsidP="00FF0DAA">
      <w:pPr>
        <w:pStyle w:val="Caption"/>
      </w:pPr>
      <w:r w:rsidRPr="00FF0DAA">
        <w:t>*Mental health analysis includes admitted only. Community mental health GWAU was not available as it was not priced in 2023-24.</w:t>
      </w:r>
    </w:p>
    <w:p w14:paraId="5C59B049" w14:textId="4B44E277" w:rsidR="00132D56" w:rsidRDefault="00C11B40" w:rsidP="00FE3C18">
      <w:r>
        <w:t>Key findings by stream include:</w:t>
      </w:r>
    </w:p>
    <w:p w14:paraId="7A8AEDBB" w14:textId="116FB6A6" w:rsidR="00FE3C18" w:rsidRDefault="00FE3C18" w:rsidP="00FE3C18">
      <w:pPr>
        <w:pStyle w:val="Caption"/>
        <w:keepNext/>
      </w:pPr>
      <w:r>
        <w:t xml:space="preserve">Table </w:t>
      </w:r>
      <w:r>
        <w:fldChar w:fldCharType="begin"/>
      </w:r>
      <w:r>
        <w:instrText xml:space="preserve"> SEQ Table \* ARABIC </w:instrText>
      </w:r>
      <w:r>
        <w:fldChar w:fldCharType="separate"/>
      </w:r>
      <w:r w:rsidR="00CE6F96">
        <w:rPr>
          <w:noProof/>
        </w:rPr>
        <w:t>12</w:t>
      </w:r>
      <w:r>
        <w:fldChar w:fldCharType="end"/>
      </w:r>
      <w:r>
        <w:t xml:space="preserve">: </w:t>
      </w:r>
      <w:r w:rsidR="00130A0B">
        <w:t>Key findings by stream in Vic</w:t>
      </w:r>
      <w:r w:rsidR="00CF6843">
        <w:t>toria</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451"/>
        <w:gridCol w:w="7529"/>
      </w:tblGrid>
      <w:tr w:rsidR="00A12A58" w:rsidRPr="002C3BA4" w14:paraId="6AFE1F98" w14:textId="77777777" w:rsidTr="00132D56">
        <w:trPr>
          <w:cantSplit/>
          <w:trHeight w:val="2530"/>
        </w:trPr>
        <w:tc>
          <w:tcPr>
            <w:tcW w:w="1451" w:type="dxa"/>
            <w:shd w:val="clear" w:color="auto" w:fill="220054" w:themeFill="accent1"/>
            <w:vAlign w:val="center"/>
          </w:tcPr>
          <w:p w14:paraId="1D02667B" w14:textId="0EC7054A" w:rsidR="00A12A58" w:rsidRPr="003B01D5" w:rsidRDefault="00A12A58" w:rsidP="0095165E">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Admitted acute</w:t>
            </w:r>
          </w:p>
        </w:tc>
        <w:tc>
          <w:tcPr>
            <w:tcW w:w="7529" w:type="dxa"/>
            <w:shd w:val="clear" w:color="auto" w:fill="D8D9E1" w:themeFill="accent3" w:themeFillTint="33"/>
          </w:tcPr>
          <w:p w14:paraId="295828B0" w14:textId="536C15A2" w:rsidR="00EA5BD6" w:rsidRPr="003B46EA" w:rsidRDefault="00EA5BD6" w:rsidP="00A47640">
            <w:pPr>
              <w:pStyle w:val="ListParagraph"/>
              <w:numPr>
                <w:ilvl w:val="0"/>
                <w:numId w:val="21"/>
              </w:numPr>
              <w:ind w:left="470" w:hanging="357"/>
              <w:rPr>
                <w:lang w:eastAsia="ja-JP"/>
              </w:rPr>
            </w:pPr>
            <w:r w:rsidRPr="003B46EA">
              <w:rPr>
                <w:lang w:eastAsia="ja-JP"/>
              </w:rPr>
              <w:t>The admitted acute stream is the most resource intensive stream in a hospital. In 2023-24, there were 1.9 million costed admitted acute episodes</w:t>
            </w:r>
            <w:r w:rsidR="002573C8">
              <w:rPr>
                <w:lang w:eastAsia="ja-JP"/>
              </w:rPr>
              <w:t xml:space="preserve">, increasing </w:t>
            </w:r>
            <w:r w:rsidRPr="003B46EA">
              <w:rPr>
                <w:lang w:eastAsia="ja-JP"/>
              </w:rPr>
              <w:t xml:space="preserve">8.4% from the prior year. The growth in GWAU was similar (8.0%), indicating that the average patient complexity was similar between the </w:t>
            </w:r>
            <w:r w:rsidR="00DD2235">
              <w:rPr>
                <w:lang w:eastAsia="ja-JP"/>
              </w:rPr>
              <w:t>2</w:t>
            </w:r>
            <w:r w:rsidR="00DD2235" w:rsidRPr="003B46EA">
              <w:rPr>
                <w:lang w:eastAsia="ja-JP"/>
              </w:rPr>
              <w:t xml:space="preserve"> </w:t>
            </w:r>
            <w:r w:rsidRPr="003B46EA">
              <w:rPr>
                <w:lang w:eastAsia="ja-JP"/>
              </w:rPr>
              <w:t xml:space="preserve">years. </w:t>
            </w:r>
          </w:p>
          <w:p w14:paraId="4F540C71" w14:textId="1B759BBA" w:rsidR="00EA5BD6" w:rsidRPr="003B46EA" w:rsidRDefault="00EA5BD6" w:rsidP="006044E0">
            <w:pPr>
              <w:pStyle w:val="ListParagraph"/>
              <w:numPr>
                <w:ilvl w:val="0"/>
                <w:numId w:val="21"/>
              </w:numPr>
              <w:ind w:left="470" w:hanging="357"/>
              <w:rPr>
                <w:lang w:eastAsia="ja-JP"/>
              </w:rPr>
            </w:pPr>
            <w:r w:rsidRPr="003B46EA">
              <w:rPr>
                <w:lang w:eastAsia="ja-JP"/>
              </w:rPr>
              <w:t xml:space="preserve">Although admitted acute episodes made up 20.6% of total episodes for 2023-24, it accounted for over 65% of </w:t>
            </w:r>
            <w:r w:rsidRPr="003B46EA">
              <w:t>total costs</w:t>
            </w:r>
            <w:r w:rsidRPr="003B46EA">
              <w:rPr>
                <w:lang w:eastAsia="ja-JP"/>
              </w:rPr>
              <w:t xml:space="preserve"> with approximately $12.</w:t>
            </w:r>
            <w:r w:rsidR="00446F18">
              <w:rPr>
                <w:lang w:eastAsia="ja-JP"/>
              </w:rPr>
              <w:t>2</w:t>
            </w:r>
            <w:r w:rsidR="006E29FB">
              <w:rPr>
                <w:lang w:eastAsia="ja-JP"/>
              </w:rPr>
              <w:t> </w:t>
            </w:r>
            <w:r w:rsidRPr="003B46EA">
              <w:rPr>
                <w:lang w:eastAsia="ja-JP"/>
              </w:rPr>
              <w:t xml:space="preserve">billion submitted. This was an increase of </w:t>
            </w:r>
            <w:r w:rsidR="00F0596E">
              <w:rPr>
                <w:lang w:eastAsia="ja-JP"/>
              </w:rPr>
              <w:t>12.9</w:t>
            </w:r>
            <w:r w:rsidRPr="003B46EA">
              <w:rPr>
                <w:lang w:eastAsia="ja-JP"/>
              </w:rPr>
              <w:t>% compared to 2022</w:t>
            </w:r>
            <w:r w:rsidR="006E29FB">
              <w:rPr>
                <w:lang w:eastAsia="ja-JP"/>
              </w:rPr>
              <w:noBreakHyphen/>
            </w:r>
            <w:r w:rsidRPr="003B46EA">
              <w:rPr>
                <w:lang w:eastAsia="ja-JP"/>
              </w:rPr>
              <w:t xml:space="preserve">23 and meant that the average cost to deliver services to the same casemix of patients (as measured by average cost per GWAU) was higher for 2023-24, increasing by </w:t>
            </w:r>
            <w:r w:rsidR="006C5E67">
              <w:rPr>
                <w:lang w:eastAsia="ja-JP"/>
              </w:rPr>
              <w:t>4.5</w:t>
            </w:r>
            <w:r w:rsidRPr="003B46EA">
              <w:rPr>
                <w:lang w:eastAsia="ja-JP"/>
              </w:rPr>
              <w:t>%.</w:t>
            </w:r>
          </w:p>
          <w:p w14:paraId="3DFCBFC5" w14:textId="7486D372" w:rsidR="00A12A58" w:rsidRPr="003B46EA" w:rsidRDefault="00C83695" w:rsidP="006044E0">
            <w:pPr>
              <w:pStyle w:val="ListParagraph"/>
              <w:numPr>
                <w:ilvl w:val="0"/>
                <w:numId w:val="21"/>
              </w:numPr>
              <w:ind w:left="470" w:hanging="357"/>
              <w:rPr>
                <w:lang w:eastAsia="ja-JP"/>
              </w:rPr>
            </w:pPr>
            <w:r>
              <w:rPr>
                <w:lang w:eastAsia="ja-JP"/>
              </w:rPr>
              <w:t>Victoria</w:t>
            </w:r>
            <w:r w:rsidR="00EA5BD6" w:rsidRPr="003B46EA">
              <w:rPr>
                <w:lang w:eastAsia="ja-JP"/>
              </w:rPr>
              <w:t xml:space="preserve"> highlighted that one of the increased costs was the transfer of Sandringham Hospital to Monash Hospital in February 2023, </w:t>
            </w:r>
            <w:r w:rsidR="00A96971">
              <w:rPr>
                <w:lang w:eastAsia="ja-JP"/>
              </w:rPr>
              <w:t>with</w:t>
            </w:r>
            <w:r w:rsidR="00A96971" w:rsidRPr="003B46EA">
              <w:rPr>
                <w:lang w:eastAsia="ja-JP"/>
              </w:rPr>
              <w:t xml:space="preserve"> </w:t>
            </w:r>
            <w:r w:rsidR="00EA5BD6" w:rsidRPr="003B46EA">
              <w:rPr>
                <w:lang w:eastAsia="ja-JP"/>
              </w:rPr>
              <w:t>some ‘doubling up’ of workforce costs during the transitional period.</w:t>
            </w:r>
          </w:p>
        </w:tc>
      </w:tr>
      <w:tr w:rsidR="00A12A58" w:rsidRPr="002C3BA4" w14:paraId="407D9D4B" w14:textId="77777777" w:rsidTr="006F2939">
        <w:trPr>
          <w:cantSplit/>
          <w:trHeight w:val="1871"/>
        </w:trPr>
        <w:tc>
          <w:tcPr>
            <w:tcW w:w="1451" w:type="dxa"/>
            <w:shd w:val="clear" w:color="auto" w:fill="464E7E" w:themeFill="accent2"/>
            <w:vAlign w:val="center"/>
          </w:tcPr>
          <w:p w14:paraId="320EED0D" w14:textId="03A94197" w:rsidR="00A12A58" w:rsidRPr="003B01D5" w:rsidRDefault="00434FB3" w:rsidP="0095165E">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lastRenderedPageBreak/>
              <w:t>Emergency Department</w:t>
            </w:r>
          </w:p>
        </w:tc>
        <w:tc>
          <w:tcPr>
            <w:tcW w:w="7529" w:type="dxa"/>
            <w:shd w:val="clear" w:color="auto" w:fill="D6D9E8" w:themeFill="accent2" w:themeFillTint="33"/>
          </w:tcPr>
          <w:p w14:paraId="476C8664" w14:textId="74500018" w:rsidR="00434FB3" w:rsidRPr="003B46EA" w:rsidRDefault="00434FB3" w:rsidP="003B46EA">
            <w:pPr>
              <w:pStyle w:val="Tablebulletpoint"/>
              <w:rPr>
                <w:lang w:eastAsia="ja-JP"/>
              </w:rPr>
            </w:pPr>
            <w:r w:rsidRPr="003B46EA">
              <w:rPr>
                <w:lang w:eastAsia="ja-JP"/>
              </w:rPr>
              <w:t xml:space="preserve">The ED stream represented 20.3% of total </w:t>
            </w:r>
            <w:r w:rsidRPr="003B46EA">
              <w:t>episodes</w:t>
            </w:r>
            <w:r w:rsidRPr="003B46EA">
              <w:rPr>
                <w:lang w:eastAsia="ja-JP"/>
              </w:rPr>
              <w:t xml:space="preserve">, with 1.9 million costed presentations submitted for 2023-24, an increase of 2.2% compared to 2022-23. Growth in GWAU was slightly higher at 3.5%, indicating a slightly more complex casemix of patients for the year. </w:t>
            </w:r>
          </w:p>
          <w:p w14:paraId="451A3267" w14:textId="736AB652" w:rsidR="00A12A58" w:rsidRPr="003B46EA" w:rsidRDefault="00434FB3" w:rsidP="003B46EA">
            <w:pPr>
              <w:pStyle w:val="Tablebulletpoint"/>
              <w:rPr>
                <w:lang w:eastAsia="ja-JP"/>
              </w:rPr>
            </w:pPr>
            <w:r w:rsidRPr="003B46EA">
              <w:rPr>
                <w:lang w:eastAsia="ja-JP"/>
              </w:rPr>
              <w:t xml:space="preserve">The average cost per GWAU for ED increased by </w:t>
            </w:r>
            <w:r w:rsidR="00C74079">
              <w:rPr>
                <w:lang w:eastAsia="ja-JP"/>
              </w:rPr>
              <w:t>4.9</w:t>
            </w:r>
            <w:r w:rsidRPr="003B46EA">
              <w:rPr>
                <w:lang w:eastAsia="ja-JP"/>
              </w:rPr>
              <w:t xml:space="preserve">%, </w:t>
            </w:r>
            <w:r w:rsidR="00A96971">
              <w:rPr>
                <w:lang w:eastAsia="ja-JP"/>
              </w:rPr>
              <w:t>meaning</w:t>
            </w:r>
            <w:r w:rsidRPr="003B46EA">
              <w:rPr>
                <w:lang w:eastAsia="ja-JP"/>
              </w:rPr>
              <w:t xml:space="preserve"> that total costs grew by over and above the increase in activity volumes, increasing by </w:t>
            </w:r>
            <w:r w:rsidR="00BF40D4">
              <w:rPr>
                <w:lang w:eastAsia="ja-JP"/>
              </w:rPr>
              <w:t>8.6</w:t>
            </w:r>
            <w:r w:rsidRPr="003B46EA">
              <w:rPr>
                <w:lang w:eastAsia="ja-JP"/>
              </w:rPr>
              <w:t>% in 2023-24.</w:t>
            </w:r>
          </w:p>
        </w:tc>
      </w:tr>
      <w:tr w:rsidR="00A12A58" w:rsidRPr="002C3BA4" w14:paraId="59E54F84" w14:textId="77777777" w:rsidTr="00132D56">
        <w:trPr>
          <w:cantSplit/>
          <w:trHeight w:val="2530"/>
        </w:trPr>
        <w:tc>
          <w:tcPr>
            <w:tcW w:w="1451" w:type="dxa"/>
            <w:shd w:val="clear" w:color="auto" w:fill="F7BE85" w:themeFill="accent5"/>
            <w:vAlign w:val="center"/>
          </w:tcPr>
          <w:p w14:paraId="2E0828EE" w14:textId="502AFD46" w:rsidR="00A12A58" w:rsidRPr="002C3BA4" w:rsidRDefault="00E550D8" w:rsidP="0095165E">
            <w:pPr>
              <w:pStyle w:val="TableHeadingtext"/>
              <w:framePr w:hSpace="0" w:wrap="auto" w:vAnchor="margin" w:hAnchor="text" w:yAlign="inline"/>
              <w:jc w:val="center"/>
              <w:rPr>
                <w:rFonts w:asciiTheme="majorHAnsi" w:hAnsiTheme="majorHAnsi"/>
              </w:rPr>
            </w:pPr>
            <w:r>
              <w:rPr>
                <w:rFonts w:asciiTheme="majorHAnsi" w:hAnsiTheme="majorHAnsi"/>
              </w:rPr>
              <w:t>Non-admitted</w:t>
            </w:r>
          </w:p>
        </w:tc>
        <w:tc>
          <w:tcPr>
            <w:tcW w:w="7529" w:type="dxa"/>
            <w:shd w:val="clear" w:color="auto" w:fill="FDF1E6" w:themeFill="accent5" w:themeFillTint="33"/>
          </w:tcPr>
          <w:p w14:paraId="1C270CC6" w14:textId="77777777" w:rsidR="00E550D8" w:rsidRPr="003B46EA" w:rsidRDefault="00E550D8" w:rsidP="003B46EA">
            <w:pPr>
              <w:pStyle w:val="Tablebulletpoint"/>
              <w:rPr>
                <w:lang w:eastAsia="ja-JP"/>
              </w:rPr>
            </w:pPr>
            <w:r w:rsidRPr="003B46EA">
              <w:rPr>
                <w:lang w:eastAsia="ja-JP"/>
              </w:rPr>
              <w:t>The non-admitted stream makes up the largest proportion of submitted episodes, with 5.5 million service events in 2023-24. This stream also had the largest growth in costed episodes, increasing 10.8% from the previous year. As a result, the volume of GWAU also increased significantly by 11.5%.</w:t>
            </w:r>
          </w:p>
          <w:p w14:paraId="2121C67F" w14:textId="43E7ECCA" w:rsidR="00E550D8" w:rsidRPr="003B46EA" w:rsidRDefault="00E550D8" w:rsidP="003B46EA">
            <w:pPr>
              <w:pStyle w:val="Tablebulletpoint"/>
              <w:rPr>
                <w:lang w:eastAsia="ja-JP"/>
              </w:rPr>
            </w:pPr>
            <w:r w:rsidRPr="003B46EA">
              <w:rPr>
                <w:lang w:eastAsia="ja-JP"/>
              </w:rPr>
              <w:t>The increases in non-admitted activity were observed across a range of HSs across the state</w:t>
            </w:r>
            <w:r w:rsidR="00A96971">
              <w:rPr>
                <w:lang w:eastAsia="ja-JP"/>
              </w:rPr>
              <w:t>. This</w:t>
            </w:r>
            <w:r w:rsidR="00A96971" w:rsidRPr="003B46EA">
              <w:rPr>
                <w:lang w:eastAsia="ja-JP"/>
              </w:rPr>
              <w:t xml:space="preserve"> </w:t>
            </w:r>
            <w:r w:rsidRPr="003B46EA">
              <w:rPr>
                <w:lang w:eastAsia="ja-JP"/>
              </w:rPr>
              <w:t xml:space="preserve">could be a result of improved data capture and submission at a patient level. </w:t>
            </w:r>
            <w:r w:rsidR="00C83695">
              <w:rPr>
                <w:lang w:eastAsia="ja-JP"/>
              </w:rPr>
              <w:t>Victoria</w:t>
            </w:r>
            <w:r w:rsidRPr="003B46EA">
              <w:rPr>
                <w:lang w:eastAsia="ja-JP"/>
              </w:rPr>
              <w:t xml:space="preserve"> explained that significant focus was placed on improving non-admitted reporting, with HSs formally notified by </w:t>
            </w:r>
            <w:r w:rsidR="00C83695">
              <w:rPr>
                <w:lang w:eastAsia="ja-JP"/>
              </w:rPr>
              <w:t xml:space="preserve">Victoria </w:t>
            </w:r>
            <w:r w:rsidRPr="003B46EA">
              <w:rPr>
                <w:lang w:eastAsia="ja-JP"/>
              </w:rPr>
              <w:t>that funding is dependent on patient level activity capture</w:t>
            </w:r>
            <w:r w:rsidR="00A96971">
              <w:rPr>
                <w:lang w:eastAsia="ja-JP"/>
              </w:rPr>
              <w:t xml:space="preserve"> resulting </w:t>
            </w:r>
            <w:r w:rsidRPr="003B46EA">
              <w:rPr>
                <w:lang w:eastAsia="ja-JP"/>
              </w:rPr>
              <w:t xml:space="preserve"> in more patient level activity being submitted.</w:t>
            </w:r>
          </w:p>
          <w:p w14:paraId="0BB1EACD" w14:textId="3373CEB6" w:rsidR="00E550D8" w:rsidRPr="003B46EA" w:rsidRDefault="00E550D8" w:rsidP="003B46EA">
            <w:pPr>
              <w:pStyle w:val="Tablebulletpoint"/>
              <w:rPr>
                <w:lang w:eastAsia="ja-JP"/>
              </w:rPr>
            </w:pPr>
            <w:r w:rsidRPr="003B46EA">
              <w:rPr>
                <w:lang w:eastAsia="ja-JP"/>
              </w:rPr>
              <w:t xml:space="preserve">Total submitted </w:t>
            </w:r>
            <w:r w:rsidRPr="003B46EA">
              <w:t>costs</w:t>
            </w:r>
            <w:r w:rsidRPr="003B46EA">
              <w:rPr>
                <w:lang w:eastAsia="ja-JP"/>
              </w:rPr>
              <w:t xml:space="preserve"> increased by </w:t>
            </w:r>
            <w:r w:rsidR="00031E2C">
              <w:rPr>
                <w:lang w:eastAsia="ja-JP"/>
              </w:rPr>
              <w:t>9.2</w:t>
            </w:r>
            <w:r w:rsidRPr="003B46EA">
              <w:rPr>
                <w:lang w:eastAsia="ja-JP"/>
              </w:rPr>
              <w:t xml:space="preserve">%, </w:t>
            </w:r>
            <w:r w:rsidR="00A96971">
              <w:rPr>
                <w:lang w:eastAsia="ja-JP"/>
              </w:rPr>
              <w:t>meaning</w:t>
            </w:r>
            <w:r w:rsidRPr="003B46EA">
              <w:rPr>
                <w:lang w:eastAsia="ja-JP"/>
              </w:rPr>
              <w:t xml:space="preserve"> that average cost per GWAU reduced by </w:t>
            </w:r>
            <w:r w:rsidR="00031E2C">
              <w:rPr>
                <w:lang w:eastAsia="ja-JP"/>
              </w:rPr>
              <w:t>2.1</w:t>
            </w:r>
            <w:r w:rsidRPr="003B46EA">
              <w:rPr>
                <w:lang w:eastAsia="ja-JP"/>
              </w:rPr>
              <w:t>%.</w:t>
            </w:r>
          </w:p>
          <w:p w14:paraId="2CC4CB3F" w14:textId="1691D72F" w:rsidR="00A12A58" w:rsidRPr="003B46EA" w:rsidRDefault="00E550D8" w:rsidP="003B46EA">
            <w:pPr>
              <w:pStyle w:val="Tablebulletpoint"/>
              <w:rPr>
                <w:lang w:eastAsia="ja-JP"/>
              </w:rPr>
            </w:pPr>
            <w:r w:rsidRPr="003B46EA">
              <w:rPr>
                <w:lang w:eastAsia="ja-JP"/>
              </w:rPr>
              <w:t xml:space="preserve">There was an exceptional circumstance noted in </w:t>
            </w:r>
            <w:r w:rsidR="007F7510">
              <w:rPr>
                <w:lang w:eastAsia="ja-JP"/>
              </w:rPr>
              <w:t>Vic</w:t>
            </w:r>
            <w:r w:rsidR="00527DF8">
              <w:rPr>
                <w:lang w:eastAsia="ja-JP"/>
              </w:rPr>
              <w:t>toria’</w:t>
            </w:r>
            <w:r w:rsidR="007F7510">
              <w:rPr>
                <w:lang w:eastAsia="ja-JP"/>
              </w:rPr>
              <w:t>s</w:t>
            </w:r>
            <w:r w:rsidRPr="003B46EA">
              <w:rPr>
                <w:lang w:eastAsia="ja-JP"/>
              </w:rPr>
              <w:t xml:space="preserve"> DQS relating to non-admitted</w:t>
            </w:r>
            <w:r w:rsidR="00E00BCC">
              <w:rPr>
                <w:lang w:eastAsia="ja-JP"/>
              </w:rPr>
              <w:t xml:space="preserve">, </w:t>
            </w:r>
            <w:r w:rsidRPr="003B46EA">
              <w:rPr>
                <w:lang w:eastAsia="ja-JP"/>
              </w:rPr>
              <w:t xml:space="preserve">Western Health HS </w:t>
            </w:r>
            <w:r w:rsidR="00E00BCC">
              <w:rPr>
                <w:lang w:eastAsia="ja-JP"/>
              </w:rPr>
              <w:t xml:space="preserve">having </w:t>
            </w:r>
            <w:r w:rsidRPr="003B46EA">
              <w:rPr>
                <w:lang w:eastAsia="ja-JP"/>
              </w:rPr>
              <w:t>implemented a new eMR system and were unable to submit costs and activity for 2 campuses.</w:t>
            </w:r>
          </w:p>
        </w:tc>
      </w:tr>
      <w:tr w:rsidR="00A12A58" w:rsidRPr="002C3BA4" w14:paraId="50242174" w14:textId="77777777" w:rsidTr="00FE3C18">
        <w:trPr>
          <w:cantSplit/>
          <w:trHeight w:val="2098"/>
        </w:trPr>
        <w:tc>
          <w:tcPr>
            <w:tcW w:w="1451" w:type="dxa"/>
            <w:shd w:val="clear" w:color="auto" w:fill="B4B5DB" w:themeFill="accent4"/>
            <w:vAlign w:val="center"/>
          </w:tcPr>
          <w:p w14:paraId="4D285C96" w14:textId="0398EE1F" w:rsidR="00A12A58" w:rsidRPr="00AD1F32" w:rsidRDefault="00742774" w:rsidP="0095165E">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t>Subacute</w:t>
            </w:r>
          </w:p>
        </w:tc>
        <w:tc>
          <w:tcPr>
            <w:tcW w:w="7529" w:type="dxa"/>
            <w:shd w:val="clear" w:color="auto" w:fill="EFF0F7" w:themeFill="accent4" w:themeFillTint="33"/>
          </w:tcPr>
          <w:p w14:paraId="41C9D926" w14:textId="779C6E81" w:rsidR="00742774" w:rsidRPr="003B46EA" w:rsidRDefault="00742774" w:rsidP="003B46EA">
            <w:pPr>
              <w:pStyle w:val="Tablebulletpoint"/>
              <w:rPr>
                <w:lang w:eastAsia="ja-JP"/>
              </w:rPr>
            </w:pPr>
            <w:r w:rsidRPr="003B46EA">
              <w:rPr>
                <w:lang w:eastAsia="ja-JP"/>
              </w:rPr>
              <w:t>The subacute stream is a relatively small stream, making up only 0.5% of episodes. Costed subacute episodes increased by 5.5% in 2023-24, with an increase in GWAU (0.9%) suggesting a slight reduction in average patient complexity.</w:t>
            </w:r>
          </w:p>
          <w:p w14:paraId="382903E4" w14:textId="7CCDE0F9" w:rsidR="00A12A58" w:rsidRPr="003B46EA" w:rsidRDefault="00742774" w:rsidP="003B46EA">
            <w:pPr>
              <w:pStyle w:val="Tablebulletpoint"/>
              <w:rPr>
                <w:lang w:eastAsia="ja-JP"/>
              </w:rPr>
            </w:pPr>
            <w:r w:rsidRPr="003B46EA">
              <w:rPr>
                <w:lang w:eastAsia="ja-JP"/>
              </w:rPr>
              <w:t xml:space="preserve">The </w:t>
            </w:r>
            <w:r w:rsidRPr="003B46EA">
              <w:t>average cost per GWAU</w:t>
            </w:r>
            <w:r w:rsidRPr="003B46EA">
              <w:rPr>
                <w:lang w:eastAsia="ja-JP"/>
              </w:rPr>
              <w:t xml:space="preserve"> grew by </w:t>
            </w:r>
            <w:r w:rsidR="002F5944">
              <w:rPr>
                <w:lang w:eastAsia="ja-JP"/>
              </w:rPr>
              <w:t>5.5</w:t>
            </w:r>
            <w:r w:rsidRPr="003B46EA">
              <w:rPr>
                <w:lang w:eastAsia="ja-JP"/>
              </w:rPr>
              <w:t xml:space="preserve">% over the year, </w:t>
            </w:r>
            <w:r w:rsidR="00A96971">
              <w:rPr>
                <w:lang w:eastAsia="ja-JP"/>
              </w:rPr>
              <w:t>resulting</w:t>
            </w:r>
            <w:r w:rsidRPr="003B46EA">
              <w:rPr>
                <w:lang w:eastAsia="ja-JP"/>
              </w:rPr>
              <w:t xml:space="preserve"> in a high growth in total cost for this stream over and above the increase in episodes, with the $1.2 billion in total submitted costs representing an </w:t>
            </w:r>
            <w:r w:rsidR="00112CB3">
              <w:rPr>
                <w:lang w:eastAsia="ja-JP"/>
              </w:rPr>
              <w:t>6.5</w:t>
            </w:r>
            <w:r w:rsidRPr="003B46EA">
              <w:rPr>
                <w:lang w:eastAsia="ja-JP"/>
              </w:rPr>
              <w:t>% increase compared to 2022-23.</w:t>
            </w:r>
          </w:p>
        </w:tc>
      </w:tr>
      <w:tr w:rsidR="00742774" w:rsidRPr="002C3BA4" w14:paraId="13C5D03F" w14:textId="77777777" w:rsidTr="00132D56">
        <w:trPr>
          <w:cantSplit/>
          <w:trHeight w:val="2530"/>
        </w:trPr>
        <w:tc>
          <w:tcPr>
            <w:tcW w:w="1451" w:type="dxa"/>
            <w:shd w:val="clear" w:color="auto" w:fill="80C0B0"/>
            <w:vAlign w:val="center"/>
          </w:tcPr>
          <w:p w14:paraId="16CB1DD4" w14:textId="3600BAB6" w:rsidR="00742774" w:rsidRPr="00AD1F32" w:rsidRDefault="0045621C" w:rsidP="0095165E">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t>Admitted mental health</w:t>
            </w:r>
          </w:p>
        </w:tc>
        <w:tc>
          <w:tcPr>
            <w:tcW w:w="7529" w:type="dxa"/>
            <w:shd w:val="clear" w:color="auto" w:fill="BCDED5"/>
          </w:tcPr>
          <w:p w14:paraId="059D277F" w14:textId="013CADE4" w:rsidR="0045621C" w:rsidRPr="003B46EA" w:rsidRDefault="0045621C" w:rsidP="003B46EA">
            <w:pPr>
              <w:pStyle w:val="Tablebulletpoint"/>
              <w:rPr>
                <w:lang w:eastAsia="ja-JP"/>
              </w:rPr>
            </w:pPr>
            <w:r w:rsidRPr="003B46EA">
              <w:rPr>
                <w:lang w:eastAsia="ja-JP"/>
              </w:rPr>
              <w:t xml:space="preserve">The majority of </w:t>
            </w:r>
            <w:r w:rsidR="007F7510">
              <w:rPr>
                <w:lang w:eastAsia="ja-JP"/>
              </w:rPr>
              <w:t>Vic</w:t>
            </w:r>
            <w:r w:rsidR="00904EC4">
              <w:rPr>
                <w:lang w:eastAsia="ja-JP"/>
              </w:rPr>
              <w:t>toria’</w:t>
            </w:r>
            <w:r w:rsidR="007F7510">
              <w:rPr>
                <w:lang w:eastAsia="ja-JP"/>
              </w:rPr>
              <w:t>s</w:t>
            </w:r>
            <w:r w:rsidRPr="003B46EA">
              <w:rPr>
                <w:lang w:eastAsia="ja-JP"/>
              </w:rPr>
              <w:t xml:space="preserve"> submission for admitted mental health was for </w:t>
            </w:r>
            <w:r w:rsidRPr="003B46EA">
              <w:t>phases of care</w:t>
            </w:r>
            <w:r w:rsidRPr="003B46EA">
              <w:rPr>
                <w:lang w:eastAsia="ja-JP"/>
              </w:rPr>
              <w:t xml:space="preserve">, </w:t>
            </w:r>
            <w:r w:rsidR="00A96971">
              <w:rPr>
                <w:lang w:eastAsia="ja-JP"/>
              </w:rPr>
              <w:t>growing</w:t>
            </w:r>
            <w:r w:rsidRPr="003B46EA">
              <w:rPr>
                <w:lang w:eastAsia="ja-JP"/>
              </w:rPr>
              <w:t xml:space="preserve"> by 25.9% in 2023-24. There was a corresponding 14.8% increase in </w:t>
            </w:r>
            <w:r w:rsidRPr="003B46EA">
              <w:t>GWAU</w:t>
            </w:r>
            <w:r w:rsidRPr="003B46EA">
              <w:rPr>
                <w:lang w:eastAsia="ja-JP"/>
              </w:rPr>
              <w:t xml:space="preserve">. Costs submitted for admitted mental health </w:t>
            </w:r>
            <w:r w:rsidR="009B518D">
              <w:rPr>
                <w:lang w:eastAsia="ja-JP"/>
              </w:rPr>
              <w:t xml:space="preserve">phases </w:t>
            </w:r>
            <w:r w:rsidRPr="003B46EA">
              <w:rPr>
                <w:lang w:eastAsia="ja-JP"/>
              </w:rPr>
              <w:t xml:space="preserve">increased by </w:t>
            </w:r>
            <w:r w:rsidR="00D4512D">
              <w:rPr>
                <w:lang w:eastAsia="ja-JP"/>
              </w:rPr>
              <w:t>19.0</w:t>
            </w:r>
            <w:r w:rsidRPr="003B46EA">
              <w:rPr>
                <w:lang w:eastAsia="ja-JP"/>
              </w:rPr>
              <w:t xml:space="preserve">%. </w:t>
            </w:r>
            <w:r w:rsidR="00C83695">
              <w:rPr>
                <w:lang w:eastAsia="ja-JP"/>
              </w:rPr>
              <w:t>Victoria</w:t>
            </w:r>
            <w:r w:rsidRPr="003B46EA">
              <w:rPr>
                <w:lang w:eastAsia="ja-JP"/>
              </w:rPr>
              <w:t xml:space="preserve"> reported that a 2022 Royal Commission into Mental Health made a series of recommendations, implemented in 2023-24 including additional workforce and a layer in the mental health care model which will become the referral point into admitted mental health services. </w:t>
            </w:r>
          </w:p>
          <w:p w14:paraId="09441427" w14:textId="5A8EDCD8" w:rsidR="00742774" w:rsidRPr="003B46EA" w:rsidRDefault="0045621C" w:rsidP="003B46EA">
            <w:pPr>
              <w:pStyle w:val="Tablebulletpoint"/>
            </w:pPr>
            <w:r w:rsidRPr="003B46EA">
              <w:rPr>
                <w:lang w:eastAsia="ja-JP"/>
              </w:rPr>
              <w:t xml:space="preserve">The net effect of these changes meant that the average cost to deliver admitted mental health </w:t>
            </w:r>
            <w:r w:rsidR="00EC5D62">
              <w:rPr>
                <w:lang w:eastAsia="ja-JP"/>
              </w:rPr>
              <w:t xml:space="preserve">phase </w:t>
            </w:r>
            <w:r w:rsidRPr="003B46EA">
              <w:rPr>
                <w:lang w:eastAsia="ja-JP"/>
              </w:rPr>
              <w:t>services (</w:t>
            </w:r>
            <w:r w:rsidRPr="003B46EA">
              <w:t>average cost per GWAU</w:t>
            </w:r>
            <w:r w:rsidRPr="003B46EA">
              <w:rPr>
                <w:lang w:eastAsia="ja-JP"/>
              </w:rPr>
              <w:t xml:space="preserve">) increased by </w:t>
            </w:r>
            <w:r w:rsidR="003461C6">
              <w:rPr>
                <w:lang w:eastAsia="ja-JP"/>
              </w:rPr>
              <w:t>3.6</w:t>
            </w:r>
            <w:r w:rsidRPr="003B46EA">
              <w:rPr>
                <w:lang w:eastAsia="ja-JP"/>
              </w:rPr>
              <w:t xml:space="preserve">%. </w:t>
            </w:r>
          </w:p>
        </w:tc>
      </w:tr>
      <w:tr w:rsidR="0045621C" w:rsidRPr="002C3BA4" w14:paraId="0A38F0A7" w14:textId="77777777" w:rsidTr="00132D56">
        <w:trPr>
          <w:cantSplit/>
          <w:trHeight w:val="2530"/>
        </w:trPr>
        <w:tc>
          <w:tcPr>
            <w:tcW w:w="1451" w:type="dxa"/>
            <w:shd w:val="clear" w:color="auto" w:fill="220054" w:themeFill="accent1"/>
            <w:vAlign w:val="center"/>
          </w:tcPr>
          <w:p w14:paraId="2D41A626" w14:textId="5CA50FA5" w:rsidR="0045621C" w:rsidRDefault="003B46EA" w:rsidP="0095165E">
            <w:pPr>
              <w:pStyle w:val="TableHeadingtext"/>
              <w:framePr w:hSpace="0" w:wrap="auto" w:vAnchor="margin" w:hAnchor="text" w:yAlign="inline"/>
              <w:jc w:val="center"/>
              <w:rPr>
                <w:rFonts w:asciiTheme="majorHAnsi" w:hAnsiTheme="majorHAnsi"/>
              </w:rPr>
            </w:pPr>
            <w:r w:rsidRPr="003B46EA">
              <w:rPr>
                <w:rFonts w:asciiTheme="majorHAnsi" w:hAnsiTheme="majorHAnsi"/>
                <w:color w:val="FFFFFF" w:themeColor="background1"/>
              </w:rPr>
              <w:lastRenderedPageBreak/>
              <w:t>Community mental health</w:t>
            </w:r>
          </w:p>
        </w:tc>
        <w:tc>
          <w:tcPr>
            <w:tcW w:w="7529" w:type="dxa"/>
            <w:shd w:val="clear" w:color="auto" w:fill="D8D9E1" w:themeFill="accent3" w:themeFillTint="33"/>
          </w:tcPr>
          <w:p w14:paraId="295989F3" w14:textId="1BF94841" w:rsidR="003B46EA" w:rsidRPr="003B46EA" w:rsidRDefault="003B46EA" w:rsidP="003B46EA">
            <w:pPr>
              <w:pStyle w:val="Tablebulletpoint"/>
            </w:pPr>
            <w:r w:rsidRPr="003B46EA">
              <w:t xml:space="preserve">Submissions for community mental health continue to mature for </w:t>
            </w:r>
            <w:r w:rsidR="00C83695">
              <w:t xml:space="preserve">Victoria </w:t>
            </w:r>
            <w:r w:rsidRPr="003B46EA">
              <w:t>and hence there has been volatility in submitted costs and activity for 2023</w:t>
            </w:r>
            <w:r w:rsidR="00527DF8">
              <w:noBreakHyphen/>
            </w:r>
            <w:r w:rsidRPr="003B46EA">
              <w:t>24 as data quality continues to improve.</w:t>
            </w:r>
            <w:r w:rsidR="00D758FF">
              <w:t xml:space="preserve"> </w:t>
            </w:r>
          </w:p>
          <w:p w14:paraId="6B0E072A" w14:textId="4555B14A" w:rsidR="003B46EA" w:rsidRPr="003B46EA" w:rsidRDefault="003B46EA" w:rsidP="003B46EA">
            <w:pPr>
              <w:pStyle w:val="Tablebulletpoint"/>
            </w:pPr>
            <w:r w:rsidRPr="003B46EA">
              <w:t>Community mental health activity is not restricted to ABF hospitals</w:t>
            </w:r>
            <w:r w:rsidR="000A12A7">
              <w:t xml:space="preserve"> (unlike the rest of the Cost Driver analysis)</w:t>
            </w:r>
            <w:r w:rsidRPr="003B46EA">
              <w:t>, and the number of phases</w:t>
            </w:r>
            <w:r w:rsidR="00D758FF">
              <w:t xml:space="preserve"> (number of episodes is negligible)</w:t>
            </w:r>
            <w:r w:rsidRPr="003B46EA">
              <w:t xml:space="preserve"> submitted 2023-24 for all facilities decreased by 2</w:t>
            </w:r>
            <w:r w:rsidR="00DD0FC9">
              <w:t>5.6</w:t>
            </w:r>
            <w:r w:rsidRPr="003B46EA">
              <w:t>% compared to 2022-23. Community mental health was not ABF priced in 2023-24 and hence GWAU w</w:t>
            </w:r>
            <w:r w:rsidR="00381DD7">
              <w:t>as</w:t>
            </w:r>
            <w:r w:rsidRPr="003B46EA">
              <w:t xml:space="preserve"> not considered in this analysis. </w:t>
            </w:r>
          </w:p>
          <w:p w14:paraId="1435D8F0" w14:textId="7788C9AD" w:rsidR="003B46EA" w:rsidRPr="003B46EA" w:rsidRDefault="003B46EA" w:rsidP="003B46EA">
            <w:pPr>
              <w:pStyle w:val="Tablebulletpoint"/>
            </w:pPr>
            <w:r w:rsidRPr="003B46EA">
              <w:t xml:space="preserve">Submitted </w:t>
            </w:r>
            <w:r w:rsidR="00AE47B8">
              <w:t xml:space="preserve">phase </w:t>
            </w:r>
            <w:r w:rsidRPr="003B46EA">
              <w:t>costs increased significantly by 2</w:t>
            </w:r>
            <w:r w:rsidR="00DD0FC9">
              <w:t>3.7</w:t>
            </w:r>
            <w:r w:rsidRPr="003B46EA">
              <w:t xml:space="preserve">% compared to 2022-23. </w:t>
            </w:r>
          </w:p>
          <w:p w14:paraId="4A8FD05A" w14:textId="1B0CFB70" w:rsidR="0045621C" w:rsidRPr="003B46EA" w:rsidRDefault="003B46EA" w:rsidP="003B46EA">
            <w:pPr>
              <w:pStyle w:val="Tablebulletpoint"/>
            </w:pPr>
            <w:r w:rsidRPr="003B46EA">
              <w:t>Overall</w:t>
            </w:r>
            <w:r w:rsidR="00FE3C18" w:rsidRPr="003B46EA">
              <w:t>,</w:t>
            </w:r>
            <w:r w:rsidRPr="003B46EA">
              <w:t xml:space="preserve"> the average cost per phase increased by 66</w:t>
            </w:r>
            <w:r w:rsidR="00DD0FC9">
              <w:t>.3</w:t>
            </w:r>
            <w:r w:rsidRPr="003B46EA">
              <w:t>% compared to the prior year.</w:t>
            </w:r>
          </w:p>
        </w:tc>
      </w:tr>
    </w:tbl>
    <w:p w14:paraId="2589A3F7" w14:textId="4610559E" w:rsidR="00C11B40" w:rsidRPr="00A1514D" w:rsidRDefault="00C83695" w:rsidP="00A1514D">
      <w:pPr>
        <w:pStyle w:val="Heading3"/>
      </w:pPr>
      <w:r>
        <w:t xml:space="preserve">Victoria </w:t>
      </w:r>
      <w:r w:rsidR="00C362D1" w:rsidRPr="00A1514D">
        <w:t>Costing Summary</w:t>
      </w:r>
    </w:p>
    <w:p w14:paraId="3CB7AB30" w14:textId="7BB1628A" w:rsidR="00C362D1" w:rsidRPr="00AD1F32" w:rsidRDefault="00C83695" w:rsidP="003060BB">
      <w:pPr>
        <w:pStyle w:val="Heading4"/>
        <w:rPr>
          <w:color w:val="484B5D" w:themeColor="accent3"/>
        </w:rPr>
      </w:pPr>
      <w:r w:rsidRPr="00AD1F32">
        <w:rPr>
          <w:color w:val="484B5D" w:themeColor="accent3"/>
        </w:rPr>
        <w:t xml:space="preserve">Victoria </w:t>
      </w:r>
      <w:r w:rsidR="00C362D1" w:rsidRPr="00AD1F32">
        <w:rPr>
          <w:color w:val="484B5D" w:themeColor="accent3"/>
        </w:rPr>
        <w:t>costing process</w:t>
      </w:r>
    </w:p>
    <w:p w14:paraId="54B41793" w14:textId="0815CD38" w:rsidR="005F7ACD" w:rsidRPr="004A6730" w:rsidRDefault="005F7ACD" w:rsidP="005F7ACD">
      <w:r w:rsidRPr="004A6730">
        <w:t xml:space="preserve">In </w:t>
      </w:r>
      <w:r w:rsidR="007F7510" w:rsidRPr="004A6730">
        <w:t>Vic</w:t>
      </w:r>
      <w:r w:rsidR="00904EC4" w:rsidRPr="004A6730">
        <w:t>toria</w:t>
      </w:r>
      <w:r w:rsidRPr="004A6730">
        <w:t xml:space="preserve">, the Department of Health (DoH) coordinates the Victorian Cost Data Collection (VCDC), an annual submission of patient-level costing data across all hospital settings. This data supports the development and refinement of </w:t>
      </w:r>
      <w:r w:rsidR="007F7510" w:rsidRPr="004A6730">
        <w:t>Vic</w:t>
      </w:r>
      <w:r w:rsidR="00904EC4" w:rsidRPr="004A6730">
        <w:t>toria</w:t>
      </w:r>
      <w:r w:rsidR="007F7510" w:rsidRPr="004A6730">
        <w:t>’s</w:t>
      </w:r>
      <w:r w:rsidRPr="004A6730">
        <w:t xml:space="preserve"> funding models and covers a broader scope than the NHCDC. The DoH maps the VCDC to the NHCDC to form </w:t>
      </w:r>
      <w:r w:rsidR="007F7510" w:rsidRPr="004A6730">
        <w:t>Vic</w:t>
      </w:r>
      <w:r w:rsidR="00904EC4" w:rsidRPr="004A6730">
        <w:t>toria</w:t>
      </w:r>
      <w:r w:rsidR="007F7510" w:rsidRPr="004A6730">
        <w:t>’s</w:t>
      </w:r>
      <w:r w:rsidRPr="004A6730">
        <w:t xml:space="preserve"> national submission. Each year, the VCDC team at DoH releases updated guidance, data definitions, and specifications for the collection. While tailored to VCDC requirements, these are aligned with the AHPCS v4.2 and NHCDC specifications to ensure national consistency. </w:t>
      </w:r>
      <w:r w:rsidR="00C83695" w:rsidRPr="004A6730">
        <w:t>Victoria</w:t>
      </w:r>
      <w:r w:rsidRPr="004A6730">
        <w:t xml:space="preserve"> is looking into aligning the VCDC to the NHCDC in the coming years</w:t>
      </w:r>
      <w:r w:rsidR="00AB5B90" w:rsidRPr="004A6730">
        <w:t>.</w:t>
      </w:r>
    </w:p>
    <w:p w14:paraId="1BF9495B" w14:textId="77777777" w:rsidR="005F7ACD" w:rsidRPr="00FD6FDF" w:rsidRDefault="005F7ACD" w:rsidP="005F7ACD">
      <w:r w:rsidRPr="004A6730">
        <w:t xml:space="preserve">Individual HSs prepare their costing </w:t>
      </w:r>
      <w:r w:rsidRPr="00FD6FDF">
        <w:t>returns using internal costing systems, although a small number of regional services outsource this function to third-party providers. Once prepared, costing files are submitted via a secure data exchange platform and undergo validation to identify critical errors. These are resolved through an iterative process. Validated data then enters a linking and matching phase, where the DoH team reviews and removes duplicate records. Reports are generated to highlight unmatched episodes, which are investigated further in another iterative cycle.</w:t>
      </w:r>
    </w:p>
    <w:p w14:paraId="457FF190" w14:textId="428659B6" w:rsidR="005F7ACD" w:rsidRPr="00FD6FDF" w:rsidRDefault="005F7ACD" w:rsidP="005F7ACD">
      <w:r w:rsidRPr="00FD6FDF">
        <w:t xml:space="preserve">Following successful linking, QA checks are performed, and QA reports are produced. Queries are raised with commentary for each unlinked episode, and </w:t>
      </w:r>
      <w:r>
        <w:t xml:space="preserve">HSs </w:t>
      </w:r>
      <w:r w:rsidRPr="00FD6FDF">
        <w:t xml:space="preserve">submit </w:t>
      </w:r>
      <w:r>
        <w:t xml:space="preserve">a </w:t>
      </w:r>
      <w:r w:rsidRPr="00FD6FDF">
        <w:t xml:space="preserve">DQS and reconciliation documentation. Each submission is formally signed off by the Executive Director of Finance at the respective </w:t>
      </w:r>
      <w:r>
        <w:t>HS</w:t>
      </w:r>
      <w:r w:rsidRPr="00FD6FDF">
        <w:t>. The DoH then maps VCDC cost centres, line items, and activity data to meet NHCDC reporting requirements.</w:t>
      </w:r>
    </w:p>
    <w:p w14:paraId="5863026B" w14:textId="0C567C42" w:rsidR="005F7ACD" w:rsidRPr="00FD6FDF" w:rsidRDefault="005F7ACD" w:rsidP="005F7ACD">
      <w:pPr>
        <w:spacing w:line="240" w:lineRule="auto"/>
      </w:pPr>
      <w:r w:rsidRPr="00FD6FDF">
        <w:t xml:space="preserve">Across </w:t>
      </w:r>
      <w:r w:rsidR="007F7510">
        <w:t>Vic</w:t>
      </w:r>
      <w:r w:rsidR="00904EC4">
        <w:t>toria</w:t>
      </w:r>
      <w:r w:rsidRPr="00FD6FDF">
        <w:t xml:space="preserve">, costing data </w:t>
      </w:r>
      <w:r w:rsidR="00421EA3">
        <w:t>is used to</w:t>
      </w:r>
      <w:r w:rsidRPr="00FD6FDF">
        <w:t xml:space="preserve"> inform and refin</w:t>
      </w:r>
      <w:r w:rsidR="00421EA3">
        <w:t>e</w:t>
      </w:r>
      <w:r w:rsidRPr="00FD6FDF">
        <w:t xml:space="preserve"> funding models</w:t>
      </w:r>
      <w:r w:rsidR="00421EA3">
        <w:t xml:space="preserve"> at a jurisdiction level and</w:t>
      </w:r>
      <w:r w:rsidR="00D76A9C">
        <w:t>,</w:t>
      </w:r>
      <w:r w:rsidRPr="00FD6FDF">
        <w:t xml:space="preserve"> </w:t>
      </w:r>
      <w:r w:rsidR="008E20E1">
        <w:t>to varying degrees</w:t>
      </w:r>
      <w:r w:rsidR="00D76A9C">
        <w:t>,</w:t>
      </w:r>
      <w:r w:rsidR="008E20E1">
        <w:t xml:space="preserve"> </w:t>
      </w:r>
      <w:r w:rsidRPr="00FD6FDF">
        <w:t>support business case development and identify opportunities for service improvement</w:t>
      </w:r>
      <w:r w:rsidR="00421EA3">
        <w:t xml:space="preserve"> within </w:t>
      </w:r>
      <w:r w:rsidR="00F660D2">
        <w:t xml:space="preserve">individual </w:t>
      </w:r>
      <w:r w:rsidR="00421EA3">
        <w:t>HS</w:t>
      </w:r>
      <w:r w:rsidR="00D76A9C">
        <w:t>s</w:t>
      </w:r>
      <w:r w:rsidRPr="00FD6FDF">
        <w:t>.</w:t>
      </w:r>
    </w:p>
    <w:p w14:paraId="6960AC4B" w14:textId="25B8DD20" w:rsidR="005F7ACD" w:rsidRPr="00FD6FDF" w:rsidRDefault="00C83695" w:rsidP="005F7ACD">
      <w:pPr>
        <w:spacing w:line="240" w:lineRule="auto"/>
        <w:rPr>
          <w:color w:val="44546A" w:themeColor="text2"/>
        </w:rPr>
      </w:pPr>
      <w:r>
        <w:rPr>
          <w:color w:val="44546A" w:themeColor="text2"/>
        </w:rPr>
        <w:t>Victoria</w:t>
      </w:r>
      <w:r w:rsidR="005F7ACD" w:rsidRPr="00FD6FDF">
        <w:rPr>
          <w:color w:val="44546A" w:themeColor="text2"/>
        </w:rPr>
        <w:t xml:space="preserve"> has implemented several changes for the 2023-24 year:</w:t>
      </w:r>
    </w:p>
    <w:p w14:paraId="3CBEA8E4" w14:textId="6C966ED8" w:rsidR="005F7ACD" w:rsidRPr="00FD6FDF" w:rsidRDefault="005F7ACD" w:rsidP="006044E0">
      <w:pPr>
        <w:pStyle w:val="ListParagraph"/>
        <w:numPr>
          <w:ilvl w:val="0"/>
          <w:numId w:val="6"/>
        </w:numPr>
      </w:pPr>
      <w:r w:rsidRPr="00FD6FDF">
        <w:lastRenderedPageBreak/>
        <w:t xml:space="preserve">Data for Home Dialysis and Home Enteral Nutrition (HEN) are identified from the Victorian Integrated </w:t>
      </w:r>
      <w:r w:rsidR="00700A0C">
        <w:t xml:space="preserve">Non-Admitted </w:t>
      </w:r>
      <w:r w:rsidRPr="00FD6FDF">
        <w:t>Health</w:t>
      </w:r>
      <w:r>
        <w:t xml:space="preserve"> (VINAH)</w:t>
      </w:r>
      <w:r w:rsidRPr="00FD6FDF">
        <w:t xml:space="preserve"> Dataset with the extract modified </w:t>
      </w:r>
      <w:r>
        <w:t xml:space="preserve">in 2023-24 </w:t>
      </w:r>
      <w:r w:rsidRPr="00FD6FDF">
        <w:t>to address data issues identified in 2022-23.</w:t>
      </w:r>
    </w:p>
    <w:p w14:paraId="7961FF07" w14:textId="00AAC0E3" w:rsidR="005F7ACD" w:rsidRPr="00FD6FDF" w:rsidRDefault="005F7ACD" w:rsidP="006044E0">
      <w:pPr>
        <w:pStyle w:val="ListParagraph"/>
        <w:numPr>
          <w:ilvl w:val="0"/>
          <w:numId w:val="6"/>
        </w:numPr>
      </w:pPr>
      <w:r w:rsidRPr="00FD6FDF">
        <w:t>The higher weightings for COVID</w:t>
      </w:r>
      <w:r w:rsidR="00700A0C">
        <w:t>-19</w:t>
      </w:r>
      <w:r w:rsidRPr="00FD6FDF">
        <w:t xml:space="preserve"> patients on general wards are no longer applied. </w:t>
      </w:r>
      <w:r w:rsidR="00C83695">
        <w:t>Victoria</w:t>
      </w:r>
      <w:r w:rsidRPr="00FD6FDF">
        <w:t xml:space="preserve"> has identified that changed clinical practices to managing this cohort mean</w:t>
      </w:r>
      <w:r>
        <w:t>ing</w:t>
      </w:r>
      <w:r w:rsidRPr="00FD6FDF">
        <w:t xml:space="preserve"> that an uplift is no longer appropriate.</w:t>
      </w:r>
    </w:p>
    <w:p w14:paraId="3F81A555" w14:textId="6A4DBD11" w:rsidR="005F7ACD" w:rsidRPr="00FD6FDF" w:rsidRDefault="00C83695" w:rsidP="005F7ACD">
      <w:pPr>
        <w:spacing w:line="240" w:lineRule="auto"/>
        <w:rPr>
          <w:color w:val="44546A" w:themeColor="text2"/>
          <w:highlight w:val="red"/>
        </w:rPr>
      </w:pPr>
      <w:r>
        <w:rPr>
          <w:color w:val="44546A" w:themeColor="text2"/>
        </w:rPr>
        <w:t>Victoria</w:t>
      </w:r>
      <w:r w:rsidR="005F7ACD" w:rsidRPr="00FD6FDF">
        <w:rPr>
          <w:color w:val="44546A" w:themeColor="text2"/>
        </w:rPr>
        <w:t xml:space="preserve"> has reported variance from AHPCS v4.2 in the following areas:</w:t>
      </w:r>
    </w:p>
    <w:p w14:paraId="6BB07608" w14:textId="77777777" w:rsidR="005F7ACD" w:rsidRPr="00FD6FDF" w:rsidRDefault="005F7ACD" w:rsidP="006044E0">
      <w:pPr>
        <w:pStyle w:val="ListParagraph"/>
        <w:numPr>
          <w:ilvl w:val="0"/>
          <w:numId w:val="6"/>
        </w:numPr>
      </w:pPr>
      <w:r w:rsidRPr="00FD6FDF">
        <w:t>Capital and Depreciation are not included as it is a non-cash expenditure and does not impact operational costs.</w:t>
      </w:r>
    </w:p>
    <w:p w14:paraId="75455AC8" w14:textId="75E9618B" w:rsidR="005F7ACD" w:rsidRPr="004A6730" w:rsidRDefault="005F7ACD" w:rsidP="006044E0">
      <w:pPr>
        <w:pStyle w:val="ListParagraph"/>
        <w:numPr>
          <w:ilvl w:val="0"/>
          <w:numId w:val="6"/>
        </w:numPr>
      </w:pPr>
      <w:r w:rsidRPr="00FD6FDF">
        <w:t xml:space="preserve">There is no consistent method for Teaching and Training expenses. It is included as an overhead when the sole purpose of the activity is teaching and training and as a </w:t>
      </w:r>
      <w:r w:rsidR="00EE7B55" w:rsidRPr="00A47640">
        <w:rPr>
          <w:i/>
          <w:iCs/>
        </w:rPr>
        <w:t>S&amp;W</w:t>
      </w:r>
      <w:r w:rsidRPr="00FD6FDF">
        <w:t xml:space="preserve"> </w:t>
      </w:r>
      <w:r>
        <w:t>cost</w:t>
      </w:r>
      <w:r w:rsidRPr="00FD6FDF">
        <w:t xml:space="preserve"> </w:t>
      </w:r>
      <w:r w:rsidRPr="004A6730">
        <w:t>when teaching and training cannot be separated from routine work and is embedded in patient care.</w:t>
      </w:r>
    </w:p>
    <w:p w14:paraId="530BA9CB" w14:textId="117FF777" w:rsidR="00C362D1" w:rsidRPr="004A6730" w:rsidRDefault="005F7ACD" w:rsidP="006044E0">
      <w:pPr>
        <w:pStyle w:val="ListParagraph"/>
        <w:numPr>
          <w:ilvl w:val="0"/>
          <w:numId w:val="6"/>
        </w:numPr>
      </w:pPr>
      <w:r w:rsidRPr="004A6730">
        <w:t>Research costs are excluded as the ABF work stream continues to be developed.</w:t>
      </w:r>
    </w:p>
    <w:p w14:paraId="45F5BD76" w14:textId="435B1276" w:rsidR="005F7ACD" w:rsidRPr="00AD1F32" w:rsidRDefault="00C83695" w:rsidP="003060BB">
      <w:pPr>
        <w:pStyle w:val="Heading4"/>
        <w:rPr>
          <w:color w:val="484B5D" w:themeColor="accent3"/>
        </w:rPr>
      </w:pPr>
      <w:r w:rsidRPr="00AD1F32">
        <w:rPr>
          <w:color w:val="484B5D" w:themeColor="accent3"/>
        </w:rPr>
        <w:t>Victoria</w:t>
      </w:r>
      <w:r w:rsidR="005F7ACD" w:rsidRPr="00AD1F32">
        <w:rPr>
          <w:color w:val="484B5D" w:themeColor="accent3"/>
        </w:rPr>
        <w:t xml:space="preserve"> structural arrangements and inclusion in costing outputs</w:t>
      </w:r>
    </w:p>
    <w:p w14:paraId="22DA544D" w14:textId="370EF5DD" w:rsidR="00BC2442" w:rsidRPr="00FD6FDF" w:rsidRDefault="00132D56" w:rsidP="00BC2442">
      <w:r w:rsidRPr="004A6730">
        <w:rPr>
          <w:noProof/>
        </w:rPr>
        <mc:AlternateContent>
          <mc:Choice Requires="wps">
            <w:drawing>
              <wp:anchor distT="45720" distB="45720" distL="114300" distR="114300" simplePos="0" relativeHeight="251658241" behindDoc="0" locked="0" layoutInCell="1" allowOverlap="1" wp14:anchorId="33CEB990" wp14:editId="06D2316A">
                <wp:simplePos x="0" y="0"/>
                <wp:positionH relativeFrom="margin">
                  <wp:align>right</wp:align>
                </wp:positionH>
                <wp:positionV relativeFrom="paragraph">
                  <wp:posOffset>1009547</wp:posOffset>
                </wp:positionV>
                <wp:extent cx="5715000" cy="1447800"/>
                <wp:effectExtent l="0" t="0" r="0" b="0"/>
                <wp:wrapTopAndBottom/>
                <wp:docPr id="947724345" name="Text Box 2" descr="P1491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16ECD9F0" w14:textId="21701726" w:rsidR="00D27D0D" w:rsidRPr="001729F2" w:rsidRDefault="00D27D0D" w:rsidP="008B270A">
                            <w:pPr>
                              <w:spacing w:after="120"/>
                              <w:rPr>
                                <w:b/>
                                <w:bCs/>
                                <w:color w:val="FFFFFF" w:themeColor="background1"/>
                              </w:rPr>
                            </w:pPr>
                            <w:r w:rsidRPr="001729F2">
                              <w:rPr>
                                <w:b/>
                                <w:bCs/>
                                <w:color w:val="FFFFFF" w:themeColor="background1"/>
                              </w:rPr>
                              <w:t>Comparability of Vic</w:t>
                            </w:r>
                            <w:r w:rsidR="00647E3D">
                              <w:rPr>
                                <w:b/>
                                <w:bCs/>
                                <w:color w:val="FFFFFF" w:themeColor="background1"/>
                              </w:rPr>
                              <w:t>toria</w:t>
                            </w:r>
                            <w:r w:rsidRPr="001729F2">
                              <w:rPr>
                                <w:b/>
                                <w:bCs/>
                                <w:color w:val="FFFFFF" w:themeColor="background1"/>
                              </w:rPr>
                              <w:t>’s costing outputs to other states</w:t>
                            </w:r>
                          </w:p>
                          <w:p w14:paraId="77A8D506" w14:textId="4FDE45AF" w:rsidR="00D27D0D" w:rsidRPr="001729F2" w:rsidRDefault="004F4511" w:rsidP="00EC453C">
                            <w:pPr>
                              <w:pStyle w:val="Tablebulletpoint"/>
                              <w:rPr>
                                <w:color w:val="FFFFFF" w:themeColor="background1"/>
                              </w:rPr>
                            </w:pPr>
                            <w:r>
                              <w:rPr>
                                <w:color w:val="FFFFFF" w:themeColor="background1"/>
                              </w:rPr>
                              <w:t>Vic</w:t>
                            </w:r>
                            <w:r w:rsidR="00647E3D">
                              <w:rPr>
                                <w:color w:val="FFFFFF" w:themeColor="background1"/>
                              </w:rPr>
                              <w:t>toria</w:t>
                            </w:r>
                            <w:r w:rsidR="00D27D0D" w:rsidRPr="001729F2">
                              <w:rPr>
                                <w:color w:val="FFFFFF" w:themeColor="background1"/>
                              </w:rPr>
                              <w:t xml:space="preserve"> excludes </w:t>
                            </w:r>
                            <w:r w:rsidR="00B9463D">
                              <w:rPr>
                                <w:color w:val="FFFFFF" w:themeColor="background1"/>
                              </w:rPr>
                              <w:t xml:space="preserve">capital and </w:t>
                            </w:r>
                            <w:r w:rsidR="00D27D0D" w:rsidRPr="001729F2">
                              <w:rPr>
                                <w:color w:val="FFFFFF" w:themeColor="background1"/>
                              </w:rPr>
                              <w:t>depreciation costs.</w:t>
                            </w:r>
                          </w:p>
                          <w:p w14:paraId="230132EE" w14:textId="46967288" w:rsidR="00D27D0D" w:rsidRPr="001729F2" w:rsidRDefault="00D27D0D" w:rsidP="00EC453C">
                            <w:pPr>
                              <w:pStyle w:val="Tablebulletpoint"/>
                              <w:rPr>
                                <w:color w:val="FFFFFF" w:themeColor="background1"/>
                              </w:rPr>
                            </w:pPr>
                            <w:r w:rsidRPr="001729F2">
                              <w:rPr>
                                <w:color w:val="FFFFFF" w:themeColor="background1"/>
                              </w:rPr>
                              <w:t>TTR are excluded from patient level cost allocations unless directly relating to patient care. An example of TTR costs included is training expenses for the rollout of the eMR.</w:t>
                            </w:r>
                          </w:p>
                          <w:p w14:paraId="000B8FBC" w14:textId="77777777" w:rsidR="00D27D0D" w:rsidRPr="001729F2" w:rsidRDefault="00D27D0D" w:rsidP="00EC453C">
                            <w:pPr>
                              <w:pStyle w:val="Tablebulletpoint"/>
                              <w:rPr>
                                <w:color w:val="FFFFFF" w:themeColor="background1"/>
                              </w:rPr>
                            </w:pPr>
                            <w:r w:rsidRPr="001729F2">
                              <w:rPr>
                                <w:color w:val="FFFFFF" w:themeColor="background1"/>
                              </w:rPr>
                              <w:t>Posthumous organ donation expenses are excluded.</w:t>
                            </w:r>
                          </w:p>
                          <w:p w14:paraId="1EA62718" w14:textId="5307ED83" w:rsidR="00132D56" w:rsidRPr="001729F2" w:rsidRDefault="00D27D0D" w:rsidP="00EC453C">
                            <w:pPr>
                              <w:pStyle w:val="Tablebulletpoint"/>
                              <w:rPr>
                                <w:color w:val="FFFFFF" w:themeColor="background1"/>
                              </w:rPr>
                            </w:pPr>
                            <w:r w:rsidRPr="001729F2">
                              <w:rPr>
                                <w:color w:val="FFFFFF" w:themeColor="background1"/>
                              </w:rPr>
                              <w:t>Special purpose trust fund expenses are excluded.</w:t>
                            </w:r>
                          </w:p>
                        </w:txbxContent>
                      </wps:txbx>
                      <wps:bodyPr rot="0" vert="horz" wrap="square" lIns="180000" tIns="180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33CEB990" id="_x0000_s1150" type="#_x0000_t202" alt="P1491TB16#y1" style="position:absolute;margin-left:398.8pt;margin-top:79.5pt;width:450pt;height:114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" fillcolor="#343a5e [2405]" stroked="f" strokeweight="1pt">
                <v:textbox style="mso-fit-shape-to-text:t" inset="5mm,5mm,5mm,5mm">
                  <w:txbxContent>
                    <w:p w14:paraId="16ECD9F0" w14:textId="21701726" w:rsidR="00D27D0D" w:rsidRPr="001729F2" w:rsidRDefault="00D27D0D" w:rsidP="008B270A">
                      <w:pPr>
                        <w:spacing w:after="120"/>
                        <w:rPr>
                          <w:b/>
                          <w:bCs/>
                          <w:color w:val="FFFFFF" w:themeColor="background1"/>
                        </w:rPr>
                      </w:pPr>
                      <w:r w:rsidRPr="001729F2">
                        <w:rPr>
                          <w:b/>
                          <w:bCs/>
                          <w:color w:val="FFFFFF" w:themeColor="background1"/>
                        </w:rPr>
                        <w:t>Comparability of Vic</w:t>
                      </w:r>
                      <w:r w:rsidR="00647E3D">
                        <w:rPr>
                          <w:b/>
                          <w:bCs/>
                          <w:color w:val="FFFFFF" w:themeColor="background1"/>
                        </w:rPr>
                        <w:t>toria</w:t>
                      </w:r>
                      <w:r w:rsidRPr="001729F2">
                        <w:rPr>
                          <w:b/>
                          <w:bCs/>
                          <w:color w:val="FFFFFF" w:themeColor="background1"/>
                        </w:rPr>
                        <w:t>’s costing outputs to other states</w:t>
                      </w:r>
                    </w:p>
                    <w:p w14:paraId="77A8D506" w14:textId="4FDE45AF" w:rsidR="00D27D0D" w:rsidRPr="001729F2" w:rsidRDefault="004F4511" w:rsidP="00EC453C">
                      <w:pPr>
                        <w:pStyle w:val="Tablebulletpoint"/>
                        <w:rPr>
                          <w:color w:val="FFFFFF" w:themeColor="background1"/>
                        </w:rPr>
                      </w:pPr>
                      <w:r>
                        <w:rPr>
                          <w:color w:val="FFFFFF" w:themeColor="background1"/>
                        </w:rPr>
                        <w:t>Vic</w:t>
                      </w:r>
                      <w:r w:rsidR="00647E3D">
                        <w:rPr>
                          <w:color w:val="FFFFFF" w:themeColor="background1"/>
                        </w:rPr>
                        <w:t>toria</w:t>
                      </w:r>
                      <w:r w:rsidR="00D27D0D" w:rsidRPr="001729F2">
                        <w:rPr>
                          <w:color w:val="FFFFFF" w:themeColor="background1"/>
                        </w:rPr>
                        <w:t xml:space="preserve"> excludes </w:t>
                      </w:r>
                      <w:r w:rsidR="00B9463D">
                        <w:rPr>
                          <w:color w:val="FFFFFF" w:themeColor="background1"/>
                        </w:rPr>
                        <w:t xml:space="preserve">capital and </w:t>
                      </w:r>
                      <w:r w:rsidR="00D27D0D" w:rsidRPr="001729F2">
                        <w:rPr>
                          <w:color w:val="FFFFFF" w:themeColor="background1"/>
                        </w:rPr>
                        <w:t>depreciation costs.</w:t>
                      </w:r>
                    </w:p>
                    <w:p w14:paraId="230132EE" w14:textId="46967288" w:rsidR="00D27D0D" w:rsidRPr="001729F2" w:rsidRDefault="00D27D0D" w:rsidP="00EC453C">
                      <w:pPr>
                        <w:pStyle w:val="Tablebulletpoint"/>
                        <w:rPr>
                          <w:color w:val="FFFFFF" w:themeColor="background1"/>
                        </w:rPr>
                      </w:pPr>
                      <w:r w:rsidRPr="001729F2">
                        <w:rPr>
                          <w:color w:val="FFFFFF" w:themeColor="background1"/>
                        </w:rPr>
                        <w:t>TTR are excluded from patient level cost allocations unless directly relating to patient care. An example of TTR costs included is training expenses for the rollout of the eMR.</w:t>
                      </w:r>
                    </w:p>
                    <w:p w14:paraId="000B8FBC" w14:textId="77777777" w:rsidR="00D27D0D" w:rsidRPr="001729F2" w:rsidRDefault="00D27D0D" w:rsidP="00EC453C">
                      <w:pPr>
                        <w:pStyle w:val="Tablebulletpoint"/>
                        <w:rPr>
                          <w:color w:val="FFFFFF" w:themeColor="background1"/>
                        </w:rPr>
                      </w:pPr>
                      <w:r w:rsidRPr="001729F2">
                        <w:rPr>
                          <w:color w:val="FFFFFF" w:themeColor="background1"/>
                        </w:rPr>
                        <w:t>Posthumous organ donation expenses are excluded.</w:t>
                      </w:r>
                    </w:p>
                    <w:p w14:paraId="1EA62718" w14:textId="5307ED83" w:rsidR="00132D56" w:rsidRPr="001729F2" w:rsidRDefault="00D27D0D" w:rsidP="00EC453C">
                      <w:pPr>
                        <w:pStyle w:val="Tablebulletpoint"/>
                        <w:rPr>
                          <w:color w:val="FFFFFF" w:themeColor="background1"/>
                        </w:rPr>
                      </w:pPr>
                      <w:r w:rsidRPr="001729F2">
                        <w:rPr>
                          <w:color w:val="FFFFFF" w:themeColor="background1"/>
                        </w:rPr>
                        <w:t>Special purpose trust fund expenses are excluded.</w:t>
                      </w:r>
                    </w:p>
                  </w:txbxContent>
                </v:textbox>
                <w10:wrap type="topAndBottom" anchorx="margin"/>
              </v:shape>
            </w:pict>
          </mc:Fallback>
        </mc:AlternateContent>
      </w:r>
      <w:r w:rsidR="00BC2442" w:rsidRPr="004A6730">
        <w:t xml:space="preserve">Other corporate functions including </w:t>
      </w:r>
      <w:r w:rsidR="00BC2442" w:rsidRPr="00FD6FDF">
        <w:t>finance and payroll, cleaning, linen and food (support services), pathology, pharmacy</w:t>
      </w:r>
      <w:r w:rsidR="008861AA">
        <w:t>,</w:t>
      </w:r>
      <w:r w:rsidR="00BC2442" w:rsidRPr="00FD6FDF">
        <w:t xml:space="preserve"> and radiology (clinical services) are generally provided at a </w:t>
      </w:r>
      <w:r w:rsidR="00BC2442">
        <w:t>HS</w:t>
      </w:r>
      <w:r w:rsidR="00BC2442" w:rsidRPr="00FD6FDF">
        <w:t xml:space="preserve"> level. There is a move towards consolidation of these services under regional alliances to benefit from economies of scale. Where these alliances are in place, costs are recharged between providers and receivers of services under local arrangements.</w:t>
      </w:r>
    </w:p>
    <w:p w14:paraId="4416A0A8" w14:textId="5F62A162" w:rsidR="00BC2442" w:rsidRPr="00AD1F32" w:rsidRDefault="00BC2442" w:rsidP="003060BB">
      <w:pPr>
        <w:pStyle w:val="Heading4"/>
        <w:rPr>
          <w:color w:val="484B5D" w:themeColor="accent3"/>
        </w:rPr>
      </w:pPr>
      <w:r w:rsidRPr="00AD1F32">
        <w:rPr>
          <w:color w:val="484B5D" w:themeColor="accent3"/>
        </w:rPr>
        <w:t>Contracted care costs included in costed records</w:t>
      </w:r>
    </w:p>
    <w:p w14:paraId="372C41A0" w14:textId="3EDF780E" w:rsidR="00305C47" w:rsidRPr="004A6730" w:rsidRDefault="00305C47" w:rsidP="00305C47">
      <w:r w:rsidRPr="004A6730">
        <w:t>There are a number of contracted care arrangements within Vic</w:t>
      </w:r>
      <w:r w:rsidR="003A14D5" w:rsidRPr="004A6730">
        <w:t>toria</w:t>
      </w:r>
      <w:r w:rsidRPr="004A6730">
        <w:t xml:space="preserve">, with 47,783 episodes (across all streams) reported costs of $308 million in </w:t>
      </w:r>
      <w:r w:rsidR="00C83695" w:rsidRPr="004A6730">
        <w:t xml:space="preserve">Victoria </w:t>
      </w:r>
      <w:r w:rsidRPr="004A6730">
        <w:t>in 2023-24. These arrangements were used extensively post</w:t>
      </w:r>
      <w:r w:rsidRPr="004A6730">
        <w:noBreakHyphen/>
        <w:t xml:space="preserve">COVID to reduce the surgical wait lists. This was costed at an episodic level at the agreed price with individual private hospitals, with the costs reported under the </w:t>
      </w:r>
      <w:r w:rsidR="005002A2" w:rsidRPr="004A6730">
        <w:rPr>
          <w:i/>
          <w:iCs/>
        </w:rPr>
        <w:t>G</w:t>
      </w:r>
      <w:r w:rsidRPr="004A6730">
        <w:rPr>
          <w:i/>
          <w:iCs/>
        </w:rPr>
        <w:t xml:space="preserve">oods </w:t>
      </w:r>
      <w:r w:rsidR="005002A2" w:rsidRPr="004A6730">
        <w:rPr>
          <w:i/>
          <w:iCs/>
        </w:rPr>
        <w:t>&amp;</w:t>
      </w:r>
      <w:r w:rsidRPr="004A6730">
        <w:rPr>
          <w:i/>
          <w:iCs/>
        </w:rPr>
        <w:t xml:space="preserve"> </w:t>
      </w:r>
      <w:r w:rsidR="005002A2" w:rsidRPr="004A6730">
        <w:rPr>
          <w:i/>
          <w:iCs/>
        </w:rPr>
        <w:t>S</w:t>
      </w:r>
      <w:r w:rsidRPr="004A6730">
        <w:rPr>
          <w:i/>
          <w:iCs/>
        </w:rPr>
        <w:t>ervices</w:t>
      </w:r>
      <w:r w:rsidRPr="004A6730">
        <w:t xml:space="preserve"> line item. The average cost per GWAU for contracted activity in </w:t>
      </w:r>
      <w:r w:rsidR="00C83695" w:rsidRPr="004A6730">
        <w:t xml:space="preserve">Victoria </w:t>
      </w:r>
      <w:r w:rsidRPr="004A6730">
        <w:t>was $6,143, 14.4% lower than non-contracted care.</w:t>
      </w:r>
    </w:p>
    <w:p w14:paraId="30C921F6" w14:textId="30895258" w:rsidR="00305C47" w:rsidRPr="00AD1F32" w:rsidRDefault="00305C47" w:rsidP="003060BB">
      <w:pPr>
        <w:pStyle w:val="Heading4"/>
        <w:rPr>
          <w:color w:val="484B5D" w:themeColor="accent3"/>
        </w:rPr>
      </w:pPr>
      <w:r w:rsidRPr="00AD1F32">
        <w:rPr>
          <w:color w:val="484B5D" w:themeColor="accent3"/>
        </w:rPr>
        <w:t>Corporate costs included in costed records</w:t>
      </w:r>
    </w:p>
    <w:p w14:paraId="7958C024" w14:textId="341CDFF0" w:rsidR="00305C47" w:rsidRDefault="00444854" w:rsidP="00305C47">
      <w:r w:rsidRPr="004A6730">
        <w:t>The AHPCS v4.2 provide guidance on the inclusion of corporate overhead expenses. Business Rule 3.1C.3.2 states that ‘</w:t>
      </w:r>
      <w:r w:rsidRPr="004A6730">
        <w:rPr>
          <w:b/>
          <w:bCs/>
          <w:i/>
          <w:iCs/>
        </w:rPr>
        <w:t xml:space="preserve">corporate overhead expenses should not be included for more than one level above the management </w:t>
      </w:r>
      <w:r w:rsidRPr="00FD6FDF">
        <w:rPr>
          <w:b/>
          <w:bCs/>
          <w:i/>
          <w:iCs/>
        </w:rPr>
        <w:t xml:space="preserve">of the hospital. Expenses related to the direct management of the LHN (Local Health Network) or corporate management are within scope.’ </w:t>
      </w:r>
      <w:r w:rsidRPr="00FD6FDF">
        <w:t xml:space="preserve">The table below </w:t>
      </w:r>
      <w:r w:rsidRPr="00FD6FDF">
        <w:lastRenderedPageBreak/>
        <w:t xml:space="preserve">shows how Victorian HSs, the </w:t>
      </w:r>
      <w:r w:rsidR="00C83695">
        <w:t xml:space="preserve">Victoria </w:t>
      </w:r>
      <w:r w:rsidRPr="00FD6FDF">
        <w:t>equivalent of an LHN, are treating corporate costs and allocating them to patients in the costing process.</w:t>
      </w:r>
    </w:p>
    <w:p w14:paraId="4F3C7E9F" w14:textId="0057CE7C" w:rsidR="00FE3C18" w:rsidRDefault="00FE3C18" w:rsidP="00FE3C18">
      <w:pPr>
        <w:pStyle w:val="Caption"/>
        <w:keepNext/>
      </w:pPr>
      <w:r>
        <w:t xml:space="preserve">Table </w:t>
      </w:r>
      <w:r>
        <w:fldChar w:fldCharType="begin"/>
      </w:r>
      <w:r>
        <w:instrText xml:space="preserve"> SEQ Table \* ARABIC </w:instrText>
      </w:r>
      <w:r>
        <w:fldChar w:fldCharType="separate"/>
      </w:r>
      <w:r w:rsidR="00CE6F96">
        <w:rPr>
          <w:noProof/>
        </w:rPr>
        <w:t>13</w:t>
      </w:r>
      <w:r>
        <w:fldChar w:fldCharType="end"/>
      </w:r>
      <w:r>
        <w:t xml:space="preserve">: </w:t>
      </w:r>
      <w:r w:rsidRPr="00191D98">
        <w:t>Victorian HS treatment of corporate costs and patient allocation costing process</w:t>
      </w:r>
    </w:p>
    <w:tbl>
      <w:tblPr>
        <w:tblStyle w:val="ScyneTable"/>
        <w:tblW w:w="4978"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957"/>
        <w:gridCol w:w="2977"/>
        <w:gridCol w:w="1559"/>
        <w:gridCol w:w="1493"/>
      </w:tblGrid>
      <w:tr w:rsidR="003964D6" w:rsidRPr="00D422F0" w14:paraId="30CF8A2E" w14:textId="77777777" w:rsidTr="00D422F0">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645" w:type="pct"/>
            <w:tcBorders>
              <w:bottom w:val="single" w:sz="18" w:space="0" w:color="EFF0F7" w:themeColor="accent4" w:themeTint="33"/>
            </w:tcBorders>
            <w:shd w:val="clear" w:color="auto" w:fill="464E7E" w:themeFill="accent2"/>
            <w:vAlign w:val="center"/>
            <w:hideMark/>
          </w:tcPr>
          <w:p w14:paraId="6AB0C8DB" w14:textId="10DF5D51" w:rsidR="0082316A" w:rsidRPr="00D422F0" w:rsidRDefault="0082316A" w:rsidP="00D422F0">
            <w:pPr>
              <w:pStyle w:val="TableNormalColumnHeading"/>
              <w:rPr>
                <w:rFonts w:asciiTheme="majorHAnsi" w:hAnsiTheme="majorHAnsi"/>
                <w:snapToGrid/>
                <w:sz w:val="20"/>
                <w:lang w:eastAsia="en-AU"/>
              </w:rPr>
            </w:pPr>
            <w:r w:rsidRPr="00D422F0">
              <w:rPr>
                <w:rFonts w:asciiTheme="majorHAnsi" w:hAnsiTheme="majorHAnsi"/>
                <w:sz w:val="20"/>
              </w:rPr>
              <w:t>Type of corporate cost</w:t>
            </w:r>
          </w:p>
        </w:tc>
        <w:tc>
          <w:tcPr>
            <w:tcW w:w="1656" w:type="pct"/>
            <w:tcBorders>
              <w:bottom w:val="single" w:sz="18" w:space="0" w:color="EFF0F7" w:themeColor="accent4" w:themeTint="33"/>
            </w:tcBorders>
            <w:shd w:val="clear" w:color="auto" w:fill="464E7E" w:themeFill="accent2"/>
            <w:vAlign w:val="center"/>
            <w:hideMark/>
          </w:tcPr>
          <w:p w14:paraId="1B16586C" w14:textId="5719CF73" w:rsidR="0082316A" w:rsidRPr="00D422F0" w:rsidRDefault="0082316A" w:rsidP="00D422F0">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Details of whether these are passed onto HSs</w:t>
            </w:r>
          </w:p>
        </w:tc>
        <w:tc>
          <w:tcPr>
            <w:tcW w:w="867" w:type="pct"/>
            <w:tcBorders>
              <w:bottom w:val="single" w:sz="18" w:space="0" w:color="EFF0F7" w:themeColor="accent4" w:themeTint="33"/>
            </w:tcBorders>
            <w:shd w:val="clear" w:color="auto" w:fill="464E7E" w:themeFill="accent2"/>
            <w:vAlign w:val="center"/>
            <w:hideMark/>
          </w:tcPr>
          <w:p w14:paraId="434AD910" w14:textId="4A7B48CF" w:rsidR="0082316A" w:rsidRPr="00D422F0" w:rsidRDefault="0082316A" w:rsidP="00D422F0">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Included in patient level costing</w:t>
            </w:r>
          </w:p>
        </w:tc>
        <w:tc>
          <w:tcPr>
            <w:tcW w:w="831" w:type="pct"/>
            <w:tcBorders>
              <w:bottom w:val="single" w:sz="18" w:space="0" w:color="EFF0F7" w:themeColor="accent4" w:themeTint="33"/>
            </w:tcBorders>
            <w:shd w:val="clear" w:color="auto" w:fill="464E7E" w:themeFill="accent2"/>
            <w:vAlign w:val="center"/>
            <w:hideMark/>
          </w:tcPr>
          <w:p w14:paraId="29760CA3" w14:textId="1D994FBE" w:rsidR="0082316A" w:rsidRPr="00D422F0" w:rsidRDefault="0082316A" w:rsidP="00D422F0">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 line with the guidance in the AHPCS</w:t>
            </w:r>
          </w:p>
        </w:tc>
      </w:tr>
      <w:tr w:rsidR="00034380" w:rsidRPr="00D422F0" w14:paraId="754C0789" w14:textId="77777777" w:rsidTr="00D422F0">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63F22155" w14:textId="7806DF0F" w:rsidR="00D422F0" w:rsidRPr="00D422F0" w:rsidRDefault="00D422F0" w:rsidP="00D422F0">
            <w:pPr>
              <w:spacing w:before="120" w:after="120"/>
              <w:rPr>
                <w:lang w:val="en-GB"/>
              </w:rPr>
            </w:pPr>
            <w:r w:rsidRPr="00D422F0">
              <w:t>Corporate costs at the facility</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AF59D15" w14:textId="2AC82EAE" w:rsidR="00D422F0" w:rsidRPr="00D422F0" w:rsidRDefault="00D422F0" w:rsidP="00D422F0">
            <w:pPr>
              <w:spacing w:before="120" w:after="120"/>
              <w:cnfStyle w:val="000000000000" w:firstRow="0" w:lastRow="0" w:firstColumn="0" w:lastColumn="0" w:oddVBand="0" w:evenVBand="0" w:oddHBand="0" w:evenHBand="0" w:firstRowFirstColumn="0" w:firstRowLastColumn="0" w:lastRowFirstColumn="0" w:lastRowLastColumn="0"/>
            </w:pPr>
            <w:r w:rsidRPr="00D422F0">
              <w:t>Included in HS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B981B5A" w14:textId="0D259549" w:rsidR="00D422F0" w:rsidRPr="00D422F0" w:rsidRDefault="00D422F0" w:rsidP="00D422F0">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55E14AD" w14:textId="3EBF8D90" w:rsidR="00D422F0" w:rsidRPr="00D422F0" w:rsidRDefault="00D422F0" w:rsidP="00D422F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612BEC15" w14:textId="77777777" w:rsidTr="00D422F0">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00CA190C" w14:textId="475CDF3E" w:rsidR="00D422F0" w:rsidRPr="00D422F0" w:rsidRDefault="00D422F0" w:rsidP="00D422F0">
            <w:pPr>
              <w:spacing w:before="120" w:after="120"/>
              <w:rPr>
                <w:lang w:val="en-GB"/>
              </w:rPr>
            </w:pPr>
            <w:r w:rsidRPr="00D422F0">
              <w:t>Corporate costs at the HS</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42F81A7" w14:textId="4AAFA7FB" w:rsidR="00D422F0" w:rsidRPr="00D422F0" w:rsidRDefault="00D422F0" w:rsidP="00D422F0">
            <w:pPr>
              <w:spacing w:before="120" w:after="120"/>
              <w:cnfStyle w:val="000000000000" w:firstRow="0" w:lastRow="0" w:firstColumn="0" w:lastColumn="0" w:oddVBand="0" w:evenVBand="0" w:oddHBand="0" w:evenHBand="0" w:firstRowFirstColumn="0" w:firstRowLastColumn="0" w:lastRowFirstColumn="0" w:lastRowLastColumn="0"/>
            </w:pPr>
            <w:r w:rsidRPr="00D422F0">
              <w:t>Included in HS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D8DC887" w14:textId="75DCD5DA" w:rsidR="00D422F0" w:rsidRPr="00D422F0" w:rsidRDefault="00D422F0" w:rsidP="00D422F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3528E5B" w14:textId="55A6AA13" w:rsidR="00D422F0" w:rsidRPr="00D422F0" w:rsidRDefault="00D422F0" w:rsidP="00D422F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4A8187E7" w14:textId="77777777" w:rsidTr="00D422F0">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F9C349D" w14:textId="57695DFA" w:rsidR="00D422F0" w:rsidRPr="00D422F0" w:rsidRDefault="00D422F0" w:rsidP="00D422F0">
            <w:pPr>
              <w:spacing w:before="120" w:after="120"/>
            </w:pPr>
            <w:r w:rsidRPr="00D422F0">
              <w:t>Corporate costs at shared service functions</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69B5DFA" w14:textId="0AC51112" w:rsidR="00D422F0" w:rsidRPr="00D422F0" w:rsidRDefault="00D422F0" w:rsidP="00D422F0">
            <w:pPr>
              <w:spacing w:before="120" w:after="120"/>
              <w:cnfStyle w:val="000000000000" w:firstRow="0" w:lastRow="0" w:firstColumn="0" w:lastColumn="0" w:oddVBand="0" w:evenVBand="0" w:oddHBand="0" w:evenHBand="0" w:firstRowFirstColumn="0" w:firstRowLastColumn="0" w:lastRowFirstColumn="0" w:lastRowLastColumn="0"/>
            </w:pPr>
            <w:r w:rsidRPr="00D422F0">
              <w:t xml:space="preserve">Corporate costs for </w:t>
            </w:r>
            <w:r w:rsidR="00BE0A5F">
              <w:t>Health Purchasing Victoria (</w:t>
            </w:r>
            <w:r w:rsidRPr="00D422F0">
              <w:t>HPV</w:t>
            </w:r>
            <w:r w:rsidR="00BE0A5F">
              <w:t>)</w:t>
            </w:r>
            <w:r w:rsidRPr="00D422F0">
              <w:t xml:space="preserve"> are passed to HSs</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1710BBA" w14:textId="3404FF36" w:rsidR="00D422F0" w:rsidRPr="00D422F0" w:rsidRDefault="00D422F0" w:rsidP="00D422F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8DB921E" w14:textId="75D76FCB" w:rsidR="00D422F0" w:rsidRPr="00D422F0" w:rsidRDefault="00D422F0" w:rsidP="00D422F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4355E626" w14:textId="77777777" w:rsidTr="00D422F0">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1D45B3F" w14:textId="42666230" w:rsidR="0082316A" w:rsidRPr="00D422F0" w:rsidRDefault="0082316A" w:rsidP="00D422F0">
            <w:pPr>
              <w:spacing w:before="120" w:after="120"/>
              <w:rPr>
                <w:b w:val="0"/>
                <w:bCs/>
              </w:rPr>
            </w:pPr>
            <w:r w:rsidRPr="00D422F0">
              <w:rPr>
                <w:b w:val="0"/>
                <w:bCs/>
              </w:rPr>
              <w:t>Corporate costs at DoH</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ABD577B" w14:textId="1A0250D3" w:rsidR="0082316A" w:rsidRPr="00D422F0" w:rsidRDefault="0082316A" w:rsidP="00D422F0">
            <w:pPr>
              <w:spacing w:before="120" w:after="120"/>
              <w:cnfStyle w:val="010000000000" w:firstRow="0" w:lastRow="1" w:firstColumn="0" w:lastColumn="0" w:oddVBand="0" w:evenVBand="0" w:oddHBand="0" w:evenHBand="0" w:firstRowFirstColumn="0" w:firstRowLastColumn="0" w:lastRowFirstColumn="0" w:lastRowLastColumn="0"/>
              <w:rPr>
                <w:b w:val="0"/>
                <w:bCs/>
              </w:rPr>
            </w:pPr>
            <w:r w:rsidRPr="00D422F0">
              <w:rPr>
                <w:b w:val="0"/>
                <w:bCs/>
              </w:rPr>
              <w:t>Not allocated to HS</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CD1CA20" w14:textId="44005283" w:rsidR="0082316A" w:rsidRPr="008E61F2" w:rsidRDefault="00D422F0" w:rsidP="00D422F0">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b w:val="0"/>
                <w:bCs/>
              </w:rPr>
            </w:pPr>
            <w:r w:rsidRPr="008E61F2">
              <w:rPr>
                <w:rFonts w:ascii="Segoe UI Symbol" w:hAnsi="Segoe UI Symbol" w:cs="Segoe UI Symbol"/>
                <w:b w:val="0"/>
                <w:bC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743E932" w14:textId="66C08F78" w:rsidR="0082316A" w:rsidRPr="008E61F2" w:rsidRDefault="00D422F0" w:rsidP="00D422F0">
            <w:pPr>
              <w:spacing w:before="120" w:after="120"/>
              <w:jc w:val="center"/>
              <w:cnfStyle w:val="010000000000" w:firstRow="0" w:lastRow="1" w:firstColumn="0" w:lastColumn="0" w:oddVBand="0" w:evenVBand="0" w:oddHBand="0" w:evenHBand="0" w:firstRowFirstColumn="0" w:firstRowLastColumn="0" w:lastRowFirstColumn="0" w:lastRowLastColumn="0"/>
              <w:rPr>
                <w:b w:val="0"/>
                <w:bCs/>
              </w:rPr>
            </w:pPr>
            <w:r w:rsidRPr="008E61F2">
              <w:rPr>
                <w:rFonts w:ascii="Segoe UI Symbol" w:hAnsi="Segoe UI Symbol" w:cs="Segoe UI Symbol"/>
                <w:b w:val="0"/>
                <w:bCs/>
                <w:lang w:val="en-US"/>
              </w:rPr>
              <w:t>✔</w:t>
            </w:r>
          </w:p>
        </w:tc>
      </w:tr>
    </w:tbl>
    <w:p w14:paraId="7D2A5E9B" w14:textId="1055CC54" w:rsidR="00444854" w:rsidRDefault="006F4CB5" w:rsidP="00A1514D">
      <w:pPr>
        <w:pStyle w:val="Heading3"/>
      </w:pPr>
      <w:r>
        <w:t>Reconciliation from GL to submitted costs</w:t>
      </w:r>
    </w:p>
    <w:p w14:paraId="7B17F66B" w14:textId="7B878B41" w:rsidR="00633838" w:rsidRPr="00FD6FDF" w:rsidRDefault="00633838" w:rsidP="00633838">
      <w:pPr>
        <w:spacing w:line="240" w:lineRule="auto"/>
        <w:rPr>
          <w:color w:val="44546A" w:themeColor="text2"/>
        </w:rPr>
      </w:pPr>
      <w:r w:rsidRPr="00FD6FDF">
        <w:rPr>
          <w:color w:val="44546A" w:themeColor="text2"/>
        </w:rPr>
        <w:t>Two Victorian HSs participated in the IFR</w:t>
      </w:r>
      <w:r w:rsidR="006500A9">
        <w:rPr>
          <w:color w:val="44546A" w:themeColor="text2"/>
        </w:rPr>
        <w:t>:</w:t>
      </w:r>
      <w:r w:rsidRPr="00FD6FDF">
        <w:rPr>
          <w:color w:val="44546A" w:themeColor="text2"/>
        </w:rPr>
        <w:t xml:space="preserve"> Alfred Health </w:t>
      </w:r>
      <w:r w:rsidR="006500A9">
        <w:rPr>
          <w:color w:val="44546A" w:themeColor="text2"/>
        </w:rPr>
        <w:t xml:space="preserve">HS </w:t>
      </w:r>
      <w:r w:rsidRPr="00FD6FDF">
        <w:rPr>
          <w:color w:val="44546A" w:themeColor="text2"/>
        </w:rPr>
        <w:t>and Barwon Health</w:t>
      </w:r>
      <w:r w:rsidR="006500A9">
        <w:rPr>
          <w:color w:val="44546A" w:themeColor="text2"/>
        </w:rPr>
        <w:t xml:space="preserve"> HS</w:t>
      </w:r>
      <w:r w:rsidRPr="00FD6FDF">
        <w:rPr>
          <w:color w:val="44546A" w:themeColor="text2"/>
        </w:rPr>
        <w:t>.</w:t>
      </w:r>
      <w:r w:rsidRPr="00FD6FDF">
        <w:t xml:space="preserve"> This section discusses major variances, reconciling items and adjustments from the </w:t>
      </w:r>
      <w:r>
        <w:t>GL</w:t>
      </w:r>
      <w:r w:rsidRPr="00FD6FDF">
        <w:t xml:space="preserve"> of the participating sites, through to the costed products submitted to IHACPA in the NHCDC submission.</w:t>
      </w:r>
    </w:p>
    <w:p w14:paraId="154B1AC4" w14:textId="4944A263" w:rsidR="006F4CB5" w:rsidRPr="00AD1F32" w:rsidRDefault="00633838" w:rsidP="003060BB">
      <w:pPr>
        <w:pStyle w:val="Heading4"/>
        <w:rPr>
          <w:color w:val="484B5D" w:themeColor="accent3"/>
        </w:rPr>
      </w:pPr>
      <w:r w:rsidRPr="00AD1F32">
        <w:rPr>
          <w:color w:val="484B5D" w:themeColor="accent3"/>
        </w:rPr>
        <w:t>Reconciliation from GL to NHCDC – Alfred Health HS</w:t>
      </w:r>
    </w:p>
    <w:p w14:paraId="333FAB79" w14:textId="76834A95" w:rsidR="00EE5CB7" w:rsidRPr="004A6730" w:rsidRDefault="004F4511" w:rsidP="00EE5CB7">
      <w:r w:rsidRPr="004A6730">
        <w:t>Vic</w:t>
      </w:r>
      <w:r w:rsidR="00707703" w:rsidRPr="004A6730">
        <w:t>toria</w:t>
      </w:r>
      <w:r w:rsidR="00EE5CB7" w:rsidRPr="004A6730">
        <w:t xml:space="preserve">’s total reported costs were </w:t>
      </w:r>
      <w:r w:rsidR="00EE5CB7" w:rsidRPr="00AD1F32">
        <w:t>$19.92 billion (representing 26.0% of national costs).</w:t>
      </w:r>
    </w:p>
    <w:p w14:paraId="2CA1FF4D" w14:textId="77777777" w:rsidR="00EE5CB7" w:rsidRPr="004A6730" w:rsidRDefault="00EE5CB7" w:rsidP="006044E0">
      <w:pPr>
        <w:pStyle w:val="ListParagraph"/>
        <w:numPr>
          <w:ilvl w:val="0"/>
          <w:numId w:val="8"/>
        </w:numPr>
      </w:pPr>
      <w:r w:rsidRPr="004A6730">
        <w:t>Alfred Health HS’s GL was $2.01 billion.</w:t>
      </w:r>
    </w:p>
    <w:p w14:paraId="5DCBE53E" w14:textId="7EE80D6B" w:rsidR="00EE5CB7" w:rsidRPr="004A6730" w:rsidRDefault="00EE5CB7" w:rsidP="006044E0">
      <w:pPr>
        <w:pStyle w:val="ListParagraph"/>
        <w:numPr>
          <w:ilvl w:val="1"/>
          <w:numId w:val="8"/>
        </w:numPr>
      </w:pPr>
      <w:r w:rsidRPr="004A6730">
        <w:t xml:space="preserve">Their submitted costs to the NHCDC were </w:t>
      </w:r>
      <w:r w:rsidRPr="004A6730">
        <w:rPr>
          <w:rFonts w:asciiTheme="minorHAnsi" w:hAnsiTheme="minorHAnsi" w:cs="Arial"/>
        </w:rPr>
        <w:t xml:space="preserve">$1.69 billion </w:t>
      </w:r>
      <w:r w:rsidRPr="004A6730">
        <w:t xml:space="preserve">(representing 8.4% of </w:t>
      </w:r>
      <w:r w:rsidR="004F4511" w:rsidRPr="004A6730">
        <w:t>Vic</w:t>
      </w:r>
      <w:r w:rsidR="00707703" w:rsidRPr="004A6730">
        <w:t>toria</w:t>
      </w:r>
      <w:r w:rsidR="004F4511" w:rsidRPr="004A6730">
        <w:t>’s</w:t>
      </w:r>
      <w:r w:rsidRPr="004A6730">
        <w:t xml:space="preserve"> costs).</w:t>
      </w:r>
    </w:p>
    <w:p w14:paraId="0AADE944" w14:textId="77777777" w:rsidR="00EE5CB7" w:rsidRDefault="00EE5CB7" w:rsidP="006044E0">
      <w:pPr>
        <w:pStyle w:val="ListParagraph"/>
        <w:numPr>
          <w:ilvl w:val="1"/>
          <w:numId w:val="8"/>
        </w:numPr>
      </w:pPr>
      <w:r w:rsidRPr="004A6730">
        <w:t xml:space="preserve">Overall, Alfred </w:t>
      </w:r>
      <w:r w:rsidRPr="00FD6FDF">
        <w:t>Health</w:t>
      </w:r>
      <w:r>
        <w:t xml:space="preserve"> HS </w:t>
      </w:r>
      <w:r w:rsidRPr="00FD6FDF">
        <w:t>submitted 84% of their GL to the NHCDC.</w:t>
      </w:r>
    </w:p>
    <w:p w14:paraId="1E363217" w14:textId="4300A45A" w:rsidR="00633838" w:rsidRDefault="00EE5CB7" w:rsidP="006044E0">
      <w:pPr>
        <w:pStyle w:val="ListParagraph"/>
        <w:numPr>
          <w:ilvl w:val="1"/>
          <w:numId w:val="8"/>
        </w:numPr>
      </w:pPr>
      <w:r w:rsidRPr="00FD6FDF">
        <w:t>$327 million costs (16% of GL) were not included in NHCDC submissions for a variety of reasons including being out-of-scope, or an inability to link costs and activity due to data quality issues.</w:t>
      </w:r>
    </w:p>
    <w:p w14:paraId="0D41D341" w14:textId="3FCA6350" w:rsidR="00131899" w:rsidRDefault="005E3697" w:rsidP="00EC0C63">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16</w:t>
      </w:r>
      <w:r w:rsidR="00BD5B5E">
        <w:fldChar w:fldCharType="end"/>
      </w:r>
      <w:r>
        <w:t>: Waterfall from GL to NHCDC submitted costs – Alfred Health HS</w:t>
      </w:r>
    </w:p>
    <w:p w14:paraId="4FA97D4F" w14:textId="375C30D8" w:rsidR="003A52B2" w:rsidRPr="00FD6FDF" w:rsidRDefault="00B21E96" w:rsidP="003A52B2">
      <w:r>
        <w:rPr>
          <w:noProof/>
        </w:rPr>
        <mc:AlternateContent>
          <mc:Choice Requires="wpg">
            <w:drawing>
              <wp:anchor distT="0" distB="0" distL="114300" distR="114300" simplePos="0" relativeHeight="251658299" behindDoc="0" locked="0" layoutInCell="1" allowOverlap="1" wp14:anchorId="301797A1" wp14:editId="3FF02C73">
                <wp:simplePos x="0" y="0"/>
                <wp:positionH relativeFrom="column">
                  <wp:posOffset>581660</wp:posOffset>
                </wp:positionH>
                <wp:positionV relativeFrom="paragraph">
                  <wp:posOffset>2302700</wp:posOffset>
                </wp:positionV>
                <wp:extent cx="5144877" cy="660400"/>
                <wp:effectExtent l="0" t="0" r="0" b="0"/>
                <wp:wrapTopAndBottom/>
                <wp:docPr id="1034334731" name="Group 8" descr="P1531#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4877" cy="660400"/>
                          <a:chOff x="0" y="0"/>
                          <a:chExt cx="5144877" cy="660400"/>
                        </a:xfrm>
                      </wpg:grpSpPr>
                      <wps:wsp>
                        <wps:cNvPr id="473622975" name="TextBox 2"/>
                        <wps:cNvSpPr txBox="1"/>
                        <wps:spPr>
                          <a:xfrm>
                            <a:off x="0" y="0"/>
                            <a:ext cx="857885" cy="660400"/>
                          </a:xfrm>
                          <a:prstGeom prst="rect">
                            <a:avLst/>
                          </a:prstGeom>
                          <a:noFill/>
                        </wps:spPr>
                        <wps:txbx>
                          <w:txbxContent>
                            <w:p w14:paraId="309C4F7F" w14:textId="38AEACE9"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 xml:space="preserve">Alfred Health </w:t>
                              </w:r>
                              <w:r w:rsidR="000E440C">
                                <w:rPr>
                                  <w:rFonts w:asciiTheme="minorHAnsi"/>
                                  <w:color w:val="404040" w:themeColor="text1" w:themeTint="BF"/>
                                  <w:kern w:val="24"/>
                                </w:rPr>
                                <w:t xml:space="preserve">HS </w:t>
                              </w:r>
                              <w:r w:rsidRPr="00B21E96">
                                <w:rPr>
                                  <w:rFonts w:asciiTheme="minorHAnsi"/>
                                  <w:color w:val="404040" w:themeColor="text1" w:themeTint="BF"/>
                                  <w:kern w:val="24"/>
                                </w:rPr>
                                <w:t>GL</w:t>
                              </w:r>
                            </w:p>
                          </w:txbxContent>
                        </wps:txbx>
                        <wps:bodyPr wrap="square" bIns="0" rtlCol="0">
                          <a:spAutoFit/>
                        </wps:bodyPr>
                      </wps:wsp>
                      <wps:wsp>
                        <wps:cNvPr id="1531057841" name="TextBox 3"/>
                        <wps:cNvSpPr txBox="1"/>
                        <wps:spPr>
                          <a:xfrm>
                            <a:off x="712519" y="11875"/>
                            <a:ext cx="857885" cy="352425"/>
                          </a:xfrm>
                          <a:prstGeom prst="rect">
                            <a:avLst/>
                          </a:prstGeom>
                          <a:noFill/>
                        </wps:spPr>
                        <wps:txbx>
                          <w:txbxContent>
                            <w:p w14:paraId="77A28204"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Inclusions</w:t>
                              </w:r>
                            </w:p>
                          </w:txbxContent>
                        </wps:txbx>
                        <wps:bodyPr wrap="square" bIns="0" rtlCol="0">
                          <a:spAutoFit/>
                        </wps:bodyPr>
                      </wps:wsp>
                      <wps:wsp>
                        <wps:cNvPr id="2074953366" name="TextBox 4"/>
                        <wps:cNvSpPr txBox="1"/>
                        <wps:spPr>
                          <a:xfrm>
                            <a:off x="1425039" y="0"/>
                            <a:ext cx="858520" cy="506095"/>
                          </a:xfrm>
                          <a:prstGeom prst="rect">
                            <a:avLst/>
                          </a:prstGeom>
                          <a:noFill/>
                        </wps:spPr>
                        <wps:txbx>
                          <w:txbxContent>
                            <w:p w14:paraId="3062CD3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Restated GL</w:t>
                              </w:r>
                            </w:p>
                          </w:txbxContent>
                        </wps:txbx>
                        <wps:bodyPr wrap="square" bIns="0" rtlCol="0">
                          <a:spAutoFit/>
                        </wps:bodyPr>
                      </wps:wsp>
                      <wps:wsp>
                        <wps:cNvPr id="527948786" name="TextBox 5"/>
                        <wps:cNvSpPr txBox="1"/>
                        <wps:spPr>
                          <a:xfrm>
                            <a:off x="2137558" y="0"/>
                            <a:ext cx="858520" cy="506095"/>
                          </a:xfrm>
                          <a:prstGeom prst="rect">
                            <a:avLst/>
                          </a:prstGeom>
                          <a:noFill/>
                        </wps:spPr>
                        <wps:txbx>
                          <w:txbxContent>
                            <w:p w14:paraId="596770E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Out-of-scope</w:t>
                              </w:r>
                            </w:p>
                          </w:txbxContent>
                        </wps:txbx>
                        <wps:bodyPr wrap="square" bIns="0" rtlCol="0">
                          <a:spAutoFit/>
                        </wps:bodyPr>
                      </wps:wsp>
                      <wps:wsp>
                        <wps:cNvPr id="465230614" name="TextBox 6"/>
                        <wps:cNvSpPr txBox="1"/>
                        <wps:spPr>
                          <a:xfrm>
                            <a:off x="2850078" y="0"/>
                            <a:ext cx="857885" cy="506095"/>
                          </a:xfrm>
                          <a:prstGeom prst="rect">
                            <a:avLst/>
                          </a:prstGeom>
                          <a:noFill/>
                        </wps:spPr>
                        <wps:txbx>
                          <w:txbxContent>
                            <w:p w14:paraId="7063110D"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Jurisdiction exclusions</w:t>
                              </w:r>
                            </w:p>
                          </w:txbxContent>
                        </wps:txbx>
                        <wps:bodyPr wrap="square" bIns="0" rtlCol="0">
                          <a:spAutoFit/>
                        </wps:bodyPr>
                      </wps:wsp>
                      <wps:wsp>
                        <wps:cNvPr id="1093739472" name="TextBox 7"/>
                        <wps:cNvSpPr txBox="1"/>
                        <wps:spPr>
                          <a:xfrm>
                            <a:off x="3562597" y="0"/>
                            <a:ext cx="857885" cy="506095"/>
                          </a:xfrm>
                          <a:prstGeom prst="rect">
                            <a:avLst/>
                          </a:prstGeom>
                          <a:noFill/>
                        </wps:spPr>
                        <wps:txbx>
                          <w:txbxContent>
                            <w:p w14:paraId="2392165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Other exclusions</w:t>
                              </w:r>
                            </w:p>
                          </w:txbxContent>
                        </wps:txbx>
                        <wps:bodyPr wrap="square" bIns="0" rtlCol="0">
                          <a:spAutoFit/>
                        </wps:bodyPr>
                      </wps:wsp>
                      <wps:wsp>
                        <wps:cNvPr id="1109114938" name="TextBox 8"/>
                        <wps:cNvSpPr txBox="1"/>
                        <wps:spPr>
                          <a:xfrm>
                            <a:off x="4286992" y="0"/>
                            <a:ext cx="857885" cy="506095"/>
                          </a:xfrm>
                          <a:prstGeom prst="rect">
                            <a:avLst/>
                          </a:prstGeom>
                          <a:noFill/>
                        </wps:spPr>
                        <wps:txbx>
                          <w:txbxContent>
                            <w:p w14:paraId="366FA96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Submitted to IHACPA</w:t>
                              </w:r>
                            </w:p>
                          </w:txbxContent>
                        </wps:txbx>
                        <wps:bodyPr wrap="square" bIns="0" rtlCol="0">
                          <a:spAutoFit/>
                        </wps:bodyPr>
                      </wps:wsp>
                    </wpg:wgp>
                  </a:graphicData>
                </a:graphic>
              </wp:anchor>
            </w:drawing>
          </mc:Choice>
          <mc:Fallback>
            <w:pict>
              <v:group w14:anchorId="301797A1" id="_x0000_s1151" alt="P1531#y2" style="position:absolute;margin-left:45.8pt;margin-top:181.3pt;width:405.1pt;height:52pt;z-index:251658299;mso-position-horizontal-relative:text;mso-position-vertical-relative:text" coordsize="51448,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">
                <v:shape id="TextBox 2" o:spid="_x0000_s1152" type="#_x0000_t202" style="position:absolute;width:857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" filled="f" stroked="f">
                  <v:textbox style="mso-fit-shape-to-text:t" inset=",,,0">
                    <w:txbxContent>
                      <w:p w14:paraId="309C4F7F" w14:textId="38AEACE9"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 xml:space="preserve">Alfred Health </w:t>
                        </w:r>
                        <w:r w:rsidR="000E440C">
                          <w:rPr>
                            <w:rFonts w:asciiTheme="minorHAnsi"/>
                            <w:color w:val="404040" w:themeColor="text1" w:themeTint="BF"/>
                            <w:kern w:val="24"/>
                          </w:rPr>
                          <w:t xml:space="preserve">HS </w:t>
                        </w:r>
                        <w:r w:rsidRPr="00B21E96">
                          <w:rPr>
                            <w:rFonts w:asciiTheme="minorHAnsi"/>
                            <w:color w:val="404040" w:themeColor="text1" w:themeTint="BF"/>
                            <w:kern w:val="24"/>
                          </w:rPr>
                          <w:t>GL</w:t>
                        </w:r>
                      </w:p>
                    </w:txbxContent>
                  </v:textbox>
                </v:shape>
                <v:shape id="TextBox 3" o:spid="_x0000_s1153" type="#_x0000_t202" style="position:absolute;left:7125;top:118;width:857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" filled="f" stroked="f">
                  <v:textbox style="mso-fit-shape-to-text:t" inset=",,,0">
                    <w:txbxContent>
                      <w:p w14:paraId="77A28204"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Inclusions</w:t>
                        </w:r>
                      </w:p>
                    </w:txbxContent>
                  </v:textbox>
                </v:shape>
                <v:shape id="TextBox 4" o:spid="_x0000_s1154" type="#_x0000_t202" style="position:absolute;left:14250;width:8585;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" filled="f" stroked="f">
                  <v:textbox style="mso-fit-shape-to-text:t" inset=",,,0">
                    <w:txbxContent>
                      <w:p w14:paraId="3062CD3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Restated GL</w:t>
                        </w:r>
                      </w:p>
                    </w:txbxContent>
                  </v:textbox>
                </v:shape>
                <v:shape id="TextBox 5" o:spid="_x0000_s1155" type="#_x0000_t202" style="position:absolute;left:21375;width:8585;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" filled="f" stroked="f">
                  <v:textbox style="mso-fit-shape-to-text:t" inset=",,,0">
                    <w:txbxContent>
                      <w:p w14:paraId="596770E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Out-of-scope</w:t>
                        </w:r>
                      </w:p>
                    </w:txbxContent>
                  </v:textbox>
                </v:shape>
                <v:shape id="TextBox 6" o:spid="_x0000_s1156" type="#_x0000_t202" style="position:absolute;left:28500;width:8579;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" filled="f" stroked="f">
                  <v:textbox style="mso-fit-shape-to-text:t" inset=",,,0">
                    <w:txbxContent>
                      <w:p w14:paraId="7063110D"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Jurisdiction exclusions</w:t>
                        </w:r>
                      </w:p>
                    </w:txbxContent>
                  </v:textbox>
                </v:shape>
                <v:shape id="TextBox 7" o:spid="_x0000_s1157" type="#_x0000_t202" style="position:absolute;left:35625;width:8579;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" filled="f" stroked="f">
                  <v:textbox style="mso-fit-shape-to-text:t" inset=",,,0">
                    <w:txbxContent>
                      <w:p w14:paraId="2392165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Other exclusions</w:t>
                        </w:r>
                      </w:p>
                    </w:txbxContent>
                  </v:textbox>
                </v:shape>
                <v:shape id="TextBox 8" o:spid="_x0000_s1158" type="#_x0000_t202" style="position:absolute;left:42869;width:8579;height:5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" filled="f" stroked="f">
                  <v:textbox style="mso-fit-shape-to-text:t" inset=",,,0">
                    <w:txbxContent>
                      <w:p w14:paraId="366FA966" w14:textId="77777777" w:rsidR="00361F5B" w:rsidRPr="00B21E96" w:rsidRDefault="00361F5B" w:rsidP="009D0E3E">
                        <w:pPr>
                          <w:spacing w:after="240" w:line="240" w:lineRule="auto"/>
                          <w:jc w:val="center"/>
                          <w:rPr>
                            <w:rFonts w:asciiTheme="minorHAnsi"/>
                            <w:color w:val="404040" w:themeColor="text1" w:themeTint="BF"/>
                            <w:kern w:val="24"/>
                          </w:rPr>
                        </w:pPr>
                        <w:r w:rsidRPr="00B21E96">
                          <w:rPr>
                            <w:rFonts w:asciiTheme="minorHAnsi"/>
                            <w:color w:val="404040" w:themeColor="text1" w:themeTint="BF"/>
                            <w:kern w:val="24"/>
                          </w:rPr>
                          <w:t>Submitted to IHACPA</w:t>
                        </w:r>
                      </w:p>
                    </w:txbxContent>
                  </v:textbox>
                </v:shape>
                <w10:wrap type="topAndBottom"/>
              </v:group>
            </w:pict>
          </mc:Fallback>
        </mc:AlternateContent>
      </w:r>
      <w:r w:rsidR="001D02F2">
        <w:rPr>
          <w:noProof/>
        </w:rPr>
        <mc:AlternateContent>
          <mc:Choice Requires="cx1">
            <w:drawing>
              <wp:anchor distT="0" distB="0" distL="114300" distR="114300" simplePos="0" relativeHeight="251658263" behindDoc="0" locked="0" layoutInCell="1" allowOverlap="1" wp14:anchorId="308E9102" wp14:editId="415DD53C">
                <wp:simplePos x="0" y="0"/>
                <wp:positionH relativeFrom="column">
                  <wp:posOffset>-8626</wp:posOffset>
                </wp:positionH>
                <wp:positionV relativeFrom="paragraph">
                  <wp:posOffset>0</wp:posOffset>
                </wp:positionV>
                <wp:extent cx="5729697" cy="2377123"/>
                <wp:effectExtent l="0" t="0" r="4445" b="4445"/>
                <wp:wrapTopAndBottom/>
                <wp:docPr id="1803948691" name="Chart 21" descr="P1531#y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2"/>
                  </a:graphicData>
                </a:graphic>
              </wp:anchor>
            </w:drawing>
          </mc:Choice>
          <mc:Fallback>
            <w:drawing>
              <wp:anchor distT="0" distB="0" distL="114300" distR="114300" simplePos="0" relativeHeight="251658263" behindDoc="0" locked="0" layoutInCell="1" allowOverlap="1" wp14:anchorId="308E9102" wp14:editId="415DD53C">
                <wp:simplePos x="0" y="0"/>
                <wp:positionH relativeFrom="column">
                  <wp:posOffset>-8626</wp:posOffset>
                </wp:positionH>
                <wp:positionV relativeFrom="paragraph">
                  <wp:posOffset>0</wp:posOffset>
                </wp:positionV>
                <wp:extent cx="5729697" cy="2377123"/>
                <wp:effectExtent l="0" t="0" r="4445" b="4445"/>
                <wp:wrapTopAndBottom/>
                <wp:docPr id="1803948691" name="Chart 21" descr="The image displays a Waterfall chart showing adjustments from initial GL to final submitted costs at Alfred Health HS. The Starting value: Alfred Health HS GL is $2,014M. Inclusions add $65M; Restated GL is $2,079M. Out-of-scope subtract $69M; Jurisdiction exclusions subtract $122M; Other exclusions subtract $201M. The final submitted to IHACPA is $1,688M."/>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03948691" name="Chart 21" descr="The image displays a Waterfall chart showing adjustments from initial GL to final submitted costs at Alfred Health HS. The Starting value: Alfred Health HS GL is $2,014M. Inclusions add $65M; Restated GL is $2,079M. Out-of-scope subtract $69M; Jurisdiction exclusions subtract $122M; Other exclusions subtract $201M. The final submitted to IHACPA is $1,688M."/>
                        <pic:cNvPicPr>
                          <a:picLocks noGrp="1" noRot="1" noChangeAspect="1" noMove="1" noResize="1" noEditPoints="1" noAdjustHandles="1" noChangeArrowheads="1" noChangeShapeType="1"/>
                        </pic:cNvPicPr>
                      </pic:nvPicPr>
                      <pic:blipFill>
                        <a:blip r:embed="rId63"/>
                        <a:stretch>
                          <a:fillRect/>
                        </a:stretch>
                      </pic:blipFill>
                      <pic:spPr>
                        <a:xfrm>
                          <a:off x="0" y="0"/>
                          <a:ext cx="5729605" cy="2376805"/>
                        </a:xfrm>
                        <a:prstGeom prst="rect">
                          <a:avLst/>
                        </a:prstGeom>
                      </pic:spPr>
                    </pic:pic>
                  </a:graphicData>
                </a:graphic>
              </wp:anchor>
            </w:drawing>
          </mc:Fallback>
        </mc:AlternateContent>
      </w:r>
      <w:r w:rsidR="003A52B2" w:rsidRPr="00FD6FDF">
        <w:t xml:space="preserve">This section discusses adjustments from the </w:t>
      </w:r>
      <w:r w:rsidR="003A52B2">
        <w:t>GL</w:t>
      </w:r>
      <w:r w:rsidR="003A52B2" w:rsidRPr="00FD6FDF">
        <w:t xml:space="preserve"> of Alfred Health</w:t>
      </w:r>
      <w:r w:rsidR="003A52B2">
        <w:t xml:space="preserve"> HS</w:t>
      </w:r>
      <w:r w:rsidR="003A52B2" w:rsidRPr="00FD6FDF">
        <w:t>, through to the costed products ($) submitted to IHACPA in the NHCDC submission.</w:t>
      </w:r>
    </w:p>
    <w:p w14:paraId="34392F32" w14:textId="77777777" w:rsidR="003A52B2" w:rsidRPr="00FD6FDF" w:rsidRDefault="003A52B2" w:rsidP="006044E0">
      <w:pPr>
        <w:pStyle w:val="ListParagraph"/>
        <w:numPr>
          <w:ilvl w:val="0"/>
          <w:numId w:val="9"/>
        </w:numPr>
      </w:pPr>
      <w:r w:rsidRPr="00FD6FDF">
        <w:rPr>
          <w:b/>
          <w:bCs/>
        </w:rPr>
        <w:t>Inclusions</w:t>
      </w:r>
      <w:r w:rsidRPr="00FD6FDF">
        <w:t xml:space="preserve"> – $65 million of inclusions relating to national blood allocation ($51 million), </w:t>
      </w:r>
      <w:r>
        <w:t>HPV</w:t>
      </w:r>
      <w:r w:rsidRPr="00FD6FDF">
        <w:t xml:space="preserve"> (procurement) costs ($7 million), and $7 million internal transfers were added to Alfreds Health</w:t>
      </w:r>
      <w:r>
        <w:t xml:space="preserve"> HS’s</w:t>
      </w:r>
      <w:r w:rsidRPr="00FD6FDF">
        <w:t xml:space="preserve"> GL.</w:t>
      </w:r>
    </w:p>
    <w:p w14:paraId="10D44F6F" w14:textId="0FE7BA01" w:rsidR="003A52B2" w:rsidRPr="00FD6FDF" w:rsidRDefault="003A52B2" w:rsidP="006044E0">
      <w:pPr>
        <w:pStyle w:val="ListParagraph"/>
        <w:numPr>
          <w:ilvl w:val="0"/>
          <w:numId w:val="9"/>
        </w:numPr>
      </w:pPr>
      <w:r w:rsidRPr="00FD6FDF">
        <w:rPr>
          <w:b/>
          <w:bCs/>
        </w:rPr>
        <w:t>Out</w:t>
      </w:r>
      <w:r w:rsidR="00E46078">
        <w:rPr>
          <w:b/>
          <w:bCs/>
        </w:rPr>
        <w:t>-</w:t>
      </w:r>
      <w:r w:rsidRPr="00FD6FDF">
        <w:rPr>
          <w:b/>
          <w:bCs/>
        </w:rPr>
        <w:t>of</w:t>
      </w:r>
      <w:r w:rsidR="00E46078">
        <w:rPr>
          <w:b/>
          <w:bCs/>
        </w:rPr>
        <w:t>-s</w:t>
      </w:r>
      <w:r w:rsidRPr="00FD6FDF">
        <w:rPr>
          <w:b/>
          <w:bCs/>
        </w:rPr>
        <w:t>cope</w:t>
      </w:r>
      <w:r w:rsidRPr="00FD6FDF">
        <w:t xml:space="preserve"> – Alfred Health </w:t>
      </w:r>
      <w:r>
        <w:t xml:space="preserve">HS </w:t>
      </w:r>
      <w:r w:rsidRPr="00FD6FDF">
        <w:t xml:space="preserve">removed costs related to non-ABF service delivery or costs </w:t>
      </w:r>
      <w:r w:rsidR="00A96971">
        <w:t>that</w:t>
      </w:r>
      <w:r w:rsidR="00A96971" w:rsidRPr="00FD6FDF">
        <w:t xml:space="preserve"> </w:t>
      </w:r>
      <w:r w:rsidRPr="00FD6FDF">
        <w:t xml:space="preserve">were not in-scope for the costing year, relating to: </w:t>
      </w:r>
    </w:p>
    <w:p w14:paraId="3BF806A1" w14:textId="77777777" w:rsidR="003A52B2" w:rsidRPr="00FD6FDF" w:rsidRDefault="003A52B2" w:rsidP="006044E0">
      <w:pPr>
        <w:pStyle w:val="ListParagraph"/>
        <w:numPr>
          <w:ilvl w:val="1"/>
          <w:numId w:val="9"/>
        </w:numPr>
      </w:pPr>
      <w:r w:rsidRPr="00FD6FDF">
        <w:t>Special Purpose funds not relating to patient care, predominantly relating to research activities ($60 million), and</w:t>
      </w:r>
    </w:p>
    <w:p w14:paraId="352315E5" w14:textId="5EC01BF8" w:rsidR="003A52B2" w:rsidRPr="00FD6FDF" w:rsidRDefault="003A52B2" w:rsidP="006044E0">
      <w:pPr>
        <w:pStyle w:val="ListParagraph"/>
        <w:numPr>
          <w:ilvl w:val="1"/>
          <w:numId w:val="9"/>
        </w:numPr>
      </w:pPr>
      <w:r w:rsidRPr="00FD6FDF">
        <w:t>Movement in WIP ($9 million).</w:t>
      </w:r>
    </w:p>
    <w:p w14:paraId="1E0BD001" w14:textId="1B665FEB" w:rsidR="003A52B2" w:rsidRPr="00FD6FDF" w:rsidRDefault="003A52B2" w:rsidP="006044E0">
      <w:pPr>
        <w:pStyle w:val="ListParagraph"/>
        <w:numPr>
          <w:ilvl w:val="0"/>
          <w:numId w:val="9"/>
        </w:numPr>
      </w:pPr>
      <w:r w:rsidRPr="00FD6FDF">
        <w:rPr>
          <w:b/>
        </w:rPr>
        <w:t>Jurisdiction exclusions</w:t>
      </w:r>
      <w:r w:rsidRPr="00FD6FDF">
        <w:t xml:space="preserve"> – Alfred Health</w:t>
      </w:r>
      <w:r>
        <w:t xml:space="preserve"> HS</w:t>
      </w:r>
      <w:r w:rsidRPr="00FD6FDF">
        <w:t xml:space="preserve"> removed capital related expenditure of $</w:t>
      </w:r>
      <w:r w:rsidR="00F7713A" w:rsidRPr="00FD6FDF">
        <w:t>117</w:t>
      </w:r>
      <w:r w:rsidR="00F7713A">
        <w:t> </w:t>
      </w:r>
      <w:r w:rsidRPr="00FD6FDF">
        <w:t xml:space="preserve">million and $5 million of non-operating costs relating to car parking expenses. </w:t>
      </w:r>
    </w:p>
    <w:p w14:paraId="463779B9" w14:textId="77777777" w:rsidR="003A52B2" w:rsidRPr="00FD6FDF" w:rsidRDefault="003A52B2" w:rsidP="006044E0">
      <w:pPr>
        <w:pStyle w:val="ListParagraph"/>
        <w:numPr>
          <w:ilvl w:val="0"/>
          <w:numId w:val="9"/>
        </w:numPr>
      </w:pPr>
      <w:r w:rsidRPr="00FD6FDF">
        <w:rPr>
          <w:b/>
          <w:bCs/>
        </w:rPr>
        <w:t xml:space="preserve">Other exclusions </w:t>
      </w:r>
      <w:r w:rsidRPr="00FD6FDF">
        <w:t>– totalled $201 million. These are made up of both out-of-scope costs and excluded costs that are within the scope of the NHCDC and could not be matched to a record based on data quality. The exclusions are made up of:</w:t>
      </w:r>
    </w:p>
    <w:p w14:paraId="5945935C" w14:textId="47D7785A" w:rsidR="003A52B2" w:rsidRPr="00FD6FDF" w:rsidRDefault="003A52B2" w:rsidP="006044E0">
      <w:pPr>
        <w:pStyle w:val="ListParagraph"/>
        <w:numPr>
          <w:ilvl w:val="1"/>
          <w:numId w:val="9"/>
        </w:numPr>
      </w:pPr>
      <w:r>
        <w:t>U</w:t>
      </w:r>
      <w:r w:rsidRPr="00FD6FDF">
        <w:t xml:space="preserve">nlinked or unmatched activity </w:t>
      </w:r>
      <w:r w:rsidR="00A96971">
        <w:t>that</w:t>
      </w:r>
      <w:r w:rsidR="00A96971" w:rsidRPr="00FD6FDF">
        <w:t xml:space="preserve"> </w:t>
      </w:r>
      <w:r w:rsidRPr="00FD6FDF">
        <w:t>cannot be matched to cost records ($</w:t>
      </w:r>
      <w:r w:rsidR="00F7713A" w:rsidRPr="00FD6FDF">
        <w:t>80</w:t>
      </w:r>
      <w:r w:rsidR="00F7713A">
        <w:t> </w:t>
      </w:r>
      <w:r w:rsidRPr="00FD6FDF">
        <w:t>million), noting that some of this amount relates to non-ABF services.</w:t>
      </w:r>
      <w:r w:rsidR="00617F7C">
        <w:t xml:space="preserve"> </w:t>
      </w:r>
      <w:r w:rsidR="008B2370">
        <w:t>A portion relates to</w:t>
      </w:r>
      <w:r w:rsidR="00617F7C">
        <w:t xml:space="preserve"> virtual dummy encounters where patient level data is not available</w:t>
      </w:r>
      <w:r w:rsidR="00F7713A">
        <w:t>.</w:t>
      </w:r>
    </w:p>
    <w:p w14:paraId="5D331280" w14:textId="77777777" w:rsidR="003A52B2" w:rsidRPr="004A6730" w:rsidRDefault="003A52B2" w:rsidP="006044E0">
      <w:pPr>
        <w:pStyle w:val="ListParagraph"/>
        <w:numPr>
          <w:ilvl w:val="1"/>
          <w:numId w:val="9"/>
        </w:numPr>
      </w:pPr>
      <w:r w:rsidRPr="00FD6FDF">
        <w:t xml:space="preserve">Other non-patient products including $52 million sexual health services. The </w:t>
      </w:r>
      <w:r w:rsidRPr="004A6730">
        <w:t xml:space="preserve">remainder could not be determined. </w:t>
      </w:r>
    </w:p>
    <w:p w14:paraId="0B59AFCA" w14:textId="62A7439B" w:rsidR="003A52B2" w:rsidRPr="004A6730" w:rsidRDefault="003A52B2" w:rsidP="006044E0">
      <w:pPr>
        <w:pStyle w:val="ListParagraph"/>
        <w:numPr>
          <w:ilvl w:val="1"/>
          <w:numId w:val="9"/>
        </w:numPr>
      </w:pPr>
      <w:r w:rsidRPr="004A6730">
        <w:t xml:space="preserve">$90 million of costs were removed </w:t>
      </w:r>
      <w:r w:rsidR="00A96971">
        <w:t>that</w:t>
      </w:r>
      <w:r w:rsidR="00A96971" w:rsidRPr="004A6730">
        <w:t xml:space="preserve"> </w:t>
      </w:r>
      <w:r w:rsidRPr="004A6730">
        <w:t xml:space="preserve">related to VCDC products </w:t>
      </w:r>
      <w:r w:rsidR="00A96971">
        <w:t xml:space="preserve">and </w:t>
      </w:r>
      <w:r w:rsidRPr="004A6730">
        <w:t>were not submitted to NHCDC.</w:t>
      </w:r>
    </w:p>
    <w:p w14:paraId="0AE8BDCD" w14:textId="36E5746A" w:rsidR="00EE5CB7" w:rsidRPr="00AD1F32" w:rsidRDefault="003A52B2" w:rsidP="003060BB">
      <w:pPr>
        <w:pStyle w:val="Heading4"/>
        <w:rPr>
          <w:color w:val="484B5D" w:themeColor="accent3"/>
        </w:rPr>
      </w:pPr>
      <w:r w:rsidRPr="00AD1F32">
        <w:rPr>
          <w:color w:val="484B5D" w:themeColor="accent3"/>
        </w:rPr>
        <w:t>Reconciliation from GL to NHCDC – Barwon Health HS</w:t>
      </w:r>
    </w:p>
    <w:p w14:paraId="095ACCE8" w14:textId="77777777" w:rsidR="00055AF4" w:rsidRPr="00FD6FDF" w:rsidRDefault="00055AF4" w:rsidP="006044E0">
      <w:pPr>
        <w:pStyle w:val="ListParagraph"/>
        <w:numPr>
          <w:ilvl w:val="0"/>
          <w:numId w:val="9"/>
        </w:numPr>
      </w:pPr>
      <w:r w:rsidRPr="004A6730">
        <w:t>Barwon Health HS’s GL was $</w:t>
      </w:r>
      <w:r w:rsidRPr="00FD6FDF">
        <w:t>1.27</w:t>
      </w:r>
      <w:r>
        <w:t xml:space="preserve"> </w:t>
      </w:r>
      <w:r w:rsidRPr="00FD6FDF">
        <w:t>billion.</w:t>
      </w:r>
    </w:p>
    <w:p w14:paraId="7B738824" w14:textId="4A51A0E6" w:rsidR="00055AF4" w:rsidRPr="00FD6FDF" w:rsidRDefault="00055AF4" w:rsidP="006044E0">
      <w:pPr>
        <w:pStyle w:val="ListParagraph"/>
        <w:numPr>
          <w:ilvl w:val="1"/>
          <w:numId w:val="9"/>
        </w:numPr>
      </w:pPr>
      <w:r w:rsidRPr="00FD6FDF">
        <w:lastRenderedPageBreak/>
        <w:t xml:space="preserve">Their submitted costs to the NHCDC were $899 million (representing 2.5% of </w:t>
      </w:r>
      <w:r w:rsidR="004F4511">
        <w:t>Vic</w:t>
      </w:r>
      <w:r w:rsidR="00E46D72">
        <w:t>toria</w:t>
      </w:r>
      <w:r w:rsidR="004F4511">
        <w:t>’s</w:t>
      </w:r>
      <w:r w:rsidRPr="00FD6FDF">
        <w:t xml:space="preserve"> costs).</w:t>
      </w:r>
    </w:p>
    <w:p w14:paraId="1A3ABF32" w14:textId="77777777" w:rsidR="00055AF4" w:rsidRPr="00FD6FDF" w:rsidRDefault="00055AF4" w:rsidP="006044E0">
      <w:pPr>
        <w:pStyle w:val="ListParagraph"/>
        <w:numPr>
          <w:ilvl w:val="1"/>
          <w:numId w:val="9"/>
        </w:numPr>
      </w:pPr>
      <w:r w:rsidRPr="00FD6FDF">
        <w:t>Overall, Barwon Health</w:t>
      </w:r>
      <w:r>
        <w:t xml:space="preserve"> HS</w:t>
      </w:r>
      <w:r w:rsidRPr="00FD6FDF">
        <w:t xml:space="preserve"> submitted 70% of their GL to the NHCDC.</w:t>
      </w:r>
    </w:p>
    <w:p w14:paraId="5AC5AD37" w14:textId="77777777" w:rsidR="00055AF4" w:rsidRPr="00FD6FDF" w:rsidRDefault="00055AF4" w:rsidP="006044E0">
      <w:pPr>
        <w:pStyle w:val="ListParagraph"/>
        <w:numPr>
          <w:ilvl w:val="1"/>
          <w:numId w:val="9"/>
        </w:numPr>
      </w:pPr>
      <w:r w:rsidRPr="00FD6FDF">
        <w:t>$372 million costs (30% of GL) were not included in NHCDC submissions for a variety of reasons, as set out in the waterfall below.</w:t>
      </w:r>
    </w:p>
    <w:p w14:paraId="11733DE9" w14:textId="44D6EB5D" w:rsidR="00800904" w:rsidRDefault="003C4CF4" w:rsidP="00BF7EC2">
      <w:pPr>
        <w:pStyle w:val="Caption"/>
        <w:keepNext/>
      </w:pPr>
      <w:r>
        <w:rPr>
          <w:noProof/>
        </w:rPr>
        <mc:AlternateContent>
          <mc:Choice Requires="wpg">
            <w:drawing>
              <wp:anchor distT="0" distB="0" distL="114300" distR="114300" simplePos="0" relativeHeight="251658300" behindDoc="0" locked="0" layoutInCell="1" allowOverlap="1" wp14:anchorId="052A5E96" wp14:editId="63857DE3">
                <wp:simplePos x="0" y="0"/>
                <wp:positionH relativeFrom="column">
                  <wp:posOffset>308610</wp:posOffset>
                </wp:positionH>
                <wp:positionV relativeFrom="paragraph">
                  <wp:posOffset>3038665</wp:posOffset>
                </wp:positionV>
                <wp:extent cx="5742362" cy="609600"/>
                <wp:effectExtent l="0" t="0" r="10795" b="0"/>
                <wp:wrapTopAndBottom/>
                <wp:docPr id="284341169" name="Group 9" descr="P154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2362" cy="609600"/>
                          <a:chOff x="0" y="0"/>
                          <a:chExt cx="5742362" cy="609600"/>
                        </a:xfrm>
                      </wpg:grpSpPr>
                      <wps:wsp>
                        <wps:cNvPr id="1564429407" name="TextBox 3">
                          <a:extLst>
                            <a:ext uri="{FF2B5EF4-FFF2-40B4-BE49-F238E27FC236}">
                              <a16:creationId xmlns:a16="http://schemas.microsoft.com/office/drawing/2014/main" id="{F793E582-6829-1DBB-005C-C14D7122F1BE}"/>
                            </a:ext>
                          </a:extLst>
                        </wps:cNvPr>
                        <wps:cNvSpPr txBox="1"/>
                        <wps:spPr>
                          <a:xfrm>
                            <a:off x="0" y="0"/>
                            <a:ext cx="683895" cy="609600"/>
                          </a:xfrm>
                          <a:prstGeom prst="rect">
                            <a:avLst/>
                          </a:prstGeom>
                          <a:noFill/>
                          <a:ln>
                            <a:noFill/>
                          </a:ln>
                        </wps:spPr>
                        <wps:txbx>
                          <w:txbxContent>
                            <w:p w14:paraId="593D5B1A" w14:textId="3EE6095C"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 xml:space="preserve">Barwon Health </w:t>
                              </w:r>
                              <w:r w:rsidR="000E440C">
                                <w:rPr>
                                  <w:rFonts w:asciiTheme="minorHAnsi"/>
                                  <w:color w:val="404040" w:themeColor="text1" w:themeTint="BF"/>
                                  <w:kern w:val="24"/>
                                </w:rPr>
                                <w:t xml:space="preserve">HS </w:t>
                              </w:r>
                              <w:r w:rsidRPr="00B21E96">
                                <w:rPr>
                                  <w:rFonts w:asciiTheme="minorHAnsi"/>
                                  <w:color w:val="404040" w:themeColor="text1" w:themeTint="BF"/>
                                  <w:kern w:val="24"/>
                                </w:rPr>
                                <w:t>GL</w:t>
                              </w:r>
                            </w:p>
                          </w:txbxContent>
                        </wps:txbx>
                        <wps:bodyPr wrap="square" lIns="0" rIns="0" bIns="0" rtlCol="0">
                          <a:spAutoFit/>
                        </wps:bodyPr>
                      </wps:wsp>
                      <wps:wsp>
                        <wps:cNvPr id="213920690" name="TextBox 4">
                          <a:extLst>
                            <a:ext uri="{FF2B5EF4-FFF2-40B4-BE49-F238E27FC236}">
                              <a16:creationId xmlns:a16="http://schemas.microsoft.com/office/drawing/2014/main" id="{9DD41188-470D-61AB-56A6-538A51D7FB50}"/>
                            </a:ext>
                          </a:extLst>
                        </wps:cNvPr>
                        <wps:cNvSpPr txBox="1"/>
                        <wps:spPr>
                          <a:xfrm>
                            <a:off x="724395" y="0"/>
                            <a:ext cx="683895" cy="301625"/>
                          </a:xfrm>
                          <a:prstGeom prst="rect">
                            <a:avLst/>
                          </a:prstGeom>
                          <a:noFill/>
                          <a:ln>
                            <a:noFill/>
                          </a:ln>
                        </wps:spPr>
                        <wps:txbx>
                          <w:txbxContent>
                            <w:p w14:paraId="21DCD82D"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Inclusions</w:t>
                              </w:r>
                            </w:p>
                          </w:txbxContent>
                        </wps:txbx>
                        <wps:bodyPr wrap="square" lIns="0" rIns="0" bIns="0" rtlCol="0">
                          <a:spAutoFit/>
                        </wps:bodyPr>
                      </wps:wsp>
                      <wps:wsp>
                        <wps:cNvPr id="438053157" name="TextBox 5">
                          <a:extLst>
                            <a:ext uri="{FF2B5EF4-FFF2-40B4-BE49-F238E27FC236}">
                              <a16:creationId xmlns:a16="http://schemas.microsoft.com/office/drawing/2014/main" id="{7E181C26-42A0-972A-01F0-04A7A71FE5F5}"/>
                            </a:ext>
                          </a:extLst>
                        </wps:cNvPr>
                        <wps:cNvSpPr txBox="1"/>
                        <wps:spPr>
                          <a:xfrm>
                            <a:off x="1448790" y="0"/>
                            <a:ext cx="683895" cy="455295"/>
                          </a:xfrm>
                          <a:prstGeom prst="rect">
                            <a:avLst/>
                          </a:prstGeom>
                          <a:noFill/>
                          <a:ln>
                            <a:noFill/>
                          </a:ln>
                        </wps:spPr>
                        <wps:txbx>
                          <w:txbxContent>
                            <w:p w14:paraId="305E071F"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Restated GL</w:t>
                              </w:r>
                            </w:p>
                          </w:txbxContent>
                        </wps:txbx>
                        <wps:bodyPr wrap="square" lIns="0" rIns="0" bIns="0" rtlCol="0">
                          <a:spAutoFit/>
                        </wps:bodyPr>
                      </wps:wsp>
                      <wps:wsp>
                        <wps:cNvPr id="68196332" name="TextBox 6">
                          <a:extLst>
                            <a:ext uri="{FF2B5EF4-FFF2-40B4-BE49-F238E27FC236}">
                              <a16:creationId xmlns:a16="http://schemas.microsoft.com/office/drawing/2014/main" id="{ED261C6F-70F2-2FE8-0ABA-1B27C749E7AC}"/>
                            </a:ext>
                          </a:extLst>
                        </wps:cNvPr>
                        <wps:cNvSpPr txBox="1"/>
                        <wps:spPr>
                          <a:xfrm>
                            <a:off x="2161310" y="0"/>
                            <a:ext cx="683895" cy="455295"/>
                          </a:xfrm>
                          <a:prstGeom prst="rect">
                            <a:avLst/>
                          </a:prstGeom>
                          <a:noFill/>
                          <a:ln>
                            <a:noFill/>
                          </a:ln>
                        </wps:spPr>
                        <wps:txbx>
                          <w:txbxContent>
                            <w:p w14:paraId="224402C3"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Out-of-scope</w:t>
                              </w:r>
                            </w:p>
                          </w:txbxContent>
                        </wps:txbx>
                        <wps:bodyPr wrap="square" lIns="0" rIns="0" bIns="0" rtlCol="0">
                          <a:spAutoFit/>
                        </wps:bodyPr>
                      </wps:wsp>
                      <wps:wsp>
                        <wps:cNvPr id="1478391211" name="TextBox 7">
                          <a:extLst>
                            <a:ext uri="{FF2B5EF4-FFF2-40B4-BE49-F238E27FC236}">
                              <a16:creationId xmlns:a16="http://schemas.microsoft.com/office/drawing/2014/main" id="{7FA1D49A-43FC-206C-37C1-1F886263DA44}"/>
                            </a:ext>
                          </a:extLst>
                        </wps:cNvPr>
                        <wps:cNvSpPr txBox="1"/>
                        <wps:spPr>
                          <a:xfrm>
                            <a:off x="2885463" y="0"/>
                            <a:ext cx="683895" cy="455295"/>
                          </a:xfrm>
                          <a:prstGeom prst="rect">
                            <a:avLst/>
                          </a:prstGeom>
                          <a:noFill/>
                          <a:ln>
                            <a:noFill/>
                          </a:ln>
                        </wps:spPr>
                        <wps:txbx>
                          <w:txbxContent>
                            <w:p w14:paraId="262AA5CB"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Jurisdiction exclusions</w:t>
                              </w:r>
                            </w:p>
                          </w:txbxContent>
                        </wps:txbx>
                        <wps:bodyPr wrap="square" lIns="0" rIns="0" bIns="0" rtlCol="0">
                          <a:spAutoFit/>
                        </wps:bodyPr>
                      </wps:wsp>
                      <wps:wsp>
                        <wps:cNvPr id="1065407629" name="TextBox 8">
                          <a:extLst>
                            <a:ext uri="{FF2B5EF4-FFF2-40B4-BE49-F238E27FC236}">
                              <a16:creationId xmlns:a16="http://schemas.microsoft.com/office/drawing/2014/main" id="{5861D327-0EBD-F2DD-AB56-9C25E5C7697D}"/>
                            </a:ext>
                          </a:extLst>
                        </wps:cNvPr>
                        <wps:cNvSpPr txBox="1"/>
                        <wps:spPr>
                          <a:xfrm>
                            <a:off x="4334494" y="0"/>
                            <a:ext cx="683895" cy="455295"/>
                          </a:xfrm>
                          <a:prstGeom prst="rect">
                            <a:avLst/>
                          </a:prstGeom>
                          <a:noFill/>
                          <a:ln>
                            <a:noFill/>
                          </a:ln>
                        </wps:spPr>
                        <wps:txbx>
                          <w:txbxContent>
                            <w:p w14:paraId="4D272401"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Other exclusions</w:t>
                              </w:r>
                            </w:p>
                          </w:txbxContent>
                        </wps:txbx>
                        <wps:bodyPr wrap="square" lIns="0" rIns="0" bIns="0" rtlCol="0">
                          <a:spAutoFit/>
                        </wps:bodyPr>
                      </wps:wsp>
                      <wps:wsp>
                        <wps:cNvPr id="27688417" name="TextBox 9">
                          <a:extLst>
                            <a:ext uri="{FF2B5EF4-FFF2-40B4-BE49-F238E27FC236}">
                              <a16:creationId xmlns:a16="http://schemas.microsoft.com/office/drawing/2014/main" id="{B76A3732-B61C-2652-BC1E-6E70BBEDA591}"/>
                            </a:ext>
                          </a:extLst>
                        </wps:cNvPr>
                        <wps:cNvSpPr txBox="1"/>
                        <wps:spPr>
                          <a:xfrm>
                            <a:off x="5058467" y="0"/>
                            <a:ext cx="683895" cy="455295"/>
                          </a:xfrm>
                          <a:prstGeom prst="rect">
                            <a:avLst/>
                          </a:prstGeom>
                          <a:noFill/>
                          <a:ln>
                            <a:noFill/>
                          </a:ln>
                        </wps:spPr>
                        <wps:txbx>
                          <w:txbxContent>
                            <w:p w14:paraId="719D0A3C"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Submitted to IHACPA</w:t>
                              </w:r>
                            </w:p>
                          </w:txbxContent>
                        </wps:txbx>
                        <wps:bodyPr wrap="square" lIns="0" rIns="0" bIns="0" rtlCol="0">
                          <a:spAutoFit/>
                        </wps:bodyPr>
                      </wps:wsp>
                      <wps:wsp>
                        <wps:cNvPr id="1189882402" name="TextBox 10">
                          <a:extLst>
                            <a:ext uri="{FF2B5EF4-FFF2-40B4-BE49-F238E27FC236}">
                              <a16:creationId xmlns:a16="http://schemas.microsoft.com/office/drawing/2014/main" id="{E8278B15-8D96-AE9C-3946-43C6AFF051AC}"/>
                            </a:ext>
                          </a:extLst>
                        </wps:cNvPr>
                        <wps:cNvSpPr txBox="1"/>
                        <wps:spPr>
                          <a:xfrm>
                            <a:off x="3610099" y="0"/>
                            <a:ext cx="683895" cy="609600"/>
                          </a:xfrm>
                          <a:prstGeom prst="rect">
                            <a:avLst/>
                          </a:prstGeom>
                          <a:noFill/>
                          <a:ln>
                            <a:noFill/>
                          </a:ln>
                        </wps:spPr>
                        <wps:txbx>
                          <w:txbxContent>
                            <w:p w14:paraId="309E91C4"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Transfers / costed elsewhere</w:t>
                              </w:r>
                            </w:p>
                          </w:txbxContent>
                        </wps:txbx>
                        <wps:bodyPr wrap="square" lIns="0" rIns="0" bIns="0" rtlCol="0">
                          <a:spAutoFit/>
                        </wps:bodyPr>
                      </wps:wsp>
                    </wpg:wgp>
                  </a:graphicData>
                </a:graphic>
              </wp:anchor>
            </w:drawing>
          </mc:Choice>
          <mc:Fallback>
            <w:pict>
              <v:group w14:anchorId="052A5E96" id="_x0000_s1159" alt="P1546#y1" style="position:absolute;margin-left:24.3pt;margin-top:239.25pt;width:452.15pt;height:48pt;z-index:251658300;mso-position-horizontal-relative:text;mso-position-vertical-relative:text" coordsize="57423,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">
                <v:shape id="TextBox 3" o:spid="_x0000_s1160" type="#_x0000_t202" style="position:absolute;width:683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" filled="f" stroked="f">
                  <v:textbox style="mso-fit-shape-to-text:t" inset="0,,0,0">
                    <w:txbxContent>
                      <w:p w14:paraId="593D5B1A" w14:textId="3EE6095C"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 xml:space="preserve">Barwon Health </w:t>
                        </w:r>
                        <w:r w:rsidR="000E440C">
                          <w:rPr>
                            <w:rFonts w:asciiTheme="minorHAnsi"/>
                            <w:color w:val="404040" w:themeColor="text1" w:themeTint="BF"/>
                            <w:kern w:val="24"/>
                          </w:rPr>
                          <w:t xml:space="preserve">HS </w:t>
                        </w:r>
                        <w:r w:rsidRPr="00B21E96">
                          <w:rPr>
                            <w:rFonts w:asciiTheme="minorHAnsi"/>
                            <w:color w:val="404040" w:themeColor="text1" w:themeTint="BF"/>
                            <w:kern w:val="24"/>
                          </w:rPr>
                          <w:t>GL</w:t>
                        </w:r>
                      </w:p>
                    </w:txbxContent>
                  </v:textbox>
                </v:shape>
                <v:shape id="TextBox 4" o:spid="_x0000_s1161" type="#_x0000_t202" style="position:absolute;left:7243;width:683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" filled="f" stroked="f">
                  <v:textbox style="mso-fit-shape-to-text:t" inset="0,,0,0">
                    <w:txbxContent>
                      <w:p w14:paraId="21DCD82D"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Inclusions</w:t>
                        </w:r>
                      </w:p>
                    </w:txbxContent>
                  </v:textbox>
                </v:shape>
                <v:shape id="TextBox 5" o:spid="_x0000_s1162" type="#_x0000_t202" style="position:absolute;left:14487;width:6839;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" filled="f" stroked="f">
                  <v:textbox style="mso-fit-shape-to-text:t" inset="0,,0,0">
                    <w:txbxContent>
                      <w:p w14:paraId="305E071F"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Restated GL</w:t>
                        </w:r>
                      </w:p>
                    </w:txbxContent>
                  </v:textbox>
                </v:shape>
                <v:shape id="TextBox 6" o:spid="_x0000_s1163" type="#_x0000_t202" style="position:absolute;left:21613;width:6839;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" filled="f" stroked="f">
                  <v:textbox style="mso-fit-shape-to-text:t" inset="0,,0,0">
                    <w:txbxContent>
                      <w:p w14:paraId="224402C3"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Out-of-scope</w:t>
                        </w:r>
                      </w:p>
                    </w:txbxContent>
                  </v:textbox>
                </v:shape>
                <v:shape id="TextBox 7" o:spid="_x0000_s1164" type="#_x0000_t202" style="position:absolute;left:28854;width:6839;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" filled="f" stroked="f">
                  <v:textbox style="mso-fit-shape-to-text:t" inset="0,,0,0">
                    <w:txbxContent>
                      <w:p w14:paraId="262AA5CB"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Jurisdiction exclusions</w:t>
                        </w:r>
                      </w:p>
                    </w:txbxContent>
                  </v:textbox>
                </v:shape>
                <v:shape id="TextBox 8" o:spid="_x0000_s1165" type="#_x0000_t202" style="position:absolute;left:43344;width:6839;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" filled="f" stroked="f">
                  <v:textbox style="mso-fit-shape-to-text:t" inset="0,,0,0">
                    <w:txbxContent>
                      <w:p w14:paraId="4D272401"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Other exclusions</w:t>
                        </w:r>
                      </w:p>
                    </w:txbxContent>
                  </v:textbox>
                </v:shape>
                <v:shape id="TextBox 9" o:spid="_x0000_s1166" type="#_x0000_t202" style="position:absolute;left:50584;width:6839;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" filled="f" stroked="f">
                  <v:textbox style="mso-fit-shape-to-text:t" inset="0,,0,0">
                    <w:txbxContent>
                      <w:p w14:paraId="719D0A3C"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Submitted to IHACPA</w:t>
                        </w:r>
                      </w:p>
                    </w:txbxContent>
                  </v:textbox>
                </v:shape>
                <v:shape id="TextBox 10" o:spid="_x0000_s1167" type="#_x0000_t202" style="position:absolute;left:36100;width:683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" filled="f" stroked="f">
                  <v:textbox style="mso-fit-shape-to-text:t" inset="0,,0,0">
                    <w:txbxContent>
                      <w:p w14:paraId="309E91C4" w14:textId="77777777" w:rsidR="007C3F12" w:rsidRPr="00B21E96" w:rsidRDefault="007C3F12" w:rsidP="009D0E3E">
                        <w:pPr>
                          <w:spacing w:line="240" w:lineRule="auto"/>
                          <w:jc w:val="center"/>
                          <w:rPr>
                            <w:rFonts w:asciiTheme="minorHAnsi"/>
                            <w:color w:val="404040" w:themeColor="text1" w:themeTint="BF"/>
                            <w:kern w:val="24"/>
                          </w:rPr>
                        </w:pPr>
                        <w:r w:rsidRPr="00B21E96">
                          <w:rPr>
                            <w:rFonts w:asciiTheme="minorHAnsi"/>
                            <w:color w:val="404040" w:themeColor="text1" w:themeTint="BF"/>
                            <w:kern w:val="24"/>
                          </w:rPr>
                          <w:t>Transfers / costed elsewhere</w:t>
                        </w:r>
                      </w:p>
                    </w:txbxContent>
                  </v:textbox>
                </v:shape>
                <w10:wrap type="topAndBottom"/>
              </v:group>
            </w:pict>
          </mc:Fallback>
        </mc:AlternateContent>
      </w:r>
      <w:r w:rsidR="00BF7EC2">
        <w:t xml:space="preserve">Figure </w:t>
      </w:r>
      <w:r w:rsidR="00BD5B5E">
        <w:fldChar w:fldCharType="begin"/>
      </w:r>
      <w:r w:rsidR="00BD5B5E">
        <w:instrText xml:space="preserve"> SEQ Figure \* ARABIC </w:instrText>
      </w:r>
      <w:r w:rsidR="00BD5B5E">
        <w:fldChar w:fldCharType="separate"/>
      </w:r>
      <w:r w:rsidR="00CE6F96">
        <w:rPr>
          <w:noProof/>
        </w:rPr>
        <w:t>17</w:t>
      </w:r>
      <w:r w:rsidR="00BD5B5E">
        <w:fldChar w:fldCharType="end"/>
      </w:r>
      <w:r w:rsidR="00BF7EC2">
        <w:t>: Waterfall from GL to NHCDC submitted costs – Barwon Health HS</w:t>
      </w:r>
    </w:p>
    <w:p w14:paraId="41E03025" w14:textId="47EB7A6D" w:rsidR="006A43E1" w:rsidRPr="00FD6FDF" w:rsidRDefault="00432499" w:rsidP="006044E0">
      <w:pPr>
        <w:pStyle w:val="ListParagraph"/>
        <w:numPr>
          <w:ilvl w:val="0"/>
          <w:numId w:val="9"/>
        </w:numPr>
      </w:pPr>
      <w:r>
        <w:rPr>
          <w:noProof/>
        </w:rPr>
        <mc:AlternateContent>
          <mc:Choice Requires="cx1">
            <w:drawing>
              <wp:anchor distT="0" distB="0" distL="114300" distR="114300" simplePos="0" relativeHeight="251658264" behindDoc="0" locked="0" layoutInCell="1" allowOverlap="1" wp14:anchorId="1BBECA8E" wp14:editId="6B988C96">
                <wp:simplePos x="0" y="0"/>
                <wp:positionH relativeFrom="column">
                  <wp:posOffset>-393700</wp:posOffset>
                </wp:positionH>
                <wp:positionV relativeFrom="paragraph">
                  <wp:posOffset>0</wp:posOffset>
                </wp:positionV>
                <wp:extent cx="6527800" cy="2875280"/>
                <wp:effectExtent l="0" t="0" r="6350" b="1270"/>
                <wp:wrapTopAndBottom/>
                <wp:docPr id="1593290720" name="Chart 3" descr="P1547#y1">
                  <a:extLst xmlns:a="http://schemas.openxmlformats.org/drawingml/2006/main">
                    <a:ext uri="{FF2B5EF4-FFF2-40B4-BE49-F238E27FC236}">
                      <a16:creationId xmlns:a16="http://schemas.microsoft.com/office/drawing/2014/main" id="{CD22F4B8-4943-4E55-95BC-5F8A16969B0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4"/>
                  </a:graphicData>
                </a:graphic>
                <wp14:sizeRelH relativeFrom="margin">
                  <wp14:pctWidth>0</wp14:pctWidth>
                </wp14:sizeRelH>
              </wp:anchor>
            </w:drawing>
          </mc:Choice>
          <mc:Fallback>
            <w:drawing>
              <wp:anchor distT="0" distB="0" distL="114300" distR="114300" simplePos="0" relativeHeight="251658264" behindDoc="0" locked="0" layoutInCell="1" allowOverlap="1" wp14:anchorId="1BBECA8E" wp14:editId="6B988C96">
                <wp:simplePos x="0" y="0"/>
                <wp:positionH relativeFrom="column">
                  <wp:posOffset>-393700</wp:posOffset>
                </wp:positionH>
                <wp:positionV relativeFrom="paragraph">
                  <wp:posOffset>0</wp:posOffset>
                </wp:positionV>
                <wp:extent cx="6527800" cy="2875280"/>
                <wp:effectExtent l="0" t="0" r="6350" b="1270"/>
                <wp:wrapTopAndBottom/>
                <wp:docPr id="1593290720" name="Chart 3" descr="The image displays a waterfall chart showing adjustments from initial GL to final submitted costs. The Starting value is: Barwon Health HS GL at $1,271M. Inclusions add $5M; Restated GL is $1,276M. Out-of-scope subtract $43M; Jurisdiction exclusions subtract $71M; Transfers / costed elsewhere subtract $43M; Other exclusions subtract $220M. Final submitted to IHACPA $899M">
                  <a:extLst xmlns:a="http://schemas.openxmlformats.org/drawingml/2006/main">
                    <a:ext uri="{FF2B5EF4-FFF2-40B4-BE49-F238E27FC236}">
                      <a16:creationId xmlns:a16="http://schemas.microsoft.com/office/drawing/2014/main" id="{CD22F4B8-4943-4E55-95BC-5F8A16969B0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93290720" name="Chart 3" descr="The image displays a waterfall chart showing adjustments from initial GL to final submitted costs. The Starting value is: Barwon Health HS GL at $1,271M. Inclusions add $5M; Restated GL is $1,276M. Out-of-scope subtract $43M; Jurisdiction exclusions subtract $71M; Transfers / costed elsewhere subtract $43M; Other exclusions subtract $220M. Final submitted to IHACPA $899M">
                          <a:extLst>
                            <a:ext uri="{FF2B5EF4-FFF2-40B4-BE49-F238E27FC236}">
                              <a16:creationId xmlns:a16="http://schemas.microsoft.com/office/drawing/2014/main" id="{CD22F4B8-4943-4E55-95BC-5F8A16969B0B}"/>
                            </a:ext>
                          </a:extLst>
                        </pic:cNvPr>
                        <pic:cNvPicPr>
                          <a:picLocks noGrp="1" noRot="1" noChangeAspect="1" noMove="1" noResize="1" noEditPoints="1" noAdjustHandles="1" noChangeArrowheads="1" noChangeShapeType="1"/>
                        </pic:cNvPicPr>
                      </pic:nvPicPr>
                      <pic:blipFill>
                        <a:blip r:embed="rId65"/>
                        <a:stretch>
                          <a:fillRect/>
                        </a:stretch>
                      </pic:blipFill>
                      <pic:spPr>
                        <a:xfrm>
                          <a:off x="0" y="0"/>
                          <a:ext cx="6527800" cy="2875280"/>
                        </a:xfrm>
                        <a:prstGeom prst="rect">
                          <a:avLst/>
                        </a:prstGeom>
                      </pic:spPr>
                    </pic:pic>
                  </a:graphicData>
                </a:graphic>
                <wp14:sizeRelH relativeFrom="margin">
                  <wp14:pctWidth>0</wp14:pctWidth>
                </wp14:sizeRelH>
              </wp:anchor>
            </w:drawing>
          </mc:Fallback>
        </mc:AlternateContent>
      </w:r>
      <w:r w:rsidR="006A43E1" w:rsidRPr="00FD6FDF">
        <w:rPr>
          <w:b/>
          <w:bCs/>
        </w:rPr>
        <w:t>Inclusions</w:t>
      </w:r>
      <w:r w:rsidR="006A43E1" w:rsidRPr="00FD6FDF">
        <w:t xml:space="preserve"> – $5 million of inclusions relating to national blood allocation ($3 million), </w:t>
      </w:r>
      <w:r w:rsidR="006A43E1">
        <w:t>HPV</w:t>
      </w:r>
      <w:r w:rsidR="006A43E1" w:rsidRPr="00FD6FDF">
        <w:t xml:space="preserve"> (procurement) costs ($2 million).</w:t>
      </w:r>
    </w:p>
    <w:p w14:paraId="50A3DAC0" w14:textId="45D98ED0" w:rsidR="006A43E1" w:rsidRPr="00FD6FDF" w:rsidRDefault="00BF7EC2" w:rsidP="006044E0">
      <w:pPr>
        <w:pStyle w:val="ListParagraph"/>
        <w:numPr>
          <w:ilvl w:val="0"/>
          <w:numId w:val="9"/>
        </w:numPr>
      </w:pPr>
      <w:r w:rsidRPr="00FD6FDF">
        <w:rPr>
          <w:b/>
          <w:bCs/>
        </w:rPr>
        <w:t>Out-of-scope</w:t>
      </w:r>
      <w:r w:rsidR="006A43E1" w:rsidRPr="00FD6FDF">
        <w:t xml:space="preserve"> </w:t>
      </w:r>
      <w:r w:rsidR="001B4170">
        <w:t xml:space="preserve">- </w:t>
      </w:r>
      <w:r w:rsidR="006A43E1" w:rsidRPr="00FD6FDF">
        <w:t xml:space="preserve">totalled $43 million. These comprised services </w:t>
      </w:r>
      <w:r w:rsidR="00A96971">
        <w:t>that</w:t>
      </w:r>
      <w:r w:rsidR="00A96971" w:rsidRPr="00FD6FDF">
        <w:t xml:space="preserve"> </w:t>
      </w:r>
      <w:r w:rsidR="006A43E1" w:rsidRPr="00FD6FDF">
        <w:t>were no</w:t>
      </w:r>
      <w:r w:rsidR="006A43E1">
        <w:t>n-</w:t>
      </w:r>
      <w:r w:rsidR="006A43E1" w:rsidRPr="00FD6FDF">
        <w:t>ABF funded including:</w:t>
      </w:r>
    </w:p>
    <w:p w14:paraId="390BD363" w14:textId="5CCE534E" w:rsidR="006A43E1" w:rsidRPr="00FD6FDF" w:rsidRDefault="006A43E1" w:rsidP="006044E0">
      <w:pPr>
        <w:pStyle w:val="ListParagraph"/>
        <w:numPr>
          <w:ilvl w:val="1"/>
          <w:numId w:val="9"/>
        </w:numPr>
      </w:pPr>
      <w:r w:rsidRPr="00FD6FDF">
        <w:t xml:space="preserve">$15 million relating to community dental clinics, </w:t>
      </w:r>
    </w:p>
    <w:p w14:paraId="15B95C6D" w14:textId="2AC54B99" w:rsidR="006A43E1" w:rsidRPr="00FD6FDF" w:rsidRDefault="006A43E1" w:rsidP="006044E0">
      <w:pPr>
        <w:pStyle w:val="ListParagraph"/>
        <w:numPr>
          <w:ilvl w:val="1"/>
          <w:numId w:val="9"/>
        </w:numPr>
      </w:pPr>
      <w:r w:rsidRPr="00FD6FDF">
        <w:t>$2 million relating to immunisation community clinics,</w:t>
      </w:r>
    </w:p>
    <w:p w14:paraId="031B84D0" w14:textId="6B436EC1" w:rsidR="006A43E1" w:rsidRPr="00FD6FDF" w:rsidRDefault="006A43E1" w:rsidP="006044E0">
      <w:pPr>
        <w:pStyle w:val="ListParagraph"/>
        <w:numPr>
          <w:ilvl w:val="1"/>
          <w:numId w:val="9"/>
        </w:numPr>
      </w:pPr>
      <w:r w:rsidRPr="00FD6FDF">
        <w:t>$6 million relating to COVID-19 management costs,</w:t>
      </w:r>
    </w:p>
    <w:p w14:paraId="51C2D06A" w14:textId="77777777" w:rsidR="006A43E1" w:rsidRPr="00FD6FDF" w:rsidRDefault="006A43E1" w:rsidP="006044E0">
      <w:pPr>
        <w:pStyle w:val="ListParagraph"/>
        <w:numPr>
          <w:ilvl w:val="1"/>
          <w:numId w:val="9"/>
        </w:numPr>
      </w:pPr>
      <w:r w:rsidRPr="00FD6FDF">
        <w:t>$4 million costs relating to Alcohol and Drug management costs,</w:t>
      </w:r>
    </w:p>
    <w:p w14:paraId="39C25CD6" w14:textId="02C585A4" w:rsidR="006A43E1" w:rsidRPr="00FD6FDF" w:rsidRDefault="006A43E1" w:rsidP="006044E0">
      <w:pPr>
        <w:pStyle w:val="ListParagraph"/>
        <w:numPr>
          <w:ilvl w:val="1"/>
          <w:numId w:val="9"/>
        </w:numPr>
      </w:pPr>
      <w:r w:rsidRPr="00FD6FDF">
        <w:t>Movement in WIP patients ($14 million), and</w:t>
      </w:r>
    </w:p>
    <w:p w14:paraId="70703E8D" w14:textId="70E34387" w:rsidR="006A43E1" w:rsidRPr="00FD6FDF" w:rsidRDefault="006A43E1" w:rsidP="006044E0">
      <w:pPr>
        <w:pStyle w:val="ListParagraph"/>
        <w:numPr>
          <w:ilvl w:val="1"/>
          <w:numId w:val="9"/>
        </w:numPr>
      </w:pPr>
      <w:r w:rsidRPr="00FD6FDF">
        <w:t>Other small out</w:t>
      </w:r>
      <w:r>
        <w:t>-</w:t>
      </w:r>
      <w:r w:rsidRPr="00FD6FDF">
        <w:t>of</w:t>
      </w:r>
      <w:r>
        <w:t>-</w:t>
      </w:r>
      <w:r w:rsidRPr="00FD6FDF">
        <w:t>scope costs totalling $3 million.</w:t>
      </w:r>
    </w:p>
    <w:p w14:paraId="1D1CABFF" w14:textId="3BE30035" w:rsidR="006A43E1" w:rsidRPr="00FD6FDF" w:rsidRDefault="006A43E1" w:rsidP="006044E0">
      <w:pPr>
        <w:pStyle w:val="ListParagraph"/>
        <w:numPr>
          <w:ilvl w:val="0"/>
          <w:numId w:val="9"/>
        </w:numPr>
      </w:pPr>
      <w:r w:rsidRPr="00FD6FDF">
        <w:rPr>
          <w:b/>
        </w:rPr>
        <w:t>Jurisdiction exclusions</w:t>
      </w:r>
      <w:r w:rsidRPr="00FD6FDF">
        <w:t xml:space="preserve"> – $71 million of depreciation was removed from costing submissions in line with VCDC guidelines.</w:t>
      </w:r>
    </w:p>
    <w:p w14:paraId="6FFF2A61" w14:textId="3015FEA6" w:rsidR="006A43E1" w:rsidRPr="00FD6FDF" w:rsidRDefault="006A43E1" w:rsidP="006044E0">
      <w:pPr>
        <w:pStyle w:val="ListParagraph"/>
        <w:numPr>
          <w:ilvl w:val="0"/>
          <w:numId w:val="9"/>
        </w:numPr>
      </w:pPr>
      <w:r w:rsidRPr="00FD6FDF">
        <w:rPr>
          <w:b/>
          <w:bCs/>
        </w:rPr>
        <w:t xml:space="preserve">Transferred costs </w:t>
      </w:r>
      <w:r w:rsidRPr="00FD6FDF">
        <w:t xml:space="preserve">– $43 million of costs under the South West Alliance of Rural Health were recharged to other HSs relating to </w:t>
      </w:r>
      <w:r>
        <w:t>information technology (</w:t>
      </w:r>
      <w:r w:rsidRPr="00FD6FDF">
        <w:t>IT</w:t>
      </w:r>
      <w:r>
        <w:t>)</w:t>
      </w:r>
      <w:r w:rsidRPr="00FD6FDF">
        <w:t xml:space="preserve"> infrastructure and services, enabling smaller rural hospitals to benefit from economies of scale and improved digital capabilities that would be difficult to achieve independently. The costs for these services sit in Barwon Health</w:t>
      </w:r>
      <w:r>
        <w:t xml:space="preserve"> HS’s</w:t>
      </w:r>
      <w:r w:rsidRPr="00FD6FDF">
        <w:t xml:space="preserve"> GL.</w:t>
      </w:r>
    </w:p>
    <w:p w14:paraId="2B09B5CA" w14:textId="4648A4EB" w:rsidR="006A43E1" w:rsidRPr="00FD6FDF" w:rsidRDefault="006A43E1" w:rsidP="006044E0">
      <w:pPr>
        <w:pStyle w:val="ListParagraph"/>
        <w:numPr>
          <w:ilvl w:val="0"/>
          <w:numId w:val="9"/>
        </w:numPr>
      </w:pPr>
      <w:r w:rsidRPr="00FD6FDF">
        <w:rPr>
          <w:b/>
        </w:rPr>
        <w:lastRenderedPageBreak/>
        <w:t xml:space="preserve">Other exclusions </w:t>
      </w:r>
      <w:r w:rsidRPr="00FD6FDF">
        <w:rPr>
          <w:bCs/>
        </w:rPr>
        <w:t>–</w:t>
      </w:r>
      <w:r w:rsidRPr="00FD6FDF">
        <w:rPr>
          <w:b/>
        </w:rPr>
        <w:t xml:space="preserve"> </w:t>
      </w:r>
      <w:r w:rsidRPr="00FD6FDF">
        <w:t xml:space="preserve">These total $219 million are made up of non-ABF services, WIP, unlinked or unmatched activity </w:t>
      </w:r>
      <w:r w:rsidR="00A96971">
        <w:t>that</w:t>
      </w:r>
      <w:r w:rsidR="00A96971" w:rsidRPr="00FD6FDF">
        <w:t xml:space="preserve"> </w:t>
      </w:r>
      <w:r w:rsidRPr="00FD6FDF">
        <w:t>cannot be matched to cost records</w:t>
      </w:r>
      <w:r w:rsidR="0083520F">
        <w:t xml:space="preserve">, </w:t>
      </w:r>
      <w:r w:rsidR="00617F7C">
        <w:t>(</w:t>
      </w:r>
      <w:r w:rsidR="0083520F">
        <w:t xml:space="preserve">including virtual </w:t>
      </w:r>
      <w:r w:rsidR="00617F7C">
        <w:t xml:space="preserve">dummy encounters where patient level data is not available) </w:t>
      </w:r>
      <w:r w:rsidRPr="00FD6FDF">
        <w:t xml:space="preserve">and program expenditure. </w:t>
      </w:r>
    </w:p>
    <w:p w14:paraId="2E8FC540" w14:textId="495923DC" w:rsidR="006C53EE" w:rsidRDefault="006A43E1" w:rsidP="006044E0">
      <w:pPr>
        <w:pStyle w:val="ListParagraph"/>
        <w:numPr>
          <w:ilvl w:val="1"/>
          <w:numId w:val="9"/>
        </w:numPr>
      </w:pPr>
      <w:r w:rsidRPr="00FD6FDF">
        <w:t xml:space="preserve">This included $74 million of costs removed </w:t>
      </w:r>
      <w:r w:rsidR="00A96971">
        <w:t>that</w:t>
      </w:r>
      <w:r w:rsidR="00A96971" w:rsidRPr="00FD6FDF">
        <w:t xml:space="preserve"> </w:t>
      </w:r>
      <w:r w:rsidRPr="00FD6FDF">
        <w:t xml:space="preserve">related to VCDC products </w:t>
      </w:r>
      <w:r w:rsidR="00A96971">
        <w:t xml:space="preserve">and </w:t>
      </w:r>
      <w:r w:rsidRPr="00FD6FDF">
        <w:t>were not submitted to NHCDC.</w:t>
      </w:r>
    </w:p>
    <w:p w14:paraId="73ECBBD6" w14:textId="77777777" w:rsidR="006C53EE" w:rsidRDefault="006C53EE">
      <w:pPr>
        <w:tabs>
          <w:tab w:val="clear" w:pos="5309"/>
        </w:tabs>
        <w:spacing w:line="279" w:lineRule="auto"/>
      </w:pPr>
      <w:r>
        <w:br w:type="page"/>
      </w:r>
    </w:p>
    <w:p w14:paraId="66DF5567" w14:textId="7414A27D" w:rsidR="00055AF4" w:rsidRDefault="006A43E1" w:rsidP="00A1514D">
      <w:pPr>
        <w:pStyle w:val="Heading3"/>
      </w:pPr>
      <w:r>
        <w:lastRenderedPageBreak/>
        <w:t>ICU and Critical Care Focused Review</w:t>
      </w:r>
    </w:p>
    <w:p w14:paraId="242728C5" w14:textId="6BB57FB3" w:rsidR="003D06D4" w:rsidRPr="00FD6FDF" w:rsidRDefault="002E2C36" w:rsidP="00C61CEB">
      <w:pPr>
        <w:rPr>
          <w:color w:val="44546A" w:themeColor="text2"/>
        </w:rPr>
      </w:pPr>
      <w:r>
        <w:rPr>
          <w:noProof/>
          <w:color w:val="44546A" w:themeColor="text2"/>
        </w:rPr>
        <mc:AlternateContent>
          <mc:Choice Requires="wpg">
            <w:drawing>
              <wp:anchor distT="0" distB="0" distL="114300" distR="114300" simplePos="0" relativeHeight="251658325" behindDoc="0" locked="0" layoutInCell="1" allowOverlap="1" wp14:anchorId="1F0B58E8" wp14:editId="1C1FE83A">
                <wp:simplePos x="0" y="0"/>
                <wp:positionH relativeFrom="column">
                  <wp:posOffset>2731325</wp:posOffset>
                </wp:positionH>
                <wp:positionV relativeFrom="paragraph">
                  <wp:posOffset>91531</wp:posOffset>
                </wp:positionV>
                <wp:extent cx="3359150" cy="3291221"/>
                <wp:effectExtent l="0" t="0" r="0" b="4445"/>
                <wp:wrapSquare wrapText="bothSides"/>
                <wp:docPr id="1510416711" name="Group 2" descr="P1561#y1"/>
                <wp:cNvGraphicFramePr/>
                <a:graphic xmlns:a="http://schemas.openxmlformats.org/drawingml/2006/main">
                  <a:graphicData uri="http://schemas.microsoft.com/office/word/2010/wordprocessingGroup">
                    <wpg:wgp>
                      <wpg:cNvGrpSpPr/>
                      <wpg:grpSpPr>
                        <a:xfrm>
                          <a:off x="0" y="0"/>
                          <a:ext cx="3359150" cy="3291221"/>
                          <a:chOff x="0" y="0"/>
                          <a:chExt cx="3359150" cy="3291221"/>
                        </a:xfrm>
                      </wpg:grpSpPr>
                      <pic:pic xmlns:pic="http://schemas.openxmlformats.org/drawingml/2006/picture">
                        <pic:nvPicPr>
                          <pic:cNvPr id="679954942" name="Picture 1" descr="A diagram of medical services&#10;&#10;AI-generated content may be incorrect."/>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237506"/>
                            <a:ext cx="3124200" cy="3053715"/>
                          </a:xfrm>
                          <a:prstGeom prst="rect">
                            <a:avLst/>
                          </a:prstGeom>
                        </pic:spPr>
                      </pic:pic>
                      <wps:wsp>
                        <wps:cNvPr id="373587719" name="Text Box 1"/>
                        <wps:cNvSpPr txBox="1"/>
                        <wps:spPr>
                          <a:xfrm>
                            <a:off x="0" y="0"/>
                            <a:ext cx="3359150" cy="180340"/>
                          </a:xfrm>
                          <a:prstGeom prst="rect">
                            <a:avLst/>
                          </a:prstGeom>
                          <a:solidFill>
                            <a:prstClr val="white"/>
                          </a:solidFill>
                          <a:ln>
                            <a:noFill/>
                          </a:ln>
                        </wps:spPr>
                        <wps:txbx>
                          <w:txbxContent>
                            <w:p w14:paraId="596121D7" w14:textId="5DA12973" w:rsidR="00A75A74" w:rsidRPr="00A50A02" w:rsidRDefault="00A75A74" w:rsidP="00A75A74">
                              <w:pPr>
                                <w:pStyle w:val="Caption"/>
                                <w:rPr>
                                  <w:sz w:val="20"/>
                                  <w:szCs w:val="20"/>
                                </w:rPr>
                              </w:pPr>
                              <w:r>
                                <w:t xml:space="preserve">Figure </w:t>
                              </w:r>
                              <w:r w:rsidR="00BD5B5E">
                                <w:fldChar w:fldCharType="begin"/>
                              </w:r>
                              <w:r w:rsidR="00BD5B5E">
                                <w:instrText xml:space="preserve"> SEQ Figure \* ARABIC </w:instrText>
                              </w:r>
                              <w:r w:rsidR="00BD5B5E">
                                <w:fldChar w:fldCharType="separate"/>
                              </w:r>
                              <w:r w:rsidR="00CE6F96">
                                <w:rPr>
                                  <w:noProof/>
                                </w:rPr>
                                <w:t>18</w:t>
                              </w:r>
                              <w:r w:rsidR="00BD5B5E">
                                <w:fldChar w:fldCharType="end"/>
                              </w:r>
                              <w:r>
                                <w:t xml:space="preserve">: </w:t>
                              </w:r>
                              <w:r w:rsidR="009746AA" w:rsidRPr="009746AA">
                                <w:t xml:space="preserve">Critical care services at </w:t>
                              </w:r>
                              <w:r w:rsidR="009746AA">
                                <w:t>Victorian</w:t>
                              </w:r>
                              <w:r w:rsidR="009746AA" w:rsidRPr="009746AA">
                                <w:t xml:space="preserve"> participating sites</w:t>
                              </w:r>
                              <w:r w:rsidR="009746AA" w:rsidRPr="009746AA" w:rsidDel="009746AA">
                                <w:rPr>
                                  <w:highlight w:val="yellow"/>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0B58E8" id="_x0000_s1168" alt="P1561#y1" style="position:absolute;margin-left:215.05pt;margin-top:7.2pt;width:264.5pt;height:259.15pt;z-index:251658325;mso-position-horizontal-relative:text;mso-position-vertical-relative:text" coordsize="33591,3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">
                <v:shape id="Picture 1" o:spid="_x0000_s1169" type="#_x0000_t75" alt="A diagram of medical services&#10;&#10;AI-generated content may be incorrect." style="position:absolute;top:2375;width:31242;height:30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">
                  <v:imagedata r:id="rId67" o:title="A diagram of medical services&#10;&#10;AI-generated content may be incorrect"/>
                </v:shape>
                <v:shape id="_x0000_s1170" type="#_x0000_t202" style="position:absolute;width:3359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" stroked="f">
                  <v:textbox inset="0,0,0,0">
                    <w:txbxContent>
                      <w:p w14:paraId="596121D7" w14:textId="5DA12973" w:rsidR="00A75A74" w:rsidRPr="00A50A02" w:rsidRDefault="00A75A74" w:rsidP="00A75A74">
                        <w:pPr>
                          <w:pStyle w:val="Caption"/>
                          <w:rPr>
                            <w:sz w:val="20"/>
                            <w:szCs w:val="20"/>
                          </w:rPr>
                        </w:pPr>
                        <w:r>
                          <w:t xml:space="preserve">Figure </w:t>
                        </w:r>
                        <w:r w:rsidR="00BD5B5E">
                          <w:fldChar w:fldCharType="begin"/>
                        </w:r>
                        <w:r w:rsidR="00BD5B5E">
                          <w:instrText xml:space="preserve"> SEQ Figure \* ARABIC </w:instrText>
                        </w:r>
                        <w:r w:rsidR="00BD5B5E">
                          <w:fldChar w:fldCharType="separate"/>
                        </w:r>
                        <w:r w:rsidR="00CE6F96">
                          <w:rPr>
                            <w:noProof/>
                          </w:rPr>
                          <w:t>18</w:t>
                        </w:r>
                        <w:r w:rsidR="00BD5B5E">
                          <w:fldChar w:fldCharType="end"/>
                        </w:r>
                        <w:r>
                          <w:t xml:space="preserve">: </w:t>
                        </w:r>
                        <w:r w:rsidR="009746AA" w:rsidRPr="009746AA">
                          <w:t xml:space="preserve">Critical care services at </w:t>
                        </w:r>
                        <w:r w:rsidR="009746AA">
                          <w:t>Victorian</w:t>
                        </w:r>
                        <w:r w:rsidR="009746AA" w:rsidRPr="009746AA">
                          <w:t xml:space="preserve"> participating sites</w:t>
                        </w:r>
                        <w:r w:rsidR="009746AA" w:rsidRPr="009746AA" w:rsidDel="009746AA">
                          <w:rPr>
                            <w:highlight w:val="yellow"/>
                          </w:rPr>
                          <w:t xml:space="preserve"> </w:t>
                        </w:r>
                      </w:p>
                    </w:txbxContent>
                  </v:textbox>
                </v:shape>
                <w10:wrap type="square"/>
              </v:group>
            </w:pict>
          </mc:Fallback>
        </mc:AlternateContent>
      </w:r>
      <w:r w:rsidR="00C83695">
        <w:rPr>
          <w:color w:val="44546A" w:themeColor="text2"/>
        </w:rPr>
        <w:t>Victoria</w:t>
      </w:r>
      <w:r w:rsidR="003D06D4" w:rsidRPr="00FD6FDF">
        <w:rPr>
          <w:color w:val="44546A" w:themeColor="text2"/>
        </w:rPr>
        <w:t xml:space="preserve"> nominated </w:t>
      </w:r>
      <w:r w:rsidR="003D06D4">
        <w:rPr>
          <w:color w:val="44546A" w:themeColor="text2"/>
        </w:rPr>
        <w:t>2</w:t>
      </w:r>
      <w:r w:rsidR="003D06D4" w:rsidRPr="00FD6FDF">
        <w:rPr>
          <w:color w:val="44546A" w:themeColor="text2"/>
        </w:rPr>
        <w:t xml:space="preserve"> facilities to participate in the Critical Care Focused Review</w:t>
      </w:r>
      <w:r w:rsidR="00B111DD">
        <w:rPr>
          <w:color w:val="44546A" w:themeColor="text2"/>
        </w:rPr>
        <w:t>:</w:t>
      </w:r>
      <w:r w:rsidR="003D06D4" w:rsidRPr="00FD6FDF">
        <w:rPr>
          <w:color w:val="44546A" w:themeColor="text2"/>
        </w:rPr>
        <w:t xml:space="preserve"> Alfred Hospital </w:t>
      </w:r>
      <w:r w:rsidR="00286988">
        <w:rPr>
          <w:color w:val="44546A" w:themeColor="text2"/>
        </w:rPr>
        <w:t>(Alfred)</w:t>
      </w:r>
      <w:r w:rsidR="003D06D4" w:rsidRPr="00FD6FDF">
        <w:rPr>
          <w:color w:val="44546A" w:themeColor="text2"/>
        </w:rPr>
        <w:t xml:space="preserve"> and University Hospital Geelong. </w:t>
      </w:r>
    </w:p>
    <w:p w14:paraId="0D53C325" w14:textId="45DE0D40" w:rsidR="003D06D4" w:rsidRPr="00FD6FDF" w:rsidRDefault="003D06D4" w:rsidP="00C61CEB">
      <w:pPr>
        <w:rPr>
          <w:color w:val="44546A" w:themeColor="text2"/>
        </w:rPr>
      </w:pPr>
      <w:r w:rsidRPr="00FD6FDF">
        <w:rPr>
          <w:b/>
          <w:color w:val="44546A" w:themeColor="text2"/>
        </w:rPr>
        <w:t xml:space="preserve">Alfred </w:t>
      </w:r>
      <w:r w:rsidRPr="00FD6FDF">
        <w:rPr>
          <w:color w:val="44546A" w:themeColor="text2"/>
        </w:rPr>
        <w:t xml:space="preserve">is a metropolitan facility in Melbourne which forms part of Alfred Health </w:t>
      </w:r>
      <w:r>
        <w:rPr>
          <w:color w:val="44546A" w:themeColor="text2"/>
        </w:rPr>
        <w:t>HS</w:t>
      </w:r>
      <w:r w:rsidRPr="00FD6FDF">
        <w:rPr>
          <w:color w:val="44546A" w:themeColor="text2"/>
        </w:rPr>
        <w:t>. Its critical care services include:</w:t>
      </w:r>
    </w:p>
    <w:p w14:paraId="6172110C" w14:textId="4DD21924" w:rsidR="003D06D4" w:rsidRPr="00FD6FDF" w:rsidRDefault="003D06D4" w:rsidP="00C61CEB">
      <w:pPr>
        <w:pStyle w:val="ListParagraph"/>
        <w:numPr>
          <w:ilvl w:val="0"/>
          <w:numId w:val="12"/>
        </w:numPr>
        <w:ind w:left="720" w:hanging="357"/>
        <w:rPr>
          <w:color w:val="44546A" w:themeColor="text2"/>
        </w:rPr>
      </w:pPr>
      <w:r>
        <w:rPr>
          <w:color w:val="44546A" w:themeColor="text2"/>
        </w:rPr>
        <w:t xml:space="preserve">The </w:t>
      </w:r>
      <w:r w:rsidRPr="00FD6FDF">
        <w:rPr>
          <w:color w:val="44546A" w:themeColor="text2"/>
        </w:rPr>
        <w:t>Alfred</w:t>
      </w:r>
      <w:r>
        <w:rPr>
          <w:color w:val="44546A" w:themeColor="text2"/>
        </w:rPr>
        <w:t>’s</w:t>
      </w:r>
      <w:r w:rsidRPr="00FD6FDF">
        <w:rPr>
          <w:color w:val="44546A" w:themeColor="text2"/>
        </w:rPr>
        <w:t xml:space="preserve"> ICU is one of the largest in Australia, comprising 68 beds. It provides specialist care for over 3,000 critically ill patients annually, including statewide services such as trauma, burns, heart and lung transplantation, and hyperbaric treatments.</w:t>
      </w:r>
    </w:p>
    <w:p w14:paraId="7004D272" w14:textId="77777777" w:rsidR="003D06D4" w:rsidRPr="00FD6FDF" w:rsidRDefault="003D06D4" w:rsidP="00C61CEB">
      <w:pPr>
        <w:pStyle w:val="ListParagraph"/>
        <w:numPr>
          <w:ilvl w:val="0"/>
          <w:numId w:val="12"/>
        </w:numPr>
        <w:ind w:left="720" w:hanging="357"/>
        <w:rPr>
          <w:color w:val="44546A" w:themeColor="text2"/>
        </w:rPr>
      </w:pPr>
      <w:r w:rsidRPr="00FD6FDF">
        <w:rPr>
          <w:color w:val="44546A" w:themeColor="text2"/>
        </w:rPr>
        <w:t>The ICU clinicians provide some other services in addition to treating the patients in their ward. These include:</w:t>
      </w:r>
    </w:p>
    <w:p w14:paraId="040A5E7F" w14:textId="6787AB94" w:rsidR="003D06D4" w:rsidRPr="00FD6FDF" w:rsidRDefault="00A46C7D" w:rsidP="00C61CEB">
      <w:pPr>
        <w:pStyle w:val="ListParagraph"/>
        <w:numPr>
          <w:ilvl w:val="1"/>
          <w:numId w:val="12"/>
        </w:numPr>
        <w:rPr>
          <w:color w:val="44546A" w:themeColor="text2"/>
        </w:rPr>
      </w:pPr>
      <w:r>
        <w:rPr>
          <w:color w:val="44546A" w:themeColor="text2"/>
        </w:rPr>
        <w:t>ECMO</w:t>
      </w:r>
      <w:r w:rsidR="003D06D4" w:rsidRPr="00FD6FDF">
        <w:rPr>
          <w:color w:val="44546A" w:themeColor="text2"/>
        </w:rPr>
        <w:t xml:space="preserve"> retrieval services (with Alfred clinical teams travelling to other facilities to retrieve patients to the Alfred’s ICU), </w:t>
      </w:r>
    </w:p>
    <w:p w14:paraId="1CD7E403" w14:textId="6B1E8CF2" w:rsidR="003D06D4" w:rsidRPr="00FD6FDF" w:rsidRDefault="003D06D4" w:rsidP="00C61CEB">
      <w:pPr>
        <w:pStyle w:val="ListParagraph"/>
        <w:numPr>
          <w:ilvl w:val="1"/>
          <w:numId w:val="12"/>
        </w:numPr>
        <w:rPr>
          <w:color w:val="44546A" w:themeColor="text2"/>
        </w:rPr>
      </w:pPr>
      <w:r w:rsidRPr="00FD6FDF">
        <w:rPr>
          <w:color w:val="44546A" w:themeColor="text2"/>
        </w:rPr>
        <w:t>Organ retrieval services</w:t>
      </w:r>
      <w:r w:rsidR="007D4249">
        <w:rPr>
          <w:color w:val="44546A" w:themeColor="text2"/>
        </w:rPr>
        <w:t>,</w:t>
      </w:r>
      <w:r w:rsidRPr="00FD6FDF">
        <w:rPr>
          <w:color w:val="44546A" w:themeColor="text2"/>
        </w:rPr>
        <w:t xml:space="preserve"> and</w:t>
      </w:r>
    </w:p>
    <w:p w14:paraId="21531192" w14:textId="0152FFBD" w:rsidR="003D06D4" w:rsidRPr="00FD6FDF" w:rsidRDefault="00F95D39" w:rsidP="00C61CEB">
      <w:pPr>
        <w:pStyle w:val="ListParagraph"/>
        <w:numPr>
          <w:ilvl w:val="1"/>
          <w:numId w:val="12"/>
        </w:numPr>
        <w:rPr>
          <w:color w:val="44546A" w:themeColor="text2"/>
        </w:rPr>
      </w:pPr>
      <w:r>
        <w:rPr>
          <w:color w:val="44546A" w:themeColor="text2"/>
        </w:rPr>
        <w:t>MET</w:t>
      </w:r>
      <w:r w:rsidR="003D06D4" w:rsidRPr="00FD6FDF">
        <w:rPr>
          <w:color w:val="44546A" w:themeColor="text2"/>
        </w:rPr>
        <w:t xml:space="preserve"> calls.</w:t>
      </w:r>
    </w:p>
    <w:p w14:paraId="0AD5D6A6" w14:textId="77777777" w:rsidR="003D06D4" w:rsidRPr="00FD6FDF" w:rsidRDefault="003D06D4" w:rsidP="00C61CEB">
      <w:pPr>
        <w:pStyle w:val="ListParagraph"/>
        <w:numPr>
          <w:ilvl w:val="1"/>
          <w:numId w:val="12"/>
        </w:numPr>
        <w:rPr>
          <w:color w:val="44546A" w:themeColor="text2"/>
        </w:rPr>
      </w:pPr>
      <w:r w:rsidRPr="00FD6FDF">
        <w:rPr>
          <w:color w:val="44546A" w:themeColor="text2"/>
        </w:rPr>
        <w:t xml:space="preserve">Under highly specialised circumstances, ICU staff would be required to work outside the ICU, in the </w:t>
      </w:r>
      <w:r>
        <w:rPr>
          <w:color w:val="44546A" w:themeColor="text2"/>
        </w:rPr>
        <w:t xml:space="preserve">delivery of </w:t>
      </w:r>
      <w:r w:rsidRPr="00FD6FDF">
        <w:rPr>
          <w:color w:val="44546A" w:themeColor="text2"/>
        </w:rPr>
        <w:t>hyperbaric chamber</w:t>
      </w:r>
      <w:r>
        <w:rPr>
          <w:color w:val="44546A" w:themeColor="text2"/>
        </w:rPr>
        <w:t xml:space="preserve"> services</w:t>
      </w:r>
      <w:r w:rsidRPr="00FD6FDF">
        <w:rPr>
          <w:color w:val="44546A" w:themeColor="text2"/>
        </w:rPr>
        <w:t>.</w:t>
      </w:r>
    </w:p>
    <w:p w14:paraId="48985228" w14:textId="7BC1865C" w:rsidR="003D06D4" w:rsidRPr="00FD6FDF" w:rsidRDefault="003D06D4" w:rsidP="00C61CEB">
      <w:pPr>
        <w:pStyle w:val="ListParagraph"/>
        <w:numPr>
          <w:ilvl w:val="0"/>
          <w:numId w:val="12"/>
        </w:numPr>
        <w:ind w:left="720" w:hanging="357"/>
        <w:rPr>
          <w:color w:val="44546A" w:themeColor="text2"/>
        </w:rPr>
      </w:pPr>
      <w:r w:rsidRPr="00FD6FDF">
        <w:rPr>
          <w:color w:val="44546A" w:themeColor="text2"/>
        </w:rPr>
        <w:t xml:space="preserve">The Alfred also includes a CCU </w:t>
      </w:r>
      <w:r w:rsidR="00A96971">
        <w:rPr>
          <w:color w:val="44546A" w:themeColor="text2"/>
        </w:rPr>
        <w:t>that</w:t>
      </w:r>
      <w:r w:rsidR="00A96971" w:rsidRPr="00FD6FDF">
        <w:rPr>
          <w:color w:val="44546A" w:themeColor="text2"/>
        </w:rPr>
        <w:t xml:space="preserve"> </w:t>
      </w:r>
      <w:r w:rsidRPr="00FD6FDF">
        <w:rPr>
          <w:color w:val="44546A" w:themeColor="text2"/>
        </w:rPr>
        <w:t>is co-located with a cardiac catheterisation laboratory (</w:t>
      </w:r>
      <w:r>
        <w:rPr>
          <w:color w:val="44546A" w:themeColor="text2"/>
        </w:rPr>
        <w:t>C</w:t>
      </w:r>
      <w:r w:rsidRPr="00FD6FDF">
        <w:rPr>
          <w:color w:val="44546A" w:themeColor="text2"/>
        </w:rPr>
        <w:t>ath lab). The hours and costs are reported as Cardiology.</w:t>
      </w:r>
    </w:p>
    <w:p w14:paraId="169496AF" w14:textId="77777777" w:rsidR="003D06D4" w:rsidRPr="00FD6FDF" w:rsidRDefault="003D06D4" w:rsidP="00C61CEB">
      <w:r w:rsidRPr="00FD6FDF">
        <w:rPr>
          <w:b/>
          <w:color w:val="44546A" w:themeColor="text2"/>
        </w:rPr>
        <w:t>University Hospital Geelong</w:t>
      </w:r>
      <w:r w:rsidRPr="00FD6FDF">
        <w:rPr>
          <w:color w:val="44546A" w:themeColor="text2"/>
        </w:rPr>
        <w:t xml:space="preserve"> is a metropolitan facility in Geelong which forms part of Barwon </w:t>
      </w:r>
      <w:r>
        <w:rPr>
          <w:color w:val="44546A" w:themeColor="text2"/>
        </w:rPr>
        <w:t>HS</w:t>
      </w:r>
      <w:r w:rsidRPr="00FD6FDF">
        <w:rPr>
          <w:color w:val="44546A" w:themeColor="text2"/>
        </w:rPr>
        <w:t>. Its critical care services include:</w:t>
      </w:r>
    </w:p>
    <w:p w14:paraId="5D657C5B" w14:textId="1DAD3BD9" w:rsidR="003D06D4" w:rsidRPr="00FD6FDF" w:rsidRDefault="00C61CEB" w:rsidP="00C61CEB">
      <w:pPr>
        <w:pStyle w:val="ListParagraph"/>
        <w:numPr>
          <w:ilvl w:val="0"/>
          <w:numId w:val="10"/>
        </w:numPr>
        <w:ind w:left="720" w:hanging="357"/>
        <w:rPr>
          <w:color w:val="44546A" w:themeColor="text2"/>
        </w:rPr>
      </w:pPr>
      <w:r>
        <w:t xml:space="preserve">A </w:t>
      </w:r>
      <w:r w:rsidR="003D06D4" w:rsidRPr="00FD6FDF">
        <w:t>24</w:t>
      </w:r>
      <w:r w:rsidR="00235BA8">
        <w:t>-</w:t>
      </w:r>
      <w:r w:rsidR="003D06D4" w:rsidRPr="00FD6FDF">
        <w:t>bed ICU providing mixed Adult and Paediatric ICU care and providing telehealth service</w:t>
      </w:r>
      <w:r w:rsidR="003D06D4" w:rsidRPr="00235BA8">
        <w:rPr>
          <w:color w:val="44546A" w:themeColor="text2"/>
        </w:rPr>
        <w:t>s to the Children’s Hospital</w:t>
      </w:r>
      <w:r w:rsidR="00235BA8" w:rsidRPr="00235BA8">
        <w:rPr>
          <w:color w:val="44546A" w:themeColor="text2"/>
        </w:rPr>
        <w:t>, and</w:t>
      </w:r>
    </w:p>
    <w:p w14:paraId="1960A586" w14:textId="4899215F" w:rsidR="003D06D4" w:rsidRPr="00FD6FDF" w:rsidRDefault="00C61CEB" w:rsidP="00C61CEB">
      <w:pPr>
        <w:pStyle w:val="ListParagraph"/>
        <w:numPr>
          <w:ilvl w:val="0"/>
          <w:numId w:val="10"/>
        </w:numPr>
        <w:ind w:left="720" w:hanging="357"/>
        <w:rPr>
          <w:color w:val="44546A" w:themeColor="text2"/>
        </w:rPr>
      </w:pPr>
      <w:r>
        <w:rPr>
          <w:color w:val="44546A" w:themeColor="text2"/>
        </w:rPr>
        <w:t xml:space="preserve">A </w:t>
      </w:r>
      <w:r w:rsidR="001F6C38">
        <w:rPr>
          <w:color w:val="44546A" w:themeColor="text2"/>
        </w:rPr>
        <w:t>6-</w:t>
      </w:r>
      <w:r w:rsidR="003D06D4" w:rsidRPr="00235BA8">
        <w:rPr>
          <w:color w:val="44546A" w:themeColor="text2"/>
        </w:rPr>
        <w:t xml:space="preserve">bed CCU, </w:t>
      </w:r>
      <w:r w:rsidR="003D06D4" w:rsidRPr="00FD6FDF">
        <w:t xml:space="preserve">co-located within a Cardiology/cardiothoracic ward (34 beds in total). The cardiology, cardiothoracic care services and Cath </w:t>
      </w:r>
      <w:r w:rsidR="003D06D4">
        <w:t>l</w:t>
      </w:r>
      <w:r w:rsidR="003D06D4" w:rsidRPr="00FD6FDF">
        <w:t>ab are deemed out</w:t>
      </w:r>
      <w:r w:rsidR="00E46078">
        <w:t>-</w:t>
      </w:r>
      <w:r w:rsidR="003D06D4" w:rsidRPr="00FD6FDF">
        <w:t>of</w:t>
      </w:r>
      <w:r w:rsidR="00E46078">
        <w:t>-</w:t>
      </w:r>
      <w:r w:rsidR="003D06D4" w:rsidRPr="00FD6FDF">
        <w:t>scope for the purposes of this review.</w:t>
      </w:r>
    </w:p>
    <w:p w14:paraId="2BBABFD3" w14:textId="77777777" w:rsidR="003D06D4" w:rsidRPr="00FD6FDF" w:rsidRDefault="003D06D4" w:rsidP="00C61CEB">
      <w:pPr>
        <w:rPr>
          <w:color w:val="44546A" w:themeColor="text2"/>
        </w:rPr>
      </w:pPr>
      <w:r w:rsidRPr="00FD6FDF">
        <w:t>The ICU staff additionally provide outreach services to the wider hospital including:</w:t>
      </w:r>
    </w:p>
    <w:p w14:paraId="365DD9B2" w14:textId="30EE399C" w:rsidR="003D06D4" w:rsidRPr="00A43FF7" w:rsidRDefault="001C25F9" w:rsidP="00C61CEB">
      <w:pPr>
        <w:pStyle w:val="ListParagraph"/>
        <w:numPr>
          <w:ilvl w:val="0"/>
          <w:numId w:val="10"/>
        </w:numPr>
        <w:ind w:left="720" w:hanging="357"/>
      </w:pPr>
      <w:r>
        <w:t>MET</w:t>
      </w:r>
      <w:r w:rsidR="003D06D4" w:rsidRPr="00FD6FDF">
        <w:t xml:space="preserve"> calls,</w:t>
      </w:r>
    </w:p>
    <w:p w14:paraId="4975458D" w14:textId="74BA9E6C" w:rsidR="003D06D4" w:rsidRPr="00A43FF7" w:rsidRDefault="003D06D4" w:rsidP="00C61CEB">
      <w:pPr>
        <w:pStyle w:val="ListParagraph"/>
        <w:numPr>
          <w:ilvl w:val="0"/>
          <w:numId w:val="10"/>
        </w:numPr>
        <w:ind w:left="720" w:hanging="357"/>
      </w:pPr>
      <w:r w:rsidRPr="00A43FF7">
        <w:t xml:space="preserve">Peripherally Inserted Central Catheter (PICC) Lines services </w:t>
      </w:r>
      <w:r w:rsidR="002E1DF2">
        <w:t>3 times a week</w:t>
      </w:r>
      <w:r w:rsidRPr="00A43FF7">
        <w:t>, and</w:t>
      </w:r>
    </w:p>
    <w:p w14:paraId="32F9FB6E" w14:textId="5151C03D" w:rsidR="003D06D4" w:rsidRPr="00FD6FDF" w:rsidRDefault="003D06D4" w:rsidP="00C61CEB">
      <w:pPr>
        <w:pStyle w:val="ListParagraph"/>
        <w:numPr>
          <w:ilvl w:val="0"/>
          <w:numId w:val="10"/>
        </w:numPr>
        <w:ind w:left="720" w:hanging="357"/>
        <w:rPr>
          <w:color w:val="44546A" w:themeColor="text2"/>
        </w:rPr>
      </w:pPr>
      <w:r>
        <w:t>TPN</w:t>
      </w:r>
      <w:r w:rsidRPr="00FD6FDF">
        <w:rPr>
          <w:color w:val="44546A" w:themeColor="text2"/>
        </w:rPr>
        <w:t xml:space="preserve"> services for inpatients.</w:t>
      </w:r>
    </w:p>
    <w:p w14:paraId="3B2F7032" w14:textId="77777777" w:rsidR="003D06D4" w:rsidRPr="00FD6FDF" w:rsidRDefault="003D06D4" w:rsidP="00C61CEB">
      <w:pPr>
        <w:rPr>
          <w:color w:val="44546A" w:themeColor="text2"/>
        </w:rPr>
      </w:pPr>
      <w:r w:rsidRPr="00FD6FDF">
        <w:rPr>
          <w:color w:val="44546A" w:themeColor="text2"/>
        </w:rPr>
        <w:lastRenderedPageBreak/>
        <w:t xml:space="preserve">The </w:t>
      </w:r>
      <w:r>
        <w:rPr>
          <w:color w:val="44546A" w:themeColor="text2"/>
        </w:rPr>
        <w:t>s</w:t>
      </w:r>
      <w:r w:rsidRPr="00FD6FDF">
        <w:rPr>
          <w:color w:val="44546A" w:themeColor="text2"/>
        </w:rPr>
        <w:t>taff working within the CCU deliver interventional and diagnostic services, bypass and valve surgery and complex thoracic surgeries. It is challenging to allocate costs across Cardiothoracic, Cardiology and CCU</w:t>
      </w:r>
      <w:r>
        <w:rPr>
          <w:color w:val="44546A" w:themeColor="text2"/>
        </w:rPr>
        <w:t>.</w:t>
      </w:r>
    </w:p>
    <w:p w14:paraId="25F001B6" w14:textId="0A1B399C" w:rsidR="003D06D4" w:rsidRPr="004A6730" w:rsidRDefault="003D06D4" w:rsidP="00C61CEB">
      <w:r w:rsidRPr="00FD6FDF">
        <w:t xml:space="preserve">Both the </w:t>
      </w:r>
      <w:r w:rsidRPr="004A6730">
        <w:t>Alfred and University Hospital Geelong are Level 3 ICU facilities and meet the criteria</w:t>
      </w:r>
      <w:r w:rsidR="00CE6F96">
        <w:rPr>
          <w:rFonts w:ascii="ZWAdobeF" w:hAnsi="ZWAdobeF" w:cs="ZWAdobeF"/>
          <w:color w:val="auto"/>
          <w:sz w:val="2"/>
          <w:szCs w:val="2"/>
        </w:rPr>
        <w:t>16F</w:t>
      </w:r>
      <w:r w:rsidR="00295F2B" w:rsidRPr="00AD1F32">
        <w:rPr>
          <w:rStyle w:val="FootnoteReference"/>
        </w:rPr>
        <w:footnoteReference w:id="18"/>
      </w:r>
      <w:r w:rsidRPr="004A6730">
        <w:t xml:space="preserve"> for IHACPA’s ICU adjustment for the NEP.</w:t>
      </w:r>
    </w:p>
    <w:p w14:paraId="67DBAFE6" w14:textId="77777777" w:rsidR="00DC1010" w:rsidRPr="00AD1F32" w:rsidRDefault="00DC1010" w:rsidP="00DC1010">
      <w:pPr>
        <w:pStyle w:val="Heading4"/>
        <w:rPr>
          <w:color w:val="484B5D" w:themeColor="accent3"/>
        </w:rPr>
      </w:pPr>
      <w:r w:rsidRPr="00AD1F32">
        <w:rPr>
          <w:color w:val="484B5D" w:themeColor="accent3"/>
        </w:rPr>
        <w:t>Critical Care Cost and Activity Reporting</w:t>
      </w:r>
    </w:p>
    <w:p w14:paraId="71F7FA33" w14:textId="12098952" w:rsidR="00DC1010" w:rsidRPr="004A6730" w:rsidRDefault="00DC1010" w:rsidP="00DC1010">
      <w:r w:rsidRPr="004A6730">
        <w:t>IHACPA provides definitions in its DRS for the reporting of critical care costs and activity. These include:</w:t>
      </w:r>
    </w:p>
    <w:p w14:paraId="514659BB" w14:textId="15E41F26" w:rsidR="00DC1010" w:rsidRPr="007D316B" w:rsidRDefault="00DC1010" w:rsidP="00DC1010">
      <w:pPr>
        <w:pStyle w:val="ListParagraph"/>
        <w:numPr>
          <w:ilvl w:val="0"/>
          <w:numId w:val="23"/>
        </w:numPr>
        <w:ind w:left="714" w:hanging="357"/>
        <w:rPr>
          <w:i/>
        </w:rPr>
      </w:pPr>
      <w:r w:rsidRPr="007D316B">
        <w:t>The</w:t>
      </w:r>
      <w:r w:rsidRPr="00DC1010">
        <w:t xml:space="preserve"> NHCDC </w:t>
      </w:r>
      <w:r w:rsidR="003B2203">
        <w:t>P</w:t>
      </w:r>
      <w:r w:rsidRPr="00DC1010">
        <w:t xml:space="preserve">ublic </w:t>
      </w:r>
      <w:r w:rsidR="003B2203">
        <w:t>S</w:t>
      </w:r>
      <w:r w:rsidRPr="00DC1010">
        <w:t xml:space="preserve">ector DRS </w:t>
      </w:r>
      <w:r w:rsidRPr="00561545">
        <w:rPr>
          <w:i/>
        </w:rPr>
        <w:t>Critical</w:t>
      </w:r>
      <w:r w:rsidRPr="00DC1010">
        <w:t xml:space="preserve"> </w:t>
      </w:r>
      <w:r w:rsidR="00C8230F">
        <w:t xml:space="preserve">NHCDC </w:t>
      </w:r>
      <w:r w:rsidRPr="00DC1010">
        <w:t>Cost Centre Group contains 10 codes to capture the types of critical care costs:</w:t>
      </w:r>
      <w:r w:rsidRPr="007D316B">
        <w:rPr>
          <w:i/>
        </w:rPr>
        <w:t xml:space="preserve"> Ccu, Hdicu, Aicu, Cticu, Gencritcare, Nicu, OtherCritCare, Paedicu, Psychicu, Scnicu.</w:t>
      </w:r>
    </w:p>
    <w:p w14:paraId="12ED47A8" w14:textId="77777777" w:rsidR="00DC1010" w:rsidRPr="007D316B" w:rsidRDefault="00DC1010" w:rsidP="00DC1010">
      <w:pPr>
        <w:pStyle w:val="ListParagraph"/>
        <w:numPr>
          <w:ilvl w:val="0"/>
          <w:numId w:val="23"/>
        </w:numPr>
      </w:pPr>
      <w:r w:rsidRPr="00A47640">
        <w:rPr>
          <w:iCs/>
        </w:rPr>
        <w:t>The ABF Admitted Patie</w:t>
      </w:r>
      <w:r w:rsidRPr="003B2203">
        <w:rPr>
          <w:iCs/>
        </w:rPr>
        <w:t>nt</w:t>
      </w:r>
      <w:r w:rsidRPr="007D316B">
        <w:t xml:space="preserve"> Care DRS contains 2 data items for ICU hours. These are:</w:t>
      </w:r>
    </w:p>
    <w:p w14:paraId="33E2C103" w14:textId="35721479" w:rsidR="00DC1010" w:rsidRPr="007D316B" w:rsidRDefault="00DC1010" w:rsidP="00DC1010">
      <w:pPr>
        <w:pStyle w:val="ListParagraph"/>
        <w:numPr>
          <w:ilvl w:val="1"/>
          <w:numId w:val="23"/>
        </w:numPr>
      </w:pPr>
      <w:r w:rsidRPr="007D316B">
        <w:rPr>
          <w:i/>
        </w:rPr>
        <w:t xml:space="preserve">Length of stay in </w:t>
      </w:r>
      <w:r w:rsidRPr="007D316B">
        <w:rPr>
          <w:i/>
          <w:iCs/>
        </w:rPr>
        <w:t>ICU,</w:t>
      </w:r>
      <w:r w:rsidRPr="007D316B">
        <w:t xml:space="preserve"> defined as the number of hours reported by a hospital with approved Adult ICU Level 3 or Paediatric ICU, and</w:t>
      </w:r>
    </w:p>
    <w:p w14:paraId="1D1366C9" w14:textId="77777777" w:rsidR="00DC1010" w:rsidRPr="007D316B" w:rsidRDefault="00DC1010" w:rsidP="00DC1010">
      <w:pPr>
        <w:pStyle w:val="ListParagraph"/>
        <w:numPr>
          <w:ilvl w:val="1"/>
          <w:numId w:val="23"/>
        </w:numPr>
      </w:pPr>
      <w:r w:rsidRPr="00FB5AB8">
        <w:rPr>
          <w:i/>
        </w:rPr>
        <w:t>Length of stay in ICU – Other</w:t>
      </w:r>
      <w:r w:rsidRPr="007D316B">
        <w:t>, defined as hours reported by hospitals with approved ICUs other than Level 3 or Paediatric ICU.</w:t>
      </w:r>
    </w:p>
    <w:p w14:paraId="0C5AE691" w14:textId="6BD9F4C0" w:rsidR="00DC1010" w:rsidRPr="007D316B" w:rsidRDefault="00DC1010" w:rsidP="00DC1010">
      <w:r w:rsidRPr="007D316B">
        <w:t xml:space="preserve">One of the findings of this IFR was that the definitions and guidance for both </w:t>
      </w:r>
      <w:r w:rsidRPr="007D316B">
        <w:rPr>
          <w:i/>
          <w:iCs/>
        </w:rPr>
        <w:t>Critical</w:t>
      </w:r>
      <w:r w:rsidRPr="007D316B">
        <w:t xml:space="preserve"> NHCDC </w:t>
      </w:r>
      <w:r w:rsidR="003B2203">
        <w:t>C</w:t>
      </w:r>
      <w:r w:rsidRPr="007D316B">
        <w:t xml:space="preserve">ost </w:t>
      </w:r>
      <w:r w:rsidR="003B2203">
        <w:t>C</w:t>
      </w:r>
      <w:r w:rsidRPr="007D316B">
        <w:t xml:space="preserve">entres and ICU hours require clarity and alignment to each other, as they are treated differently by every jurisdiction. This section of the report seeks to provide information on how </w:t>
      </w:r>
      <w:r w:rsidR="00C83695">
        <w:t>Victoria</w:t>
      </w:r>
      <w:r w:rsidRPr="007D316B">
        <w:t xml:space="preserve"> is reporting this information, noting there is ambiguity in the current definitions.</w:t>
      </w:r>
    </w:p>
    <w:p w14:paraId="42AFFD82" w14:textId="6CFAE6D9" w:rsidR="005A033B" w:rsidRPr="00C61CEB" w:rsidRDefault="00C83695" w:rsidP="00C61CEB">
      <w:r>
        <w:t>Victoria</w:t>
      </w:r>
      <w:r w:rsidR="005A033B" w:rsidRPr="00C61CEB">
        <w:t xml:space="preserve"> has standard definitions for how ICU activity is reported under IHACPA’s 2 ICU activity fields in the Victorian Admitted Episodes Dataset (VAED) manual. ICU activity reporting is managed by the DoH using data within the PAS with the following application:</w:t>
      </w:r>
    </w:p>
    <w:p w14:paraId="749D29E8" w14:textId="16E9A8B7" w:rsidR="005A033B" w:rsidRPr="00C61CEB" w:rsidRDefault="005A033B" w:rsidP="00C61CEB">
      <w:pPr>
        <w:pStyle w:val="ListParagraph"/>
        <w:numPr>
          <w:ilvl w:val="0"/>
          <w:numId w:val="74"/>
        </w:numPr>
      </w:pPr>
      <w:r w:rsidRPr="00C61CEB">
        <w:t xml:space="preserve">If the campus is a Level 3 ICU, then the hours are reported as </w:t>
      </w:r>
      <w:r w:rsidRPr="00C61CEB">
        <w:rPr>
          <w:i/>
        </w:rPr>
        <w:t xml:space="preserve">Level 3 ICU </w:t>
      </w:r>
      <w:r w:rsidR="00AB4EC0" w:rsidRPr="00C61CEB">
        <w:rPr>
          <w:i/>
        </w:rPr>
        <w:t>H</w:t>
      </w:r>
      <w:r w:rsidRPr="00C61CEB">
        <w:rPr>
          <w:i/>
        </w:rPr>
        <w:t>ours</w:t>
      </w:r>
      <w:r w:rsidRPr="00C61CEB">
        <w:t>.</w:t>
      </w:r>
    </w:p>
    <w:p w14:paraId="4C5DA6A3" w14:textId="5693196C" w:rsidR="005A033B" w:rsidRPr="00FD6FDF" w:rsidRDefault="005A033B" w:rsidP="00C61CEB">
      <w:pPr>
        <w:pStyle w:val="ListParagraph"/>
        <w:numPr>
          <w:ilvl w:val="0"/>
          <w:numId w:val="74"/>
        </w:numPr>
      </w:pPr>
      <w:r w:rsidRPr="00FD6FDF">
        <w:t xml:space="preserve">If the campus is not a Level 3 facility, then the hours are reported as </w:t>
      </w:r>
      <w:r w:rsidRPr="00FD6FDF">
        <w:rPr>
          <w:i/>
        </w:rPr>
        <w:t xml:space="preserve">Other ICU </w:t>
      </w:r>
      <w:r w:rsidR="007155F8">
        <w:rPr>
          <w:i/>
        </w:rPr>
        <w:t>H</w:t>
      </w:r>
      <w:r w:rsidRPr="00FD6FDF">
        <w:rPr>
          <w:i/>
        </w:rPr>
        <w:t>ours</w:t>
      </w:r>
      <w:r w:rsidRPr="00FD6FDF">
        <w:t>.</w:t>
      </w:r>
    </w:p>
    <w:p w14:paraId="5C1BD6B6" w14:textId="795DD981" w:rsidR="003D06D4" w:rsidRPr="00C61CEB" w:rsidRDefault="005A033B" w:rsidP="00EE5CB7">
      <w:r w:rsidRPr="00C61CEB">
        <w:t xml:space="preserve">The table below shows how </w:t>
      </w:r>
      <w:r w:rsidR="00C83695">
        <w:t>Victoria</w:t>
      </w:r>
      <w:r w:rsidRPr="00C61CEB">
        <w:t xml:space="preserve"> map</w:t>
      </w:r>
      <w:r w:rsidR="004F4511">
        <w:t>s</w:t>
      </w:r>
      <w:r w:rsidRPr="00C61CEB">
        <w:t xml:space="preserve"> ICU costs and activity to IHACPA’s cost and activity types.</w:t>
      </w:r>
    </w:p>
    <w:p w14:paraId="2A085DE5" w14:textId="5ADE6219" w:rsidR="00FE3C18" w:rsidRDefault="00FE3C18" w:rsidP="00FE3C18">
      <w:pPr>
        <w:pStyle w:val="Caption"/>
        <w:keepNext/>
      </w:pPr>
      <w:r>
        <w:t xml:space="preserve">Table </w:t>
      </w:r>
      <w:r>
        <w:fldChar w:fldCharType="begin"/>
      </w:r>
      <w:r>
        <w:instrText xml:space="preserve"> SEQ Table \* ARABIC </w:instrText>
      </w:r>
      <w:r>
        <w:fldChar w:fldCharType="separate"/>
      </w:r>
      <w:r w:rsidR="00CE6F96">
        <w:rPr>
          <w:noProof/>
        </w:rPr>
        <w:t>14</w:t>
      </w:r>
      <w:r>
        <w:fldChar w:fldCharType="end"/>
      </w:r>
      <w:r>
        <w:t xml:space="preserve">: </w:t>
      </w:r>
      <w:r w:rsidR="00C83695">
        <w:t>Victoria</w:t>
      </w:r>
      <w:r w:rsidRPr="00A22FCF">
        <w:t xml:space="preserve"> ICU costs and activity mapped to IHACPA cost and activity types</w:t>
      </w:r>
    </w:p>
    <w:tbl>
      <w:tblPr>
        <w:tblStyle w:val="ScyneTable"/>
        <w:tblW w:w="4978"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530"/>
        <w:gridCol w:w="2128"/>
        <w:gridCol w:w="2164"/>
        <w:gridCol w:w="2164"/>
      </w:tblGrid>
      <w:tr w:rsidR="00034380" w:rsidRPr="00D422F0" w14:paraId="56EBC9D6" w14:textId="77777777" w:rsidTr="00716A10">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408" w:type="pct"/>
            <w:tcBorders>
              <w:bottom w:val="single" w:sz="18" w:space="0" w:color="EFF0F7" w:themeColor="accent4" w:themeTint="33"/>
            </w:tcBorders>
            <w:shd w:val="clear" w:color="auto" w:fill="464E7E" w:themeFill="accent2"/>
            <w:vAlign w:val="center"/>
            <w:hideMark/>
          </w:tcPr>
          <w:p w14:paraId="3E6D2564" w14:textId="3D1440C2" w:rsidR="00AB3BBA" w:rsidRPr="00D422F0" w:rsidRDefault="00AB3BBA" w:rsidP="00640C70">
            <w:pPr>
              <w:pStyle w:val="TableNormalColumnHeading"/>
              <w:rPr>
                <w:rFonts w:asciiTheme="majorHAnsi" w:hAnsiTheme="majorHAnsi"/>
                <w:snapToGrid/>
                <w:sz w:val="20"/>
                <w:lang w:eastAsia="en-AU"/>
              </w:rPr>
            </w:pPr>
            <w:r>
              <w:rPr>
                <w:rFonts w:asciiTheme="majorHAnsi" w:hAnsiTheme="majorHAnsi"/>
                <w:sz w:val="20"/>
              </w:rPr>
              <w:t>ICU Description</w:t>
            </w:r>
          </w:p>
        </w:tc>
        <w:tc>
          <w:tcPr>
            <w:tcW w:w="1184" w:type="pct"/>
            <w:tcBorders>
              <w:bottom w:val="single" w:sz="18" w:space="0" w:color="EFF0F7" w:themeColor="accent4" w:themeTint="33"/>
            </w:tcBorders>
            <w:shd w:val="clear" w:color="auto" w:fill="464E7E" w:themeFill="accent2"/>
            <w:vAlign w:val="center"/>
            <w:hideMark/>
          </w:tcPr>
          <w:p w14:paraId="7C404E0F" w14:textId="3EB35DCE" w:rsidR="00AB3BBA" w:rsidRPr="00D422F0" w:rsidRDefault="00AB3BBA" w:rsidP="00B41411">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z w:val="20"/>
              </w:rPr>
              <w:t xml:space="preserve">NHCDC </w:t>
            </w:r>
            <w:r w:rsidR="00B41411">
              <w:rPr>
                <w:rFonts w:asciiTheme="majorHAnsi" w:hAnsiTheme="majorHAnsi"/>
                <w:sz w:val="20"/>
              </w:rPr>
              <w:t xml:space="preserve">Critical </w:t>
            </w:r>
            <w:r>
              <w:rPr>
                <w:rFonts w:asciiTheme="majorHAnsi" w:hAnsiTheme="majorHAnsi"/>
                <w:sz w:val="20"/>
              </w:rPr>
              <w:t>Cost Centre</w:t>
            </w:r>
          </w:p>
        </w:tc>
        <w:tc>
          <w:tcPr>
            <w:tcW w:w="1204" w:type="pct"/>
            <w:tcBorders>
              <w:bottom w:val="single" w:sz="18" w:space="0" w:color="EFF0F7" w:themeColor="accent4" w:themeTint="33"/>
            </w:tcBorders>
            <w:shd w:val="clear" w:color="auto" w:fill="464E7E" w:themeFill="accent2"/>
            <w:vAlign w:val="center"/>
            <w:hideMark/>
          </w:tcPr>
          <w:p w14:paraId="49FF8265" w14:textId="789EC0C0" w:rsidR="00AB3BBA" w:rsidRPr="00D422F0" w:rsidRDefault="00A4182D" w:rsidP="00640C70">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 xml:space="preserve">Reported as </w:t>
            </w:r>
            <w:r w:rsidRPr="00A47640">
              <w:rPr>
                <w:rFonts w:asciiTheme="majorHAnsi" w:hAnsiTheme="majorHAnsi"/>
                <w:i/>
                <w:iCs/>
                <w:snapToGrid/>
                <w:sz w:val="20"/>
                <w:lang w:eastAsia="en-AU"/>
              </w:rPr>
              <w:t>L</w:t>
            </w:r>
            <w:r w:rsidR="003D2984" w:rsidRPr="00A47640">
              <w:rPr>
                <w:rFonts w:asciiTheme="majorHAnsi" w:hAnsiTheme="majorHAnsi"/>
                <w:i/>
                <w:iCs/>
                <w:snapToGrid/>
                <w:sz w:val="20"/>
                <w:lang w:eastAsia="en-AU"/>
              </w:rPr>
              <w:t xml:space="preserve">evel </w:t>
            </w:r>
            <w:r w:rsidRPr="00A47640">
              <w:rPr>
                <w:rFonts w:asciiTheme="majorHAnsi" w:hAnsiTheme="majorHAnsi"/>
                <w:i/>
                <w:iCs/>
                <w:snapToGrid/>
                <w:sz w:val="20"/>
                <w:lang w:eastAsia="en-AU"/>
              </w:rPr>
              <w:t>3 ICU Hours</w:t>
            </w:r>
          </w:p>
        </w:tc>
        <w:tc>
          <w:tcPr>
            <w:tcW w:w="1204" w:type="pct"/>
            <w:tcBorders>
              <w:bottom w:val="single" w:sz="18" w:space="0" w:color="EFF0F7" w:themeColor="accent4" w:themeTint="33"/>
            </w:tcBorders>
            <w:shd w:val="clear" w:color="auto" w:fill="464E7E" w:themeFill="accent2"/>
            <w:vAlign w:val="center"/>
            <w:hideMark/>
          </w:tcPr>
          <w:p w14:paraId="6A3A3AB9" w14:textId="05BAFD93" w:rsidR="00AB3BBA" w:rsidRPr="00D422F0" w:rsidRDefault="00A4182D" w:rsidP="00640C70">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 xml:space="preserve">Reported as </w:t>
            </w:r>
            <w:r w:rsidRPr="00C6233D">
              <w:rPr>
                <w:rFonts w:asciiTheme="majorHAnsi" w:hAnsiTheme="majorHAnsi"/>
                <w:i/>
                <w:snapToGrid/>
                <w:sz w:val="20"/>
                <w:lang w:eastAsia="en-AU"/>
              </w:rPr>
              <w:t>Other ICU Hours</w:t>
            </w:r>
          </w:p>
        </w:tc>
      </w:tr>
      <w:tr w:rsidR="007B1AC6" w:rsidRPr="00D422F0" w14:paraId="60379105"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6D3EDC25" w14:textId="0417556C" w:rsidR="003B2641" w:rsidRPr="00FC6B54" w:rsidRDefault="003B2641" w:rsidP="00640C70">
            <w:pPr>
              <w:spacing w:before="120" w:after="120"/>
            </w:pPr>
            <w:r w:rsidRPr="00FC6B54">
              <w:t>Adult ICU</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F9064EA" w14:textId="190E5140" w:rsidR="003B2641" w:rsidRPr="00D422F0" w:rsidRDefault="003B2641"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Aicu</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17C2706" w14:textId="2116725E" w:rsidR="003B2641" w:rsidRPr="00D422F0" w:rsidRDefault="000E10AA" w:rsidP="00640C7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r>
              <w:t xml:space="preserve"> </w:t>
            </w:r>
            <w:r w:rsidR="003B2641" w:rsidRPr="00C61CEB">
              <w:t>(if L3 facility)</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2F1C5A2" w14:textId="384B43F7" w:rsidR="003B2641" w:rsidRPr="00D422F0"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r w:rsidRPr="00C61CEB">
              <w:t xml:space="preserve"> </w:t>
            </w:r>
            <w:r w:rsidR="003B2641" w:rsidRPr="00C61CEB">
              <w:t>(if not a L3 facility)</w:t>
            </w:r>
          </w:p>
        </w:tc>
      </w:tr>
      <w:tr w:rsidR="007B1AC6" w:rsidRPr="00D422F0" w14:paraId="785879D9"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EC368DC" w14:textId="4795BEE6" w:rsidR="003B2641" w:rsidRPr="00D422F0" w:rsidRDefault="003B2641" w:rsidP="00640C70">
            <w:pPr>
              <w:spacing w:before="120" w:after="120"/>
            </w:pPr>
            <w:r w:rsidRPr="00FC6B54">
              <w:t>Paediatric ICU</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99AA1A1" w14:textId="07A2F2EA" w:rsidR="003B2641" w:rsidRPr="00D422F0" w:rsidRDefault="003B2641"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Aicu (Paedicu cost centre not used)</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C3771EE" w14:textId="29F698BB" w:rsidR="003B2641" w:rsidRPr="00D422F0" w:rsidRDefault="000E10AA" w:rsidP="00640C7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r w:rsidRPr="00C61CEB">
              <w:t xml:space="preserve"> </w:t>
            </w:r>
            <w:r w:rsidR="003B2641" w:rsidRPr="00C61CEB">
              <w:t>(if L3 facility)</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61AAC7F" w14:textId="2299E25A" w:rsidR="003B2641" w:rsidRPr="00D422F0"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r w:rsidRPr="00C61CEB">
              <w:t xml:space="preserve"> </w:t>
            </w:r>
            <w:r w:rsidR="003B2641" w:rsidRPr="00C61CEB">
              <w:t>(if not a L3 facility)</w:t>
            </w:r>
          </w:p>
        </w:tc>
      </w:tr>
      <w:tr w:rsidR="007B1AC6" w:rsidRPr="00D422F0" w14:paraId="32E7581C"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5476174" w14:textId="325525C6" w:rsidR="00640C70" w:rsidRPr="00FC6B54" w:rsidRDefault="00640C70" w:rsidP="00640C70">
            <w:pPr>
              <w:spacing w:before="120" w:after="120"/>
            </w:pPr>
            <w:r w:rsidRPr="00FC6B54">
              <w:lastRenderedPageBreak/>
              <w:t>HDU / Step Down Care</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E72A76F" w14:textId="44270504" w:rsidR="00640C70" w:rsidRPr="00FC6B54" w:rsidRDefault="00640C70"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Hdicu</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F8E36C0" w14:textId="56484E00"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293A9C">
              <w:rPr>
                <w:rFonts w:ascii="Segoe UI Symbol" w:hAnsi="Segoe UI Symbol" w:cs="Segoe UI Symbol"/>
                <w:bCs/>
              </w:rPr>
              <w:t>✖</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DD72D08" w14:textId="2EE52F64"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293A9C">
              <w:rPr>
                <w:rFonts w:ascii="Segoe UI Symbol" w:hAnsi="Segoe UI Symbol" w:cs="Segoe UI Symbol"/>
                <w:bCs/>
              </w:rPr>
              <w:t>✖</w:t>
            </w:r>
          </w:p>
        </w:tc>
      </w:tr>
      <w:tr w:rsidR="007B1AC6" w:rsidRPr="00D422F0" w14:paraId="31612E54"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22ACCF5" w14:textId="37B158CC" w:rsidR="003B2641" w:rsidRPr="00FC6B54" w:rsidRDefault="003B2641" w:rsidP="00640C70">
            <w:pPr>
              <w:spacing w:before="120" w:after="120"/>
            </w:pPr>
            <w:r w:rsidRPr="00FC6B54">
              <w:t>Coronary Care Unit</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F058463" w14:textId="29A84C46" w:rsidR="003B2641" w:rsidRPr="00FC6B54" w:rsidRDefault="003B2641"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Ccu</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1B471FA" w14:textId="06FFF545" w:rsidR="003B2641"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D422F0">
              <w:rPr>
                <w:rFonts w:ascii="Segoe UI Symbol" w:hAnsi="Segoe UI Symbol" w:cs="Segoe UI Symbol"/>
                <w:lang w:val="en-US"/>
              </w:rPr>
              <w:t>✔</w:t>
            </w:r>
            <w:r w:rsidRPr="00C61CEB">
              <w:t xml:space="preserve"> </w:t>
            </w:r>
            <w:r w:rsidR="003B2641" w:rsidRPr="00C61CEB">
              <w:t>(if L3 facility)</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2855D82" w14:textId="3F292034" w:rsidR="003B2641"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D422F0">
              <w:rPr>
                <w:rFonts w:ascii="Segoe UI Symbol" w:hAnsi="Segoe UI Symbol" w:cs="Segoe UI Symbol"/>
                <w:lang w:val="en-US"/>
              </w:rPr>
              <w:t>✔</w:t>
            </w:r>
            <w:r w:rsidRPr="00C61CEB">
              <w:t xml:space="preserve"> </w:t>
            </w:r>
            <w:r w:rsidR="003B2641" w:rsidRPr="00C61CEB">
              <w:t>(if not a L3 facility)</w:t>
            </w:r>
          </w:p>
        </w:tc>
      </w:tr>
      <w:tr w:rsidR="007B1AC6" w:rsidRPr="00D422F0" w14:paraId="35D33EFF"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3377E5BA" w14:textId="0828A125" w:rsidR="003B2641" w:rsidRPr="00FC6B54" w:rsidRDefault="003B2641" w:rsidP="00640C70">
            <w:pPr>
              <w:spacing w:before="120" w:after="120"/>
            </w:pPr>
            <w:r w:rsidRPr="00FC6B54">
              <w:t>General Critical Care</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9B4E29F" w14:textId="19BAC36A" w:rsidR="003B2641" w:rsidRPr="00FC6B54" w:rsidRDefault="003B2641"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GenCritCare</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B66B445" w14:textId="215B9395" w:rsidR="003B2641"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D422F0">
              <w:rPr>
                <w:rFonts w:ascii="Segoe UI Symbol" w:hAnsi="Segoe UI Symbol" w:cs="Segoe UI Symbol"/>
                <w:lang w:val="en-US"/>
              </w:rPr>
              <w:t>✔</w:t>
            </w:r>
            <w:r w:rsidRPr="00C61CEB">
              <w:t xml:space="preserve"> </w:t>
            </w:r>
            <w:r w:rsidR="003B2641" w:rsidRPr="00C61CEB">
              <w:t>(if L3 facility)</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E1E91FC" w14:textId="554F5297" w:rsidR="003B2641"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D422F0">
              <w:rPr>
                <w:rFonts w:ascii="Segoe UI Symbol" w:hAnsi="Segoe UI Symbol" w:cs="Segoe UI Symbol"/>
                <w:lang w:val="en-US"/>
              </w:rPr>
              <w:t>✔</w:t>
            </w:r>
            <w:r w:rsidRPr="00C61CEB">
              <w:t xml:space="preserve"> </w:t>
            </w:r>
            <w:r w:rsidR="003B2641" w:rsidRPr="00C61CEB">
              <w:t>(if not a L3 facility)</w:t>
            </w:r>
          </w:p>
        </w:tc>
      </w:tr>
      <w:tr w:rsidR="007B1AC6" w:rsidRPr="00D422F0" w14:paraId="6D8E7624"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5884285" w14:textId="00DEA913" w:rsidR="00640C70" w:rsidRPr="00FC6B54" w:rsidRDefault="00640C70" w:rsidP="00640C70">
            <w:pPr>
              <w:spacing w:before="120" w:after="120"/>
            </w:pPr>
            <w:r w:rsidRPr="00FC6B54">
              <w:t>Other Critical Care</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76CB63E" w14:textId="7908DEDE" w:rsidR="00640C70" w:rsidRPr="00FC6B54" w:rsidRDefault="00640C70"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OtherCritCare</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0983EC5" w14:textId="31CF87DC"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B4563F">
              <w:rPr>
                <w:rFonts w:ascii="Segoe UI Symbol" w:hAnsi="Segoe UI Symbol" w:cs="Segoe UI Symbol"/>
                <w:bCs/>
              </w:rPr>
              <w:t>✖</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BACC1AA" w14:textId="019BE0F6"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B4563F">
              <w:rPr>
                <w:rFonts w:ascii="Segoe UI Symbol" w:hAnsi="Segoe UI Symbol" w:cs="Segoe UI Symbol"/>
                <w:bCs/>
              </w:rPr>
              <w:t>✖</w:t>
            </w:r>
          </w:p>
        </w:tc>
      </w:tr>
      <w:tr w:rsidR="007B1AC6" w:rsidRPr="00D422F0" w14:paraId="0BE95624"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26AE5425" w14:textId="30E60C27" w:rsidR="003B2641" w:rsidRPr="00FC6B54" w:rsidRDefault="003B2641" w:rsidP="00640C70">
            <w:pPr>
              <w:spacing w:before="120" w:after="120"/>
            </w:pPr>
            <w:r w:rsidRPr="00FC6B54">
              <w:t>Neonatal ICU</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8DEE1F1" w14:textId="046D06BE" w:rsidR="003B2641" w:rsidRPr="00FC6B54" w:rsidRDefault="003B2641"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Nicu</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98E8D80" w14:textId="2582A8E5" w:rsidR="003B2641"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D422F0">
              <w:rPr>
                <w:rFonts w:ascii="Segoe UI Symbol" w:hAnsi="Segoe UI Symbol" w:cs="Segoe UI Symbol"/>
                <w:lang w:val="en-US"/>
              </w:rPr>
              <w:t>✔</w:t>
            </w:r>
            <w:r w:rsidRPr="00C61CEB">
              <w:t xml:space="preserve"> </w:t>
            </w:r>
            <w:r w:rsidR="003B2641" w:rsidRPr="00C61CEB">
              <w:t>(if L3 facility)</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CD7551F" w14:textId="72C1C04D" w:rsidR="003B2641"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D422F0">
              <w:rPr>
                <w:rFonts w:ascii="Segoe UI Symbol" w:hAnsi="Segoe UI Symbol" w:cs="Segoe UI Symbol"/>
                <w:lang w:val="en-US"/>
              </w:rPr>
              <w:t>✔</w:t>
            </w:r>
            <w:r w:rsidRPr="00C61CEB">
              <w:t xml:space="preserve"> </w:t>
            </w:r>
            <w:r w:rsidR="003B2641" w:rsidRPr="00C61CEB">
              <w:t>(if not a L3 facility)</w:t>
            </w:r>
          </w:p>
        </w:tc>
      </w:tr>
      <w:tr w:rsidR="007B1AC6" w:rsidRPr="00D422F0" w14:paraId="72D949EE"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FF20B46" w14:textId="43B6885A" w:rsidR="00640C70" w:rsidRPr="00FC6B54" w:rsidRDefault="00640C70" w:rsidP="00640C70">
            <w:pPr>
              <w:spacing w:before="120" w:after="120"/>
            </w:pPr>
            <w:r w:rsidRPr="00FC6B54">
              <w:t>Special Care Nursery</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3A73561" w14:textId="460B8EBB" w:rsidR="00640C70" w:rsidRPr="00FC6B54" w:rsidRDefault="00991E90"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t>Scnicu</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0B77F83" w14:textId="7F99348B"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Cs/>
              </w:rPr>
              <w:t>✖</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AA3A40C" w14:textId="722B18FE"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Cs/>
              </w:rPr>
              <w:t>✖</w:t>
            </w:r>
          </w:p>
        </w:tc>
      </w:tr>
      <w:tr w:rsidR="007B1AC6" w:rsidRPr="00D422F0" w14:paraId="41806E4A" w14:textId="77777777" w:rsidTr="00716A10">
        <w:trPr>
          <w:trHeight w:val="290"/>
        </w:trPr>
        <w:tc>
          <w:tcPr>
            <w:cnfStyle w:val="001000000000" w:firstRow="0" w:lastRow="0" w:firstColumn="1" w:lastColumn="0" w:oddVBand="0" w:evenVBand="0" w:oddHBand="0" w:evenHBand="0" w:firstRowFirstColumn="0" w:firstRowLastColumn="0" w:lastRowFirstColumn="0"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B79D4C5" w14:textId="2A4185A5" w:rsidR="00640C70" w:rsidRPr="00FC6B54" w:rsidRDefault="00640C70" w:rsidP="00640C70">
            <w:pPr>
              <w:spacing w:before="120" w:after="120"/>
            </w:pPr>
            <w:r w:rsidRPr="00FC6B54">
              <w:t>Cardiothoracic ICU</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BE46FD9" w14:textId="2EB0D9D8" w:rsidR="00640C70" w:rsidRPr="00FC6B54" w:rsidRDefault="00640C70" w:rsidP="00B41411">
            <w:pPr>
              <w:spacing w:before="120" w:after="120"/>
              <w:jc w:val="center"/>
              <w:cnfStyle w:val="000000000000" w:firstRow="0" w:lastRow="0" w:firstColumn="0" w:lastColumn="0" w:oddVBand="0" w:evenVBand="0" w:oddHBand="0" w:evenHBand="0" w:firstRowFirstColumn="0" w:firstRowLastColumn="0" w:lastRowFirstColumn="0" w:lastRowLastColumn="0"/>
            </w:pPr>
            <w:r w:rsidRPr="00FC6B54">
              <w:t>Cticu</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5A388FD" w14:textId="3381B9AC"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Cs/>
              </w:rPr>
              <w:t>✖</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DCB0B62" w14:textId="7A6AC1BB" w:rsidR="00640C70" w:rsidRPr="008E61F2" w:rsidRDefault="00640C70" w:rsidP="00640C70">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Cs/>
              </w:rPr>
              <w:t>✖</w:t>
            </w:r>
          </w:p>
        </w:tc>
      </w:tr>
      <w:tr w:rsidR="007B1AC6" w:rsidRPr="00D422F0" w14:paraId="58C1B333" w14:textId="77777777" w:rsidTr="00716A10">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40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736EFD5" w14:textId="52AD38FE" w:rsidR="00640C70" w:rsidRPr="00FC6B54" w:rsidRDefault="00640C70" w:rsidP="00640C70">
            <w:pPr>
              <w:spacing w:before="120" w:after="120"/>
              <w:rPr>
                <w:b w:val="0"/>
              </w:rPr>
            </w:pPr>
            <w:r w:rsidRPr="00FC6B54">
              <w:rPr>
                <w:b w:val="0"/>
              </w:rPr>
              <w:t>Psychiatric ICU</w:t>
            </w:r>
          </w:p>
        </w:tc>
        <w:tc>
          <w:tcPr>
            <w:tcW w:w="118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19BC10F" w14:textId="5A70584A" w:rsidR="00640C70" w:rsidRPr="00FC6B54" w:rsidRDefault="00640C70" w:rsidP="00B41411">
            <w:pPr>
              <w:spacing w:before="120" w:after="120"/>
              <w:jc w:val="center"/>
              <w:cnfStyle w:val="010000000000" w:firstRow="0" w:lastRow="1" w:firstColumn="0" w:lastColumn="0" w:oddVBand="0" w:evenVBand="0" w:oddHBand="0" w:evenHBand="0" w:firstRowFirstColumn="0" w:firstRowLastColumn="0" w:lastRowFirstColumn="0" w:lastRowLastColumn="0"/>
              <w:rPr>
                <w:b w:val="0"/>
              </w:rPr>
            </w:pPr>
            <w:r w:rsidRPr="00FC6B54">
              <w:rPr>
                <w:b w:val="0"/>
              </w:rPr>
              <w:t>Psychicu</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F4A0789" w14:textId="12BCDB05" w:rsidR="00640C70" w:rsidRPr="008E61F2" w:rsidRDefault="00640C70" w:rsidP="00640C70">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 w:val="0"/>
                <w:bCs/>
              </w:rPr>
              <w:t>✖</w:t>
            </w:r>
          </w:p>
        </w:tc>
        <w:tc>
          <w:tcPr>
            <w:tcW w:w="120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60FD740" w14:textId="6C970DB4" w:rsidR="00640C70" w:rsidRPr="008E61F2" w:rsidRDefault="00640C70" w:rsidP="00640C70">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 w:val="0"/>
                <w:bCs/>
              </w:rPr>
              <w:t>✖</w:t>
            </w:r>
          </w:p>
        </w:tc>
      </w:tr>
    </w:tbl>
    <w:p w14:paraId="1D8C54B4" w14:textId="77777777" w:rsidR="00716A10" w:rsidRDefault="00716A10" w:rsidP="00FE114B">
      <w:pPr>
        <w:rPr>
          <w:color w:val="44546A" w:themeColor="text2"/>
        </w:rPr>
      </w:pPr>
    </w:p>
    <w:p w14:paraId="0F181429" w14:textId="4A4C76A6" w:rsidR="00FE114B" w:rsidRPr="00C61CEB" w:rsidRDefault="00C83695" w:rsidP="00FE114B">
      <w:pPr>
        <w:rPr>
          <w:highlight w:val="red"/>
        </w:rPr>
      </w:pPr>
      <w:r>
        <w:t>Victoria</w:t>
      </w:r>
      <w:r w:rsidR="00FE114B" w:rsidRPr="00C61CEB">
        <w:t xml:space="preserve"> is reviewing how they are reporting ICU hours pending further guidance from IHACPA, </w:t>
      </w:r>
      <w:r w:rsidR="00A96971">
        <w:t>including</w:t>
      </w:r>
      <w:r w:rsidR="00FE114B" w:rsidRPr="00C61CEB">
        <w:t xml:space="preserve"> revised treatment of NICU hours.</w:t>
      </w:r>
    </w:p>
    <w:p w14:paraId="29CA2E48" w14:textId="6F2AD6E9" w:rsidR="00FE114B" w:rsidRPr="00C61CEB" w:rsidRDefault="00FE114B" w:rsidP="00FE114B">
      <w:r w:rsidRPr="00C61CEB">
        <w:t xml:space="preserve">The chart below shows the total volume of </w:t>
      </w:r>
      <w:r w:rsidRPr="00C61CEB">
        <w:rPr>
          <w:i/>
        </w:rPr>
        <w:t>Level 3</w:t>
      </w:r>
      <w:r w:rsidR="003D2984">
        <w:rPr>
          <w:i/>
        </w:rPr>
        <w:t xml:space="preserve"> ICU Hours</w:t>
      </w:r>
      <w:r w:rsidRPr="00C61CEB">
        <w:t xml:space="preserve"> and </w:t>
      </w:r>
      <w:r w:rsidRPr="00C61CEB">
        <w:rPr>
          <w:i/>
        </w:rPr>
        <w:t xml:space="preserve">Other ICU </w:t>
      </w:r>
      <w:r w:rsidR="007155F8" w:rsidRPr="00C61CEB">
        <w:rPr>
          <w:i/>
        </w:rPr>
        <w:t>H</w:t>
      </w:r>
      <w:r w:rsidRPr="00C61CEB">
        <w:rPr>
          <w:i/>
        </w:rPr>
        <w:t>ours</w:t>
      </w:r>
      <w:r w:rsidRPr="00C61CEB">
        <w:t xml:space="preserve"> recorded hours across all Victorian HSs and at the 2 participating sites.</w:t>
      </w:r>
    </w:p>
    <w:p w14:paraId="5683929D" w14:textId="5B99B1BF" w:rsidR="004902FC" w:rsidRPr="00C61CEB" w:rsidRDefault="004902FC" w:rsidP="004902FC">
      <w:pPr>
        <w:pStyle w:val="Caption"/>
        <w:keepNext/>
        <w:rPr>
          <w:color w:val="484B5D" w:themeColor="accent3"/>
        </w:rPr>
      </w:pPr>
      <w:r w:rsidRPr="00C61CEB">
        <w:rPr>
          <w:color w:val="484B5D" w:themeColor="accent3"/>
        </w:rPr>
        <w:t xml:space="preserve">Figure </w:t>
      </w:r>
      <w:r w:rsidR="00BD5B5E">
        <w:rPr>
          <w:color w:val="484B5D" w:themeColor="accent3"/>
        </w:rPr>
        <w:fldChar w:fldCharType="begin"/>
      </w:r>
      <w:r w:rsidR="00BD5B5E">
        <w:rPr>
          <w:color w:val="484B5D" w:themeColor="accent3"/>
        </w:rPr>
        <w:instrText xml:space="preserve"> SEQ Figure \* ARABIC </w:instrText>
      </w:r>
      <w:r w:rsidR="00BD5B5E">
        <w:rPr>
          <w:color w:val="484B5D" w:themeColor="accent3"/>
        </w:rPr>
        <w:fldChar w:fldCharType="separate"/>
      </w:r>
      <w:r w:rsidR="00CE6F96">
        <w:rPr>
          <w:noProof/>
          <w:color w:val="484B5D" w:themeColor="accent3"/>
        </w:rPr>
        <w:t>19</w:t>
      </w:r>
      <w:r w:rsidR="00BD5B5E">
        <w:rPr>
          <w:color w:val="484B5D" w:themeColor="accent3"/>
        </w:rPr>
        <w:fldChar w:fldCharType="end"/>
      </w:r>
      <w:r w:rsidRPr="00C61CEB">
        <w:rPr>
          <w:color w:val="484B5D" w:themeColor="accent3"/>
        </w:rPr>
        <w:t xml:space="preserve">: Volume and percentage of ICU hours, reported by Level 3 ICU Hours and Other ICU Hours, at Alfred, University Hospital Geelong and all </w:t>
      </w:r>
      <w:r w:rsidR="00C83695">
        <w:rPr>
          <w:color w:val="484B5D" w:themeColor="accent3"/>
        </w:rPr>
        <w:t>Victorian</w:t>
      </w:r>
      <w:r w:rsidRPr="00C61CEB">
        <w:rPr>
          <w:color w:val="484B5D" w:themeColor="accent3"/>
        </w:rPr>
        <w:t xml:space="preserve"> hospitals</w:t>
      </w:r>
    </w:p>
    <w:p w14:paraId="7AFE1992" w14:textId="77777777" w:rsidR="006604B1" w:rsidRDefault="004D5FBC" w:rsidP="00A6381E">
      <w:r w:rsidRPr="004D5FBC">
        <w:rPr>
          <w:noProof/>
        </w:rPr>
        <w:drawing>
          <wp:anchor distT="0" distB="0" distL="114300" distR="114300" simplePos="0" relativeHeight="251658265" behindDoc="0" locked="0" layoutInCell="1" allowOverlap="1" wp14:anchorId="30F85151" wp14:editId="3705DC61">
            <wp:simplePos x="0" y="0"/>
            <wp:positionH relativeFrom="margin">
              <wp:align>center</wp:align>
            </wp:positionH>
            <wp:positionV relativeFrom="paragraph">
              <wp:posOffset>-734</wp:posOffset>
            </wp:positionV>
            <wp:extent cx="6120000" cy="2342780"/>
            <wp:effectExtent l="0" t="0" r="0" b="635"/>
            <wp:wrapTopAndBottom/>
            <wp:docPr id="1155021011" name="Picture 1" descr="P16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21011" name="Picture 1" descr="P1650#y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000" cy="2342780"/>
                    </a:xfrm>
                    <a:prstGeom prst="rect">
                      <a:avLst/>
                    </a:prstGeom>
                  </pic:spPr>
                </pic:pic>
              </a:graphicData>
            </a:graphic>
          </wp:anchor>
        </w:drawing>
      </w:r>
    </w:p>
    <w:p w14:paraId="70EEE7E9" w14:textId="2B60A35E" w:rsidR="00A6381E" w:rsidRPr="00FD6FDF" w:rsidRDefault="00A6381E" w:rsidP="00A6381E">
      <w:pPr>
        <w:rPr>
          <w:highlight w:val="red"/>
        </w:rPr>
      </w:pPr>
      <w:r w:rsidRPr="00FD6FDF">
        <w:t xml:space="preserve">At both </w:t>
      </w:r>
      <w:r>
        <w:t xml:space="preserve">the </w:t>
      </w:r>
      <w:r w:rsidRPr="00FD6FDF">
        <w:t xml:space="preserve">Alfred and University Hospital Geelong, 100% of ICU hours are reported as </w:t>
      </w:r>
      <w:r w:rsidRPr="0015299C">
        <w:rPr>
          <w:i/>
        </w:rPr>
        <w:t>Level 3 ICU Hours</w:t>
      </w:r>
      <w:r w:rsidRPr="00FD6FDF">
        <w:t xml:space="preserve"> in line with their status as Level 3 ICU facilities. The hours reported include ICU and CCU hours (University Hospital Geelong) and AICU (Alfred).</w:t>
      </w:r>
    </w:p>
    <w:p w14:paraId="6620CD7D" w14:textId="15BA24E7" w:rsidR="00FE114B" w:rsidRPr="00AD1F32" w:rsidRDefault="00A6381E" w:rsidP="003060BB">
      <w:pPr>
        <w:pStyle w:val="Heading4"/>
        <w:rPr>
          <w:color w:val="484B5D" w:themeColor="accent3"/>
        </w:rPr>
      </w:pPr>
      <w:r w:rsidRPr="00AD1F32">
        <w:rPr>
          <w:color w:val="484B5D" w:themeColor="accent3"/>
        </w:rPr>
        <w:lastRenderedPageBreak/>
        <w:t xml:space="preserve">Costs included in the </w:t>
      </w:r>
      <w:r w:rsidRPr="00AD1F32">
        <w:rPr>
          <w:i/>
          <w:color w:val="484B5D" w:themeColor="accent3"/>
        </w:rPr>
        <w:t>Critical</w:t>
      </w:r>
      <w:r w:rsidRPr="00AD1F32">
        <w:rPr>
          <w:color w:val="484B5D" w:themeColor="accent3"/>
        </w:rPr>
        <w:t xml:space="preserve"> </w:t>
      </w:r>
      <w:r w:rsidR="00C639A5" w:rsidRPr="00AD1F32">
        <w:rPr>
          <w:color w:val="484B5D" w:themeColor="accent3"/>
        </w:rPr>
        <w:t xml:space="preserve">NHCDC </w:t>
      </w:r>
      <w:r w:rsidRPr="00AD1F32">
        <w:rPr>
          <w:color w:val="484B5D" w:themeColor="accent3"/>
        </w:rPr>
        <w:t>Cost Centre Group</w:t>
      </w:r>
    </w:p>
    <w:p w14:paraId="487AF92B" w14:textId="195CB3D9" w:rsidR="0085057F" w:rsidRPr="00FD6FDF" w:rsidRDefault="0085057F" w:rsidP="0085057F">
      <w:r w:rsidRPr="004A6730">
        <w:t>The Critical Care Focused Review aimed at understanding the resources consumed by patients admitted into the different critical care departments, and identifying how these were allocated to individual patients</w:t>
      </w:r>
      <w:r w:rsidRPr="00FD6FDF">
        <w:t xml:space="preserve">, and which costs were reported against the </w:t>
      </w:r>
      <w:r w:rsidRPr="00EC0C63">
        <w:rPr>
          <w:i/>
        </w:rPr>
        <w:t>Critical</w:t>
      </w:r>
      <w:r w:rsidRPr="00FD6FDF">
        <w:t xml:space="preserve"> </w:t>
      </w:r>
      <w:r w:rsidR="00C639A5">
        <w:t>NHCDC</w:t>
      </w:r>
      <w:r w:rsidRPr="00FD6FDF">
        <w:t xml:space="preserve"> Cost Centre Group within NHCDC reporting. </w:t>
      </w:r>
    </w:p>
    <w:p w14:paraId="30B5C4F5" w14:textId="21267DD3" w:rsidR="0085057F" w:rsidRPr="00FD6FDF" w:rsidRDefault="0085057F" w:rsidP="0085057F">
      <w:r w:rsidRPr="00FD6FDF">
        <w:t xml:space="preserve">In general, </w:t>
      </w:r>
      <w:r w:rsidR="00C83695">
        <w:t>Victoria</w:t>
      </w:r>
      <w:r w:rsidRPr="00FD6FDF">
        <w:t xml:space="preserve"> includes the following costs in the</w:t>
      </w:r>
      <w:r w:rsidRPr="001F2BC3">
        <w:t xml:space="preserve"> </w:t>
      </w:r>
      <w:r w:rsidRPr="00EC0C63">
        <w:rPr>
          <w:i/>
        </w:rPr>
        <w:t>Critical</w:t>
      </w:r>
      <w:r>
        <w:t xml:space="preserve"> </w:t>
      </w:r>
      <w:r w:rsidR="00C639A5">
        <w:t xml:space="preserve">NHCDC </w:t>
      </w:r>
      <w:r w:rsidRPr="00FD6FDF">
        <w:t>Cost Centre Group:</w:t>
      </w:r>
    </w:p>
    <w:p w14:paraId="4851B8C7" w14:textId="77777777" w:rsidR="0085057F" w:rsidRPr="00FD6FDF" w:rsidRDefault="0085057F" w:rsidP="006044E0">
      <w:pPr>
        <w:pStyle w:val="ListParagraph"/>
        <w:numPr>
          <w:ilvl w:val="0"/>
          <w:numId w:val="16"/>
        </w:numPr>
      </w:pPr>
      <w:r w:rsidRPr="00FD6FDF">
        <w:t xml:space="preserve">the staffing costs for nurses, medical (only for intensivists operating in ICUs), admin staff allocated to the wards, </w:t>
      </w:r>
    </w:p>
    <w:p w14:paraId="022A98F7" w14:textId="77777777" w:rsidR="0085057F" w:rsidRPr="00FD6FDF" w:rsidRDefault="0085057F" w:rsidP="006044E0">
      <w:pPr>
        <w:pStyle w:val="ListParagraph"/>
        <w:numPr>
          <w:ilvl w:val="0"/>
          <w:numId w:val="16"/>
        </w:numPr>
      </w:pPr>
      <w:r w:rsidRPr="00FD6FDF">
        <w:t xml:space="preserve">imprest drugs, medical consumables, hotel costs and overheads. </w:t>
      </w:r>
    </w:p>
    <w:p w14:paraId="373AFA12" w14:textId="38D74A46" w:rsidR="0085057F" w:rsidRPr="00FD6FDF" w:rsidRDefault="0085057F" w:rsidP="0085057F">
      <w:r w:rsidRPr="00FD6FDF">
        <w:t xml:space="preserve">The resources consumed by patients whilst in critical care departments that are allocated to the patient but reported under a different </w:t>
      </w:r>
      <w:r w:rsidR="00C639A5">
        <w:t xml:space="preserve">NHCDC </w:t>
      </w:r>
      <w:r w:rsidRPr="00FD6FDF">
        <w:t xml:space="preserve">Cost Centre Group </w:t>
      </w:r>
      <w:r w:rsidR="00FE6488">
        <w:t xml:space="preserve"> (e.g. not </w:t>
      </w:r>
      <w:r w:rsidR="00FE6488" w:rsidRPr="00AD1F32">
        <w:rPr>
          <w:i/>
          <w:iCs/>
        </w:rPr>
        <w:t>Critical</w:t>
      </w:r>
      <w:r w:rsidR="00FE6488">
        <w:t xml:space="preserve">) </w:t>
      </w:r>
      <w:r w:rsidRPr="00FD6FDF">
        <w:t xml:space="preserve">include pathology, imaging, drugs, allied health and other medical costs. </w:t>
      </w:r>
    </w:p>
    <w:p w14:paraId="6C98632C" w14:textId="1F930564" w:rsidR="0085057F" w:rsidRPr="00FD6FDF" w:rsidRDefault="0085057F" w:rsidP="0085057F">
      <w:r w:rsidRPr="00FD6FDF">
        <w:t xml:space="preserve">An analysis into the ICU Costs Per Hour – defined as </w:t>
      </w:r>
      <w:r w:rsidRPr="00276653">
        <w:rPr>
          <w:iCs/>
        </w:rPr>
        <w:t>Total costs within the</w:t>
      </w:r>
      <w:r w:rsidRPr="00FD6FDF">
        <w:rPr>
          <w:i/>
        </w:rPr>
        <w:t xml:space="preserve"> Critical </w:t>
      </w:r>
      <w:r w:rsidR="00C639A5" w:rsidRPr="00EC0C63">
        <w:rPr>
          <w:iCs/>
        </w:rPr>
        <w:t xml:space="preserve">NHCDC </w:t>
      </w:r>
      <w:r w:rsidRPr="00276653">
        <w:rPr>
          <w:iCs/>
        </w:rPr>
        <w:t>Cost Centre Group</w:t>
      </w:r>
      <w:r w:rsidRPr="00FD6FDF">
        <w:t xml:space="preserve"> costs, divided by reported hours (</w:t>
      </w:r>
      <w:r w:rsidRPr="0015299C">
        <w:rPr>
          <w:i/>
        </w:rPr>
        <w:t>Level 3 ICU Hours</w:t>
      </w:r>
      <w:r w:rsidRPr="00FD6FDF">
        <w:t xml:space="preserve"> </w:t>
      </w:r>
      <w:r w:rsidR="00711F2E">
        <w:t>and</w:t>
      </w:r>
      <w:r w:rsidRPr="00FD6FDF">
        <w:t xml:space="preserve"> </w:t>
      </w:r>
      <w:r w:rsidRPr="00C6233D">
        <w:rPr>
          <w:i/>
        </w:rPr>
        <w:t>Other ICU Hours</w:t>
      </w:r>
      <w:r w:rsidRPr="00FD6FDF">
        <w:t>), shows the following:</w:t>
      </w:r>
    </w:p>
    <w:p w14:paraId="2D218FA3" w14:textId="591AC565" w:rsidR="0085057F" w:rsidRPr="00FD6FDF" w:rsidRDefault="004F4511" w:rsidP="006044E0">
      <w:pPr>
        <w:pStyle w:val="ListParagraph"/>
        <w:numPr>
          <w:ilvl w:val="0"/>
          <w:numId w:val="15"/>
        </w:numPr>
      </w:pPr>
      <w:r>
        <w:t>Vic</w:t>
      </w:r>
      <w:r w:rsidR="00585BDA">
        <w:t>toria</w:t>
      </w:r>
      <w:r w:rsidR="0085057F">
        <w:t>’s a</w:t>
      </w:r>
      <w:r w:rsidR="0085057F" w:rsidRPr="00FD6FDF">
        <w:t xml:space="preserve">verage ICU Cost Per Hour is $225.37. </w:t>
      </w:r>
    </w:p>
    <w:p w14:paraId="7B903568" w14:textId="77777777" w:rsidR="0085057F" w:rsidRPr="00FD6FDF" w:rsidRDefault="0085057F" w:rsidP="006044E0">
      <w:pPr>
        <w:pStyle w:val="ListParagraph"/>
        <w:numPr>
          <w:ilvl w:val="0"/>
          <w:numId w:val="15"/>
        </w:numPr>
      </w:pPr>
      <w:r w:rsidRPr="00FD6FDF">
        <w:t>The Alfred</w:t>
      </w:r>
      <w:r>
        <w:t xml:space="preserve">’s </w:t>
      </w:r>
      <w:r w:rsidRPr="00FD6FDF">
        <w:t>average ICU Cost Per Hour is $272.82 (21% higher than the state average).</w:t>
      </w:r>
    </w:p>
    <w:p w14:paraId="5B84BBF0" w14:textId="2D03CFDC" w:rsidR="00A6381E" w:rsidRDefault="0085057F" w:rsidP="006044E0">
      <w:pPr>
        <w:pStyle w:val="ListParagraph"/>
        <w:numPr>
          <w:ilvl w:val="0"/>
          <w:numId w:val="15"/>
        </w:numPr>
      </w:pPr>
      <w:r w:rsidRPr="00FD6FDF">
        <w:t xml:space="preserve">University Hospital Geelong’s average ICU Cost </w:t>
      </w:r>
      <w:r w:rsidR="000275A4">
        <w:t>P</w:t>
      </w:r>
      <w:r w:rsidRPr="00FD6FDF">
        <w:t>er Hour is $268.05 (19% higher than the state average).</w:t>
      </w:r>
    </w:p>
    <w:p w14:paraId="74ED492C" w14:textId="7AF9E6C4" w:rsidR="00AF0C12" w:rsidRDefault="00585BDA" w:rsidP="00AD1F32">
      <w:pPr>
        <w:pStyle w:val="Caption"/>
        <w:keepNext/>
      </w:pPr>
      <w:r>
        <w:rPr>
          <w:noProof/>
        </w:rPr>
        <w:lastRenderedPageBreak/>
        <mc:AlternateContent>
          <mc:Choice Requires="wps">
            <w:drawing>
              <wp:anchor distT="45720" distB="45720" distL="114300" distR="114300" simplePos="0" relativeHeight="251658242" behindDoc="0" locked="0" layoutInCell="1" allowOverlap="1" wp14:anchorId="5DCF6910" wp14:editId="48BE5918">
                <wp:simplePos x="0" y="0"/>
                <wp:positionH relativeFrom="margin">
                  <wp:align>left</wp:align>
                </wp:positionH>
                <wp:positionV relativeFrom="paragraph">
                  <wp:posOffset>2167255</wp:posOffset>
                </wp:positionV>
                <wp:extent cx="5715000" cy="2277745"/>
                <wp:effectExtent l="0" t="0" r="0" b="8255"/>
                <wp:wrapTopAndBottom/>
                <wp:docPr id="501126259" name="Text Box 2" descr="P1662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78251"/>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2C13AF99" w14:textId="1A4DADFB" w:rsidR="000C4108" w:rsidRPr="001729F2" w:rsidRDefault="000C4108" w:rsidP="00EC453C">
                            <w:pPr>
                              <w:pStyle w:val="Tablebulletpoint"/>
                              <w:numPr>
                                <w:ilvl w:val="0"/>
                                <w:numId w:val="0"/>
                              </w:numPr>
                              <w:spacing w:after="120"/>
                              <w:contextualSpacing w:val="0"/>
                              <w:rPr>
                                <w:color w:val="FFFFFF" w:themeColor="background1"/>
                              </w:rPr>
                            </w:pPr>
                            <w:r w:rsidRPr="001729F2">
                              <w:rPr>
                                <w:rFonts w:eastAsiaTheme="minorEastAsia" w:cstheme="minorBidi"/>
                                <w:b/>
                                <w:color w:val="FFFFFF" w:themeColor="background1"/>
                              </w:rPr>
                              <w:t>Critical Care – Average Cost Per Hour Insights</w:t>
                            </w:r>
                          </w:p>
                          <w:p w14:paraId="6AEEC284" w14:textId="0F01903B" w:rsidR="00EC453C" w:rsidRPr="001729F2" w:rsidRDefault="004F4511" w:rsidP="00EC453C">
                            <w:pPr>
                              <w:pStyle w:val="Tablebulletpoint"/>
                              <w:rPr>
                                <w:color w:val="FFFFFF" w:themeColor="background1"/>
                              </w:rPr>
                            </w:pPr>
                            <w:r>
                              <w:rPr>
                                <w:color w:val="FFFFFF" w:themeColor="background1"/>
                              </w:rPr>
                              <w:t>Vic</w:t>
                            </w:r>
                            <w:r w:rsidR="00585BDA">
                              <w:rPr>
                                <w:color w:val="FFFFFF" w:themeColor="background1"/>
                              </w:rPr>
                              <w:t>toria</w:t>
                            </w:r>
                            <w:r w:rsidR="00EC453C" w:rsidRPr="001729F2">
                              <w:rPr>
                                <w:color w:val="FFFFFF" w:themeColor="background1"/>
                              </w:rPr>
                              <w:t xml:space="preserve"> reports Paediatric ICU costs under the </w:t>
                            </w:r>
                            <w:r w:rsidR="0071052C" w:rsidRPr="00AD1F32">
                              <w:rPr>
                                <w:i/>
                                <w:iCs/>
                                <w:color w:val="FFFFFF" w:themeColor="background1"/>
                              </w:rPr>
                              <w:t>Aicu</w:t>
                            </w:r>
                            <w:r w:rsidR="0071052C" w:rsidRPr="001729F2">
                              <w:rPr>
                                <w:color w:val="FFFFFF" w:themeColor="background1"/>
                              </w:rPr>
                              <w:t xml:space="preserve"> </w:t>
                            </w:r>
                            <w:r w:rsidR="00D27131">
                              <w:rPr>
                                <w:color w:val="FFFFFF" w:themeColor="background1"/>
                              </w:rPr>
                              <w:t xml:space="preserve">NHCDC </w:t>
                            </w:r>
                            <w:r w:rsidR="00EC453C" w:rsidRPr="001729F2">
                              <w:rPr>
                                <w:color w:val="FFFFFF" w:themeColor="background1"/>
                              </w:rPr>
                              <w:t xml:space="preserve">Cost </w:t>
                            </w:r>
                            <w:r w:rsidR="00D27131">
                              <w:rPr>
                                <w:color w:val="FFFFFF" w:themeColor="background1"/>
                              </w:rPr>
                              <w:t>C</w:t>
                            </w:r>
                            <w:r w:rsidR="00EC453C" w:rsidRPr="001729F2">
                              <w:rPr>
                                <w:color w:val="FFFFFF" w:themeColor="background1"/>
                              </w:rPr>
                              <w:t>entre.</w:t>
                            </w:r>
                          </w:p>
                          <w:p w14:paraId="64A93FC1" w14:textId="4F7E893F" w:rsidR="00EC453C" w:rsidRPr="001729F2" w:rsidRDefault="00585BDA" w:rsidP="00EC453C">
                            <w:pPr>
                              <w:pStyle w:val="Tablebulletpoint"/>
                              <w:rPr>
                                <w:color w:val="FFFFFF" w:themeColor="background1"/>
                              </w:rPr>
                            </w:pPr>
                            <w:r>
                              <w:rPr>
                                <w:color w:val="FFFFFF" w:themeColor="background1"/>
                              </w:rPr>
                              <w:t>Victoria</w:t>
                            </w:r>
                            <w:r w:rsidDel="00585BDA">
                              <w:rPr>
                                <w:color w:val="FFFFFF" w:themeColor="background1"/>
                              </w:rPr>
                              <w:t xml:space="preserve"> </w:t>
                            </w:r>
                            <w:r w:rsidR="00EC453C" w:rsidRPr="001729F2">
                              <w:rPr>
                                <w:color w:val="FFFFFF" w:themeColor="background1"/>
                              </w:rPr>
                              <w:t xml:space="preserve">reports NICU hours as </w:t>
                            </w:r>
                            <w:r w:rsidR="00EC453C" w:rsidRPr="00B32274">
                              <w:rPr>
                                <w:i/>
                                <w:color w:val="FFFFFF" w:themeColor="background1"/>
                              </w:rPr>
                              <w:t xml:space="preserve">Level 3 ICU </w:t>
                            </w:r>
                            <w:r w:rsidR="00AB4EC0">
                              <w:rPr>
                                <w:i/>
                                <w:iCs/>
                                <w:color w:val="FFFFFF" w:themeColor="background1"/>
                              </w:rPr>
                              <w:t>H</w:t>
                            </w:r>
                            <w:r w:rsidR="00EC453C" w:rsidRPr="00B32274">
                              <w:rPr>
                                <w:i/>
                                <w:iCs/>
                                <w:color w:val="FFFFFF" w:themeColor="background1"/>
                              </w:rPr>
                              <w:t>ours</w:t>
                            </w:r>
                            <w:r w:rsidR="00EC453C" w:rsidRPr="001729F2">
                              <w:rPr>
                                <w:color w:val="FFFFFF" w:themeColor="background1"/>
                              </w:rPr>
                              <w:t xml:space="preserve"> in Level 3 ICU facilities. This is inconsistent with other states. </w:t>
                            </w:r>
                          </w:p>
                          <w:p w14:paraId="4BFFCE6B" w14:textId="727F7396" w:rsidR="00EC453C" w:rsidRPr="001729F2" w:rsidRDefault="00EC453C" w:rsidP="00EC453C">
                            <w:pPr>
                              <w:pStyle w:val="Tablebulletpoint"/>
                              <w:rPr>
                                <w:color w:val="FFFFFF" w:themeColor="background1"/>
                              </w:rPr>
                            </w:pPr>
                            <w:r w:rsidRPr="001729F2">
                              <w:rPr>
                                <w:color w:val="FFFFFF" w:themeColor="background1"/>
                              </w:rPr>
                              <w:t xml:space="preserve">Alfred has a CCU, but does not report hours or costs as CCU. </w:t>
                            </w:r>
                          </w:p>
                          <w:p w14:paraId="2F9EA9A7" w14:textId="44640742" w:rsidR="00EC453C" w:rsidRPr="001729F2" w:rsidRDefault="00EC453C" w:rsidP="00EC453C">
                            <w:pPr>
                              <w:pStyle w:val="Tablebulletpoint"/>
                              <w:rPr>
                                <w:color w:val="FFFFFF" w:themeColor="background1"/>
                              </w:rPr>
                            </w:pPr>
                            <w:r w:rsidRPr="001729F2">
                              <w:rPr>
                                <w:color w:val="FFFFFF" w:themeColor="background1"/>
                              </w:rPr>
                              <w:t xml:space="preserve">University Hospital Geelong has a CCU reporting </w:t>
                            </w:r>
                            <w:r w:rsidRPr="00B32274">
                              <w:rPr>
                                <w:i/>
                                <w:color w:val="FFFFFF" w:themeColor="background1"/>
                              </w:rPr>
                              <w:t xml:space="preserve">Level 3 ICU </w:t>
                            </w:r>
                            <w:r w:rsidR="00AB4EC0">
                              <w:rPr>
                                <w:i/>
                                <w:iCs/>
                                <w:color w:val="FFFFFF" w:themeColor="background1"/>
                              </w:rPr>
                              <w:t>H</w:t>
                            </w:r>
                            <w:r w:rsidRPr="00B32274">
                              <w:rPr>
                                <w:i/>
                                <w:iCs/>
                                <w:color w:val="FFFFFF" w:themeColor="background1"/>
                              </w:rPr>
                              <w:t>ours</w:t>
                            </w:r>
                            <w:r w:rsidRPr="001729F2">
                              <w:rPr>
                                <w:color w:val="FFFFFF" w:themeColor="background1"/>
                              </w:rPr>
                              <w:t xml:space="preserve">, inconsistent with </w:t>
                            </w:r>
                            <w:r w:rsidR="00585BDA">
                              <w:rPr>
                                <w:color w:val="FFFFFF" w:themeColor="background1"/>
                              </w:rPr>
                              <w:t>Victoria</w:t>
                            </w:r>
                            <w:r w:rsidR="00585BDA" w:rsidRPr="001729F2" w:rsidDel="00585BDA">
                              <w:rPr>
                                <w:color w:val="FFFFFF" w:themeColor="background1"/>
                              </w:rPr>
                              <w:t xml:space="preserve"> </w:t>
                            </w:r>
                            <w:r w:rsidRPr="001729F2">
                              <w:rPr>
                                <w:color w:val="FFFFFF" w:themeColor="background1"/>
                              </w:rPr>
                              <w:t>reporting.</w:t>
                            </w:r>
                          </w:p>
                          <w:p w14:paraId="3DA66A77" w14:textId="0CA9043F" w:rsidR="00AF0C12" w:rsidRPr="001729F2" w:rsidRDefault="00EC453C" w:rsidP="00EC453C">
                            <w:pPr>
                              <w:pStyle w:val="Tablebulletpoint"/>
                              <w:rPr>
                                <w:color w:val="FFFFFF" w:themeColor="background1"/>
                              </w:rPr>
                            </w:pPr>
                            <w:r w:rsidRPr="001729F2">
                              <w:rPr>
                                <w:color w:val="FFFFFF" w:themeColor="background1"/>
                              </w:rPr>
                              <w:t>Some costs incurred during an ICU stay (allied health, drugs, imaging</w:t>
                            </w:r>
                            <w:r w:rsidR="006D5374">
                              <w:rPr>
                                <w:color w:val="FFFFFF" w:themeColor="background1"/>
                              </w:rPr>
                              <w:t>,</w:t>
                            </w:r>
                            <w:r w:rsidRPr="001729F2">
                              <w:rPr>
                                <w:color w:val="FFFFFF" w:themeColor="background1"/>
                              </w:rPr>
                              <w:t xml:space="preserve"> and pathology) </w:t>
                            </w:r>
                            <w:r w:rsidR="00AE64AB">
                              <w:rPr>
                                <w:color w:val="FFFFFF" w:themeColor="background1"/>
                              </w:rPr>
                              <w:t>are not reported within</w:t>
                            </w:r>
                            <w:r w:rsidRPr="001729F2">
                              <w:rPr>
                                <w:color w:val="FFFFFF" w:themeColor="background1"/>
                              </w:rPr>
                              <w:t xml:space="preserve"> the </w:t>
                            </w:r>
                            <w:r w:rsidRPr="00AD1F32">
                              <w:rPr>
                                <w:i/>
                                <w:iCs/>
                                <w:color w:val="FFFFFF" w:themeColor="background1"/>
                              </w:rPr>
                              <w:t>Critical</w:t>
                            </w:r>
                            <w:r w:rsidRPr="001729F2">
                              <w:rPr>
                                <w:color w:val="FFFFFF" w:themeColor="background1"/>
                              </w:rPr>
                              <w:t xml:space="preserve"> </w:t>
                            </w:r>
                            <w:r w:rsidR="00C104AF">
                              <w:rPr>
                                <w:color w:val="FFFFFF" w:themeColor="background1"/>
                              </w:rPr>
                              <w:t>NHCDC C</w:t>
                            </w:r>
                            <w:r w:rsidRPr="001729F2">
                              <w:rPr>
                                <w:color w:val="FFFFFF" w:themeColor="background1"/>
                              </w:rPr>
                              <w:t xml:space="preserve">ost </w:t>
                            </w:r>
                            <w:r w:rsidR="00A662DD">
                              <w:rPr>
                                <w:color w:val="FFFFFF" w:themeColor="background1"/>
                              </w:rPr>
                              <w:t xml:space="preserve">Centre Group. </w:t>
                            </w:r>
                            <w:r w:rsidR="00A662DD" w:rsidRPr="001729F2">
                              <w:rPr>
                                <w:color w:val="FFFFFF" w:themeColor="background1"/>
                              </w:rPr>
                              <w:t xml:space="preserve"> </w:t>
                            </w:r>
                            <w:r w:rsidR="00A662DD">
                              <w:rPr>
                                <w:color w:val="FFFFFF" w:themeColor="background1"/>
                              </w:rPr>
                              <w:t xml:space="preserve">Victoria’s approach is in line with other </w:t>
                            </w:r>
                            <w:r w:rsidR="00AE64AB">
                              <w:rPr>
                                <w:color w:val="FFFFFF" w:themeColor="background1"/>
                              </w:rPr>
                              <w:t>jurisdictions</w:t>
                            </w:r>
                            <w:r w:rsidR="00A662DD">
                              <w:rPr>
                                <w:color w:val="FFFFFF" w:themeColor="background1"/>
                              </w:rPr>
                              <w:t>.</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F6910" id="_x0000_s1171" type="#_x0000_t202" alt="P1662TB17#y1" style="position:absolute;margin-left:0;margin-top:170.65pt;width:450pt;height:179.3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" fillcolor="#343a5e [2405]" stroked="f" strokeweight="1pt">
                <v:textbox inset="5mm,5mm,5mm,5mm">
                  <w:txbxContent>
                    <w:p w14:paraId="2C13AF99" w14:textId="1A4DADFB" w:rsidR="000C4108" w:rsidRPr="001729F2" w:rsidRDefault="000C4108" w:rsidP="00EC453C">
                      <w:pPr>
                        <w:pStyle w:val="Tablebulletpoint"/>
                        <w:numPr>
                          <w:ilvl w:val="0"/>
                          <w:numId w:val="0"/>
                        </w:numPr>
                        <w:spacing w:after="120"/>
                        <w:contextualSpacing w:val="0"/>
                        <w:rPr>
                          <w:color w:val="FFFFFF" w:themeColor="background1"/>
                        </w:rPr>
                      </w:pPr>
                      <w:r w:rsidRPr="001729F2">
                        <w:rPr>
                          <w:rFonts w:eastAsiaTheme="minorEastAsia" w:cstheme="minorBidi"/>
                          <w:b/>
                          <w:color w:val="FFFFFF" w:themeColor="background1"/>
                        </w:rPr>
                        <w:t>Critical Care – Average Cost Per Hour Insights</w:t>
                      </w:r>
                    </w:p>
                    <w:p w14:paraId="6AEEC284" w14:textId="0F01903B" w:rsidR="00EC453C" w:rsidRPr="001729F2" w:rsidRDefault="004F4511" w:rsidP="00EC453C">
                      <w:pPr>
                        <w:pStyle w:val="Tablebulletpoint"/>
                        <w:rPr>
                          <w:color w:val="FFFFFF" w:themeColor="background1"/>
                        </w:rPr>
                      </w:pPr>
                      <w:r>
                        <w:rPr>
                          <w:color w:val="FFFFFF" w:themeColor="background1"/>
                        </w:rPr>
                        <w:t>Vic</w:t>
                      </w:r>
                      <w:r w:rsidR="00585BDA">
                        <w:rPr>
                          <w:color w:val="FFFFFF" w:themeColor="background1"/>
                        </w:rPr>
                        <w:t>toria</w:t>
                      </w:r>
                      <w:r w:rsidR="00EC453C" w:rsidRPr="001729F2">
                        <w:rPr>
                          <w:color w:val="FFFFFF" w:themeColor="background1"/>
                        </w:rPr>
                        <w:t xml:space="preserve"> reports Paediatric ICU costs under the </w:t>
                      </w:r>
                      <w:r w:rsidR="0071052C" w:rsidRPr="00AD1F32">
                        <w:rPr>
                          <w:i/>
                          <w:iCs/>
                          <w:color w:val="FFFFFF" w:themeColor="background1"/>
                        </w:rPr>
                        <w:t>Aicu</w:t>
                      </w:r>
                      <w:r w:rsidR="0071052C" w:rsidRPr="001729F2">
                        <w:rPr>
                          <w:color w:val="FFFFFF" w:themeColor="background1"/>
                        </w:rPr>
                        <w:t xml:space="preserve"> </w:t>
                      </w:r>
                      <w:r w:rsidR="00D27131">
                        <w:rPr>
                          <w:color w:val="FFFFFF" w:themeColor="background1"/>
                        </w:rPr>
                        <w:t xml:space="preserve">NHCDC </w:t>
                      </w:r>
                      <w:r w:rsidR="00EC453C" w:rsidRPr="001729F2">
                        <w:rPr>
                          <w:color w:val="FFFFFF" w:themeColor="background1"/>
                        </w:rPr>
                        <w:t xml:space="preserve">Cost </w:t>
                      </w:r>
                      <w:r w:rsidR="00D27131">
                        <w:rPr>
                          <w:color w:val="FFFFFF" w:themeColor="background1"/>
                        </w:rPr>
                        <w:t>C</w:t>
                      </w:r>
                      <w:r w:rsidR="00EC453C" w:rsidRPr="001729F2">
                        <w:rPr>
                          <w:color w:val="FFFFFF" w:themeColor="background1"/>
                        </w:rPr>
                        <w:t>entre.</w:t>
                      </w:r>
                    </w:p>
                    <w:p w14:paraId="64A93FC1" w14:textId="4F7E893F" w:rsidR="00EC453C" w:rsidRPr="001729F2" w:rsidRDefault="00585BDA" w:rsidP="00EC453C">
                      <w:pPr>
                        <w:pStyle w:val="Tablebulletpoint"/>
                        <w:rPr>
                          <w:color w:val="FFFFFF" w:themeColor="background1"/>
                        </w:rPr>
                      </w:pPr>
                      <w:r>
                        <w:rPr>
                          <w:color w:val="FFFFFF" w:themeColor="background1"/>
                        </w:rPr>
                        <w:t>Victoria</w:t>
                      </w:r>
                      <w:r w:rsidDel="00585BDA">
                        <w:rPr>
                          <w:color w:val="FFFFFF" w:themeColor="background1"/>
                        </w:rPr>
                        <w:t xml:space="preserve"> </w:t>
                      </w:r>
                      <w:r w:rsidR="00EC453C" w:rsidRPr="001729F2">
                        <w:rPr>
                          <w:color w:val="FFFFFF" w:themeColor="background1"/>
                        </w:rPr>
                        <w:t xml:space="preserve">reports NICU hours as </w:t>
                      </w:r>
                      <w:r w:rsidR="00EC453C" w:rsidRPr="00B32274">
                        <w:rPr>
                          <w:i/>
                          <w:color w:val="FFFFFF" w:themeColor="background1"/>
                        </w:rPr>
                        <w:t xml:space="preserve">Level 3 ICU </w:t>
                      </w:r>
                      <w:r w:rsidR="00AB4EC0">
                        <w:rPr>
                          <w:i/>
                          <w:iCs/>
                          <w:color w:val="FFFFFF" w:themeColor="background1"/>
                        </w:rPr>
                        <w:t>H</w:t>
                      </w:r>
                      <w:r w:rsidR="00EC453C" w:rsidRPr="00B32274">
                        <w:rPr>
                          <w:i/>
                          <w:iCs/>
                          <w:color w:val="FFFFFF" w:themeColor="background1"/>
                        </w:rPr>
                        <w:t>ours</w:t>
                      </w:r>
                      <w:r w:rsidR="00EC453C" w:rsidRPr="001729F2">
                        <w:rPr>
                          <w:color w:val="FFFFFF" w:themeColor="background1"/>
                        </w:rPr>
                        <w:t xml:space="preserve"> in Level 3 ICU facilities. This is inconsistent with other states. </w:t>
                      </w:r>
                    </w:p>
                    <w:p w14:paraId="4BFFCE6B" w14:textId="727F7396" w:rsidR="00EC453C" w:rsidRPr="001729F2" w:rsidRDefault="00EC453C" w:rsidP="00EC453C">
                      <w:pPr>
                        <w:pStyle w:val="Tablebulletpoint"/>
                        <w:rPr>
                          <w:color w:val="FFFFFF" w:themeColor="background1"/>
                        </w:rPr>
                      </w:pPr>
                      <w:r w:rsidRPr="001729F2">
                        <w:rPr>
                          <w:color w:val="FFFFFF" w:themeColor="background1"/>
                        </w:rPr>
                        <w:t xml:space="preserve">Alfred has a CCU, but does not report hours or costs as CCU. </w:t>
                      </w:r>
                    </w:p>
                    <w:p w14:paraId="2F9EA9A7" w14:textId="44640742" w:rsidR="00EC453C" w:rsidRPr="001729F2" w:rsidRDefault="00EC453C" w:rsidP="00EC453C">
                      <w:pPr>
                        <w:pStyle w:val="Tablebulletpoint"/>
                        <w:rPr>
                          <w:color w:val="FFFFFF" w:themeColor="background1"/>
                        </w:rPr>
                      </w:pPr>
                      <w:r w:rsidRPr="001729F2">
                        <w:rPr>
                          <w:color w:val="FFFFFF" w:themeColor="background1"/>
                        </w:rPr>
                        <w:t xml:space="preserve">University Hospital Geelong has a CCU reporting </w:t>
                      </w:r>
                      <w:r w:rsidRPr="00B32274">
                        <w:rPr>
                          <w:i/>
                          <w:color w:val="FFFFFF" w:themeColor="background1"/>
                        </w:rPr>
                        <w:t xml:space="preserve">Level 3 ICU </w:t>
                      </w:r>
                      <w:r w:rsidR="00AB4EC0">
                        <w:rPr>
                          <w:i/>
                          <w:iCs/>
                          <w:color w:val="FFFFFF" w:themeColor="background1"/>
                        </w:rPr>
                        <w:t>H</w:t>
                      </w:r>
                      <w:r w:rsidRPr="00B32274">
                        <w:rPr>
                          <w:i/>
                          <w:iCs/>
                          <w:color w:val="FFFFFF" w:themeColor="background1"/>
                        </w:rPr>
                        <w:t>ours</w:t>
                      </w:r>
                      <w:r w:rsidRPr="001729F2">
                        <w:rPr>
                          <w:color w:val="FFFFFF" w:themeColor="background1"/>
                        </w:rPr>
                        <w:t xml:space="preserve">, inconsistent with </w:t>
                      </w:r>
                      <w:r w:rsidR="00585BDA">
                        <w:rPr>
                          <w:color w:val="FFFFFF" w:themeColor="background1"/>
                        </w:rPr>
                        <w:t>Victoria</w:t>
                      </w:r>
                      <w:r w:rsidR="00585BDA" w:rsidRPr="001729F2" w:rsidDel="00585BDA">
                        <w:rPr>
                          <w:color w:val="FFFFFF" w:themeColor="background1"/>
                        </w:rPr>
                        <w:t xml:space="preserve"> </w:t>
                      </w:r>
                      <w:r w:rsidRPr="001729F2">
                        <w:rPr>
                          <w:color w:val="FFFFFF" w:themeColor="background1"/>
                        </w:rPr>
                        <w:t>reporting.</w:t>
                      </w:r>
                    </w:p>
                    <w:p w14:paraId="3DA66A77" w14:textId="0CA9043F" w:rsidR="00AF0C12" w:rsidRPr="001729F2" w:rsidRDefault="00EC453C" w:rsidP="00EC453C">
                      <w:pPr>
                        <w:pStyle w:val="Tablebulletpoint"/>
                        <w:rPr>
                          <w:color w:val="FFFFFF" w:themeColor="background1"/>
                        </w:rPr>
                      </w:pPr>
                      <w:r w:rsidRPr="001729F2">
                        <w:rPr>
                          <w:color w:val="FFFFFF" w:themeColor="background1"/>
                        </w:rPr>
                        <w:t>Some costs incurred during an ICU stay (allied health, drugs, imaging</w:t>
                      </w:r>
                      <w:r w:rsidR="006D5374">
                        <w:rPr>
                          <w:color w:val="FFFFFF" w:themeColor="background1"/>
                        </w:rPr>
                        <w:t>,</w:t>
                      </w:r>
                      <w:r w:rsidRPr="001729F2">
                        <w:rPr>
                          <w:color w:val="FFFFFF" w:themeColor="background1"/>
                        </w:rPr>
                        <w:t xml:space="preserve"> and pathology) </w:t>
                      </w:r>
                      <w:r w:rsidR="00AE64AB">
                        <w:rPr>
                          <w:color w:val="FFFFFF" w:themeColor="background1"/>
                        </w:rPr>
                        <w:t>are not reported within</w:t>
                      </w:r>
                      <w:r w:rsidRPr="001729F2">
                        <w:rPr>
                          <w:color w:val="FFFFFF" w:themeColor="background1"/>
                        </w:rPr>
                        <w:t xml:space="preserve"> the </w:t>
                      </w:r>
                      <w:r w:rsidRPr="00AD1F32">
                        <w:rPr>
                          <w:i/>
                          <w:iCs/>
                          <w:color w:val="FFFFFF" w:themeColor="background1"/>
                        </w:rPr>
                        <w:t>Critical</w:t>
                      </w:r>
                      <w:r w:rsidRPr="001729F2">
                        <w:rPr>
                          <w:color w:val="FFFFFF" w:themeColor="background1"/>
                        </w:rPr>
                        <w:t xml:space="preserve"> </w:t>
                      </w:r>
                      <w:r w:rsidR="00C104AF">
                        <w:rPr>
                          <w:color w:val="FFFFFF" w:themeColor="background1"/>
                        </w:rPr>
                        <w:t>NHCDC C</w:t>
                      </w:r>
                      <w:r w:rsidRPr="001729F2">
                        <w:rPr>
                          <w:color w:val="FFFFFF" w:themeColor="background1"/>
                        </w:rPr>
                        <w:t xml:space="preserve">ost </w:t>
                      </w:r>
                      <w:r w:rsidR="00A662DD">
                        <w:rPr>
                          <w:color w:val="FFFFFF" w:themeColor="background1"/>
                        </w:rPr>
                        <w:t xml:space="preserve">Centre Group. </w:t>
                      </w:r>
                      <w:r w:rsidR="00A662DD" w:rsidRPr="001729F2">
                        <w:rPr>
                          <w:color w:val="FFFFFF" w:themeColor="background1"/>
                        </w:rPr>
                        <w:t xml:space="preserve"> </w:t>
                      </w:r>
                      <w:r w:rsidR="00A662DD">
                        <w:rPr>
                          <w:color w:val="FFFFFF" w:themeColor="background1"/>
                        </w:rPr>
                        <w:t xml:space="preserve">Victoria’s approach is in line with other </w:t>
                      </w:r>
                      <w:r w:rsidR="00AE64AB">
                        <w:rPr>
                          <w:color w:val="FFFFFF" w:themeColor="background1"/>
                        </w:rPr>
                        <w:t>jurisdictions</w:t>
                      </w:r>
                      <w:r w:rsidR="00A662DD">
                        <w:rPr>
                          <w:color w:val="FFFFFF" w:themeColor="background1"/>
                        </w:rPr>
                        <w:t>.</w:t>
                      </w:r>
                    </w:p>
                  </w:txbxContent>
                </v:textbox>
                <w10:wrap type="topAndBottom" anchorx="margin"/>
              </v:shape>
            </w:pict>
          </mc:Fallback>
        </mc:AlternateContent>
      </w:r>
      <w:r w:rsidR="00AF0C12">
        <w:t xml:space="preserve">Figure </w:t>
      </w:r>
      <w:r w:rsidR="00BD5B5E">
        <w:fldChar w:fldCharType="begin"/>
      </w:r>
      <w:r w:rsidR="00BD5B5E">
        <w:instrText xml:space="preserve"> SEQ Figure \* ARABIC </w:instrText>
      </w:r>
      <w:r w:rsidR="00BD5B5E">
        <w:fldChar w:fldCharType="separate"/>
      </w:r>
      <w:r w:rsidR="00CE6F96">
        <w:rPr>
          <w:noProof/>
        </w:rPr>
        <w:t>20</w:t>
      </w:r>
      <w:r w:rsidR="00BD5B5E">
        <w:fldChar w:fldCharType="end"/>
      </w:r>
      <w:r w:rsidR="00AF0C12">
        <w:t xml:space="preserve">: Average </w:t>
      </w:r>
      <w:r w:rsidR="009511CF">
        <w:t>C</w:t>
      </w:r>
      <w:r w:rsidR="00AF0C12">
        <w:t xml:space="preserve">ost </w:t>
      </w:r>
      <w:r w:rsidR="009511CF">
        <w:t>P</w:t>
      </w:r>
      <w:r w:rsidR="00AF0C12">
        <w:t>er ICU hour</w:t>
      </w:r>
      <w:r w:rsidR="007C7AF8">
        <w:t xml:space="preserve"> - Victoria</w:t>
      </w:r>
      <w:r w:rsidR="00AF0C12" w:rsidRPr="00AF0C12">
        <w:rPr>
          <w:noProof/>
        </w:rPr>
        <w:drawing>
          <wp:anchor distT="0" distB="0" distL="114300" distR="114300" simplePos="0" relativeHeight="251658326" behindDoc="0" locked="0" layoutInCell="1" allowOverlap="1" wp14:anchorId="2B20A70E" wp14:editId="4A3A7AB6">
            <wp:simplePos x="0" y="0"/>
            <wp:positionH relativeFrom="margin">
              <wp:align>center</wp:align>
            </wp:positionH>
            <wp:positionV relativeFrom="paragraph">
              <wp:posOffset>-4445</wp:posOffset>
            </wp:positionV>
            <wp:extent cx="6300000" cy="1735082"/>
            <wp:effectExtent l="0" t="0" r="5715" b="0"/>
            <wp:wrapTopAndBottom/>
            <wp:docPr id="404058290" name="Picture 1" descr="P16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58290" name="Picture 1" descr="P1662#y1"/>
                    <pic:cNvPicPr/>
                  </pic:nvPicPr>
                  <pic:blipFill>
                    <a:blip r:embed="rId69">
                      <a:extLst>
                        <a:ext uri="{28A0092B-C50C-407E-A947-70E740481C1C}">
                          <a14:useLocalDpi xmlns:a14="http://schemas.microsoft.com/office/drawing/2010/main" val="0"/>
                        </a:ext>
                      </a:extLst>
                    </a:blip>
                    <a:stretch>
                      <a:fillRect/>
                    </a:stretch>
                  </pic:blipFill>
                  <pic:spPr>
                    <a:xfrm>
                      <a:off x="0" y="0"/>
                      <a:ext cx="6300000" cy="1735082"/>
                    </a:xfrm>
                    <a:prstGeom prst="rect">
                      <a:avLst/>
                    </a:prstGeom>
                  </pic:spPr>
                </pic:pic>
              </a:graphicData>
            </a:graphic>
            <wp14:sizeRelH relativeFrom="margin">
              <wp14:pctWidth>0</wp14:pctWidth>
            </wp14:sizeRelH>
            <wp14:sizeRelV relativeFrom="margin">
              <wp14:pctHeight>0</wp14:pctHeight>
            </wp14:sizeRelV>
          </wp:anchor>
        </w:drawing>
      </w:r>
    </w:p>
    <w:p w14:paraId="1DE0BB15" w14:textId="1289A5A1" w:rsidR="00C77135" w:rsidRPr="00AD1F32" w:rsidRDefault="00C77135" w:rsidP="003060BB">
      <w:pPr>
        <w:pStyle w:val="Heading4"/>
        <w:rPr>
          <w:color w:val="484B5D" w:themeColor="accent3"/>
        </w:rPr>
      </w:pPr>
      <w:r w:rsidRPr="00AD1F32">
        <w:rPr>
          <w:color w:val="484B5D" w:themeColor="accent3"/>
        </w:rPr>
        <w:t>ICU Cost Allocation Methodologies</w:t>
      </w:r>
    </w:p>
    <w:p w14:paraId="590AA32A" w14:textId="0A3D08CA" w:rsidR="00AB782F" w:rsidRPr="004A6730" w:rsidRDefault="00AB782F" w:rsidP="00AB782F">
      <w:r w:rsidRPr="004A6730">
        <w:t>At the Alfred, ICU cost centres in the GL are mapped to 6 areas in the costing ledger:</w:t>
      </w:r>
    </w:p>
    <w:p w14:paraId="082275BA" w14:textId="39CD21A2" w:rsidR="00AB782F" w:rsidRPr="004A6730" w:rsidRDefault="00AB782F" w:rsidP="006044E0">
      <w:pPr>
        <w:pStyle w:val="ListParagraph"/>
        <w:numPr>
          <w:ilvl w:val="0"/>
          <w:numId w:val="17"/>
        </w:numPr>
      </w:pPr>
      <w:r w:rsidRPr="004A6730">
        <w:t>ICU nursing – these costs are allocated to all ICU patients</w:t>
      </w:r>
    </w:p>
    <w:p w14:paraId="2D0B1087" w14:textId="3BBAC076" w:rsidR="00AB782F" w:rsidRPr="004A6730" w:rsidRDefault="00AB782F" w:rsidP="006044E0">
      <w:pPr>
        <w:pStyle w:val="ListParagraph"/>
        <w:numPr>
          <w:ilvl w:val="0"/>
          <w:numId w:val="17"/>
        </w:numPr>
      </w:pPr>
      <w:r w:rsidRPr="004A6730">
        <w:t>ICU medical and support – these costs are allocated to all ICU patients.</w:t>
      </w:r>
    </w:p>
    <w:p w14:paraId="1C85C81D" w14:textId="414B521C" w:rsidR="00AB782F" w:rsidRPr="004A6730" w:rsidRDefault="00AB782F" w:rsidP="006044E0">
      <w:pPr>
        <w:pStyle w:val="ListParagraph"/>
        <w:numPr>
          <w:ilvl w:val="0"/>
          <w:numId w:val="17"/>
        </w:numPr>
      </w:pPr>
      <w:r w:rsidRPr="004A6730">
        <w:t xml:space="preserve">ICU consumables, including linen, gases, consumables and mattress hire – these costs are allocated to all ICU patients. </w:t>
      </w:r>
    </w:p>
    <w:p w14:paraId="535AB56F" w14:textId="5E43103F" w:rsidR="00AB782F" w:rsidRPr="00FD6FDF" w:rsidRDefault="00AB782F" w:rsidP="006044E0">
      <w:pPr>
        <w:pStyle w:val="ListParagraph"/>
        <w:numPr>
          <w:ilvl w:val="0"/>
          <w:numId w:val="17"/>
        </w:numPr>
      </w:pPr>
      <w:r w:rsidRPr="004A6730">
        <w:t xml:space="preserve">ECMO support, ECMO retrieval – these costs relate to </w:t>
      </w:r>
      <w:r w:rsidR="00D45377" w:rsidRPr="004A6730">
        <w:t xml:space="preserve">staffing costs </w:t>
      </w:r>
      <w:r w:rsidR="008868A5" w:rsidRPr="004A6730">
        <w:t xml:space="preserve">for workforce undertaking </w:t>
      </w:r>
      <w:r w:rsidRPr="004A6730">
        <w:t xml:space="preserve">transport of ECMO patients to the Alfred from other sites, and consumables associated with receiving ECMO care. These costs are allocated only to patients receiving ECMO care, based </w:t>
      </w:r>
      <w:r w:rsidRPr="00FD6FDF">
        <w:t>on a feeder data of ECMO minutes.</w:t>
      </w:r>
    </w:p>
    <w:p w14:paraId="59EF464E" w14:textId="30A50451" w:rsidR="00AB782F" w:rsidRPr="00FD6FDF" w:rsidRDefault="00AB782F" w:rsidP="006044E0">
      <w:pPr>
        <w:pStyle w:val="ListParagraph"/>
        <w:numPr>
          <w:ilvl w:val="0"/>
          <w:numId w:val="17"/>
        </w:numPr>
      </w:pPr>
      <w:r w:rsidRPr="00FD6FDF">
        <w:t>ICU burns dressing – these costs are allocated only to patients who are receiving specialist burns care, using feeder data from theatre with a flag for patients receiving burns procedures.</w:t>
      </w:r>
    </w:p>
    <w:p w14:paraId="4B68F627" w14:textId="4D6871CD" w:rsidR="00AB782F" w:rsidRPr="00FD6FDF" w:rsidRDefault="00AB782F" w:rsidP="006044E0">
      <w:pPr>
        <w:pStyle w:val="ListParagraph"/>
        <w:numPr>
          <w:ilvl w:val="0"/>
          <w:numId w:val="17"/>
        </w:numPr>
      </w:pPr>
      <w:r w:rsidRPr="00FD6FDF">
        <w:t xml:space="preserve">ICU haemofiltration </w:t>
      </w:r>
      <w:r w:rsidR="00AB4EC0">
        <w:t>–</w:t>
      </w:r>
      <w:r w:rsidRPr="00FD6FDF">
        <w:t xml:space="preserve"> these costs are allocated only to ICU patients who are receiving hemofiltration based on clinical coding which flags certain </w:t>
      </w:r>
      <w:r w:rsidR="008C4A9F">
        <w:t>DRGs</w:t>
      </w:r>
      <w:r w:rsidRPr="00FD6FDF">
        <w:t xml:space="preserve"> as patients receiving haemodialysis.</w:t>
      </w:r>
    </w:p>
    <w:p w14:paraId="5E6FBD46" w14:textId="73A33F22" w:rsidR="00541567" w:rsidRPr="00FD6FDF" w:rsidRDefault="00541567" w:rsidP="00541567">
      <w:r w:rsidRPr="00FD6FDF">
        <w:t xml:space="preserve">Generally, all costs in these GL areas are allocated to the </w:t>
      </w:r>
      <w:r w:rsidRPr="00EC0C63">
        <w:rPr>
          <w:i/>
        </w:rPr>
        <w:t>Critical</w:t>
      </w:r>
      <w:r w:rsidRPr="00FD6FDF">
        <w:t xml:space="preserve"> </w:t>
      </w:r>
      <w:r w:rsidR="00C8230F">
        <w:t xml:space="preserve">NHCDC </w:t>
      </w:r>
      <w:r w:rsidRPr="00FD6FDF">
        <w:t>Cost Centre Group.</w:t>
      </w:r>
    </w:p>
    <w:p w14:paraId="7FBD06B5" w14:textId="77777777" w:rsidR="00541567" w:rsidRPr="00FD6FDF" w:rsidRDefault="00541567" w:rsidP="00541567">
      <w:r w:rsidRPr="00FD6FDF">
        <w:t xml:space="preserve">At University Hospital Geelong ICU cost centres are </w:t>
      </w:r>
    </w:p>
    <w:p w14:paraId="11B75D9F" w14:textId="77777777" w:rsidR="00541567" w:rsidRPr="00FD6FDF" w:rsidRDefault="00541567" w:rsidP="006044E0">
      <w:pPr>
        <w:pStyle w:val="ListParagraph"/>
        <w:numPr>
          <w:ilvl w:val="0"/>
          <w:numId w:val="17"/>
        </w:numPr>
      </w:pPr>
      <w:r w:rsidRPr="00FD6FDF">
        <w:lastRenderedPageBreak/>
        <w:t>ICU nursing – these costs are allocated to all ICU patients</w:t>
      </w:r>
    </w:p>
    <w:p w14:paraId="428F46A6" w14:textId="77777777" w:rsidR="00541567" w:rsidRPr="00FD6FDF" w:rsidRDefault="00541567" w:rsidP="006044E0">
      <w:pPr>
        <w:pStyle w:val="ListParagraph"/>
        <w:numPr>
          <w:ilvl w:val="0"/>
          <w:numId w:val="17"/>
        </w:numPr>
      </w:pPr>
      <w:r w:rsidRPr="00FD6FDF">
        <w:t>ICU medical – these costs are allocated to all ICU patients.</w:t>
      </w:r>
    </w:p>
    <w:p w14:paraId="40FD37DA" w14:textId="31F20284" w:rsidR="00284800" w:rsidRPr="00FD6FDF" w:rsidRDefault="00284800" w:rsidP="00284800">
      <w:r w:rsidRPr="00FD6FDF">
        <w:t xml:space="preserve">For CCU, there is one shared cost centre between </w:t>
      </w:r>
      <w:r>
        <w:t>3</w:t>
      </w:r>
      <w:r w:rsidRPr="00FD6FDF">
        <w:t xml:space="preserve"> areas (CCU, cardiology</w:t>
      </w:r>
      <w:r w:rsidR="006D5374">
        <w:t>,</w:t>
      </w:r>
      <w:r w:rsidRPr="00FD6FDF">
        <w:t xml:space="preserve"> and cardiothoracic), and the CCU portion is fractioned out for costing purposes</w:t>
      </w:r>
      <w:r w:rsidR="00924F67">
        <w:t xml:space="preserve"> based on the number of beds and staffing rosters</w:t>
      </w:r>
      <w:r w:rsidRPr="00FD6FDF">
        <w:t xml:space="preserve">. </w:t>
      </w:r>
      <w:r w:rsidR="00997976">
        <w:t>This cost centre contains nursing cost and ward</w:t>
      </w:r>
      <w:r w:rsidR="00A2424F">
        <w:t>-</w:t>
      </w:r>
      <w:r w:rsidR="00997976">
        <w:t xml:space="preserve">based expenses. </w:t>
      </w:r>
      <w:r w:rsidRPr="00FD6FDF">
        <w:t>Cardiology</w:t>
      </w:r>
      <w:r w:rsidR="001A3812">
        <w:t xml:space="preserve"> </w:t>
      </w:r>
      <w:r w:rsidRPr="00FD6FDF">
        <w:t xml:space="preserve">clinicians </w:t>
      </w:r>
      <w:r w:rsidR="001A3812">
        <w:t xml:space="preserve">work across these </w:t>
      </w:r>
      <w:r w:rsidR="00996163">
        <w:t>3</w:t>
      </w:r>
      <w:r w:rsidR="001A3812">
        <w:t xml:space="preserve"> areas and </w:t>
      </w:r>
      <w:r w:rsidRPr="00FD6FDF">
        <w:t>sit in a separate cost centre and are not mapped into critical care areas for costing.</w:t>
      </w:r>
    </w:p>
    <w:p w14:paraId="7FE9209F" w14:textId="4F202863" w:rsidR="00EC453C" w:rsidRDefault="00D0767F" w:rsidP="00EE5CB7">
      <w:pPr>
        <w:sectPr w:rsidR="00EC453C" w:rsidSect="00E73F4E">
          <w:headerReference w:type="default" r:id="rId70"/>
          <w:footnotePr>
            <w:pos w:val="beneathText"/>
          </w:footnotePr>
          <w:endnotePr>
            <w:numFmt w:val="decimal"/>
          </w:endnotePr>
          <w:pgSz w:w="11906" w:h="16838" w:code="9"/>
          <w:pgMar w:top="1440" w:right="1440" w:bottom="1440" w:left="1440" w:header="720" w:footer="720" w:gutter="0"/>
          <w:cols w:space="720"/>
          <w:docGrid w:linePitch="360"/>
        </w:sectPr>
      </w:pPr>
      <w:r w:rsidRPr="00FD6FDF">
        <w:t xml:space="preserve">The tables below show details of the types of expenditure incurred by each ICU site, the allocation methodologies used, and the ultimate </w:t>
      </w:r>
      <w:r w:rsidR="00184F63" w:rsidRPr="00EC0C63">
        <w:rPr>
          <w:i/>
        </w:rPr>
        <w:t>Critical</w:t>
      </w:r>
      <w:r w:rsidRPr="00FD6FDF">
        <w:t xml:space="preserve"> </w:t>
      </w:r>
      <w:r w:rsidR="00C639A5">
        <w:t>NHCDC</w:t>
      </w:r>
      <w:r w:rsidR="00C639A5" w:rsidRPr="00FD6FDF">
        <w:t xml:space="preserve"> </w:t>
      </w:r>
      <w:r w:rsidRPr="00FD6FDF">
        <w:t xml:space="preserve">Centre Groups </w:t>
      </w:r>
      <w:r w:rsidR="00EB6D78">
        <w:t xml:space="preserve">to which </w:t>
      </w:r>
      <w:r w:rsidRPr="00FD6FDF">
        <w:t>these expenditure types map</w:t>
      </w:r>
      <w:r>
        <w:t>.</w:t>
      </w:r>
    </w:p>
    <w:p w14:paraId="6B3C3DDF" w14:textId="6A437842" w:rsidR="00FF1D8E" w:rsidRDefault="00FE3C18" w:rsidP="00FF1D8E">
      <w:pPr>
        <w:pStyle w:val="Caption"/>
        <w:keepNext/>
      </w:pPr>
      <w:r>
        <w:lastRenderedPageBreak/>
        <w:t>Table</w:t>
      </w:r>
      <w:r w:rsidR="00FF1D8E">
        <w:t xml:space="preserve"> </w:t>
      </w:r>
      <w:r>
        <w:fldChar w:fldCharType="begin"/>
      </w:r>
      <w:r>
        <w:instrText xml:space="preserve"> SEQ Table \* ARABIC </w:instrText>
      </w:r>
      <w:r>
        <w:fldChar w:fldCharType="separate"/>
      </w:r>
      <w:r w:rsidR="00CE6F96">
        <w:rPr>
          <w:noProof/>
        </w:rPr>
        <w:t>15</w:t>
      </w:r>
      <w:r>
        <w:fldChar w:fldCharType="end"/>
      </w:r>
      <w:r>
        <w:t>:</w:t>
      </w:r>
      <w:r w:rsidR="00FF1D8E">
        <w:t xml:space="preserve"> </w:t>
      </w:r>
      <w:r w:rsidR="00FF1D8E" w:rsidRPr="004D19A6">
        <w:t>Alfred Cost Allocation Methodologies</w:t>
      </w:r>
    </w:p>
    <w:tbl>
      <w:tblPr>
        <w:tblStyle w:val="TableGrid"/>
        <w:tblpPr w:leftFromText="180" w:rightFromText="180" w:vertAnchor="text"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E40B76" w14:paraId="30AAF035" w14:textId="77777777" w:rsidTr="00FE3C18">
        <w:tc>
          <w:tcPr>
            <w:tcW w:w="1134" w:type="dxa"/>
            <w:shd w:val="clear" w:color="auto" w:fill="EFF0F7" w:themeFill="accent4" w:themeFillTint="33"/>
            <w:vAlign w:val="center"/>
          </w:tcPr>
          <w:p w14:paraId="6FE5A036" w14:textId="77777777" w:rsidR="00E40B76" w:rsidRPr="00243F63" w:rsidRDefault="00E40B76" w:rsidP="00FE3C18">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57402D54" w14:textId="77777777" w:rsidR="00E40B76" w:rsidRDefault="00E40B76" w:rsidP="00FE3C18">
            <w:r>
              <w:t>Via patient level feeder system</w:t>
            </w:r>
          </w:p>
        </w:tc>
        <w:tc>
          <w:tcPr>
            <w:tcW w:w="1134" w:type="dxa"/>
            <w:shd w:val="clear" w:color="auto" w:fill="EFF0F7" w:themeFill="accent4" w:themeFillTint="33"/>
            <w:vAlign w:val="center"/>
          </w:tcPr>
          <w:p w14:paraId="5417D724"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31A561F0" w14:textId="77777777" w:rsidR="00E40B76" w:rsidRDefault="00E40B76" w:rsidP="00FE3C18">
            <w:r>
              <w:t>Via weighted RVU, to ICU patients</w:t>
            </w:r>
          </w:p>
        </w:tc>
      </w:tr>
      <w:tr w:rsidR="00E40B76" w14:paraId="4AD0D076" w14:textId="77777777" w:rsidTr="00FE3C18">
        <w:tc>
          <w:tcPr>
            <w:tcW w:w="1134" w:type="dxa"/>
            <w:shd w:val="clear" w:color="auto" w:fill="EFF0F7" w:themeFill="accent4" w:themeFillTint="33"/>
            <w:vAlign w:val="center"/>
          </w:tcPr>
          <w:p w14:paraId="28CDE7B0" w14:textId="77777777" w:rsidR="00E40B76" w:rsidRDefault="00E40B76" w:rsidP="00FE3C18">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7E3E1AE2" w14:textId="77777777" w:rsidR="00E40B76" w:rsidRDefault="00E40B76" w:rsidP="00FE3C18">
            <w:r>
              <w:t>Using a standard RVU, to ICU patients</w:t>
            </w:r>
          </w:p>
        </w:tc>
        <w:tc>
          <w:tcPr>
            <w:tcW w:w="1134" w:type="dxa"/>
            <w:shd w:val="clear" w:color="auto" w:fill="EFF0F7" w:themeFill="accent4" w:themeFillTint="33"/>
            <w:vAlign w:val="center"/>
          </w:tcPr>
          <w:p w14:paraId="2F9A490A"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4CF0BEB4" w14:textId="77777777" w:rsidR="00E40B76" w:rsidRDefault="00E40B76" w:rsidP="00FE3C18">
            <w:r>
              <w:t>Across ICU / non-ICU patients</w:t>
            </w:r>
          </w:p>
        </w:tc>
      </w:tr>
    </w:tbl>
    <w:p w14:paraId="089FFB52" w14:textId="77777777" w:rsidR="00E40B76" w:rsidRDefault="00E40B76" w:rsidP="00E40B76"/>
    <w:p w14:paraId="01BFABFC" w14:textId="77777777" w:rsidR="00FE3C18" w:rsidRDefault="00FE3C18" w:rsidP="00FE3C18"/>
    <w:p w14:paraId="70560F84" w14:textId="77777777" w:rsidR="00FE3C18" w:rsidRDefault="00FE3C18" w:rsidP="00FE3C18"/>
    <w:p w14:paraId="3D6DAC06" w14:textId="77777777" w:rsidR="00FE3C18" w:rsidRPr="00FE3C18" w:rsidRDefault="00FE3C18" w:rsidP="00FE3C18"/>
    <w:tbl>
      <w:tblPr>
        <w:tblStyle w:val="ScyneTable"/>
        <w:tblW w:w="5000"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56"/>
        <w:gridCol w:w="3914"/>
        <w:gridCol w:w="5170"/>
        <w:gridCol w:w="1013"/>
        <w:gridCol w:w="1505"/>
      </w:tblGrid>
      <w:tr w:rsidR="00EC0C63" w:rsidRPr="00F0724D" w14:paraId="5CD6D2A6" w14:textId="52C9476D" w:rsidTr="00D32610">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1BFEA46F" w14:textId="363729BB" w:rsidR="006904C2" w:rsidRPr="00F0724D" w:rsidRDefault="006904C2" w:rsidP="0080642B">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t>Resources Consumed</w:t>
            </w:r>
          </w:p>
        </w:tc>
        <w:tc>
          <w:tcPr>
            <w:tcW w:w="140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12F700BB" w14:textId="6D21A10C" w:rsidR="006904C2" w:rsidRPr="00F0724D" w:rsidRDefault="006904C2" w:rsidP="0080642B">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85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28E3C793" w14:textId="3FB39D3D" w:rsidR="006904C2" w:rsidRPr="00F0724D" w:rsidRDefault="006904C2" w:rsidP="0080642B">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EC61111" w14:textId="301CD639" w:rsidR="006904C2" w:rsidRPr="00F0724D" w:rsidRDefault="006904C2" w:rsidP="0080642B">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184F63">
              <w:rPr>
                <w:rFonts w:ascii="Avenir Next LT Pro Demi" w:hAnsi="Avenir Next LT Pro Demi"/>
                <w:b w:val="0"/>
                <w:bCs/>
                <w:sz w:val="20"/>
              </w:rPr>
              <w:t xml:space="preserve">Critical </w:t>
            </w:r>
            <w:r w:rsidRPr="00F0724D">
              <w:rPr>
                <w:rFonts w:ascii="Avenir Next LT Pro Demi" w:hAnsi="Avenir Next LT Pro Demi"/>
                <w:b w:val="0"/>
                <w:bCs/>
                <w:sz w:val="20"/>
              </w:rPr>
              <w:t>Cost Centre Group</w:t>
            </w:r>
          </w:p>
        </w:tc>
      </w:tr>
      <w:tr w:rsidR="00EC0C63" w:rsidRPr="00F0724D" w14:paraId="6AE8747C" w14:textId="5A093D06"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385C18F9" w14:textId="1FBA3421" w:rsidR="00F0724D" w:rsidRPr="00F0724D" w:rsidRDefault="00D623B5" w:rsidP="0080642B">
            <w:r>
              <w:t xml:space="preserve">Nursing </w:t>
            </w:r>
            <w:r w:rsidR="00F0724D" w:rsidRPr="00F0724D">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036ED29" w14:textId="1868FAD4"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color w:val="44546A" w:themeColor="text2"/>
              </w:rPr>
            </w:pPr>
            <w:r w:rsidRPr="00F0724D">
              <w:t xml:space="preserve">The Alfred ICU department has </w:t>
            </w:r>
            <w:r w:rsidR="00873CB1">
              <w:t xml:space="preserve">approximately </w:t>
            </w:r>
            <w:r w:rsidRPr="00F0724D">
              <w:t>400 nursing and 25 nursing support and management roles. The majority of patients are cared for on a 1:1 or 1:2 basis.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6351C88" w14:textId="1A5B7798"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Allocated based on ICU hours with no differentiation for acuity.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E9450B2" w14:textId="4A2479FE"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F76E593" w14:textId="7468E507"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Critical</w:t>
            </w:r>
          </w:p>
        </w:tc>
      </w:tr>
      <w:tr w:rsidR="00EC0C63" w:rsidRPr="00F0724D" w14:paraId="3ACFC8CC" w14:textId="5CF44772"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2C99F3F" w14:textId="456E9860" w:rsidR="00F0724D" w:rsidRPr="00F0724D" w:rsidRDefault="00D623B5" w:rsidP="0080642B">
            <w:r>
              <w:t xml:space="preserve">Allied Health </w:t>
            </w:r>
            <w:r w:rsidR="00F0724D" w:rsidRPr="00F0724D">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BEF2ACC" w14:textId="7B3C0113"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 xml:space="preserve">ICU have shared dedicated allied health input from physiotherapists, social work, occupational therapists, dietician, but these costs do not sit in </w:t>
            </w:r>
            <w:r w:rsidR="005F0BBE">
              <w:t>c</w:t>
            </w:r>
            <w:r w:rsidRPr="00F0724D">
              <w:t>ritical</w:t>
            </w:r>
            <w:r w:rsidR="005F0BBE">
              <w:t xml:space="preserve"> care</w:t>
            </w:r>
            <w:r w:rsidRPr="00F0724D">
              <w:t xml:space="preserve"> </w:t>
            </w:r>
            <w:r w:rsidR="005F0BBE">
              <w:t>c</w:t>
            </w:r>
            <w:r w:rsidR="005F0BBE" w:rsidRPr="00F0724D">
              <w:t xml:space="preserve">ost </w:t>
            </w:r>
            <w:r w:rsidR="005F0BBE">
              <w:t>c</w:t>
            </w:r>
            <w:r w:rsidR="005F0BBE" w:rsidRPr="00F0724D">
              <w:t xml:space="preserve">entres </w:t>
            </w:r>
            <w:r w:rsidRPr="00F0724D">
              <w:t>in the GL.</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149B823" w14:textId="7270A8A0"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 xml:space="preserve">Allied Health document interventions minutes in the PAS system </w:t>
            </w:r>
            <w:r w:rsidR="00A96971">
              <w:t>that</w:t>
            </w:r>
            <w:r w:rsidR="00A96971" w:rsidRPr="00F0724D">
              <w:t xml:space="preserve"> </w:t>
            </w:r>
            <w:r w:rsidRPr="00F0724D">
              <w:t>is used to allocate to patients.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42A035C" w14:textId="63DAF90D" w:rsidR="00F0724D" w:rsidRPr="00C93B69" w:rsidRDefault="00F0724D" w:rsidP="0080642B">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265BBAE" w14:textId="44273C8F"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Allied</w:t>
            </w:r>
          </w:p>
        </w:tc>
      </w:tr>
      <w:tr w:rsidR="00EC0C63" w:rsidRPr="00F0724D" w14:paraId="567D4CF5" w14:textId="49E99AB9"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05714EC" w14:textId="3ED8722B" w:rsidR="00F0724D" w:rsidRPr="00F0724D" w:rsidRDefault="00D623B5" w:rsidP="0080642B">
            <w:r>
              <w:t xml:space="preserve">Other </w:t>
            </w:r>
            <w:r w:rsidR="00F0724D" w:rsidRPr="00F0724D">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7CA8145" w14:textId="4B0287AB"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Technical assistant, Clinical Support Officers, Ward clerk, secretaries.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ECDFE3E" w14:textId="2CAB61CE"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F0724D">
              <w:t>Allocation based on ICU 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F9F89FB" w14:textId="6BF58883"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b/>
                <w:bCs/>
              </w:rPr>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1E180C7" w14:textId="7B15B10D"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Critical</w:t>
            </w:r>
          </w:p>
        </w:tc>
      </w:tr>
      <w:tr w:rsidR="00EC0C63" w:rsidRPr="00F0724D" w14:paraId="2A5FB6BB" w14:textId="2C6C5947"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FFE26B3" w14:textId="10A0A68D" w:rsidR="00F0724D" w:rsidRPr="00F0724D" w:rsidRDefault="00D623B5" w:rsidP="0080642B">
            <w:r>
              <w:t xml:space="preserve">Medical </w:t>
            </w:r>
            <w:r w:rsidR="00F0724D" w:rsidRPr="00F0724D">
              <w:t>S&amp;W (&amp; VMO)</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41F76BE" w14:textId="7C8113FD"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37 FTE intensivists and 100 JMOs of various grades. JMOs are costed to the ICU cost centre for the duration of the time they are working in ICU.</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F07FA13"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Based on ICU hours (intensivists).</w:t>
            </w:r>
          </w:p>
          <w:p w14:paraId="0011898A"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Specialty clinical costs (non-ICU) are allocated based on inpatient days.</w:t>
            </w:r>
          </w:p>
          <w:p w14:paraId="3BD6366B"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lastRenderedPageBreak/>
              <w:t>ECMO costs are allocated at the patient level based on ECMO minutes, using data from the ECMO feeder data.</w:t>
            </w:r>
          </w:p>
          <w:p w14:paraId="761B4F6E" w14:textId="23F2850F"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ECMO retrieval costs are allocated equally to all ECMO patients.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0C32B45" w14:textId="790A93F2"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rPr>
                <w:rFonts w:ascii="Cambria Math" w:hAnsi="Cambria Math" w:cs="Cambria Math"/>
              </w:rPr>
              <w:lastRenderedPageBreak/>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3A9CD76" w14:textId="25DAAFFD"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Critical (intensivists only)</w:t>
            </w:r>
          </w:p>
        </w:tc>
      </w:tr>
      <w:tr w:rsidR="00EC0C63" w:rsidRPr="00F0724D" w14:paraId="2635FE4C" w14:textId="75014AC5"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4F1F468" w14:textId="401CF052" w:rsidR="00F0724D" w:rsidRPr="00F0724D" w:rsidRDefault="00F0724D" w:rsidP="0080642B">
            <w:r w:rsidRPr="00F0724D">
              <w:t xml:space="preserve">Medical Supplies, </w:t>
            </w:r>
            <w:r w:rsidRPr="00843FAD">
              <w:rPr>
                <w:i/>
              </w:rPr>
              <w:t>Goods &amp; Services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449C32C"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Includes ECMO circuits, lines, neuromonitoring and cardiac support devices and mattress hire.</w:t>
            </w:r>
          </w:p>
          <w:p w14:paraId="4CD164B2"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The main medical gas contract is not allocated to programs/ICU.</w:t>
            </w:r>
          </w:p>
          <w:p w14:paraId="413A16C4" w14:textId="1810E84B"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Biomedical engineering services for equipment repairs and maintenance is recharged to ICU.</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A3C750A"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General ICU consumables are allocated based on ICU hours.</w:t>
            </w:r>
          </w:p>
          <w:p w14:paraId="7C62ED6D"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ECMO consumables are allocated to ECMO patients based on feeder data.</w:t>
            </w:r>
          </w:p>
          <w:p w14:paraId="7A3B64E8"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Burns dressing are allocated using a theatre feed with flag for burns procedures.</w:t>
            </w:r>
          </w:p>
          <w:p w14:paraId="6C884700" w14:textId="539B114A"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Haemodialysis costs are allocated to the patients that received this care based on the DRG.</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318B71F" w14:textId="51CD7C99" w:rsidR="00F0724D" w:rsidRPr="001D7F2E"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1D7F2E">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D9E6692" w14:textId="5331EC99"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Critical</w:t>
            </w:r>
          </w:p>
        </w:tc>
      </w:tr>
      <w:tr w:rsidR="00EC0C63" w:rsidRPr="00F0724D" w14:paraId="51322101" w14:textId="18379119"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06981E1" w14:textId="070943F0" w:rsidR="00F0724D" w:rsidRPr="00F0724D" w:rsidRDefault="00F0724D" w:rsidP="0080642B">
            <w:r w:rsidRPr="00F0724D">
              <w:t>Imaging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AA8472A" w14:textId="544F9772"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The Alfred’s imaging service is run in</w:t>
            </w:r>
            <w:r w:rsidR="002A0747">
              <w:noBreakHyphen/>
            </w:r>
            <w:r w:rsidRPr="00F0724D">
              <w:t>house, and feeder level data is available.</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4BEF977" w14:textId="04A82E72"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Allocated at a patient level using RVU of the</w:t>
            </w:r>
            <w:r w:rsidR="00F569AF">
              <w:t xml:space="preserve"> Medicare Benefit Schedule (</w:t>
            </w:r>
            <w:r w:rsidR="00924F67">
              <w:t>MBS</w:t>
            </w:r>
            <w:r w:rsidR="00F569AF">
              <w:t xml:space="preserve">) </w:t>
            </w:r>
            <w:r w:rsidR="00924F67">
              <w:t>price</w:t>
            </w:r>
            <w:r w:rsidR="00F569AF">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D751EFA" w14:textId="261B1026" w:rsidR="00F0724D" w:rsidRPr="001D7F2E"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1D7F2E">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6C623D5" w14:textId="77475832"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Imaging</w:t>
            </w:r>
          </w:p>
        </w:tc>
      </w:tr>
      <w:tr w:rsidR="00EC0C63" w:rsidRPr="00F0724D" w14:paraId="3D692380" w14:textId="538E6CF3"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B290872" w14:textId="73F84B74" w:rsidR="00F0724D" w:rsidRPr="00F0724D" w:rsidRDefault="00F0724D" w:rsidP="0080642B">
            <w:r w:rsidRPr="00F0724D">
              <w:t>Pathology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035B22A" w14:textId="61B5EEEE"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 xml:space="preserve">The Alfred’s pathology service is run in house and feeder level data is available. </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700CA4D" w14:textId="2085EAE7"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 xml:space="preserve">Pathology feeder system and allocated to patient at the using RVU of the </w:t>
            </w:r>
            <w:r w:rsidR="005F78E0">
              <w:t>M</w:t>
            </w:r>
            <w:r w:rsidRPr="00F0724D">
              <w:t>BS price.</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5DCC08" w14:textId="4CCFE269" w:rsidR="00F0724D" w:rsidRPr="001D7F2E"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1D7F2E">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9F68F8E" w14:textId="5E2DA857"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Pathology</w:t>
            </w:r>
          </w:p>
        </w:tc>
      </w:tr>
      <w:tr w:rsidR="00EC0C63" w:rsidRPr="00F0724D" w14:paraId="567EA661" w14:textId="1437B5F5"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583C21E" w14:textId="4B9694E3" w:rsidR="00F0724D" w:rsidRPr="00F0724D" w:rsidRDefault="00F0724D" w:rsidP="0080642B">
            <w:r w:rsidRPr="00F0724D">
              <w:t>Pharmacy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ED98FCB" w14:textId="43365BF5"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 xml:space="preserve">The Alfred has an electronic pharmacy system and dispensed drugs are held in a </w:t>
            </w:r>
            <w:r w:rsidR="008861AA">
              <w:t>p</w:t>
            </w:r>
            <w:r w:rsidRPr="00F0724D">
              <w:t>harmacy cost centre</w:t>
            </w:r>
            <w:r w:rsidR="00AA0692">
              <w:t xml:space="preserve"> in the GL. </w:t>
            </w:r>
            <w:r w:rsidR="00AA0692" w:rsidRPr="00F0724D">
              <w:t xml:space="preserve">Pharmacist costs sit in </w:t>
            </w:r>
            <w:r w:rsidR="005B7F8E">
              <w:t>p</w:t>
            </w:r>
            <w:r w:rsidR="005B7F8E" w:rsidRPr="00F0724D">
              <w:t xml:space="preserve">harmacy </w:t>
            </w:r>
            <w:r w:rsidR="00AA0692" w:rsidRPr="00F0724D">
              <w:t>cost centre.</w:t>
            </w:r>
          </w:p>
          <w:p w14:paraId="2ABA997E" w14:textId="1FE9D240"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lastRenderedPageBreak/>
              <w:t xml:space="preserve">Some commonly used drugs are also held in imprest and sit within </w:t>
            </w:r>
            <w:r w:rsidR="005B7F8E">
              <w:t>c</w:t>
            </w:r>
            <w:r w:rsidR="005B7F8E" w:rsidRPr="00F0724D">
              <w:t xml:space="preserve">ritical </w:t>
            </w:r>
            <w:r w:rsidR="005B7F8E">
              <w:t>care</w:t>
            </w:r>
            <w:r w:rsidR="00AA0692">
              <w:t xml:space="preserve"> </w:t>
            </w:r>
            <w:r w:rsidR="005B7F8E">
              <w:t>c</w:t>
            </w:r>
            <w:r w:rsidR="005B7F8E" w:rsidRPr="00F0724D">
              <w:t xml:space="preserve">ost </w:t>
            </w:r>
            <w:r w:rsidR="005B7F8E">
              <w:t>c</w:t>
            </w:r>
            <w:r w:rsidR="005B7F8E" w:rsidRPr="00F0724D">
              <w:t>entre</w:t>
            </w:r>
            <w:r w:rsidR="005B7F8E">
              <w:t xml:space="preserve"> </w:t>
            </w:r>
            <w:r w:rsidR="00AA0692">
              <w:t>in the GL</w:t>
            </w:r>
            <w:r w:rsidRPr="00F0724D">
              <w:t xml:space="preserve">. </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0CC419A" w14:textId="39CCA096"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lastRenderedPageBreak/>
              <w:t>Allocate to patients based on patient level feeder using RVU of the PBS price. Any unlinked costs go to dummy patients.</w:t>
            </w:r>
          </w:p>
          <w:p w14:paraId="539F5123" w14:textId="26FD797A"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Imprest costs are allocated to all ICU patients using an RVU based on ICU 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1F887CE" w14:textId="43A3D693" w:rsidR="00F0724D" w:rsidRPr="00C93B69" w:rsidRDefault="00F0724D" w:rsidP="0080642B">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F0724D">
              <w:rPr>
                <w:rFonts w:ascii="Cambria Math" w:hAnsi="Cambria Math" w:cs="Cambria Math"/>
              </w:rPr>
              <w:t>◑</w:t>
            </w:r>
            <w:r w:rsidR="00A21C79">
              <w:rPr>
                <w:rFonts w:ascii="Cambria Math" w:hAnsi="Cambria Math" w:cs="Cambria Math"/>
              </w:rPr>
              <w:t xml:space="preserve"> / </w:t>
            </w:r>
            <w:r w:rsidR="00A21C79" w:rsidRPr="00276653">
              <w:rPr>
                <w:rFonts w:ascii="Cambria Math" w:hAnsi="Cambria Math" w:cs="Cambria Math" w:hint="eastAsia"/>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84C4734" w14:textId="12A72590"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Critical (imprest) Pharmacy (dispensed)</w:t>
            </w:r>
          </w:p>
        </w:tc>
      </w:tr>
      <w:tr w:rsidR="00EC0C63" w:rsidRPr="00F0724D" w14:paraId="60CFF7BF" w14:textId="504F1807" w:rsidTr="00D32610">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3C1A816" w14:textId="320C8232" w:rsidR="00F0724D" w:rsidRPr="00F0724D" w:rsidRDefault="00F0724D" w:rsidP="0080642B">
            <w:r w:rsidRPr="00F0724D">
              <w:t>Hotel</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BA64988" w14:textId="77777777" w:rsidR="00F0724D" w:rsidRPr="00F0724D" w:rsidRDefault="00F0724D" w:rsidP="0080642B">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F0724D">
              <w:t>Linen is allocated to ICU in the GL.</w:t>
            </w:r>
          </w:p>
          <w:p w14:paraId="475A2D75" w14:textId="1FB8D782" w:rsidR="00F0724D" w:rsidRP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 xml:space="preserve">Food and cleaning sit in a non-clinical support program and are </w:t>
            </w:r>
            <w:r w:rsidR="00F73DB0">
              <w:t xml:space="preserve">charged to </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F0E51D8" w14:textId="77777777" w:rsidR="00F0724D" w:rsidRDefault="00F0724D" w:rsidP="0080642B">
            <w:pPr>
              <w:cnfStyle w:val="000000000000" w:firstRow="0" w:lastRow="0" w:firstColumn="0" w:lastColumn="0" w:oddVBand="0" w:evenVBand="0" w:oddHBand="0" w:evenHBand="0" w:firstRowFirstColumn="0" w:firstRowLastColumn="0" w:lastRowFirstColumn="0" w:lastRowLastColumn="0"/>
            </w:pPr>
            <w:r w:rsidRPr="00F0724D">
              <w:t>Linen is allocated to ICU patients based on ICU hours.</w:t>
            </w:r>
          </w:p>
          <w:p w14:paraId="698EB6B2" w14:textId="1E1FA3BE" w:rsidR="00F73DB0" w:rsidRPr="00F0724D" w:rsidRDefault="00F73DB0"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 xml:space="preserve">Food and cleaning </w:t>
            </w:r>
            <w:r>
              <w:t>charged to</w:t>
            </w:r>
            <w:r w:rsidR="006F74A7">
              <w:t xml:space="preserve"> Critical as an overhead.</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303B8A9" w14:textId="7492E196" w:rsidR="00F0724D" w:rsidRPr="00F0724D" w:rsidRDefault="00F0724D"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55991CC" w14:textId="221515D5" w:rsidR="00F0724D" w:rsidRPr="00F0724D" w:rsidRDefault="00F0724D" w:rsidP="00F73DB0">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 xml:space="preserve">Critical (linen </w:t>
            </w:r>
            <w:r w:rsidR="006F74A7">
              <w:t>as direct cost; food and cleaning as overhead)</w:t>
            </w:r>
          </w:p>
        </w:tc>
      </w:tr>
      <w:tr w:rsidR="00EC0C63" w:rsidRPr="00F0724D" w14:paraId="24A9D265" w14:textId="6D5B4172" w:rsidTr="00D32610">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56037C0" w14:textId="5C250CB4" w:rsidR="00F0724D" w:rsidRPr="001D7F2E" w:rsidRDefault="00F0724D" w:rsidP="0080642B">
            <w:pPr>
              <w:rPr>
                <w:b w:val="0"/>
                <w:bCs/>
              </w:rPr>
            </w:pPr>
            <w:r w:rsidRPr="001D7F2E">
              <w:rPr>
                <w:b w:val="0"/>
                <w:bCs/>
              </w:rPr>
              <w:t>Overheads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74780A9" w14:textId="3ADFCEEA" w:rsidR="00F0724D" w:rsidRPr="001D7F2E" w:rsidRDefault="00F0724D" w:rsidP="0080642B">
            <w:pPr>
              <w:cnfStyle w:val="010000000000" w:firstRow="0" w:lastRow="1" w:firstColumn="0" w:lastColumn="0" w:oddVBand="0" w:evenVBand="0" w:oddHBand="0" w:evenHBand="0" w:firstRowFirstColumn="0" w:firstRowLastColumn="0" w:lastRowFirstColumn="0" w:lastRowLastColumn="0"/>
              <w:rPr>
                <w:b w:val="0"/>
                <w:bCs/>
              </w:rPr>
            </w:pPr>
            <w:r w:rsidRPr="001D7F2E">
              <w:rPr>
                <w:b w:val="0"/>
                <w:bCs/>
              </w:rPr>
              <w:t>Corporate costs</w:t>
            </w:r>
            <w:r w:rsidR="004E5BFF">
              <w:rPr>
                <w:b w:val="0"/>
                <w:bCs/>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D1FD147" w14:textId="5C33FD5B" w:rsidR="00F0724D" w:rsidRPr="001D7F2E" w:rsidRDefault="00F0724D" w:rsidP="0080642B">
            <w:pP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D7F2E">
              <w:rPr>
                <w:b w:val="0"/>
                <w:bCs/>
              </w:rPr>
              <w:t>Allocated based on various allocation statistics (workforce, patient driven).</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8AC4A44" w14:textId="6D242AF7" w:rsidR="00F0724D" w:rsidRPr="001D7F2E" w:rsidRDefault="00F0724D" w:rsidP="0080642B">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D7F2E">
              <w:rPr>
                <w:rFonts w:ascii="Cambria Math" w:hAnsi="Cambria Math" w:cs="Cambria Math"/>
                <w:b w:val="0"/>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0EAB4B6" w14:textId="1F912B8F" w:rsidR="00F0724D" w:rsidRPr="001D7F2E" w:rsidRDefault="00F0724D" w:rsidP="0080642B">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D7F2E">
              <w:rPr>
                <w:b w:val="0"/>
                <w:bCs/>
              </w:rPr>
              <w:t>Critical</w:t>
            </w:r>
          </w:p>
        </w:tc>
      </w:tr>
    </w:tbl>
    <w:p w14:paraId="6FA5C6EA" w14:textId="6173D4A4" w:rsidR="00C77135" w:rsidRDefault="00C77135" w:rsidP="00EE5CB7"/>
    <w:p w14:paraId="72B13540" w14:textId="115984F6" w:rsidR="00B72C8B" w:rsidRDefault="00FE3C18" w:rsidP="00B72C8B">
      <w:pPr>
        <w:pStyle w:val="Caption"/>
        <w:keepNext/>
      </w:pPr>
      <w:r>
        <w:t>Table</w:t>
      </w:r>
      <w:r w:rsidR="00B72C8B">
        <w:t xml:space="preserve"> </w:t>
      </w:r>
      <w:r>
        <w:fldChar w:fldCharType="begin"/>
      </w:r>
      <w:r>
        <w:instrText xml:space="preserve"> SEQ Table \* ARABIC </w:instrText>
      </w:r>
      <w:r>
        <w:fldChar w:fldCharType="separate"/>
      </w:r>
      <w:r w:rsidR="00CE6F96">
        <w:rPr>
          <w:noProof/>
        </w:rPr>
        <w:t>16</w:t>
      </w:r>
      <w:r>
        <w:fldChar w:fldCharType="end"/>
      </w:r>
      <w:r>
        <w:t>:</w:t>
      </w:r>
      <w:r w:rsidR="00B72C8B">
        <w:t xml:space="preserve"> </w:t>
      </w:r>
      <w:r w:rsidR="00B72C8B" w:rsidRPr="00710BBE">
        <w:t>University Hospital Geelong Cost Allocation Methodologies</w:t>
      </w:r>
    </w:p>
    <w:tbl>
      <w:tblPr>
        <w:tblStyle w:val="TableGrid"/>
        <w:tblpPr w:leftFromText="180" w:rightFromText="180" w:vertAnchor="text"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E40B76" w14:paraId="190FCB01" w14:textId="77777777" w:rsidTr="00FE3C18">
        <w:tc>
          <w:tcPr>
            <w:tcW w:w="1134" w:type="dxa"/>
            <w:shd w:val="clear" w:color="auto" w:fill="EFF0F7" w:themeFill="accent4" w:themeFillTint="33"/>
            <w:vAlign w:val="center"/>
          </w:tcPr>
          <w:p w14:paraId="327137BF" w14:textId="77777777" w:rsidR="00E40B76" w:rsidRPr="00243F63" w:rsidRDefault="00E40B76" w:rsidP="00FE3C18">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3C74605F" w14:textId="77777777" w:rsidR="00E40B76" w:rsidRDefault="00E40B76" w:rsidP="00FE3C18">
            <w:r>
              <w:t>Via patient level feeder system</w:t>
            </w:r>
          </w:p>
        </w:tc>
        <w:tc>
          <w:tcPr>
            <w:tcW w:w="1134" w:type="dxa"/>
            <w:shd w:val="clear" w:color="auto" w:fill="EFF0F7" w:themeFill="accent4" w:themeFillTint="33"/>
            <w:vAlign w:val="center"/>
          </w:tcPr>
          <w:p w14:paraId="57A1E903"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79750362" w14:textId="77777777" w:rsidR="00E40B76" w:rsidRDefault="00E40B76" w:rsidP="00FE3C18">
            <w:r>
              <w:t>Via weighted RVU, to ICU patients</w:t>
            </w:r>
          </w:p>
        </w:tc>
      </w:tr>
      <w:tr w:rsidR="00E40B76" w14:paraId="71F9C3D8" w14:textId="77777777" w:rsidTr="00FE3C18">
        <w:tc>
          <w:tcPr>
            <w:tcW w:w="1134" w:type="dxa"/>
            <w:shd w:val="clear" w:color="auto" w:fill="EFF0F7" w:themeFill="accent4" w:themeFillTint="33"/>
            <w:vAlign w:val="center"/>
          </w:tcPr>
          <w:p w14:paraId="0DEB9758" w14:textId="77777777" w:rsidR="00E40B76" w:rsidRDefault="00E40B76" w:rsidP="00FE3C18">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2219C45E" w14:textId="77777777" w:rsidR="00E40B76" w:rsidRDefault="00E40B76" w:rsidP="00FE3C18">
            <w:r>
              <w:t>Using a standard RVU, to ICU patients</w:t>
            </w:r>
          </w:p>
        </w:tc>
        <w:tc>
          <w:tcPr>
            <w:tcW w:w="1134" w:type="dxa"/>
            <w:shd w:val="clear" w:color="auto" w:fill="EFF0F7" w:themeFill="accent4" w:themeFillTint="33"/>
            <w:vAlign w:val="center"/>
          </w:tcPr>
          <w:p w14:paraId="518F02DE" w14:textId="77777777" w:rsidR="00E40B76" w:rsidRPr="00243F63" w:rsidRDefault="00E40B76" w:rsidP="00FE3C18">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766DEBBE" w14:textId="77777777" w:rsidR="00E40B76" w:rsidRDefault="00E40B76" w:rsidP="00FE3C18">
            <w:r>
              <w:t>Across ICU / non-ICU patients</w:t>
            </w:r>
          </w:p>
        </w:tc>
      </w:tr>
    </w:tbl>
    <w:p w14:paraId="099632B0" w14:textId="77777777" w:rsidR="00FE3C18" w:rsidRPr="00FE3C18" w:rsidRDefault="00FE3C18" w:rsidP="00FE3C18"/>
    <w:p w14:paraId="48F9DD2D" w14:textId="77777777" w:rsidR="00915FE1" w:rsidRDefault="00915FE1" w:rsidP="00FE3C18"/>
    <w:p w14:paraId="5CAFC62F" w14:textId="77777777" w:rsidR="00915FE1" w:rsidRDefault="00915FE1" w:rsidP="00FE3C18"/>
    <w:p w14:paraId="354F9A5B" w14:textId="77777777" w:rsidR="00915FE1" w:rsidRPr="00FE3C18" w:rsidRDefault="00915FE1" w:rsidP="00FE3C18"/>
    <w:tbl>
      <w:tblPr>
        <w:tblStyle w:val="ScyneTable"/>
        <w:tblW w:w="4986" w:type="pct"/>
        <w:tblInd w:w="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49"/>
        <w:gridCol w:w="3903"/>
        <w:gridCol w:w="5156"/>
        <w:gridCol w:w="1011"/>
        <w:gridCol w:w="1500"/>
      </w:tblGrid>
      <w:tr w:rsidR="003964D6" w:rsidRPr="00F0724D" w14:paraId="5B32099C" w14:textId="77777777" w:rsidTr="00B72C8B">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5574E52F" w14:textId="77777777" w:rsidR="00C93B69" w:rsidRPr="00F0724D" w:rsidRDefault="00C93B69" w:rsidP="0080642B">
            <w:pPr>
              <w:pStyle w:val="TableNormalColumnHeading"/>
              <w:spacing w:before="0" w:after="0" w:line="278" w:lineRule="auto"/>
              <w:rPr>
                <w:rFonts w:ascii="Avenir Next LT Pro Demi" w:hAnsi="Avenir Next LT Pro Demi"/>
                <w:snapToGrid/>
                <w:sz w:val="20"/>
                <w:lang w:eastAsia="en-AU"/>
              </w:rPr>
            </w:pPr>
            <w:r w:rsidRPr="00F0724D">
              <w:rPr>
                <w:rFonts w:ascii="Avenir Next LT Pro Demi" w:hAnsi="Avenir Next LT Pro Demi"/>
                <w:b w:val="0"/>
                <w:bCs/>
                <w:sz w:val="20"/>
              </w:rPr>
              <w:lastRenderedPageBreak/>
              <w:t>Resources Consumed</w:t>
            </w:r>
          </w:p>
        </w:tc>
        <w:tc>
          <w:tcPr>
            <w:tcW w:w="140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0892F65" w14:textId="77777777" w:rsidR="00C93B69" w:rsidRPr="00F0724D" w:rsidRDefault="00C93B69" w:rsidP="0080642B">
            <w:pPr>
              <w:pStyle w:val="TableNormalColumnHeading"/>
              <w:spacing w:before="0" w:after="0" w:line="278" w:lineRule="auto"/>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85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29EBD7B6" w14:textId="77777777" w:rsidR="00C93B69" w:rsidRPr="00F0724D" w:rsidRDefault="00C93B69" w:rsidP="0080642B">
            <w:pPr>
              <w:pStyle w:val="TableNormalColumnHeading"/>
              <w:spacing w:before="0" w:after="0" w:line="278" w:lineRule="auto"/>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57BF266D" w14:textId="260FFB27" w:rsidR="00C93B69" w:rsidRPr="00F0724D" w:rsidRDefault="00C93B69" w:rsidP="00B72C8B">
            <w:pPr>
              <w:pStyle w:val="TableNormalColumnHeading"/>
              <w:spacing w:before="0" w:after="0" w:line="278" w:lineRule="auto"/>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93408F">
              <w:rPr>
                <w:rFonts w:ascii="Avenir Next LT Pro Demi" w:hAnsi="Avenir Next LT Pro Demi"/>
                <w:b w:val="0"/>
                <w:bCs/>
                <w:sz w:val="20"/>
              </w:rPr>
              <w:t>Critical</w:t>
            </w:r>
            <w:r w:rsidRPr="00F0724D">
              <w:rPr>
                <w:rFonts w:ascii="Avenir Next LT Pro Demi" w:hAnsi="Avenir Next LT Pro Demi"/>
                <w:b w:val="0"/>
                <w:bCs/>
                <w:sz w:val="20"/>
              </w:rPr>
              <w:t xml:space="preserve"> Cost Centre Group</w:t>
            </w:r>
          </w:p>
        </w:tc>
      </w:tr>
      <w:tr w:rsidR="00034380" w:rsidRPr="00F0724D" w14:paraId="194B7FB4"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29A79E4F" w14:textId="7E223B45" w:rsidR="003D73C4" w:rsidRPr="00F0724D" w:rsidRDefault="00D623B5" w:rsidP="0080642B">
            <w:r>
              <w:t xml:space="preserve">Nursing </w:t>
            </w:r>
            <w:r w:rsidR="003D73C4" w:rsidRPr="00FD6FDF">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A5F7559" w14:textId="3F0A594C"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 xml:space="preserve">ICU has a nursing FTE of 138 at </w:t>
            </w:r>
            <w:r>
              <w:t>registered nurse (</w:t>
            </w:r>
            <w:r w:rsidRPr="00FD6FDF">
              <w:t>RN</w:t>
            </w:r>
            <w:r>
              <w:t>)</w:t>
            </w:r>
            <w:r w:rsidRPr="00FD6FDF">
              <w:t xml:space="preserve"> level, </w:t>
            </w:r>
            <w:r w:rsidR="00711F2E">
              <w:t>along with</w:t>
            </w:r>
            <w:r w:rsidRPr="00FD6FDF">
              <w:t xml:space="preserve"> 20 postgraduate student positions.</w:t>
            </w:r>
          </w:p>
          <w:p w14:paraId="2B25AF00" w14:textId="55CC35BE"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 xml:space="preserve">The </w:t>
            </w:r>
            <w:r w:rsidR="002A18F3">
              <w:t xml:space="preserve">ICU </w:t>
            </w:r>
            <w:r w:rsidRPr="00FD6FDF">
              <w:t>department also uses casuals and agency. Specialling is used for mental health patients, often with health care worker roles.</w:t>
            </w:r>
          </w:p>
          <w:p w14:paraId="1E71011C" w14:textId="5FB75A68" w:rsidR="003D73C4" w:rsidRPr="00F0724D"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rPr>
                <w:color w:val="44546A" w:themeColor="text2"/>
              </w:rPr>
            </w:pPr>
            <w:r w:rsidRPr="00FD6FDF">
              <w:t>CCU has a nursing FTE of 70 shared across the cardiology, cardiothoracic and CCU areas.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FAA41EC" w14:textId="77777777"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ICU Nursing costs are allocated based on ICU hours, from the PAS.</w:t>
            </w:r>
          </w:p>
          <w:p w14:paraId="704462CA" w14:textId="240D16E2"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 xml:space="preserve">CCU nursing costs are split 50% to cardiology and 50% to CCU and cardiothoracic. These costs are then allocated to patients based on their admission designation using their ward </w:t>
            </w:r>
            <w:r>
              <w:t>LOS</w:t>
            </w:r>
            <w:r w:rsidRPr="00FD6FDF">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A8ED480" w14:textId="54051789" w:rsidR="003D73C4" w:rsidRPr="00254893" w:rsidRDefault="003D73C4" w:rsidP="0080642B">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FD6FD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7AE262" w14:textId="607F7C82"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D6FDF">
              <w:t>Critical</w:t>
            </w:r>
          </w:p>
        </w:tc>
      </w:tr>
      <w:tr w:rsidR="00034380" w:rsidRPr="00F0724D" w14:paraId="21220DE1"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06ED56A" w14:textId="0248D449" w:rsidR="003D73C4" w:rsidRPr="00F0724D" w:rsidRDefault="00D623B5" w:rsidP="0080642B">
            <w:r>
              <w:t xml:space="preserve">Allied Health </w:t>
            </w:r>
            <w:r w:rsidR="003D73C4" w:rsidRPr="00FD6FDF">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22F3FAA" w14:textId="77777777"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ICU has dedicated social work (1 FTE), pharmacy (2 FTE), physio</w:t>
            </w:r>
            <w:r>
              <w:t>therapist</w:t>
            </w:r>
            <w:r w:rsidRPr="00FD6FDF">
              <w:t xml:space="preserve"> (1 FTE) and dietician (1 FTE).  </w:t>
            </w:r>
          </w:p>
          <w:p w14:paraId="36FDFFC0" w14:textId="39AA140E"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CCU has a dedicated pharmacist, but this is shared with cardiology.</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9494417" w14:textId="6B22B068"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Recorded in the PAS as contact minutes and allocated to patients.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AC5F568" w14:textId="75CE9532" w:rsidR="003D73C4" w:rsidRPr="00254893" w:rsidRDefault="003D73C4" w:rsidP="0080642B">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D6FDF">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7646276" w14:textId="2D340FE0"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D6FDF">
              <w:t>Allied Health</w:t>
            </w:r>
          </w:p>
        </w:tc>
      </w:tr>
      <w:tr w:rsidR="00034380" w:rsidRPr="00F0724D" w14:paraId="3FDBD0FC"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27B2F61" w14:textId="3F049EB4" w:rsidR="003D73C4" w:rsidRPr="00F0724D" w:rsidRDefault="00D623B5" w:rsidP="0080642B">
            <w:r>
              <w:t xml:space="preserve">Other </w:t>
            </w:r>
            <w:r w:rsidR="003D73C4" w:rsidRPr="00FD6FDF">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AD57062" w14:textId="42BC6310"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Ward clerk, Patient Support Assistants, Equipment Nurse in ICU, and Ward Clerk in CCU.</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94538C5" w14:textId="0C6EE64F"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FD6FDF">
              <w:t xml:space="preserve">Allocated based on ICU hours or ward </w:t>
            </w:r>
            <w:r>
              <w:t>LOS</w:t>
            </w:r>
            <w:r w:rsidRPr="00FD6FDF">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F9F96E3" w14:textId="52719E01" w:rsidR="003D73C4" w:rsidRPr="00F0724D" w:rsidRDefault="003D73C4" w:rsidP="0080642B">
            <w:pPr>
              <w:jc w:val="center"/>
              <w:cnfStyle w:val="000000000000" w:firstRow="0" w:lastRow="0" w:firstColumn="0" w:lastColumn="0" w:oddVBand="0" w:evenVBand="0" w:oddHBand="0" w:evenHBand="0" w:firstRowFirstColumn="0" w:firstRowLastColumn="0" w:lastRowFirstColumn="0" w:lastRowLastColumn="0"/>
              <w:rPr>
                <w:b/>
                <w:bCs/>
              </w:rPr>
            </w:pPr>
            <w:r w:rsidRPr="00FD6FD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86C5A96" w14:textId="5D189A02"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t>Critical</w:t>
            </w:r>
          </w:p>
        </w:tc>
      </w:tr>
      <w:tr w:rsidR="00034380" w:rsidRPr="00F0724D" w14:paraId="26FF2018"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EED18A1" w14:textId="2F494359" w:rsidR="003D73C4" w:rsidRPr="00F0724D" w:rsidRDefault="00D623B5" w:rsidP="0080642B">
            <w:r>
              <w:t xml:space="preserve">Medical </w:t>
            </w:r>
            <w:r w:rsidR="003D73C4" w:rsidRPr="00FD6FDF">
              <w:t>S&amp;W (&amp; VMO)</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915D792" w14:textId="77777777"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ICU’s medical staffing includes 11 consultants, 3 junior consultants, 15 registrars, 15 residents.</w:t>
            </w:r>
          </w:p>
          <w:p w14:paraId="18D6C476" w14:textId="55FC05D5"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 xml:space="preserve">CCU’s medical staffing includes 12 cardiologists delivering interventional </w:t>
            </w:r>
            <w:r w:rsidRPr="00FD6FDF">
              <w:lastRenderedPageBreak/>
              <w:t xml:space="preserve">and diagnostic services, 4 surgeons, 4 registrars and 4 trainee registrars. </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4B21CA8" w14:textId="77777777"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lastRenderedPageBreak/>
              <w:t xml:space="preserve">ICU </w:t>
            </w:r>
            <w:r>
              <w:t>medical staff</w:t>
            </w:r>
            <w:r w:rsidRPr="00FD6FDF">
              <w:t xml:space="preserve"> time is allocated based on ICU minutes (extracted from the PAS </w:t>
            </w:r>
            <w:r>
              <w:t>i</w:t>
            </w:r>
            <w:r w:rsidRPr="00FD6FDF">
              <w:t xml:space="preserve">PM). </w:t>
            </w:r>
          </w:p>
          <w:p w14:paraId="6533AFC7" w14:textId="00022ED4"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t xml:space="preserve">Due to the shared nature of resources across Cardiology, Cardiothoracic and CCU, it is hard to </w:t>
            </w:r>
            <w:r w:rsidRPr="00FD6FDF">
              <w:lastRenderedPageBreak/>
              <w:t>allocate costs across these areas, and these are allocated across patients based on ward L</w:t>
            </w:r>
            <w:r>
              <w:t>O</w:t>
            </w:r>
            <w:r w:rsidRPr="00FD6FDF">
              <w: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AEB4BCC" w14:textId="03A3CAE0" w:rsidR="003D73C4" w:rsidRPr="00F0724D" w:rsidRDefault="003D73C4"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rPr>
                <w:rFonts w:ascii="Cambria Math" w:hAnsi="Cambria Math" w:cs="Cambria Math"/>
              </w:rPr>
              <w:lastRenderedPageBreak/>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41DE9E8" w14:textId="77777777" w:rsidR="003D73C4" w:rsidRDefault="003D73C4" w:rsidP="00A47640">
            <w:pPr>
              <w:tabs>
                <w:tab w:val="clear" w:pos="5309"/>
              </w:tabs>
              <w:jc w:val="center"/>
              <w:cnfStyle w:val="000000000000" w:firstRow="0" w:lastRow="0" w:firstColumn="0" w:lastColumn="0" w:oddVBand="0" w:evenVBand="0" w:oddHBand="0" w:evenHBand="0" w:firstRowFirstColumn="0" w:firstRowLastColumn="0" w:lastRowFirstColumn="0" w:lastRowLastColumn="0"/>
            </w:pPr>
            <w:r w:rsidRPr="00FD6FDF">
              <w:t>Critical</w:t>
            </w:r>
            <w:r>
              <w:t xml:space="preserve"> (ICU)</w:t>
            </w:r>
          </w:p>
          <w:p w14:paraId="7FC7972A" w14:textId="1AA33A48"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D6FDF">
              <w:t>Clinical</w:t>
            </w:r>
            <w:r>
              <w:t xml:space="preserve"> (CCU)</w:t>
            </w:r>
          </w:p>
        </w:tc>
      </w:tr>
      <w:tr w:rsidR="00034380" w:rsidRPr="00F0724D" w14:paraId="1CC15033"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47EF9AF" w14:textId="292DCB49" w:rsidR="003D73C4" w:rsidRPr="00F0724D" w:rsidRDefault="003D73C4" w:rsidP="0080642B">
            <w:r w:rsidRPr="00FD6FDF">
              <w:t>Consumables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C0D4D14" w14:textId="6BAED84E"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 xml:space="preserve">Includes medical supplies, </w:t>
            </w:r>
            <w:r w:rsidR="00843FAD" w:rsidRPr="00843FAD">
              <w:rPr>
                <w:i/>
                <w:iCs/>
              </w:rPr>
              <w:t>G</w:t>
            </w:r>
            <w:r w:rsidRPr="00843FAD">
              <w:rPr>
                <w:i/>
                <w:iCs/>
              </w:rPr>
              <w:t xml:space="preserve">oods &amp; </w:t>
            </w:r>
            <w:r w:rsidR="00843FAD" w:rsidRPr="00843FAD">
              <w:rPr>
                <w:i/>
                <w:iCs/>
              </w:rPr>
              <w:t>S</w:t>
            </w:r>
            <w:r w:rsidRPr="00843FAD">
              <w:rPr>
                <w:i/>
                <w:iCs/>
              </w:rPr>
              <w:t>ervices</w:t>
            </w:r>
            <w:r w:rsidRPr="00FD6FDF">
              <w:t xml:space="preserve"> expenses including lines, neuromonitoring and cardiac support devices.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CD5B945" w14:textId="77777777"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ICU consumables are allocated based on ICU hours. ECMO patients will get specific consumable allocations based on the data recorded in the PAS.</w:t>
            </w:r>
          </w:p>
          <w:p w14:paraId="65485168" w14:textId="3E317D10"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t>CCU, Cardiology and Cardiothoracic consumables are allocated to all patients using ward L</w:t>
            </w:r>
            <w:r>
              <w:t>O</w:t>
            </w:r>
            <w:r w:rsidRPr="00FD6FDF">
              <w: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267F5A6" w14:textId="5162208B" w:rsidR="003D73C4" w:rsidRPr="001D7F2E" w:rsidRDefault="003D73C4" w:rsidP="008064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FD6FD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947A63E" w14:textId="16D5DEFE"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D6FDF">
              <w:t>Critical</w:t>
            </w:r>
          </w:p>
        </w:tc>
      </w:tr>
      <w:tr w:rsidR="00034380" w:rsidRPr="00F0724D" w14:paraId="70FD7CE4"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F2E666E" w14:textId="15A8A7E9" w:rsidR="003D73C4" w:rsidRPr="00F0724D" w:rsidRDefault="003D73C4" w:rsidP="0080642B">
            <w:r w:rsidRPr="00FD6FDF">
              <w:t>Imaging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21C62C0" w14:textId="2AAD5A41"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Provided by University Hospital Geelong.</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60542F4" w14:textId="5C9B7698" w:rsidR="003D73C4" w:rsidRPr="00F0724D" w:rsidRDefault="006F74A7"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Feeder information is available - allocated based on p</w:t>
            </w:r>
            <w:r w:rsidR="003D73C4" w:rsidRPr="00FD6FDF">
              <w:t>rice rate in the A</w:t>
            </w:r>
            <w:r w:rsidR="00493A8E">
              <w:t>gfa Healthcare</w:t>
            </w:r>
            <w:r w:rsidR="003D73C4" w:rsidRPr="00FD6FDF">
              <w:t xml:space="preserve"> system </w:t>
            </w:r>
            <w:r w:rsidR="003B0DF4">
              <w:t xml:space="preserve">(medical imaging) </w:t>
            </w:r>
            <w:r w:rsidR="003D73C4" w:rsidRPr="00FD6FDF">
              <w:t>and allocated at the patient level.</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2E6775C" w14:textId="791415FD" w:rsidR="003D73C4" w:rsidRPr="001D7F2E" w:rsidRDefault="003D73C4"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FD6FDF">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E7DF3C3" w14:textId="1A806A0F"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t>Imaging</w:t>
            </w:r>
          </w:p>
        </w:tc>
      </w:tr>
      <w:tr w:rsidR="00034380" w:rsidRPr="00F0724D" w14:paraId="13F40D1C"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7AD3D2D" w14:textId="5F4E23D7" w:rsidR="003D73C4" w:rsidRPr="00F0724D" w:rsidRDefault="003D73C4" w:rsidP="0080642B">
            <w:r w:rsidRPr="00FD6FDF">
              <w:t>Pathology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C10B50C" w14:textId="4D6350C8"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Provided by third party providers, Australian Clinical Labs (ACL).</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7FE7510" w14:textId="2B1AB6B4"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t xml:space="preserve">Pathology feeder system and allocated to patient at the using RVU of the </w:t>
            </w:r>
            <w:r w:rsidR="00CB6439">
              <w:t>MBS price</w:t>
            </w:r>
            <w:r w:rsidR="004E5BFF">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7DDA946" w14:textId="120B0110" w:rsidR="003D73C4" w:rsidRPr="001D7F2E" w:rsidRDefault="003D73C4"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FD6FDF">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DB3C0B1" w14:textId="392609F9"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D6FDF">
              <w:t>Pathology</w:t>
            </w:r>
          </w:p>
        </w:tc>
      </w:tr>
      <w:tr w:rsidR="00034380" w:rsidRPr="00F0724D" w14:paraId="4AA54970" w14:textId="77777777" w:rsidTr="00B72C8B">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4A7B79A" w14:textId="1A7C97DC" w:rsidR="003D73C4" w:rsidRPr="00F0724D" w:rsidRDefault="003D73C4" w:rsidP="0080642B">
            <w:r w:rsidRPr="00FD6FDF">
              <w:t>Pharmacy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45F91D6" w14:textId="752D6B59"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 xml:space="preserve">In ICU an electronic pharmacy system is in place (Merlin) and dispensed drugs are held in a </w:t>
            </w:r>
            <w:r w:rsidR="00BE2455">
              <w:t>p</w:t>
            </w:r>
            <w:r w:rsidRPr="00FD6FDF">
              <w:t>harmacy cost centre. In CCU, there is no electronic dispensing.</w:t>
            </w:r>
          </w:p>
          <w:p w14:paraId="5B0268CD" w14:textId="3A692898"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 xml:space="preserve">Some commonly used drugs are also held in imprest and sit within critical care. Pharmacist costs sit in </w:t>
            </w:r>
            <w:r w:rsidR="00BE2455">
              <w:t>p</w:t>
            </w:r>
            <w:r w:rsidRPr="00FD6FDF">
              <w:t>harmacy cost centre.</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BC3FA49" w14:textId="77777777"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 xml:space="preserve">Allocated at the patient level from a feeder system (Merlin). </w:t>
            </w:r>
          </w:p>
          <w:p w14:paraId="48658BE0" w14:textId="77777777" w:rsidR="003D73C4" w:rsidRPr="00FD6FDF" w:rsidRDefault="003D73C4" w:rsidP="0080642B">
            <w:pPr>
              <w:tabs>
                <w:tab w:val="clear" w:pos="5309"/>
              </w:tabs>
              <w:cnfStyle w:val="000000000000" w:firstRow="0" w:lastRow="0" w:firstColumn="0" w:lastColumn="0" w:oddVBand="0" w:evenVBand="0" w:oddHBand="0" w:evenHBand="0" w:firstRowFirstColumn="0" w:firstRowLastColumn="0" w:lastRowFirstColumn="0" w:lastRowLastColumn="0"/>
            </w:pPr>
            <w:r w:rsidRPr="00FD6FDF">
              <w:t xml:space="preserve">Unallocated costs are charged to a dummy episode. </w:t>
            </w:r>
          </w:p>
          <w:p w14:paraId="44F9CF90" w14:textId="7AB3EF0B"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Maximum</w:t>
            </w:r>
            <w:r w:rsidRPr="00FD6FDF">
              <w:t xml:space="preserve"> linking rules up to 30 days (forwards and backwards).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E9C90BE" w14:textId="6701F8A9" w:rsidR="003D73C4" w:rsidRPr="00C93B69" w:rsidRDefault="00691AC8" w:rsidP="0080642B">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FD6FDF">
              <w:rPr>
                <w:rFonts w:ascii="Arial" w:hAnsi="Arial" w:cs="Arial"/>
                <w:sz w:val="32"/>
                <w:szCs w:val="32"/>
              </w:rPr>
              <w:t>●</w:t>
            </w:r>
            <w:r w:rsidR="003D73C4" w:rsidRPr="00FD6FDF">
              <w:rPr>
                <w:rFonts w:ascii="Arial" w:hAnsi="Arial" w:cs="Arial"/>
                <w:sz w:val="32"/>
                <w:szCs w:val="32"/>
              </w:rPr>
              <w:t xml:space="preserve"> / </w:t>
            </w:r>
            <w:r w:rsidR="003D73C4" w:rsidRPr="00FD6FD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B2C1CD" w14:textId="7C03F612" w:rsidR="003D73C4" w:rsidRDefault="003D73C4" w:rsidP="00A47640">
            <w:pPr>
              <w:tabs>
                <w:tab w:val="clear" w:pos="5309"/>
              </w:tabs>
              <w:jc w:val="center"/>
              <w:cnfStyle w:val="000000000000" w:firstRow="0" w:lastRow="0" w:firstColumn="0" w:lastColumn="0" w:oddVBand="0" w:evenVBand="0" w:oddHBand="0" w:evenHBand="0" w:firstRowFirstColumn="0" w:firstRowLastColumn="0" w:lastRowFirstColumn="0" w:lastRowLastColumn="0"/>
            </w:pPr>
            <w:r w:rsidRPr="00FD6FDF">
              <w:t>Pharmacy</w:t>
            </w:r>
            <w:r w:rsidR="003B0DF4">
              <w:t xml:space="preserve"> (dispensed)</w:t>
            </w:r>
          </w:p>
          <w:p w14:paraId="198A6034" w14:textId="0891D8B9" w:rsidR="003B0DF4" w:rsidRPr="00FD6FDF" w:rsidRDefault="003B0DF4" w:rsidP="00A47640">
            <w:pPr>
              <w:tabs>
                <w:tab w:val="clear" w:pos="5309"/>
              </w:tabs>
              <w:jc w:val="center"/>
              <w:cnfStyle w:val="000000000000" w:firstRow="0" w:lastRow="0" w:firstColumn="0" w:lastColumn="0" w:oddVBand="0" w:evenVBand="0" w:oddHBand="0" w:evenHBand="0" w:firstRowFirstColumn="0" w:firstRowLastColumn="0" w:lastRowFirstColumn="0" w:lastRowLastColumn="0"/>
            </w:pPr>
            <w:r>
              <w:t>Critical (imprest)</w:t>
            </w:r>
          </w:p>
          <w:p w14:paraId="1769A32A" w14:textId="4797C6CF"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p>
        </w:tc>
      </w:tr>
      <w:tr w:rsidR="00034380" w:rsidRPr="00F0724D" w14:paraId="45B7FBBA" w14:textId="77777777" w:rsidTr="00197DAC">
        <w:trPr>
          <w:cantSplit/>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1FF3CF5" w14:textId="46620E75" w:rsidR="003D73C4" w:rsidRPr="00F0724D" w:rsidRDefault="003D73C4" w:rsidP="0080642B">
            <w:r w:rsidRPr="00FD6FDF">
              <w:lastRenderedPageBreak/>
              <w:t>Overheads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ABC8D99" w14:textId="0E9E5531"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pPr>
            <w:r w:rsidRPr="00FD6FDF">
              <w:t>Corporate costs, biomedical engineering costs relating to maintenance, repairs (materials and labour costs). These are held centrally.</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E91134E" w14:textId="44DCAA0E" w:rsidR="003D73C4" w:rsidRPr="00F0724D" w:rsidRDefault="003D73C4" w:rsidP="0080642B">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t xml:space="preserve">Allocated as an overhead </w:t>
            </w:r>
            <w:r w:rsidR="00FD4AD9">
              <w:t xml:space="preserve">based on hospital wide allocation statistics. </w:t>
            </w:r>
            <w:r w:rsidRPr="00FD6FDF">
              <w:t xml:space="preserve"> </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E9E6050" w14:textId="47C9D1D5" w:rsidR="003D73C4" w:rsidRPr="00F0724D" w:rsidRDefault="003D73C4" w:rsidP="0080642B">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F7990E3" w14:textId="2483A435" w:rsidR="003D73C4" w:rsidRPr="00F0724D" w:rsidRDefault="003D73C4" w:rsidP="00A47640">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D6FDF">
              <w:t>Critical</w:t>
            </w:r>
          </w:p>
        </w:tc>
      </w:tr>
      <w:tr w:rsidR="00034380" w:rsidRPr="00F0724D" w14:paraId="4F3E45AE" w14:textId="77777777" w:rsidTr="00B72C8B">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E40EF4E" w14:textId="3E27794A" w:rsidR="003D73C4" w:rsidRPr="000D7A5D" w:rsidRDefault="003D73C4" w:rsidP="0080642B">
            <w:pPr>
              <w:rPr>
                <w:b w:val="0"/>
                <w:bCs/>
              </w:rPr>
            </w:pPr>
            <w:r w:rsidRPr="000D7A5D">
              <w:rPr>
                <w:b w:val="0"/>
                <w:bCs/>
              </w:rPr>
              <w:t>Hotel</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C2949EB" w14:textId="29FEB2B6" w:rsidR="003D73C4" w:rsidRPr="000D7A5D" w:rsidRDefault="003D73C4" w:rsidP="0080642B">
            <w:pPr>
              <w:cnfStyle w:val="010000000000" w:firstRow="0" w:lastRow="1" w:firstColumn="0" w:lastColumn="0" w:oddVBand="0" w:evenVBand="0" w:oddHBand="0" w:evenHBand="0" w:firstRowFirstColumn="0" w:firstRowLastColumn="0" w:lastRowFirstColumn="0" w:lastRowLastColumn="0"/>
              <w:rPr>
                <w:b w:val="0"/>
                <w:bCs/>
              </w:rPr>
            </w:pPr>
            <w:r w:rsidRPr="000D7A5D">
              <w:rPr>
                <w:b w:val="0"/>
                <w:bCs/>
              </w:rPr>
              <w:t xml:space="preserve">Includes </w:t>
            </w:r>
            <w:r w:rsidR="001B0C9F">
              <w:rPr>
                <w:b w:val="0"/>
                <w:bCs/>
              </w:rPr>
              <w:t>f</w:t>
            </w:r>
            <w:r w:rsidR="001B0C9F" w:rsidRPr="000D7A5D">
              <w:rPr>
                <w:b w:val="0"/>
                <w:bCs/>
              </w:rPr>
              <w:t>ood</w:t>
            </w:r>
            <w:r w:rsidRPr="000D7A5D">
              <w:rPr>
                <w:b w:val="0"/>
                <w:bCs/>
              </w:rPr>
              <w:t>, linen, cleaning</w:t>
            </w:r>
            <w:r w:rsidR="004E5BFF">
              <w:rPr>
                <w:b w:val="0"/>
                <w:bCs/>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7059A42" w14:textId="0C6C92D6" w:rsidR="003D73C4" w:rsidRPr="000D7A5D" w:rsidRDefault="003D73C4" w:rsidP="0080642B">
            <w:pP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0D7A5D">
              <w:rPr>
                <w:b w:val="0"/>
                <w:bCs/>
              </w:rPr>
              <w:t>Allocated based on ICU hours or CCU/Cardiology ward LOS.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CFBA04E" w14:textId="74D93D72" w:rsidR="003D73C4" w:rsidRPr="000D7A5D" w:rsidRDefault="003D73C4" w:rsidP="0080642B">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0D7A5D">
              <w:rPr>
                <w:rFonts w:ascii="Cambria Math" w:hAnsi="Cambria Math" w:cs="Cambria Math"/>
                <w:b w:val="0"/>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C41B15F" w14:textId="0F9087BC" w:rsidR="003D73C4" w:rsidRPr="000D7A5D" w:rsidRDefault="003D73C4" w:rsidP="00A47640">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0D7A5D">
              <w:rPr>
                <w:b w:val="0"/>
                <w:bCs/>
              </w:rPr>
              <w:t>Critical</w:t>
            </w:r>
          </w:p>
        </w:tc>
      </w:tr>
    </w:tbl>
    <w:p w14:paraId="4467A3A0" w14:textId="77777777" w:rsidR="00CE0896" w:rsidRDefault="00CE0896" w:rsidP="00EE5CB7"/>
    <w:p w14:paraId="2831C320" w14:textId="0F72E264" w:rsidR="00AD02CD" w:rsidRDefault="00AD02CD" w:rsidP="005F7ACD">
      <w:pPr>
        <w:sectPr w:rsidR="00AD02CD" w:rsidSect="00AD02CD">
          <w:footnotePr>
            <w:pos w:val="beneathText"/>
          </w:footnotePr>
          <w:endnotePr>
            <w:numFmt w:val="decimal"/>
          </w:endnotePr>
          <w:pgSz w:w="16838" w:h="11906" w:orient="landscape" w:code="9"/>
          <w:pgMar w:top="1440" w:right="1440" w:bottom="1440" w:left="1440" w:header="720" w:footer="720" w:gutter="0"/>
          <w:cols w:space="720"/>
          <w:docGrid w:linePitch="360"/>
        </w:sectPr>
      </w:pPr>
    </w:p>
    <w:p w14:paraId="59030206" w14:textId="2785A4C1" w:rsidR="008739FD" w:rsidRPr="00FD6FDF" w:rsidRDefault="008739FD" w:rsidP="008739FD">
      <w:pPr>
        <w:tabs>
          <w:tab w:val="clear" w:pos="5309"/>
        </w:tabs>
        <w:kinsoku w:val="0"/>
        <w:overflowPunct w:val="0"/>
        <w:autoSpaceDE w:val="0"/>
        <w:autoSpaceDN w:val="0"/>
        <w:adjustRightInd w:val="0"/>
        <w:snapToGrid w:val="0"/>
        <w:spacing w:after="0" w:line="259" w:lineRule="auto"/>
        <w:rPr>
          <w:rFonts w:eastAsia="Times New Roman" w:cs="Times New Roman"/>
          <w:lang w:eastAsia="en-AU"/>
        </w:rPr>
      </w:pPr>
      <w:r w:rsidRPr="00FD6FDF">
        <w:rPr>
          <w:rFonts w:eastAsia="Times New Roman" w:cs="Times New Roman"/>
          <w:lang w:eastAsia="en-AU"/>
        </w:rPr>
        <w:lastRenderedPageBreak/>
        <w:t xml:space="preserve">The chart below shows the composition of costs within the </w:t>
      </w:r>
      <w:r w:rsidRPr="00C500C2">
        <w:rPr>
          <w:rFonts w:eastAsia="Times New Roman" w:cs="Times New Roman"/>
          <w:i/>
          <w:lang w:eastAsia="en-AU"/>
        </w:rPr>
        <w:t>Critical</w:t>
      </w:r>
      <w:r w:rsidRPr="00FD6FDF">
        <w:rPr>
          <w:rFonts w:eastAsia="Times New Roman" w:cs="Times New Roman"/>
          <w:lang w:eastAsia="en-AU"/>
        </w:rPr>
        <w:t xml:space="preserve"> </w:t>
      </w:r>
      <w:r w:rsidR="00C500C2">
        <w:rPr>
          <w:rFonts w:eastAsia="Times New Roman" w:cs="Times New Roman"/>
          <w:lang w:eastAsia="en-AU"/>
        </w:rPr>
        <w:t>NHCDC</w:t>
      </w:r>
      <w:r w:rsidRPr="00FD6FDF">
        <w:rPr>
          <w:rFonts w:eastAsia="Times New Roman" w:cs="Times New Roman"/>
          <w:lang w:eastAsia="en-AU"/>
        </w:rPr>
        <w:t xml:space="preserve"> Cost Centre Group: </w:t>
      </w:r>
    </w:p>
    <w:p w14:paraId="63717F1D" w14:textId="4AD232FE" w:rsidR="008739FD" w:rsidRPr="008739FD" w:rsidRDefault="008739FD" w:rsidP="006044E0">
      <w:pPr>
        <w:pStyle w:val="ListParagraph"/>
        <w:numPr>
          <w:ilvl w:val="0"/>
          <w:numId w:val="18"/>
        </w:numPr>
      </w:pPr>
      <w:r w:rsidRPr="008739FD">
        <w:t xml:space="preserve">The Alfred and University Hospital Geelong’s </w:t>
      </w:r>
      <w:r w:rsidRPr="00C500C2">
        <w:rPr>
          <w:i/>
        </w:rPr>
        <w:t xml:space="preserve">Critical </w:t>
      </w:r>
      <w:r w:rsidRPr="008739FD">
        <w:t>costs totalled $135 million and $</w:t>
      </w:r>
      <w:r w:rsidR="00B3025F" w:rsidRPr="008739FD">
        <w:t>38</w:t>
      </w:r>
      <w:r w:rsidR="00B3025F">
        <w:t> </w:t>
      </w:r>
      <w:r w:rsidRPr="008739FD">
        <w:t xml:space="preserve">million respectively of </w:t>
      </w:r>
      <w:r w:rsidR="004F4511">
        <w:t>Vic</w:t>
      </w:r>
      <w:r w:rsidR="00B3025F">
        <w:t>toria</w:t>
      </w:r>
      <w:r w:rsidRPr="008739FD">
        <w:t xml:space="preserve">’s $894 million costs in the </w:t>
      </w:r>
      <w:r w:rsidRPr="00EC0C63">
        <w:rPr>
          <w:i/>
        </w:rPr>
        <w:t>Critical</w:t>
      </w:r>
      <w:r w:rsidRPr="008739FD">
        <w:t xml:space="preserve"> </w:t>
      </w:r>
      <w:r w:rsidR="00C639A5">
        <w:t xml:space="preserve">NHCDC </w:t>
      </w:r>
      <w:r w:rsidRPr="008739FD">
        <w:t>Cost Centre Group</w:t>
      </w:r>
      <w:r w:rsidR="00B3025F">
        <w:t>.</w:t>
      </w:r>
    </w:p>
    <w:p w14:paraId="14265AB2" w14:textId="7CFB2857" w:rsidR="008739FD" w:rsidRPr="008739FD" w:rsidRDefault="008739FD" w:rsidP="006044E0">
      <w:pPr>
        <w:pStyle w:val="ListParagraph"/>
        <w:numPr>
          <w:ilvl w:val="0"/>
          <w:numId w:val="18"/>
        </w:numPr>
      </w:pPr>
      <w:r w:rsidRPr="008739FD">
        <w:t xml:space="preserve">The </w:t>
      </w:r>
      <w:r w:rsidR="005F78E0" w:rsidRPr="008739FD">
        <w:t>make-up</w:t>
      </w:r>
      <w:r w:rsidRPr="008739FD">
        <w:t xml:space="preserve"> of expense types was broadly consistent across both sites, and in line with the state average composition. </w:t>
      </w:r>
      <w:r w:rsidR="004474F5">
        <w:rPr>
          <w:i/>
          <w:iCs/>
        </w:rPr>
        <w:t>S&amp;W</w:t>
      </w:r>
      <w:r w:rsidRPr="008739FD">
        <w:t xml:space="preserve"> (Medical, Nursing, Allied Health and Other) comprises </w:t>
      </w:r>
      <w:r w:rsidR="00B3025F">
        <w:t xml:space="preserve">approximately </w:t>
      </w:r>
      <w:r w:rsidRPr="008739FD">
        <w:t>85% of the cost centre.</w:t>
      </w:r>
    </w:p>
    <w:p w14:paraId="70B5DC0C" w14:textId="5DE8899A" w:rsidR="008739FD" w:rsidRPr="008739FD" w:rsidRDefault="008739FD" w:rsidP="006044E0">
      <w:pPr>
        <w:pStyle w:val="ListParagraph"/>
        <w:numPr>
          <w:ilvl w:val="0"/>
          <w:numId w:val="18"/>
        </w:numPr>
      </w:pPr>
      <w:r w:rsidRPr="008739FD">
        <w:t xml:space="preserve">The Alfred had a slightly lower proportion of nursing costs (49.9% versus 52.4%) and slightly higher proportion of medical costs (21.5% versus 20.7%) within </w:t>
      </w:r>
      <w:r w:rsidRPr="00A47640">
        <w:rPr>
          <w:i/>
          <w:iCs/>
        </w:rPr>
        <w:t>Critical</w:t>
      </w:r>
      <w:r w:rsidRPr="008739FD">
        <w:t xml:space="preserve"> </w:t>
      </w:r>
      <w:r w:rsidR="00B9079D">
        <w:t xml:space="preserve">NHCDC </w:t>
      </w:r>
      <w:r w:rsidR="00B9079D" w:rsidRPr="008739FD">
        <w:t xml:space="preserve">Cost Centre Group </w:t>
      </w:r>
      <w:r w:rsidRPr="008739FD">
        <w:t>than the state average.</w:t>
      </w:r>
    </w:p>
    <w:p w14:paraId="47A7ECB1" w14:textId="2B6A7B5D" w:rsidR="00594AE8" w:rsidRDefault="008739FD" w:rsidP="006044E0">
      <w:pPr>
        <w:pStyle w:val="ListParagraph"/>
        <w:numPr>
          <w:ilvl w:val="0"/>
          <w:numId w:val="18"/>
        </w:numPr>
      </w:pPr>
      <w:r w:rsidRPr="008739FD">
        <w:t>University Hospital Geelong had a slightly higher proportion of nursing costs (55.3% versus 52.4%) and medical costs (26.8% versus 20.7%) than the state a</w:t>
      </w:r>
      <w:r w:rsidRPr="00FD6FDF">
        <w:t>verage.</w:t>
      </w:r>
    </w:p>
    <w:p w14:paraId="250BA2F1" w14:textId="44AF42DC" w:rsidR="00024A4A" w:rsidRPr="008739FD" w:rsidRDefault="00942E59" w:rsidP="00EC0C63">
      <w:pPr>
        <w:pStyle w:val="Caption"/>
        <w:keepNext/>
      </w:pPr>
      <w:r w:rsidRPr="00024A4A">
        <w:rPr>
          <w:noProof/>
        </w:rPr>
        <w:drawing>
          <wp:anchor distT="0" distB="0" distL="114300" distR="114300" simplePos="0" relativeHeight="251658323" behindDoc="0" locked="0" layoutInCell="1" allowOverlap="1" wp14:anchorId="3BE282B2" wp14:editId="3AB5236A">
            <wp:simplePos x="0" y="0"/>
            <wp:positionH relativeFrom="margin">
              <wp:align>center</wp:align>
            </wp:positionH>
            <wp:positionV relativeFrom="paragraph">
              <wp:posOffset>215900</wp:posOffset>
            </wp:positionV>
            <wp:extent cx="6300000" cy="3063388"/>
            <wp:effectExtent l="0" t="0" r="5715" b="3810"/>
            <wp:wrapTopAndBottom/>
            <wp:docPr id="700916449" name="Picture 1" descr="P18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16449" name="Picture 1" descr="P1870#y1"/>
                    <pic:cNvPicPr/>
                  </pic:nvPicPr>
                  <pic:blipFill>
                    <a:blip r:embed="rId71">
                      <a:extLst>
                        <a:ext uri="{28A0092B-C50C-407E-A947-70E740481C1C}">
                          <a14:useLocalDpi xmlns:a14="http://schemas.microsoft.com/office/drawing/2010/main" val="0"/>
                        </a:ext>
                      </a:extLst>
                    </a:blip>
                    <a:stretch>
                      <a:fillRect/>
                    </a:stretch>
                  </pic:blipFill>
                  <pic:spPr>
                    <a:xfrm>
                      <a:off x="0" y="0"/>
                      <a:ext cx="6300000" cy="3063388"/>
                    </a:xfrm>
                    <a:prstGeom prst="rect">
                      <a:avLst/>
                    </a:prstGeom>
                  </pic:spPr>
                </pic:pic>
              </a:graphicData>
            </a:graphic>
            <wp14:sizeRelH relativeFrom="margin">
              <wp14:pctWidth>0</wp14:pctWidth>
            </wp14:sizeRelH>
            <wp14:sizeRelV relativeFrom="margin">
              <wp14:pctHeight>0</wp14:pctHeight>
            </wp14:sizeRelV>
          </wp:anchor>
        </w:drawing>
      </w:r>
      <w:r w:rsidR="00024A4A">
        <w:t xml:space="preserve">Figure </w:t>
      </w:r>
      <w:r w:rsidR="00BD5B5E">
        <w:fldChar w:fldCharType="begin"/>
      </w:r>
      <w:r w:rsidR="00BD5B5E">
        <w:instrText xml:space="preserve"> SEQ Figure \* ARABIC </w:instrText>
      </w:r>
      <w:r w:rsidR="00BD5B5E">
        <w:fldChar w:fldCharType="separate"/>
      </w:r>
      <w:r w:rsidR="00CE6F96">
        <w:rPr>
          <w:noProof/>
        </w:rPr>
        <w:t>21</w:t>
      </w:r>
      <w:r w:rsidR="00BD5B5E">
        <w:fldChar w:fldCharType="end"/>
      </w:r>
      <w:r w:rsidR="00024A4A">
        <w:t>: Total Critical Costs at NHCDC line</w:t>
      </w:r>
      <w:r w:rsidR="00491993">
        <w:t xml:space="preserve"> </w:t>
      </w:r>
      <w:r w:rsidR="00024A4A">
        <w:t>item level</w:t>
      </w:r>
      <w:r w:rsidR="007C7AF8">
        <w:t xml:space="preserve"> - Victoria</w:t>
      </w:r>
    </w:p>
    <w:p w14:paraId="3806880C" w14:textId="77ABD244" w:rsidR="008739FD" w:rsidRDefault="008739FD" w:rsidP="008739FD"/>
    <w:p w14:paraId="0366FE92" w14:textId="77777777" w:rsidR="004E5C07" w:rsidRDefault="004E5C07" w:rsidP="004E5C07">
      <w:r>
        <w:rPr>
          <w:noProof/>
        </w:rPr>
        <w:lastRenderedPageBreak/>
        <mc:AlternateContent>
          <mc:Choice Requires="wps">
            <w:drawing>
              <wp:inline distT="0" distB="0" distL="0" distR="0" wp14:anchorId="24C7EAF9" wp14:editId="13C2E17F">
                <wp:extent cx="5715000" cy="4984694"/>
                <wp:effectExtent l="0" t="0" r="0" b="6985"/>
                <wp:docPr id="891679417" name="Text Box 2" descr="P1872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84694"/>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755DC144" w14:textId="77777777" w:rsidR="004E5C07" w:rsidRPr="001729F2" w:rsidRDefault="004E5C07" w:rsidP="004E5C07">
                            <w:pPr>
                              <w:pStyle w:val="Tablebulletpoint"/>
                              <w:numPr>
                                <w:ilvl w:val="0"/>
                                <w:numId w:val="0"/>
                              </w:numPr>
                              <w:spacing w:after="120"/>
                              <w:contextualSpacing w:val="0"/>
                              <w:rPr>
                                <w:color w:val="FFFFFF" w:themeColor="background1"/>
                              </w:rPr>
                            </w:pPr>
                            <w:r w:rsidRPr="001729F2">
                              <w:rPr>
                                <w:b/>
                                <w:bCs/>
                                <w:color w:val="FFFFFF" w:themeColor="background1"/>
                              </w:rPr>
                              <w:t>Critical Care Comparability cost insight</w:t>
                            </w:r>
                            <w:r w:rsidRPr="001729F2">
                              <w:rPr>
                                <w:rFonts w:eastAsiaTheme="minorEastAsia" w:cstheme="minorBidi"/>
                                <w:b/>
                                <w:color w:val="FFFFFF" w:themeColor="background1"/>
                              </w:rPr>
                              <w:t>s</w:t>
                            </w:r>
                          </w:p>
                          <w:p w14:paraId="28CC54CD" w14:textId="12097353" w:rsidR="004E5C07" w:rsidRPr="000515F3" w:rsidRDefault="004E5C07" w:rsidP="004E5C07">
                            <w:pPr>
                              <w:pStyle w:val="Tablebulletpoint"/>
                              <w:rPr>
                                <w:color w:val="FFFFFF" w:themeColor="background1"/>
                              </w:rPr>
                            </w:pPr>
                            <w:r w:rsidRPr="001729F2">
                              <w:rPr>
                                <w:color w:val="FFFFFF" w:themeColor="background1"/>
                              </w:rPr>
                              <w:t xml:space="preserve">Both </w:t>
                            </w:r>
                            <w:r w:rsidR="00B3025F">
                              <w:rPr>
                                <w:color w:val="FFFFFF" w:themeColor="background1"/>
                              </w:rPr>
                              <w:t>Victoria</w:t>
                            </w:r>
                            <w:r w:rsidR="00CB2363">
                              <w:rPr>
                                <w:color w:val="FFFFFF" w:themeColor="background1"/>
                              </w:rPr>
                              <w:t>n</w:t>
                            </w:r>
                            <w:r w:rsidR="00B3025F" w:rsidRPr="001729F2">
                              <w:rPr>
                                <w:color w:val="FFFFFF" w:themeColor="background1"/>
                              </w:rPr>
                              <w:t xml:space="preserve"> </w:t>
                            </w:r>
                            <w:r w:rsidRPr="001729F2">
                              <w:rPr>
                                <w:color w:val="FFFFFF" w:themeColor="background1"/>
                              </w:rPr>
                              <w:t>sites rely on RVUs to allocate ICU costs. The RVU for nursing costs is a standard weighting for all patients based on ICU hours. Both sites were able to allocate specific costs for ECMO</w:t>
                            </w:r>
                            <w:r w:rsidR="008D45DF">
                              <w:rPr>
                                <w:color w:val="FFFFFF" w:themeColor="background1"/>
                              </w:rPr>
                              <w:t xml:space="preserve"> services and retrieval</w:t>
                            </w:r>
                            <w:r w:rsidRPr="001729F2">
                              <w:rPr>
                                <w:color w:val="FFFFFF" w:themeColor="background1"/>
                              </w:rPr>
                              <w:t xml:space="preserve">, specialised burns (Alfred only) to only patients </w:t>
                            </w:r>
                            <w:r w:rsidRPr="000515F3">
                              <w:rPr>
                                <w:color w:val="FFFFFF" w:themeColor="background1"/>
                              </w:rPr>
                              <w:t>receiving these services.</w:t>
                            </w:r>
                          </w:p>
                          <w:p w14:paraId="3ECD517B" w14:textId="1591A081" w:rsidR="000515F3" w:rsidRPr="000515F3" w:rsidRDefault="004E5C07" w:rsidP="000515F3">
                            <w:pPr>
                              <w:pStyle w:val="Tablebulletpoint"/>
                              <w:rPr>
                                <w:color w:val="FFFFFF" w:themeColor="background1"/>
                              </w:rPr>
                            </w:pPr>
                            <w:r w:rsidRPr="00FC499C">
                              <w:rPr>
                                <w:color w:val="FFFFFF" w:themeColor="background1"/>
                              </w:rPr>
                              <w:t xml:space="preserve">Both sites had dedicated allied health support but these costs were allocated to the </w:t>
                            </w:r>
                            <w:r w:rsidR="00B3025F" w:rsidRPr="00FC499C">
                              <w:rPr>
                                <w:i/>
                                <w:color w:val="FFFFFF" w:themeColor="background1"/>
                              </w:rPr>
                              <w:t>A</w:t>
                            </w:r>
                            <w:r w:rsidRPr="00FC499C">
                              <w:rPr>
                                <w:i/>
                                <w:color w:val="FFFFFF" w:themeColor="background1"/>
                              </w:rPr>
                              <w:t>llied</w:t>
                            </w:r>
                            <w:r w:rsidRPr="00FC499C">
                              <w:rPr>
                                <w:color w:val="FFFFFF" w:themeColor="background1"/>
                              </w:rPr>
                              <w:t xml:space="preserve"> </w:t>
                            </w:r>
                            <w:r w:rsidR="000515F3" w:rsidRPr="00AD1F32">
                              <w:rPr>
                                <w:color w:val="FFFFFF" w:themeColor="background1"/>
                              </w:rPr>
                              <w:t>NHCDC Cost Centre Group</w:t>
                            </w:r>
                            <w:r w:rsidRPr="00FC499C">
                              <w:rPr>
                                <w:color w:val="FFFFFF" w:themeColor="background1"/>
                              </w:rPr>
                              <w:t xml:space="preserve">, not </w:t>
                            </w:r>
                            <w:r w:rsidR="00B3025F" w:rsidRPr="00FC499C">
                              <w:rPr>
                                <w:i/>
                                <w:color w:val="FFFFFF" w:themeColor="background1"/>
                              </w:rPr>
                              <w:t>C</w:t>
                            </w:r>
                            <w:r w:rsidRPr="00FC499C">
                              <w:rPr>
                                <w:i/>
                                <w:color w:val="FFFFFF" w:themeColor="background1"/>
                              </w:rPr>
                              <w:t>ritical</w:t>
                            </w:r>
                            <w:r w:rsidR="00B071F2">
                              <w:rPr>
                                <w:color w:val="FFFFFF" w:themeColor="background1"/>
                              </w:rPr>
                              <w:t>. Victoria’s approach is</w:t>
                            </w:r>
                            <w:r w:rsidR="000515F3" w:rsidRPr="000515F3">
                              <w:rPr>
                                <w:color w:val="FFFFFF" w:themeColor="background1"/>
                              </w:rPr>
                              <w:t xml:space="preserve"> consistent </w:t>
                            </w:r>
                            <w:r w:rsidR="00B071F2">
                              <w:rPr>
                                <w:color w:val="FFFFFF" w:themeColor="background1"/>
                              </w:rPr>
                              <w:t xml:space="preserve">with other </w:t>
                            </w:r>
                            <w:r w:rsidR="000515F3" w:rsidRPr="000515F3">
                              <w:rPr>
                                <w:color w:val="FFFFFF" w:themeColor="background1"/>
                              </w:rPr>
                              <w:t>jurisdictions.</w:t>
                            </w:r>
                          </w:p>
                          <w:p w14:paraId="7D2AEDD7" w14:textId="14AD257F" w:rsidR="004E5C07" w:rsidRPr="000515F3" w:rsidRDefault="004E5C07" w:rsidP="00890FD6">
                            <w:pPr>
                              <w:pStyle w:val="Tablebulletpoint"/>
                              <w:rPr>
                                <w:color w:val="FFFFFF" w:themeColor="background1"/>
                              </w:rPr>
                            </w:pPr>
                            <w:r w:rsidRPr="000515F3">
                              <w:rPr>
                                <w:color w:val="FFFFFF" w:themeColor="background1"/>
                              </w:rPr>
                              <w:t xml:space="preserve">At both sites, patients remain under the care of their admitted specialty doctor and may have higher Medical </w:t>
                            </w:r>
                            <w:r w:rsidRPr="00AD1F32">
                              <w:rPr>
                                <w:i/>
                                <w:iCs/>
                                <w:color w:val="FFFFFF" w:themeColor="background1"/>
                              </w:rPr>
                              <w:t>S&amp;W</w:t>
                            </w:r>
                            <w:r w:rsidRPr="000515F3">
                              <w:rPr>
                                <w:color w:val="FFFFFF" w:themeColor="background1"/>
                              </w:rPr>
                              <w:t xml:space="preserve"> expenses as a result of this, due to receiving both allocations of intensivist and admitting specialty doctor costs for the duration of their ICU stay.</w:t>
                            </w:r>
                          </w:p>
                          <w:p w14:paraId="72F33DAC" w14:textId="5C14895A" w:rsidR="004E5C07" w:rsidRPr="001729F2" w:rsidRDefault="004E5C07" w:rsidP="004E5C07">
                            <w:pPr>
                              <w:pStyle w:val="Tablebulletpoint"/>
                              <w:rPr>
                                <w:color w:val="FFFFFF" w:themeColor="background1"/>
                              </w:rPr>
                            </w:pPr>
                            <w:r w:rsidRPr="001729F2">
                              <w:rPr>
                                <w:color w:val="FFFFFF" w:themeColor="background1"/>
                              </w:rPr>
                              <w:t xml:space="preserve">CCU </w:t>
                            </w:r>
                            <w:r w:rsidR="00B3025F">
                              <w:rPr>
                                <w:color w:val="FFFFFF" w:themeColor="background1"/>
                              </w:rPr>
                              <w:t>c</w:t>
                            </w:r>
                            <w:r w:rsidRPr="001729F2">
                              <w:rPr>
                                <w:color w:val="FFFFFF" w:themeColor="background1"/>
                              </w:rPr>
                              <w:t xml:space="preserve">osts at University Hospital Geelong are in a shared GL cost centre with Cardiology and Cardiothoracic and the portion that ends up the </w:t>
                            </w:r>
                            <w:r w:rsidRPr="00CB2363">
                              <w:rPr>
                                <w:i/>
                                <w:iCs/>
                                <w:color w:val="FFFFFF" w:themeColor="background1"/>
                              </w:rPr>
                              <w:t>Critical</w:t>
                            </w:r>
                            <w:r w:rsidRPr="001729F2">
                              <w:rPr>
                                <w:color w:val="FFFFFF" w:themeColor="background1"/>
                              </w:rPr>
                              <w:t xml:space="preserve"> </w:t>
                            </w:r>
                            <w:r w:rsidR="00B3025F">
                              <w:rPr>
                                <w:color w:val="FFFFFF" w:themeColor="background1"/>
                              </w:rPr>
                              <w:t xml:space="preserve">NHCDC </w:t>
                            </w:r>
                            <w:r w:rsidRPr="001729F2">
                              <w:rPr>
                                <w:color w:val="FFFFFF" w:themeColor="background1"/>
                              </w:rPr>
                              <w:t xml:space="preserve">Cost Centre Group may be understated, as medical costs are mapped to the </w:t>
                            </w:r>
                            <w:r w:rsidRPr="00CB2363">
                              <w:rPr>
                                <w:i/>
                                <w:iCs/>
                                <w:color w:val="FFFFFF" w:themeColor="background1"/>
                              </w:rPr>
                              <w:t>Clinical</w:t>
                            </w:r>
                            <w:r w:rsidRPr="001729F2">
                              <w:rPr>
                                <w:color w:val="FFFFFF" w:themeColor="background1"/>
                              </w:rPr>
                              <w:t xml:space="preserve"> </w:t>
                            </w:r>
                            <w:r w:rsidR="0031736E">
                              <w:rPr>
                                <w:color w:val="FFFFFF" w:themeColor="background1"/>
                              </w:rPr>
                              <w:t xml:space="preserve">NHCDC </w:t>
                            </w:r>
                            <w:r w:rsidRPr="001729F2">
                              <w:rPr>
                                <w:color w:val="FFFFFF" w:themeColor="background1"/>
                              </w:rPr>
                              <w:t>Cost Centre Group instead.</w:t>
                            </w:r>
                          </w:p>
                          <w:p w14:paraId="5C424097" w14:textId="34FCDA58" w:rsidR="00C47FC4" w:rsidRPr="001729F2" w:rsidRDefault="004E5C07" w:rsidP="006E1AAA">
                            <w:pPr>
                              <w:pStyle w:val="Tablebulletpoint"/>
                              <w:rPr>
                                <w:color w:val="FFFFFF" w:themeColor="background1"/>
                              </w:rPr>
                            </w:pPr>
                            <w:r w:rsidRPr="00C47FC4">
                              <w:rPr>
                                <w:color w:val="FFFFFF" w:themeColor="background1"/>
                              </w:rPr>
                              <w:t>Pharmacy, pathology</w:t>
                            </w:r>
                            <w:r w:rsidR="00353739" w:rsidRPr="00C47FC4">
                              <w:rPr>
                                <w:color w:val="FFFFFF" w:themeColor="background1"/>
                              </w:rPr>
                              <w:t>,</w:t>
                            </w:r>
                            <w:r w:rsidRPr="00C47FC4">
                              <w:rPr>
                                <w:color w:val="FFFFFF" w:themeColor="background1"/>
                              </w:rPr>
                              <w:t xml:space="preserve"> and imaging costs are sitting in the </w:t>
                            </w:r>
                            <w:r w:rsidR="00633805" w:rsidRPr="00AD1F32">
                              <w:rPr>
                                <w:i/>
                                <w:iCs/>
                                <w:color w:val="FFFFFF" w:themeColor="background1"/>
                              </w:rPr>
                              <w:t>P</w:t>
                            </w:r>
                            <w:r w:rsidRPr="00AD1F32">
                              <w:rPr>
                                <w:i/>
                                <w:iCs/>
                                <w:color w:val="FFFFFF" w:themeColor="background1"/>
                              </w:rPr>
                              <w:t xml:space="preserve">harmacy, </w:t>
                            </w:r>
                            <w:r w:rsidR="00633805" w:rsidRPr="00AD1F32">
                              <w:rPr>
                                <w:i/>
                                <w:iCs/>
                                <w:color w:val="FFFFFF" w:themeColor="background1"/>
                              </w:rPr>
                              <w:t>P</w:t>
                            </w:r>
                            <w:r w:rsidRPr="00AD1F32">
                              <w:rPr>
                                <w:i/>
                                <w:iCs/>
                                <w:color w:val="FFFFFF" w:themeColor="background1"/>
                              </w:rPr>
                              <w:t>athology</w:t>
                            </w:r>
                            <w:r w:rsidR="00353739" w:rsidRPr="00AD1F32">
                              <w:rPr>
                                <w:i/>
                                <w:iCs/>
                                <w:color w:val="FFFFFF" w:themeColor="background1"/>
                              </w:rPr>
                              <w:t>,</w:t>
                            </w:r>
                            <w:r w:rsidRPr="00C47FC4">
                              <w:rPr>
                                <w:color w:val="FFFFFF" w:themeColor="background1"/>
                              </w:rPr>
                              <w:t xml:space="preserve"> and </w:t>
                            </w:r>
                            <w:r w:rsidR="00633805" w:rsidRPr="00AD1F32">
                              <w:rPr>
                                <w:i/>
                                <w:iCs/>
                                <w:color w:val="FFFFFF" w:themeColor="background1"/>
                              </w:rPr>
                              <w:t>I</w:t>
                            </w:r>
                            <w:r w:rsidRPr="00AD1F32">
                              <w:rPr>
                                <w:i/>
                                <w:iCs/>
                                <w:color w:val="FFFFFF" w:themeColor="background1"/>
                              </w:rPr>
                              <w:t>maging</w:t>
                            </w:r>
                            <w:r w:rsidR="00633805" w:rsidRPr="00C47FC4">
                              <w:rPr>
                                <w:color w:val="FFFFFF" w:themeColor="background1"/>
                              </w:rPr>
                              <w:t xml:space="preserve"> NHCDC Cost Centre Groups </w:t>
                            </w:r>
                            <w:r w:rsidRPr="00C47FC4">
                              <w:rPr>
                                <w:color w:val="FFFFFF" w:themeColor="background1"/>
                              </w:rPr>
                              <w:t xml:space="preserve">respectively, not </w:t>
                            </w:r>
                            <w:r w:rsidR="0031736E" w:rsidRPr="00C47FC4">
                              <w:rPr>
                                <w:i/>
                                <w:iCs/>
                                <w:color w:val="FFFFFF" w:themeColor="background1"/>
                              </w:rPr>
                              <w:t>C</w:t>
                            </w:r>
                            <w:r w:rsidRPr="00C47FC4">
                              <w:rPr>
                                <w:i/>
                                <w:iCs/>
                                <w:color w:val="FFFFFF" w:themeColor="background1"/>
                              </w:rPr>
                              <w:t>ritical</w:t>
                            </w:r>
                            <w:r w:rsidRPr="00C47FC4">
                              <w:rPr>
                                <w:color w:val="FFFFFF" w:themeColor="background1"/>
                              </w:rPr>
                              <w:t xml:space="preserve">. </w:t>
                            </w:r>
                            <w:r w:rsidR="00BA1E60">
                              <w:rPr>
                                <w:color w:val="FFFFFF" w:themeColor="background1"/>
                              </w:rPr>
                              <w:t>This approach is consistent with other jurisdictions.</w:t>
                            </w:r>
                          </w:p>
                          <w:p w14:paraId="12CA377F" w14:textId="1BA72262" w:rsidR="004E5C07" w:rsidRPr="00C47FC4" w:rsidRDefault="004E5C07" w:rsidP="006E1AAA">
                            <w:pPr>
                              <w:pStyle w:val="Tablebulletpoint"/>
                              <w:rPr>
                                <w:color w:val="FFFFFF" w:themeColor="background1"/>
                              </w:rPr>
                            </w:pPr>
                            <w:r w:rsidRPr="00C47FC4">
                              <w:rPr>
                                <w:color w:val="FFFFFF" w:themeColor="background1"/>
                              </w:rPr>
                              <w:t xml:space="preserve">ICU staff perform activities outside of the ICU unit or not delivering care to ICU patients. These costs are spread to ICU patients, potentially overstating their </w:t>
                            </w:r>
                            <w:r w:rsidR="0031736E" w:rsidRPr="00C47FC4">
                              <w:rPr>
                                <w:color w:val="FFFFFF" w:themeColor="background1"/>
                              </w:rPr>
                              <w:t>M</w:t>
                            </w:r>
                            <w:r w:rsidRPr="00C47FC4">
                              <w:rPr>
                                <w:color w:val="FFFFFF" w:themeColor="background1"/>
                              </w:rPr>
                              <w:t>edical</w:t>
                            </w:r>
                            <w:r w:rsidR="00F732D1" w:rsidRPr="00C47FC4">
                              <w:rPr>
                                <w:color w:val="FFFFFF" w:themeColor="background1"/>
                              </w:rPr>
                              <w:t xml:space="preserve"> </w:t>
                            </w:r>
                            <w:r w:rsidRPr="00C47FC4">
                              <w:rPr>
                                <w:color w:val="FFFFFF" w:themeColor="background1"/>
                              </w:rPr>
                              <w:t>/</w:t>
                            </w:r>
                            <w:r w:rsidR="00F732D1" w:rsidRPr="00C47FC4">
                              <w:rPr>
                                <w:color w:val="FFFFFF" w:themeColor="background1"/>
                              </w:rPr>
                              <w:t xml:space="preserve"> </w:t>
                            </w:r>
                            <w:r w:rsidR="0031736E" w:rsidRPr="00C47FC4">
                              <w:rPr>
                                <w:color w:val="FFFFFF" w:themeColor="background1"/>
                              </w:rPr>
                              <w:t>N</w:t>
                            </w:r>
                            <w:r w:rsidRPr="00C47FC4">
                              <w:rPr>
                                <w:color w:val="FFFFFF" w:themeColor="background1"/>
                              </w:rPr>
                              <w:t xml:space="preserve">ursing </w:t>
                            </w:r>
                            <w:r w:rsidRPr="00C47FC4">
                              <w:rPr>
                                <w:i/>
                                <w:iCs/>
                                <w:color w:val="FFFFFF" w:themeColor="background1"/>
                              </w:rPr>
                              <w:t xml:space="preserve">S&amp;W </w:t>
                            </w:r>
                            <w:r w:rsidRPr="00C47FC4">
                              <w:rPr>
                                <w:color w:val="FFFFFF" w:themeColor="background1"/>
                              </w:rPr>
                              <w:t>costs. Activities include:</w:t>
                            </w:r>
                          </w:p>
                          <w:p w14:paraId="72BFBEDA" w14:textId="435ADB9E" w:rsidR="004E5C07" w:rsidRPr="001729F2" w:rsidRDefault="004E5C07" w:rsidP="006044E0">
                            <w:pPr>
                              <w:pStyle w:val="Tablebulletpoint"/>
                              <w:numPr>
                                <w:ilvl w:val="1"/>
                                <w:numId w:val="21"/>
                              </w:numPr>
                              <w:rPr>
                                <w:color w:val="FFFFFF" w:themeColor="background1"/>
                              </w:rPr>
                            </w:pPr>
                            <w:r w:rsidRPr="001729F2">
                              <w:rPr>
                                <w:color w:val="FFFFFF" w:themeColor="background1"/>
                              </w:rPr>
                              <w:t>ECMO retrieval services, organ retrieval services, hyperbaric chamber services, MET calls at the Alfred.</w:t>
                            </w:r>
                          </w:p>
                          <w:p w14:paraId="4109A87B" w14:textId="77777777" w:rsidR="004E5C07" w:rsidRPr="001729F2" w:rsidRDefault="004E5C07" w:rsidP="006044E0">
                            <w:pPr>
                              <w:pStyle w:val="Tablebulletpoint"/>
                              <w:numPr>
                                <w:ilvl w:val="1"/>
                                <w:numId w:val="21"/>
                              </w:numPr>
                              <w:rPr>
                                <w:color w:val="FFFFFF" w:themeColor="background1"/>
                              </w:rPr>
                            </w:pPr>
                            <w:r w:rsidRPr="001729F2">
                              <w:rPr>
                                <w:color w:val="FFFFFF" w:themeColor="background1"/>
                              </w:rPr>
                              <w:t>MET calls, PICC Lines services, TPN inpatient services at University Hospital Geelong.</w:t>
                            </w:r>
                          </w:p>
                        </w:txbxContent>
                      </wps:txbx>
                      <wps:bodyPr rot="0" vert="horz" wrap="square" lIns="180000" tIns="180000" rIns="180000" bIns="180000" anchor="t" anchorCtr="0">
                        <a:noAutofit/>
                      </wps:bodyPr>
                    </wps:wsp>
                  </a:graphicData>
                </a:graphic>
              </wp:inline>
            </w:drawing>
          </mc:Choice>
          <mc:Fallback>
            <w:pict>
              <v:shape w14:anchorId="24C7EAF9" id="_x0000_s1172" type="#_x0000_t202" alt="P1872TB6#y1" style="width:450pt;height: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" fillcolor="#343a5e [2405]" stroked="f" strokeweight="1pt">
                <v:textbox inset="5mm,5mm,5mm,5mm">
                  <w:txbxContent>
                    <w:p w14:paraId="755DC144" w14:textId="77777777" w:rsidR="004E5C07" w:rsidRPr="001729F2" w:rsidRDefault="004E5C07" w:rsidP="004E5C07">
                      <w:pPr>
                        <w:pStyle w:val="Tablebulletpoint"/>
                        <w:numPr>
                          <w:ilvl w:val="0"/>
                          <w:numId w:val="0"/>
                        </w:numPr>
                        <w:spacing w:after="120"/>
                        <w:contextualSpacing w:val="0"/>
                        <w:rPr>
                          <w:color w:val="FFFFFF" w:themeColor="background1"/>
                        </w:rPr>
                      </w:pPr>
                      <w:r w:rsidRPr="001729F2">
                        <w:rPr>
                          <w:b/>
                          <w:bCs/>
                          <w:color w:val="FFFFFF" w:themeColor="background1"/>
                        </w:rPr>
                        <w:t>Critical Care Comparability cost insight</w:t>
                      </w:r>
                      <w:r w:rsidRPr="001729F2">
                        <w:rPr>
                          <w:rFonts w:eastAsiaTheme="minorEastAsia" w:cstheme="minorBidi"/>
                          <w:b/>
                          <w:color w:val="FFFFFF" w:themeColor="background1"/>
                        </w:rPr>
                        <w:t>s</w:t>
                      </w:r>
                    </w:p>
                    <w:p w14:paraId="28CC54CD" w14:textId="12097353" w:rsidR="004E5C07" w:rsidRPr="000515F3" w:rsidRDefault="004E5C07" w:rsidP="004E5C07">
                      <w:pPr>
                        <w:pStyle w:val="Tablebulletpoint"/>
                        <w:rPr>
                          <w:color w:val="FFFFFF" w:themeColor="background1"/>
                        </w:rPr>
                      </w:pPr>
                      <w:r w:rsidRPr="001729F2">
                        <w:rPr>
                          <w:color w:val="FFFFFF" w:themeColor="background1"/>
                        </w:rPr>
                        <w:t xml:space="preserve">Both </w:t>
                      </w:r>
                      <w:r w:rsidR="00B3025F">
                        <w:rPr>
                          <w:color w:val="FFFFFF" w:themeColor="background1"/>
                        </w:rPr>
                        <w:t>Victoria</w:t>
                      </w:r>
                      <w:r w:rsidR="00CB2363">
                        <w:rPr>
                          <w:color w:val="FFFFFF" w:themeColor="background1"/>
                        </w:rPr>
                        <w:t>n</w:t>
                      </w:r>
                      <w:r w:rsidR="00B3025F" w:rsidRPr="001729F2">
                        <w:rPr>
                          <w:color w:val="FFFFFF" w:themeColor="background1"/>
                        </w:rPr>
                        <w:t xml:space="preserve"> </w:t>
                      </w:r>
                      <w:r w:rsidRPr="001729F2">
                        <w:rPr>
                          <w:color w:val="FFFFFF" w:themeColor="background1"/>
                        </w:rPr>
                        <w:t>sites rely on RVUs to allocate ICU costs. The RVU for nursing costs is a standard weighting for all patients based on ICU hours. Both sites were able to allocate specific costs for ECMO</w:t>
                      </w:r>
                      <w:r w:rsidR="008D45DF">
                        <w:rPr>
                          <w:color w:val="FFFFFF" w:themeColor="background1"/>
                        </w:rPr>
                        <w:t xml:space="preserve"> services and retrieval</w:t>
                      </w:r>
                      <w:r w:rsidRPr="001729F2">
                        <w:rPr>
                          <w:color w:val="FFFFFF" w:themeColor="background1"/>
                        </w:rPr>
                        <w:t xml:space="preserve">, specialised burns (Alfred only) to only patients </w:t>
                      </w:r>
                      <w:r w:rsidRPr="000515F3">
                        <w:rPr>
                          <w:color w:val="FFFFFF" w:themeColor="background1"/>
                        </w:rPr>
                        <w:t>receiving these services.</w:t>
                      </w:r>
                    </w:p>
                    <w:p w14:paraId="3ECD517B" w14:textId="1591A081" w:rsidR="000515F3" w:rsidRPr="000515F3" w:rsidRDefault="004E5C07" w:rsidP="000515F3">
                      <w:pPr>
                        <w:pStyle w:val="Tablebulletpoint"/>
                        <w:rPr>
                          <w:color w:val="FFFFFF" w:themeColor="background1"/>
                        </w:rPr>
                      </w:pPr>
                      <w:r w:rsidRPr="00FC499C">
                        <w:rPr>
                          <w:color w:val="FFFFFF" w:themeColor="background1"/>
                        </w:rPr>
                        <w:t xml:space="preserve">Both sites had dedicated allied health support but these costs were allocated to the </w:t>
                      </w:r>
                      <w:r w:rsidR="00B3025F" w:rsidRPr="00FC499C">
                        <w:rPr>
                          <w:i/>
                          <w:color w:val="FFFFFF" w:themeColor="background1"/>
                        </w:rPr>
                        <w:t>A</w:t>
                      </w:r>
                      <w:r w:rsidRPr="00FC499C">
                        <w:rPr>
                          <w:i/>
                          <w:color w:val="FFFFFF" w:themeColor="background1"/>
                        </w:rPr>
                        <w:t>llied</w:t>
                      </w:r>
                      <w:r w:rsidRPr="00FC499C">
                        <w:rPr>
                          <w:color w:val="FFFFFF" w:themeColor="background1"/>
                        </w:rPr>
                        <w:t xml:space="preserve"> </w:t>
                      </w:r>
                      <w:r w:rsidR="000515F3" w:rsidRPr="00AD1F32">
                        <w:rPr>
                          <w:color w:val="FFFFFF" w:themeColor="background1"/>
                        </w:rPr>
                        <w:t>NHCDC Cost Centre Group</w:t>
                      </w:r>
                      <w:r w:rsidRPr="00FC499C">
                        <w:rPr>
                          <w:color w:val="FFFFFF" w:themeColor="background1"/>
                        </w:rPr>
                        <w:t xml:space="preserve">, not </w:t>
                      </w:r>
                      <w:r w:rsidR="00B3025F" w:rsidRPr="00FC499C">
                        <w:rPr>
                          <w:i/>
                          <w:color w:val="FFFFFF" w:themeColor="background1"/>
                        </w:rPr>
                        <w:t>C</w:t>
                      </w:r>
                      <w:r w:rsidRPr="00FC499C">
                        <w:rPr>
                          <w:i/>
                          <w:color w:val="FFFFFF" w:themeColor="background1"/>
                        </w:rPr>
                        <w:t>ritical</w:t>
                      </w:r>
                      <w:r w:rsidR="00B071F2">
                        <w:rPr>
                          <w:color w:val="FFFFFF" w:themeColor="background1"/>
                        </w:rPr>
                        <w:t>. Victoria’s approach is</w:t>
                      </w:r>
                      <w:r w:rsidR="000515F3" w:rsidRPr="000515F3">
                        <w:rPr>
                          <w:color w:val="FFFFFF" w:themeColor="background1"/>
                        </w:rPr>
                        <w:t xml:space="preserve"> consistent </w:t>
                      </w:r>
                      <w:r w:rsidR="00B071F2">
                        <w:rPr>
                          <w:color w:val="FFFFFF" w:themeColor="background1"/>
                        </w:rPr>
                        <w:t xml:space="preserve">with other </w:t>
                      </w:r>
                      <w:r w:rsidR="000515F3" w:rsidRPr="000515F3">
                        <w:rPr>
                          <w:color w:val="FFFFFF" w:themeColor="background1"/>
                        </w:rPr>
                        <w:t>jurisdictions.</w:t>
                      </w:r>
                    </w:p>
                    <w:p w14:paraId="7D2AEDD7" w14:textId="14AD257F" w:rsidR="004E5C07" w:rsidRPr="000515F3" w:rsidRDefault="004E5C07" w:rsidP="00890FD6">
                      <w:pPr>
                        <w:pStyle w:val="Tablebulletpoint"/>
                        <w:rPr>
                          <w:color w:val="FFFFFF" w:themeColor="background1"/>
                        </w:rPr>
                      </w:pPr>
                      <w:r w:rsidRPr="000515F3">
                        <w:rPr>
                          <w:color w:val="FFFFFF" w:themeColor="background1"/>
                        </w:rPr>
                        <w:t xml:space="preserve">At both sites, patients remain under the care of their admitted specialty doctor and may have higher Medical </w:t>
                      </w:r>
                      <w:r w:rsidRPr="00AD1F32">
                        <w:rPr>
                          <w:i/>
                          <w:iCs/>
                          <w:color w:val="FFFFFF" w:themeColor="background1"/>
                        </w:rPr>
                        <w:t>S&amp;W</w:t>
                      </w:r>
                      <w:r w:rsidRPr="000515F3">
                        <w:rPr>
                          <w:color w:val="FFFFFF" w:themeColor="background1"/>
                        </w:rPr>
                        <w:t xml:space="preserve"> expenses as a result of this, due to receiving both allocations of intensivist and admitting specialty doctor costs for the duration of their ICU stay.</w:t>
                      </w:r>
                    </w:p>
                    <w:p w14:paraId="72F33DAC" w14:textId="5C14895A" w:rsidR="004E5C07" w:rsidRPr="001729F2" w:rsidRDefault="004E5C07" w:rsidP="004E5C07">
                      <w:pPr>
                        <w:pStyle w:val="Tablebulletpoint"/>
                        <w:rPr>
                          <w:color w:val="FFFFFF" w:themeColor="background1"/>
                        </w:rPr>
                      </w:pPr>
                      <w:r w:rsidRPr="001729F2">
                        <w:rPr>
                          <w:color w:val="FFFFFF" w:themeColor="background1"/>
                        </w:rPr>
                        <w:t xml:space="preserve">CCU </w:t>
                      </w:r>
                      <w:r w:rsidR="00B3025F">
                        <w:rPr>
                          <w:color w:val="FFFFFF" w:themeColor="background1"/>
                        </w:rPr>
                        <w:t>c</w:t>
                      </w:r>
                      <w:r w:rsidRPr="001729F2">
                        <w:rPr>
                          <w:color w:val="FFFFFF" w:themeColor="background1"/>
                        </w:rPr>
                        <w:t xml:space="preserve">osts at University Hospital Geelong are in a shared GL cost centre with Cardiology and Cardiothoracic and the portion that ends up the </w:t>
                      </w:r>
                      <w:r w:rsidRPr="00CB2363">
                        <w:rPr>
                          <w:i/>
                          <w:iCs/>
                          <w:color w:val="FFFFFF" w:themeColor="background1"/>
                        </w:rPr>
                        <w:t>Critical</w:t>
                      </w:r>
                      <w:r w:rsidRPr="001729F2">
                        <w:rPr>
                          <w:color w:val="FFFFFF" w:themeColor="background1"/>
                        </w:rPr>
                        <w:t xml:space="preserve"> </w:t>
                      </w:r>
                      <w:r w:rsidR="00B3025F">
                        <w:rPr>
                          <w:color w:val="FFFFFF" w:themeColor="background1"/>
                        </w:rPr>
                        <w:t xml:space="preserve">NHCDC </w:t>
                      </w:r>
                      <w:r w:rsidRPr="001729F2">
                        <w:rPr>
                          <w:color w:val="FFFFFF" w:themeColor="background1"/>
                        </w:rPr>
                        <w:t xml:space="preserve">Cost Centre Group may be understated, as medical costs are mapped to the </w:t>
                      </w:r>
                      <w:r w:rsidRPr="00CB2363">
                        <w:rPr>
                          <w:i/>
                          <w:iCs/>
                          <w:color w:val="FFFFFF" w:themeColor="background1"/>
                        </w:rPr>
                        <w:t>Clinical</w:t>
                      </w:r>
                      <w:r w:rsidRPr="001729F2">
                        <w:rPr>
                          <w:color w:val="FFFFFF" w:themeColor="background1"/>
                        </w:rPr>
                        <w:t xml:space="preserve"> </w:t>
                      </w:r>
                      <w:r w:rsidR="0031736E">
                        <w:rPr>
                          <w:color w:val="FFFFFF" w:themeColor="background1"/>
                        </w:rPr>
                        <w:t xml:space="preserve">NHCDC </w:t>
                      </w:r>
                      <w:r w:rsidRPr="001729F2">
                        <w:rPr>
                          <w:color w:val="FFFFFF" w:themeColor="background1"/>
                        </w:rPr>
                        <w:t>Cost Centre Group instead.</w:t>
                      </w:r>
                    </w:p>
                    <w:p w14:paraId="5C424097" w14:textId="34FCDA58" w:rsidR="00C47FC4" w:rsidRPr="001729F2" w:rsidRDefault="004E5C07" w:rsidP="006E1AAA">
                      <w:pPr>
                        <w:pStyle w:val="Tablebulletpoint"/>
                        <w:rPr>
                          <w:color w:val="FFFFFF" w:themeColor="background1"/>
                        </w:rPr>
                      </w:pPr>
                      <w:r w:rsidRPr="00C47FC4">
                        <w:rPr>
                          <w:color w:val="FFFFFF" w:themeColor="background1"/>
                        </w:rPr>
                        <w:t>Pharmacy, pathology</w:t>
                      </w:r>
                      <w:r w:rsidR="00353739" w:rsidRPr="00C47FC4">
                        <w:rPr>
                          <w:color w:val="FFFFFF" w:themeColor="background1"/>
                        </w:rPr>
                        <w:t>,</w:t>
                      </w:r>
                      <w:r w:rsidRPr="00C47FC4">
                        <w:rPr>
                          <w:color w:val="FFFFFF" w:themeColor="background1"/>
                        </w:rPr>
                        <w:t xml:space="preserve"> and imaging costs are sitting in the </w:t>
                      </w:r>
                      <w:r w:rsidR="00633805" w:rsidRPr="00AD1F32">
                        <w:rPr>
                          <w:i/>
                          <w:iCs/>
                          <w:color w:val="FFFFFF" w:themeColor="background1"/>
                        </w:rPr>
                        <w:t>P</w:t>
                      </w:r>
                      <w:r w:rsidRPr="00AD1F32">
                        <w:rPr>
                          <w:i/>
                          <w:iCs/>
                          <w:color w:val="FFFFFF" w:themeColor="background1"/>
                        </w:rPr>
                        <w:t xml:space="preserve">harmacy, </w:t>
                      </w:r>
                      <w:r w:rsidR="00633805" w:rsidRPr="00AD1F32">
                        <w:rPr>
                          <w:i/>
                          <w:iCs/>
                          <w:color w:val="FFFFFF" w:themeColor="background1"/>
                        </w:rPr>
                        <w:t>P</w:t>
                      </w:r>
                      <w:r w:rsidRPr="00AD1F32">
                        <w:rPr>
                          <w:i/>
                          <w:iCs/>
                          <w:color w:val="FFFFFF" w:themeColor="background1"/>
                        </w:rPr>
                        <w:t>athology</w:t>
                      </w:r>
                      <w:r w:rsidR="00353739" w:rsidRPr="00AD1F32">
                        <w:rPr>
                          <w:i/>
                          <w:iCs/>
                          <w:color w:val="FFFFFF" w:themeColor="background1"/>
                        </w:rPr>
                        <w:t>,</w:t>
                      </w:r>
                      <w:r w:rsidRPr="00C47FC4">
                        <w:rPr>
                          <w:color w:val="FFFFFF" w:themeColor="background1"/>
                        </w:rPr>
                        <w:t xml:space="preserve"> and </w:t>
                      </w:r>
                      <w:r w:rsidR="00633805" w:rsidRPr="00AD1F32">
                        <w:rPr>
                          <w:i/>
                          <w:iCs/>
                          <w:color w:val="FFFFFF" w:themeColor="background1"/>
                        </w:rPr>
                        <w:t>I</w:t>
                      </w:r>
                      <w:r w:rsidRPr="00AD1F32">
                        <w:rPr>
                          <w:i/>
                          <w:iCs/>
                          <w:color w:val="FFFFFF" w:themeColor="background1"/>
                        </w:rPr>
                        <w:t>maging</w:t>
                      </w:r>
                      <w:r w:rsidR="00633805" w:rsidRPr="00C47FC4">
                        <w:rPr>
                          <w:color w:val="FFFFFF" w:themeColor="background1"/>
                        </w:rPr>
                        <w:t xml:space="preserve"> NHCDC Cost Centre Groups </w:t>
                      </w:r>
                      <w:r w:rsidRPr="00C47FC4">
                        <w:rPr>
                          <w:color w:val="FFFFFF" w:themeColor="background1"/>
                        </w:rPr>
                        <w:t xml:space="preserve">respectively, not </w:t>
                      </w:r>
                      <w:r w:rsidR="0031736E" w:rsidRPr="00C47FC4">
                        <w:rPr>
                          <w:i/>
                          <w:iCs/>
                          <w:color w:val="FFFFFF" w:themeColor="background1"/>
                        </w:rPr>
                        <w:t>C</w:t>
                      </w:r>
                      <w:r w:rsidRPr="00C47FC4">
                        <w:rPr>
                          <w:i/>
                          <w:iCs/>
                          <w:color w:val="FFFFFF" w:themeColor="background1"/>
                        </w:rPr>
                        <w:t>ritical</w:t>
                      </w:r>
                      <w:r w:rsidRPr="00C47FC4">
                        <w:rPr>
                          <w:color w:val="FFFFFF" w:themeColor="background1"/>
                        </w:rPr>
                        <w:t xml:space="preserve">. </w:t>
                      </w:r>
                      <w:r w:rsidR="00BA1E60">
                        <w:rPr>
                          <w:color w:val="FFFFFF" w:themeColor="background1"/>
                        </w:rPr>
                        <w:t>This approach is consistent with other jurisdictions.</w:t>
                      </w:r>
                    </w:p>
                    <w:p w14:paraId="12CA377F" w14:textId="1BA72262" w:rsidR="004E5C07" w:rsidRPr="00C47FC4" w:rsidRDefault="004E5C07" w:rsidP="006E1AAA">
                      <w:pPr>
                        <w:pStyle w:val="Tablebulletpoint"/>
                        <w:rPr>
                          <w:color w:val="FFFFFF" w:themeColor="background1"/>
                        </w:rPr>
                      </w:pPr>
                      <w:r w:rsidRPr="00C47FC4">
                        <w:rPr>
                          <w:color w:val="FFFFFF" w:themeColor="background1"/>
                        </w:rPr>
                        <w:t xml:space="preserve">ICU staff perform activities outside of the ICU unit or not delivering care to ICU patients. These costs are spread to ICU patients, potentially overstating their </w:t>
                      </w:r>
                      <w:r w:rsidR="0031736E" w:rsidRPr="00C47FC4">
                        <w:rPr>
                          <w:color w:val="FFFFFF" w:themeColor="background1"/>
                        </w:rPr>
                        <w:t>M</w:t>
                      </w:r>
                      <w:r w:rsidRPr="00C47FC4">
                        <w:rPr>
                          <w:color w:val="FFFFFF" w:themeColor="background1"/>
                        </w:rPr>
                        <w:t>edical</w:t>
                      </w:r>
                      <w:r w:rsidR="00F732D1" w:rsidRPr="00C47FC4">
                        <w:rPr>
                          <w:color w:val="FFFFFF" w:themeColor="background1"/>
                        </w:rPr>
                        <w:t xml:space="preserve"> </w:t>
                      </w:r>
                      <w:r w:rsidRPr="00C47FC4">
                        <w:rPr>
                          <w:color w:val="FFFFFF" w:themeColor="background1"/>
                        </w:rPr>
                        <w:t>/</w:t>
                      </w:r>
                      <w:r w:rsidR="00F732D1" w:rsidRPr="00C47FC4">
                        <w:rPr>
                          <w:color w:val="FFFFFF" w:themeColor="background1"/>
                        </w:rPr>
                        <w:t xml:space="preserve"> </w:t>
                      </w:r>
                      <w:r w:rsidR="0031736E" w:rsidRPr="00C47FC4">
                        <w:rPr>
                          <w:color w:val="FFFFFF" w:themeColor="background1"/>
                        </w:rPr>
                        <w:t>N</w:t>
                      </w:r>
                      <w:r w:rsidRPr="00C47FC4">
                        <w:rPr>
                          <w:color w:val="FFFFFF" w:themeColor="background1"/>
                        </w:rPr>
                        <w:t xml:space="preserve">ursing </w:t>
                      </w:r>
                      <w:r w:rsidRPr="00C47FC4">
                        <w:rPr>
                          <w:i/>
                          <w:iCs/>
                          <w:color w:val="FFFFFF" w:themeColor="background1"/>
                        </w:rPr>
                        <w:t xml:space="preserve">S&amp;W </w:t>
                      </w:r>
                      <w:r w:rsidRPr="00C47FC4">
                        <w:rPr>
                          <w:color w:val="FFFFFF" w:themeColor="background1"/>
                        </w:rPr>
                        <w:t>costs. Activities include:</w:t>
                      </w:r>
                    </w:p>
                    <w:p w14:paraId="72BFBEDA" w14:textId="435ADB9E" w:rsidR="004E5C07" w:rsidRPr="001729F2" w:rsidRDefault="004E5C07" w:rsidP="006044E0">
                      <w:pPr>
                        <w:pStyle w:val="Tablebulletpoint"/>
                        <w:numPr>
                          <w:ilvl w:val="1"/>
                          <w:numId w:val="21"/>
                        </w:numPr>
                        <w:rPr>
                          <w:color w:val="FFFFFF" w:themeColor="background1"/>
                        </w:rPr>
                      </w:pPr>
                      <w:r w:rsidRPr="001729F2">
                        <w:rPr>
                          <w:color w:val="FFFFFF" w:themeColor="background1"/>
                        </w:rPr>
                        <w:t>ECMO retrieval services, organ retrieval services, hyperbaric chamber services, MET calls at the Alfred.</w:t>
                      </w:r>
                    </w:p>
                    <w:p w14:paraId="4109A87B" w14:textId="77777777" w:rsidR="004E5C07" w:rsidRPr="001729F2" w:rsidRDefault="004E5C07" w:rsidP="006044E0">
                      <w:pPr>
                        <w:pStyle w:val="Tablebulletpoint"/>
                        <w:numPr>
                          <w:ilvl w:val="1"/>
                          <w:numId w:val="21"/>
                        </w:numPr>
                        <w:rPr>
                          <w:color w:val="FFFFFF" w:themeColor="background1"/>
                        </w:rPr>
                      </w:pPr>
                      <w:r w:rsidRPr="001729F2">
                        <w:rPr>
                          <w:color w:val="FFFFFF" w:themeColor="background1"/>
                        </w:rPr>
                        <w:t>MET calls, PICC Lines services, TPN inpatient services at University Hospital Geelong.</w:t>
                      </w:r>
                    </w:p>
                  </w:txbxContent>
                </v:textbox>
                <w10:anchorlock/>
              </v:shape>
            </w:pict>
          </mc:Fallback>
        </mc:AlternateContent>
      </w:r>
    </w:p>
    <w:p w14:paraId="52BBBD6C" w14:textId="77777777" w:rsidR="00774279" w:rsidRDefault="0025120E">
      <w:pPr>
        <w:tabs>
          <w:tab w:val="clear" w:pos="5309"/>
        </w:tabs>
        <w:spacing w:line="279" w:lineRule="auto"/>
        <w:sectPr w:rsidR="00774279" w:rsidSect="009B0D5E">
          <w:headerReference w:type="even" r:id="rId72"/>
          <w:headerReference w:type="default" r:id="rId73"/>
          <w:footerReference w:type="even" r:id="rId74"/>
          <w:footerReference w:type="default" r:id="rId75"/>
          <w:headerReference w:type="first" r:id="rId76"/>
          <w:footerReference w:type="first" r:id="rId77"/>
          <w:footnotePr>
            <w:pos w:val="beneathText"/>
          </w:footnotePr>
          <w:endnotePr>
            <w:numFmt w:val="decimal"/>
          </w:endnotePr>
          <w:pgSz w:w="11906" w:h="16838" w:code="9"/>
          <w:pgMar w:top="1440" w:right="1440" w:bottom="1440" w:left="1440" w:header="720" w:footer="720" w:gutter="0"/>
          <w:cols w:space="720"/>
          <w:docGrid w:linePitch="360"/>
        </w:sectPr>
      </w:pPr>
      <w:r>
        <w:br w:type="page"/>
      </w:r>
    </w:p>
    <w:p w14:paraId="03226EEB" w14:textId="4D8D421D" w:rsidR="00144DC9" w:rsidRDefault="00144DC9" w:rsidP="00101B44">
      <w:pPr>
        <w:pStyle w:val="Heading2"/>
      </w:pPr>
      <w:r>
        <w:lastRenderedPageBreak/>
        <w:t>Queensland</w:t>
      </w:r>
    </w:p>
    <w:p w14:paraId="67F3815B" w14:textId="4ECC3A42" w:rsidR="00903330" w:rsidRDefault="00601407" w:rsidP="00F04A5A">
      <w:pPr>
        <w:pStyle w:val="Heading3"/>
      </w:pPr>
      <w:r>
        <w:rPr>
          <w:noProof/>
        </w:rPr>
        <mc:AlternateContent>
          <mc:Choice Requires="wpg">
            <w:drawing>
              <wp:anchor distT="0" distB="0" distL="114300" distR="114300" simplePos="0" relativeHeight="251658301" behindDoc="1" locked="0" layoutInCell="1" allowOverlap="1" wp14:anchorId="2EE6BA34" wp14:editId="4721A3C6">
                <wp:simplePos x="0" y="0"/>
                <wp:positionH relativeFrom="margin">
                  <wp:align>right</wp:align>
                </wp:positionH>
                <wp:positionV relativeFrom="paragraph">
                  <wp:posOffset>78084</wp:posOffset>
                </wp:positionV>
                <wp:extent cx="3143250" cy="3203575"/>
                <wp:effectExtent l="0" t="0" r="0" b="0"/>
                <wp:wrapTight wrapText="bothSides">
                  <wp:wrapPolygon edited="0">
                    <wp:start x="0" y="0"/>
                    <wp:lineTo x="0" y="21450"/>
                    <wp:lineTo x="21469" y="21450"/>
                    <wp:lineTo x="21469" y="0"/>
                    <wp:lineTo x="0" y="0"/>
                  </wp:wrapPolygon>
                </wp:wrapTight>
                <wp:docPr id="727787651" name="Group 1" descr="P187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0" cy="3203575"/>
                          <a:chOff x="190501" y="0"/>
                          <a:chExt cx="3143250" cy="3203575"/>
                        </a:xfrm>
                      </wpg:grpSpPr>
                      <wps:wsp>
                        <wps:cNvPr id="1323811815" name="Rectangle 3"/>
                        <wps:cNvSpPr/>
                        <wps:spPr>
                          <a:xfrm>
                            <a:off x="190501" y="0"/>
                            <a:ext cx="3143250" cy="3203575"/>
                          </a:xfrm>
                          <a:prstGeom prst="rect">
                            <a:avLst/>
                          </a:prstGeom>
                          <a:solidFill>
                            <a:srgbClr val="B4B5DB">
                              <a:lumMod val="40000"/>
                              <a:lumOff val="60000"/>
                            </a:srgbClr>
                          </a:solidFill>
                          <a:ln w="12700" cap="flat" cmpd="sng" algn="ctr">
                            <a:noFill/>
                            <a:prstDash val="solid"/>
                            <a:miter lim="800000"/>
                          </a:ln>
                          <a:effectLst/>
                        </wps:spPr>
                        <wps:bodyPr rtlCol="0" anchor="ctr"/>
                      </wps:wsp>
                      <wps:wsp>
                        <wps:cNvPr id="1060814922" name="Text Placeholder 7"/>
                        <wps:cNvSpPr txBox="1">
                          <a:spLocks/>
                        </wps:cNvSpPr>
                        <wps:spPr>
                          <a:xfrm>
                            <a:off x="390525" y="1714500"/>
                            <a:ext cx="718185" cy="575310"/>
                          </a:xfrm>
                          <a:prstGeom prst="rect">
                            <a:avLst/>
                          </a:prstGeom>
                        </wps:spPr>
                        <wps:txbx>
                          <w:txbxContent>
                            <w:p w14:paraId="0FD5D801" w14:textId="618D2145" w:rsidR="00601407" w:rsidRPr="00601407" w:rsidRDefault="00EA0F54" w:rsidP="00601407">
                              <w:pPr>
                                <w:spacing w:after="0" w:line="240" w:lineRule="auto"/>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17</w:t>
                              </w:r>
                            </w:p>
                          </w:txbxContent>
                        </wps:txbx>
                        <wps:bodyPr vert="horz" wrap="square" lIns="0" tIns="0" rIns="0" bIns="0" rtlCol="0" anchor="ctr" anchorCtr="0">
                          <a:noAutofit/>
                        </wps:bodyPr>
                      </wps:wsp>
                      <wps:wsp>
                        <wps:cNvPr id="1998470657" name="Google Shape;1492;p120"/>
                        <wps:cNvSpPr txBox="1">
                          <a:spLocks/>
                        </wps:cNvSpPr>
                        <wps:spPr>
                          <a:xfrm>
                            <a:off x="1419225" y="1762125"/>
                            <a:ext cx="1532890" cy="575310"/>
                          </a:xfrm>
                          <a:prstGeom prst="rect">
                            <a:avLst/>
                          </a:prstGeom>
                        </wps:spPr>
                        <wps:txbx>
                          <w:txbxContent>
                            <w:p w14:paraId="19CC62ED" w14:textId="259C56BA" w:rsidR="00601407" w:rsidRPr="00EA0F54" w:rsidRDefault="00EA0F54" w:rsidP="003C28DB">
                              <w:pPr>
                                <w:spacing w:after="0" w:line="240" w:lineRule="auto"/>
                                <w:textAlignment w:val="baseline"/>
                                <w:rPr>
                                  <w:rFonts w:eastAsia="Times New Roman"/>
                                  <w:color w:val="484B5D"/>
                                  <w:kern w:val="24"/>
                                  <w:sz w:val="21"/>
                                  <w:szCs w:val="21"/>
                                </w:rPr>
                              </w:pPr>
                              <w:r>
                                <w:rPr>
                                  <w:rFonts w:eastAsia="Times New Roman"/>
                                  <w:color w:val="484B5D"/>
                                  <w:kern w:val="24"/>
                                  <w:sz w:val="21"/>
                                  <w:szCs w:val="21"/>
                                </w:rPr>
                                <w:t xml:space="preserve">Hospital </w:t>
                              </w:r>
                              <w:r w:rsidR="00C54896">
                                <w:rPr>
                                  <w:rFonts w:eastAsia="Times New Roman"/>
                                  <w:color w:val="484B5D"/>
                                  <w:kern w:val="24"/>
                                  <w:sz w:val="21"/>
                                  <w:szCs w:val="21"/>
                                </w:rPr>
                                <w:t>&amp;</w:t>
                              </w:r>
                              <w:r>
                                <w:rPr>
                                  <w:rFonts w:eastAsia="Times New Roman"/>
                                  <w:color w:val="484B5D"/>
                                  <w:kern w:val="24"/>
                                  <w:sz w:val="21"/>
                                  <w:szCs w:val="21"/>
                                </w:rPr>
                                <w:t xml:space="preserve"> Health Services and The Mater Public Hospitals</w:t>
                              </w:r>
                            </w:p>
                          </w:txbxContent>
                        </wps:txbx>
                        <wps:bodyPr vert="horz" wrap="square" lIns="0" tIns="0" rIns="0" bIns="0" rtlCol="0" anchor="ctr" anchorCtr="0">
                          <a:noAutofit/>
                        </wps:bodyPr>
                      </wps:wsp>
                      <wps:wsp>
                        <wps:cNvPr id="2120797171" name="Text Placeholder 7"/>
                        <wps:cNvSpPr txBox="1">
                          <a:spLocks/>
                        </wps:cNvSpPr>
                        <wps:spPr>
                          <a:xfrm>
                            <a:off x="1182208" y="1190625"/>
                            <a:ext cx="1892935" cy="575310"/>
                          </a:xfrm>
                          <a:prstGeom prst="rect">
                            <a:avLst/>
                          </a:prstGeom>
                        </wps:spPr>
                        <wps:txbx>
                          <w:txbxContent>
                            <w:p w14:paraId="50FBD94A" w14:textId="75E558CA" w:rsidR="00601407" w:rsidRPr="004E5C07"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4E5C07">
                                <w:rPr>
                                  <w:rFonts w:ascii="Avenir Next LT Pro Demi" w:eastAsia="Avenir Next LT Pro Regular" w:hAnsi="Avenir Next LT Pro Demi" w:cs="Avenir Next LT Pro Regular"/>
                                  <w:color w:val="44546A"/>
                                  <w:spacing w:val="-30"/>
                                  <w:kern w:val="24"/>
                                  <w:sz w:val="64"/>
                                  <w:szCs w:val="64"/>
                                </w:rPr>
                                <w:t>$</w:t>
                              </w:r>
                              <w:r>
                                <w:rPr>
                                  <w:rFonts w:ascii="Avenir Next LT Pro Demi" w:eastAsia="Avenir Next LT Pro Regular" w:hAnsi="Avenir Next LT Pro Demi" w:cs="Avenir Next LT Pro Regular"/>
                                  <w:color w:val="44546A"/>
                                  <w:spacing w:val="-30"/>
                                  <w:kern w:val="24"/>
                                  <w:sz w:val="64"/>
                                  <w:szCs w:val="64"/>
                                </w:rPr>
                                <w:t>1</w:t>
                              </w:r>
                              <w:r w:rsidR="00EA0F54">
                                <w:rPr>
                                  <w:rFonts w:ascii="Avenir Next LT Pro Demi" w:eastAsia="Avenir Next LT Pro Regular" w:hAnsi="Avenir Next LT Pro Demi" w:cs="Avenir Next LT Pro Regular"/>
                                  <w:color w:val="44546A"/>
                                  <w:spacing w:val="-30"/>
                                  <w:kern w:val="24"/>
                                  <w:sz w:val="64"/>
                                  <w:szCs w:val="64"/>
                                </w:rPr>
                                <w:t>7.</w:t>
                              </w:r>
                              <w:r w:rsidR="006C7442">
                                <w:rPr>
                                  <w:rFonts w:ascii="Avenir Next LT Pro Demi" w:eastAsia="Avenir Next LT Pro Regular" w:hAnsi="Avenir Next LT Pro Demi" w:cs="Avenir Next LT Pro Regular"/>
                                  <w:color w:val="44546A"/>
                                  <w:spacing w:val="-30"/>
                                  <w:kern w:val="24"/>
                                  <w:sz w:val="64"/>
                                  <w:szCs w:val="64"/>
                                </w:rPr>
                                <w:t>88</w:t>
                              </w:r>
                              <w:r w:rsidRPr="004E5C07">
                                <w:rPr>
                                  <w:rFonts w:ascii="Avenir Next LT Pro Demi" w:eastAsia="Avenir Next LT Pro Regular" w:hAnsi="Avenir Next LT Pro Demi" w:cs="Avenir Next LT Pro Regular"/>
                                  <w:color w:val="44546A"/>
                                  <w:spacing w:val="-30"/>
                                  <w:kern w:val="24"/>
                                  <w:sz w:val="64"/>
                                  <w:szCs w:val="64"/>
                                </w:rPr>
                                <w:t>bn</w:t>
                              </w:r>
                            </w:p>
                          </w:txbxContent>
                        </wps:txbx>
                        <wps:bodyPr vert="horz" wrap="square" lIns="0" tIns="0" rIns="0" bIns="0" rtlCol="0" anchor="ctr" anchorCtr="0">
                          <a:noAutofit/>
                        </wps:bodyPr>
                      </wps:wsp>
                      <wps:wsp>
                        <wps:cNvPr id="616508012" name="Google Shape;1492;p120"/>
                        <wps:cNvSpPr txBox="1">
                          <a:spLocks/>
                        </wps:cNvSpPr>
                        <wps:spPr>
                          <a:xfrm>
                            <a:off x="390524" y="1190625"/>
                            <a:ext cx="1012087" cy="575924"/>
                          </a:xfrm>
                          <a:prstGeom prst="rect">
                            <a:avLst/>
                          </a:prstGeom>
                        </wps:spPr>
                        <wps:txbx>
                          <w:txbxContent>
                            <w:p w14:paraId="68CBD8C0" w14:textId="26C2CE4C" w:rsidR="00601407" w:rsidRDefault="00A347DA" w:rsidP="00601407">
                              <w:pPr>
                                <w:spacing w:after="0" w:line="264" w:lineRule="auto"/>
                                <w:rPr>
                                  <w:rFonts w:eastAsia="Times New Roman"/>
                                  <w:color w:val="484B5D"/>
                                  <w:kern w:val="24"/>
                                </w:rPr>
                              </w:pPr>
                              <w:r>
                                <w:rPr>
                                  <w:rFonts w:eastAsia="Times New Roman"/>
                                  <w:color w:val="484B5D"/>
                                  <w:kern w:val="24"/>
                                </w:rPr>
                                <w:t>Total</w:t>
                              </w:r>
                              <w:r w:rsidR="00601407">
                                <w:rPr>
                                  <w:rFonts w:eastAsia="Times New Roman"/>
                                  <w:color w:val="484B5D"/>
                                  <w:kern w:val="24"/>
                                </w:rPr>
                                <w:t xml:space="preserve"> costs submitted to NHCDC</w:t>
                              </w:r>
                            </w:p>
                          </w:txbxContent>
                        </wps:txbx>
                        <wps:bodyPr vert="horz" wrap="square" lIns="0" tIns="0" rIns="0" bIns="0" rtlCol="0" anchor="ctr" anchorCtr="0">
                          <a:noAutofit/>
                        </wps:bodyPr>
                      </wps:wsp>
                      <wps:wsp>
                        <wps:cNvPr id="1438539382" name="Text Placeholder 7"/>
                        <wps:cNvSpPr txBox="1">
                          <a:spLocks/>
                        </wps:cNvSpPr>
                        <wps:spPr>
                          <a:xfrm>
                            <a:off x="390523" y="542926"/>
                            <a:ext cx="927735" cy="575945"/>
                          </a:xfrm>
                          <a:prstGeom prst="rect">
                            <a:avLst/>
                          </a:prstGeom>
                          <a:noFill/>
                        </wps:spPr>
                        <wps:txbx>
                          <w:txbxContent>
                            <w:p w14:paraId="6F473B07" w14:textId="5517A03F" w:rsidR="00601407" w:rsidRPr="00601407" w:rsidRDefault="00D20EB5" w:rsidP="00601407">
                              <w:pPr>
                                <w:spacing w:after="0"/>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383</w:t>
                              </w:r>
                            </w:p>
                          </w:txbxContent>
                        </wps:txbx>
                        <wps:bodyPr vert="horz" wrap="none" lIns="0" tIns="0" rIns="0" bIns="0" rtlCol="0" anchor="b" anchorCtr="0">
                          <a:noAutofit/>
                        </wps:bodyPr>
                      </wps:wsp>
                      <wps:wsp>
                        <wps:cNvPr id="1006561361" name="Google Shape;1492;p120"/>
                        <wps:cNvSpPr txBox="1">
                          <a:spLocks/>
                        </wps:cNvSpPr>
                        <wps:spPr>
                          <a:xfrm>
                            <a:off x="1466850" y="628650"/>
                            <a:ext cx="1565275" cy="575310"/>
                          </a:xfrm>
                          <a:prstGeom prst="rect">
                            <a:avLst/>
                          </a:prstGeom>
                        </wps:spPr>
                        <wps:txbx>
                          <w:txbxContent>
                            <w:p w14:paraId="1AB0705C" w14:textId="7C0DF1FF" w:rsidR="00601407" w:rsidRDefault="00601407" w:rsidP="00601407">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D738B2">
                                <w:rPr>
                                  <w:rFonts w:eastAsia="Times New Roman"/>
                                  <w:color w:val="484B5D"/>
                                  <w:kern w:val="24"/>
                                  <w:sz w:val="21"/>
                                  <w:szCs w:val="21"/>
                                </w:rPr>
                                <w:t>2023-24</w:t>
                              </w:r>
                            </w:p>
                          </w:txbxContent>
                        </wps:txbx>
                        <wps:bodyPr vert="horz" lIns="0" tIns="0" rIns="0" bIns="0" rtlCol="0" anchor="ctr" anchorCtr="0">
                          <a:noAutofit/>
                        </wps:bodyPr>
                      </wps:wsp>
                      <wps:wsp>
                        <wps:cNvPr id="1155048200" name="Text Placeholder 7"/>
                        <wps:cNvSpPr txBox="1">
                          <a:spLocks/>
                        </wps:cNvSpPr>
                        <wps:spPr>
                          <a:xfrm>
                            <a:off x="1181100" y="2333625"/>
                            <a:ext cx="1884045" cy="575310"/>
                          </a:xfrm>
                          <a:prstGeom prst="rect">
                            <a:avLst/>
                          </a:prstGeom>
                        </wps:spPr>
                        <wps:txbx>
                          <w:txbxContent>
                            <w:p w14:paraId="7DD333CA" w14:textId="6D3CFFB7" w:rsidR="00601407" w:rsidRPr="00CC500B"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CC500B">
                                <w:rPr>
                                  <w:rFonts w:ascii="Avenir Next LT Pro Demi" w:eastAsia="Avenir Next LT Pro Regular" w:hAnsi="Avenir Next LT Pro Demi" w:cs="Avenir Next LT Pro Regular"/>
                                  <w:color w:val="44546A"/>
                                  <w:spacing w:val="-30"/>
                                  <w:kern w:val="24"/>
                                  <w:sz w:val="72"/>
                                  <w:szCs w:val="72"/>
                                </w:rPr>
                                <w:t>$</w:t>
                              </w:r>
                              <w:r w:rsidR="00EA0F54">
                                <w:rPr>
                                  <w:rFonts w:ascii="Avenir Next LT Pro Demi" w:eastAsia="Avenir Next LT Pro Regular" w:hAnsi="Avenir Next LT Pro Demi" w:cs="Avenir Next LT Pro Regular"/>
                                  <w:color w:val="44546A"/>
                                  <w:spacing w:val="-30"/>
                                  <w:kern w:val="24"/>
                                  <w:sz w:val="72"/>
                                  <w:szCs w:val="72"/>
                                </w:rPr>
                                <w:t>6,</w:t>
                              </w:r>
                              <w:r w:rsidR="00EA4D59">
                                <w:rPr>
                                  <w:rFonts w:ascii="Avenir Next LT Pro Demi" w:eastAsia="Avenir Next LT Pro Regular" w:hAnsi="Avenir Next LT Pro Demi" w:cs="Avenir Next LT Pro Regular"/>
                                  <w:color w:val="44546A"/>
                                  <w:spacing w:val="-30"/>
                                  <w:kern w:val="24"/>
                                  <w:sz w:val="72"/>
                                  <w:szCs w:val="72"/>
                                </w:rPr>
                                <w:t>383</w:t>
                              </w:r>
                            </w:p>
                          </w:txbxContent>
                        </wps:txbx>
                        <wps:bodyPr vert="horz" lIns="0" tIns="0" rIns="0" bIns="0" rtlCol="0" anchor="ctr" anchorCtr="0">
                          <a:noAutofit/>
                        </wps:bodyPr>
                      </wps:wsp>
                      <wps:wsp>
                        <wps:cNvPr id="1490922302" name="Google Shape;1492;p120"/>
                        <wps:cNvSpPr txBox="1">
                          <a:spLocks/>
                        </wps:cNvSpPr>
                        <wps:spPr>
                          <a:xfrm>
                            <a:off x="390525" y="2333625"/>
                            <a:ext cx="1150078" cy="575924"/>
                          </a:xfrm>
                          <a:prstGeom prst="rect">
                            <a:avLst/>
                          </a:prstGeom>
                        </wps:spPr>
                        <wps:txbx>
                          <w:txbxContent>
                            <w:p w14:paraId="2A76B955" w14:textId="77777777" w:rsidR="00601407" w:rsidRDefault="00601407" w:rsidP="00601407">
                              <w:pPr>
                                <w:spacing w:after="0" w:line="264" w:lineRule="auto"/>
                                <w:rPr>
                                  <w:rFonts w:eastAsia="Times New Roman"/>
                                  <w:color w:val="484B5D"/>
                                  <w:kern w:val="24"/>
                                </w:rPr>
                              </w:pPr>
                              <w:r>
                                <w:rPr>
                                  <w:rFonts w:eastAsia="Times New Roman"/>
                                  <w:color w:val="484B5D"/>
                                  <w:kern w:val="24"/>
                                </w:rPr>
                                <w:t>Average cost per GWAU (excl. Community MH)</w:t>
                              </w:r>
                            </w:p>
                          </w:txbxContent>
                        </wps:txbx>
                        <wps:bodyPr vert="horz" wrap="square" lIns="0" tIns="0" rIns="0" bIns="0" rtlCol="0" anchor="ctr" anchorCtr="0">
                          <a:noAutofit/>
                        </wps:bodyPr>
                      </wps:wsp>
                      <wps:wsp>
                        <wps:cNvPr id="642575440" name="TextBox 21"/>
                        <wps:cNvSpPr txBox="1"/>
                        <wps:spPr>
                          <a:xfrm>
                            <a:off x="390525" y="276225"/>
                            <a:ext cx="2530057" cy="351108"/>
                          </a:xfrm>
                          <a:prstGeom prst="rect">
                            <a:avLst/>
                          </a:prstGeom>
                          <a:noFill/>
                        </wps:spPr>
                        <wps:txbx>
                          <w:txbxContent>
                            <w:p w14:paraId="27B0A98D" w14:textId="661011FC" w:rsidR="00601407" w:rsidRDefault="00601407" w:rsidP="00601407">
                              <w:pPr>
                                <w:rPr>
                                  <w:rFonts w:eastAsia="Times New Roman"/>
                                  <w:i/>
                                  <w:iCs/>
                                  <w:color w:val="464E7E"/>
                                  <w:kern w:val="24"/>
                                  <w:sz w:val="28"/>
                                  <w:szCs w:val="28"/>
                                </w:rPr>
                              </w:pPr>
                              <w:r>
                                <w:rPr>
                                  <w:rFonts w:eastAsia="Times New Roman"/>
                                  <w:i/>
                                  <w:iCs/>
                                  <w:color w:val="464E7E"/>
                                  <w:kern w:val="24"/>
                                  <w:sz w:val="28"/>
                                  <w:szCs w:val="28"/>
                                </w:rPr>
                                <w:t xml:space="preserve">At a glance: </w:t>
                              </w:r>
                              <w:r w:rsidR="00B33D4A">
                                <w:rPr>
                                  <w:rFonts w:eastAsia="Times New Roman"/>
                                  <w:i/>
                                  <w:iCs/>
                                  <w:color w:val="464E7E"/>
                                  <w:kern w:val="24"/>
                                  <w:sz w:val="28"/>
                                  <w:szCs w:val="28"/>
                                </w:rPr>
                                <w:t>Queensland</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2EE6BA34" id="_x0000_s1173" alt="P1875#y1" style="position:absolute;left:0;text-align:left;margin-left:196.3pt;margin-top:6.15pt;width:247.5pt;height:252.25pt;z-index:-251658179;mso-position-horizontal:right;mso-position-horizontal-relative:margin;mso-position-vertical-relative:text;mso-width-relative:margin;mso-height-relative:margin" coordorigin="1905" coordsize="31432,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">
                <v:rect id="Rectangle 3" o:spid="_x0000_s1174" style="position:absolute;left:1905;width:31432;height:3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" fillcolor="#e1e1f1" stroked="f" strokeweight="1pt"/>
                <v:shape id="Text Placeholder 7" o:spid="_x0000_s1175" type="#_x0000_t202" style="position:absolute;left:3905;top:17145;width:7182;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" filled="f" stroked="f">
                  <v:textbox inset="0,0,0,0">
                    <w:txbxContent>
                      <w:p w14:paraId="0FD5D801" w14:textId="618D2145" w:rsidR="00601407" w:rsidRPr="00601407" w:rsidRDefault="00EA0F54" w:rsidP="00601407">
                        <w:pPr>
                          <w:spacing w:after="0" w:line="240" w:lineRule="auto"/>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17</w:t>
                        </w:r>
                      </w:p>
                    </w:txbxContent>
                  </v:textbox>
                </v:shape>
                <v:shape id="Google Shape;1492;p120" o:spid="_x0000_s1176" type="#_x0000_t202" style="position:absolute;left:14192;top:17621;width:15329;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" filled="f" stroked="f">
                  <v:textbox inset="0,0,0,0">
                    <w:txbxContent>
                      <w:p w14:paraId="19CC62ED" w14:textId="259C56BA" w:rsidR="00601407" w:rsidRPr="00EA0F54" w:rsidRDefault="00EA0F54" w:rsidP="003C28DB">
                        <w:pPr>
                          <w:spacing w:after="0" w:line="240" w:lineRule="auto"/>
                          <w:textAlignment w:val="baseline"/>
                          <w:rPr>
                            <w:rFonts w:eastAsia="Times New Roman"/>
                            <w:color w:val="484B5D"/>
                            <w:kern w:val="24"/>
                            <w:sz w:val="21"/>
                            <w:szCs w:val="21"/>
                          </w:rPr>
                        </w:pPr>
                        <w:r>
                          <w:rPr>
                            <w:rFonts w:eastAsia="Times New Roman"/>
                            <w:color w:val="484B5D"/>
                            <w:kern w:val="24"/>
                            <w:sz w:val="21"/>
                            <w:szCs w:val="21"/>
                          </w:rPr>
                          <w:t xml:space="preserve">Hospital </w:t>
                        </w:r>
                        <w:r w:rsidR="00C54896">
                          <w:rPr>
                            <w:rFonts w:eastAsia="Times New Roman"/>
                            <w:color w:val="484B5D"/>
                            <w:kern w:val="24"/>
                            <w:sz w:val="21"/>
                            <w:szCs w:val="21"/>
                          </w:rPr>
                          <w:t>&amp;</w:t>
                        </w:r>
                        <w:r>
                          <w:rPr>
                            <w:rFonts w:eastAsia="Times New Roman"/>
                            <w:color w:val="484B5D"/>
                            <w:kern w:val="24"/>
                            <w:sz w:val="21"/>
                            <w:szCs w:val="21"/>
                          </w:rPr>
                          <w:t xml:space="preserve"> Health Services and The Mater Public Hospitals</w:t>
                        </w:r>
                      </w:p>
                    </w:txbxContent>
                  </v:textbox>
                </v:shape>
                <v:shape id="Text Placeholder 7" o:spid="_x0000_s1177" type="#_x0000_t202" style="position:absolute;left:11822;top:11906;width:18929;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" filled="f" stroked="f">
                  <v:textbox inset="0,0,0,0">
                    <w:txbxContent>
                      <w:p w14:paraId="50FBD94A" w14:textId="75E558CA" w:rsidR="00601407" w:rsidRPr="004E5C07"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4E5C07">
                          <w:rPr>
                            <w:rFonts w:ascii="Avenir Next LT Pro Demi" w:eastAsia="Avenir Next LT Pro Regular" w:hAnsi="Avenir Next LT Pro Demi" w:cs="Avenir Next LT Pro Regular"/>
                            <w:color w:val="44546A"/>
                            <w:spacing w:val="-30"/>
                            <w:kern w:val="24"/>
                            <w:sz w:val="64"/>
                            <w:szCs w:val="64"/>
                          </w:rPr>
                          <w:t>$</w:t>
                        </w:r>
                        <w:r>
                          <w:rPr>
                            <w:rFonts w:ascii="Avenir Next LT Pro Demi" w:eastAsia="Avenir Next LT Pro Regular" w:hAnsi="Avenir Next LT Pro Demi" w:cs="Avenir Next LT Pro Regular"/>
                            <w:color w:val="44546A"/>
                            <w:spacing w:val="-30"/>
                            <w:kern w:val="24"/>
                            <w:sz w:val="64"/>
                            <w:szCs w:val="64"/>
                          </w:rPr>
                          <w:t>1</w:t>
                        </w:r>
                        <w:r w:rsidR="00EA0F54">
                          <w:rPr>
                            <w:rFonts w:ascii="Avenir Next LT Pro Demi" w:eastAsia="Avenir Next LT Pro Regular" w:hAnsi="Avenir Next LT Pro Demi" w:cs="Avenir Next LT Pro Regular"/>
                            <w:color w:val="44546A"/>
                            <w:spacing w:val="-30"/>
                            <w:kern w:val="24"/>
                            <w:sz w:val="64"/>
                            <w:szCs w:val="64"/>
                          </w:rPr>
                          <w:t>7.</w:t>
                        </w:r>
                        <w:r w:rsidR="006C7442">
                          <w:rPr>
                            <w:rFonts w:ascii="Avenir Next LT Pro Demi" w:eastAsia="Avenir Next LT Pro Regular" w:hAnsi="Avenir Next LT Pro Demi" w:cs="Avenir Next LT Pro Regular"/>
                            <w:color w:val="44546A"/>
                            <w:spacing w:val="-30"/>
                            <w:kern w:val="24"/>
                            <w:sz w:val="64"/>
                            <w:szCs w:val="64"/>
                          </w:rPr>
                          <w:t>88</w:t>
                        </w:r>
                        <w:r w:rsidRPr="004E5C07">
                          <w:rPr>
                            <w:rFonts w:ascii="Avenir Next LT Pro Demi" w:eastAsia="Avenir Next LT Pro Regular" w:hAnsi="Avenir Next LT Pro Demi" w:cs="Avenir Next LT Pro Regular"/>
                            <w:color w:val="44546A"/>
                            <w:spacing w:val="-30"/>
                            <w:kern w:val="24"/>
                            <w:sz w:val="64"/>
                            <w:szCs w:val="64"/>
                          </w:rPr>
                          <w:t>bn</w:t>
                        </w:r>
                      </w:p>
                    </w:txbxContent>
                  </v:textbox>
                </v:shape>
                <v:shape id="Google Shape;1492;p120" o:spid="_x0000_s1178" type="#_x0000_t202" style="position:absolute;left:3905;top:11906;width:1012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" filled="f" stroked="f">
                  <v:textbox inset="0,0,0,0">
                    <w:txbxContent>
                      <w:p w14:paraId="68CBD8C0" w14:textId="26C2CE4C" w:rsidR="00601407" w:rsidRDefault="00A347DA" w:rsidP="00601407">
                        <w:pPr>
                          <w:spacing w:after="0" w:line="264" w:lineRule="auto"/>
                          <w:rPr>
                            <w:rFonts w:eastAsia="Times New Roman"/>
                            <w:color w:val="484B5D"/>
                            <w:kern w:val="24"/>
                          </w:rPr>
                        </w:pPr>
                        <w:r>
                          <w:rPr>
                            <w:rFonts w:eastAsia="Times New Roman"/>
                            <w:color w:val="484B5D"/>
                            <w:kern w:val="24"/>
                          </w:rPr>
                          <w:t>Total</w:t>
                        </w:r>
                        <w:r w:rsidR="00601407">
                          <w:rPr>
                            <w:rFonts w:eastAsia="Times New Roman"/>
                            <w:color w:val="484B5D"/>
                            <w:kern w:val="24"/>
                          </w:rPr>
                          <w:t xml:space="preserve"> costs submitted to NHCDC</w:t>
                        </w:r>
                      </w:p>
                    </w:txbxContent>
                  </v:textbox>
                </v:shape>
                <v:shape id="Text Placeholder 7" o:spid="_x0000_s1179" type="#_x0000_t202" style="position:absolute;left:3905;top:5429;width:9277;height:575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" filled="f" stroked="f">
                  <v:textbox inset="0,0,0,0">
                    <w:txbxContent>
                      <w:p w14:paraId="6F473B07" w14:textId="5517A03F" w:rsidR="00601407" w:rsidRPr="00601407" w:rsidRDefault="00D20EB5" w:rsidP="00601407">
                        <w:pPr>
                          <w:spacing w:after="0"/>
                          <w:rPr>
                            <w:rFonts w:ascii="Avenir Next LT Pro Demi" w:eastAsia="Avenir Next LT Pro Regular" w:hAnsi="Avenir Next LT Pro Demi" w:cs="Avenir Next LT Pro Regular"/>
                            <w:color w:val="44546A"/>
                            <w:spacing w:val="-50"/>
                            <w:kern w:val="24"/>
                            <w:sz w:val="88"/>
                            <w:szCs w:val="88"/>
                          </w:rPr>
                        </w:pPr>
                        <w:r>
                          <w:rPr>
                            <w:rFonts w:ascii="Avenir Next LT Pro Demi" w:eastAsia="Avenir Next LT Pro Regular" w:hAnsi="Avenir Next LT Pro Demi" w:cs="Avenir Next LT Pro Regular"/>
                            <w:color w:val="44546A"/>
                            <w:spacing w:val="-50"/>
                            <w:kern w:val="24"/>
                            <w:sz w:val="88"/>
                            <w:szCs w:val="88"/>
                          </w:rPr>
                          <w:t>383</w:t>
                        </w:r>
                      </w:p>
                    </w:txbxContent>
                  </v:textbox>
                </v:shape>
                <v:shape id="Google Shape;1492;p120" o:spid="_x0000_s1180" type="#_x0000_t202" style="position:absolute;left:14668;top:6286;width:15653;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" filled="f" stroked="f">
                  <v:textbox inset="0,0,0,0">
                    <w:txbxContent>
                      <w:p w14:paraId="1AB0705C" w14:textId="7C0DF1FF" w:rsidR="00601407" w:rsidRDefault="00601407" w:rsidP="00601407">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D738B2">
                          <w:rPr>
                            <w:rFonts w:eastAsia="Times New Roman"/>
                            <w:color w:val="484B5D"/>
                            <w:kern w:val="24"/>
                            <w:sz w:val="21"/>
                            <w:szCs w:val="21"/>
                          </w:rPr>
                          <w:t>2023-24</w:t>
                        </w:r>
                      </w:p>
                    </w:txbxContent>
                  </v:textbox>
                </v:shape>
                <v:shape id="Text Placeholder 7" o:spid="_x0000_s1181" type="#_x0000_t202" style="position:absolute;left:11811;top:23336;width:1884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" filled="f" stroked="f">
                  <v:textbox inset="0,0,0,0">
                    <w:txbxContent>
                      <w:p w14:paraId="7DD333CA" w14:textId="6D3CFFB7" w:rsidR="00601407" w:rsidRPr="00CC500B" w:rsidRDefault="00601407" w:rsidP="00601407">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CC500B">
                          <w:rPr>
                            <w:rFonts w:ascii="Avenir Next LT Pro Demi" w:eastAsia="Avenir Next LT Pro Regular" w:hAnsi="Avenir Next LT Pro Demi" w:cs="Avenir Next LT Pro Regular"/>
                            <w:color w:val="44546A"/>
                            <w:spacing w:val="-30"/>
                            <w:kern w:val="24"/>
                            <w:sz w:val="72"/>
                            <w:szCs w:val="72"/>
                          </w:rPr>
                          <w:t>$</w:t>
                        </w:r>
                        <w:r w:rsidR="00EA0F54">
                          <w:rPr>
                            <w:rFonts w:ascii="Avenir Next LT Pro Demi" w:eastAsia="Avenir Next LT Pro Regular" w:hAnsi="Avenir Next LT Pro Demi" w:cs="Avenir Next LT Pro Regular"/>
                            <w:color w:val="44546A"/>
                            <w:spacing w:val="-30"/>
                            <w:kern w:val="24"/>
                            <w:sz w:val="72"/>
                            <w:szCs w:val="72"/>
                          </w:rPr>
                          <w:t>6,</w:t>
                        </w:r>
                        <w:r w:rsidR="00EA4D59">
                          <w:rPr>
                            <w:rFonts w:ascii="Avenir Next LT Pro Demi" w:eastAsia="Avenir Next LT Pro Regular" w:hAnsi="Avenir Next LT Pro Demi" w:cs="Avenir Next LT Pro Regular"/>
                            <w:color w:val="44546A"/>
                            <w:spacing w:val="-30"/>
                            <w:kern w:val="24"/>
                            <w:sz w:val="72"/>
                            <w:szCs w:val="72"/>
                          </w:rPr>
                          <w:t>383</w:t>
                        </w:r>
                      </w:p>
                    </w:txbxContent>
                  </v:textbox>
                </v:shape>
                <v:shape id="Google Shape;1492;p120" o:spid="_x0000_s1182" type="#_x0000_t202" style="position:absolute;left:3905;top:2333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" filled="f" stroked="f">
                  <v:textbox inset="0,0,0,0">
                    <w:txbxContent>
                      <w:p w14:paraId="2A76B955" w14:textId="77777777" w:rsidR="00601407" w:rsidRDefault="00601407" w:rsidP="00601407">
                        <w:pPr>
                          <w:spacing w:after="0" w:line="264" w:lineRule="auto"/>
                          <w:rPr>
                            <w:rFonts w:eastAsia="Times New Roman"/>
                            <w:color w:val="484B5D"/>
                            <w:kern w:val="24"/>
                          </w:rPr>
                        </w:pPr>
                        <w:r>
                          <w:rPr>
                            <w:rFonts w:eastAsia="Times New Roman"/>
                            <w:color w:val="484B5D"/>
                            <w:kern w:val="24"/>
                          </w:rPr>
                          <w:t>Average cost per GWAU (excl. Community MH)</w:t>
                        </w:r>
                      </w:p>
                    </w:txbxContent>
                  </v:textbox>
                </v:shape>
                <v:shape id="TextBox 21" o:spid="_x0000_s1183" type="#_x0000_t202" style="position:absolute;left:3905;top:2762;width:2530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" filled="f" stroked="f">
                  <v:textbox style="mso-fit-shape-to-text:t" inset="0,0,0,0">
                    <w:txbxContent>
                      <w:p w14:paraId="27B0A98D" w14:textId="661011FC" w:rsidR="00601407" w:rsidRDefault="00601407" w:rsidP="00601407">
                        <w:pPr>
                          <w:rPr>
                            <w:rFonts w:eastAsia="Times New Roman"/>
                            <w:i/>
                            <w:iCs/>
                            <w:color w:val="464E7E"/>
                            <w:kern w:val="24"/>
                            <w:sz w:val="28"/>
                            <w:szCs w:val="28"/>
                          </w:rPr>
                        </w:pPr>
                        <w:r>
                          <w:rPr>
                            <w:rFonts w:eastAsia="Times New Roman"/>
                            <w:i/>
                            <w:iCs/>
                            <w:color w:val="464E7E"/>
                            <w:kern w:val="24"/>
                            <w:sz w:val="28"/>
                            <w:szCs w:val="28"/>
                          </w:rPr>
                          <w:t xml:space="preserve">At a glance: </w:t>
                        </w:r>
                        <w:r w:rsidR="00B33D4A">
                          <w:rPr>
                            <w:rFonts w:eastAsia="Times New Roman"/>
                            <w:i/>
                            <w:iCs/>
                            <w:color w:val="464E7E"/>
                            <w:kern w:val="24"/>
                            <w:sz w:val="28"/>
                            <w:szCs w:val="28"/>
                          </w:rPr>
                          <w:t>Queensland</w:t>
                        </w:r>
                      </w:p>
                    </w:txbxContent>
                  </v:textbox>
                </v:shape>
                <w10:wrap type="tight" anchorx="margin"/>
              </v:group>
            </w:pict>
          </mc:Fallback>
        </mc:AlternateContent>
      </w:r>
      <w:r w:rsidR="00F04A5A">
        <w:t xml:space="preserve">State-wide costed NHCDC </w:t>
      </w:r>
      <w:r w:rsidR="008A702B">
        <w:t>2023-24</w:t>
      </w:r>
      <w:r w:rsidR="00F04A5A">
        <w:t xml:space="preserve"> submission</w:t>
      </w:r>
    </w:p>
    <w:p w14:paraId="7DDD7F2B" w14:textId="209724AE" w:rsidR="00EF69C8" w:rsidRPr="001D0305" w:rsidRDefault="00B33D4A" w:rsidP="00EF69C8">
      <w:pPr>
        <w:spacing w:line="240" w:lineRule="auto"/>
        <w:rPr>
          <w:color w:val="44546A" w:themeColor="text2"/>
        </w:rPr>
      </w:pPr>
      <w:r>
        <w:rPr>
          <w:color w:val="44546A" w:themeColor="text2"/>
        </w:rPr>
        <w:t>Queensland</w:t>
      </w:r>
      <w:r w:rsidR="00EF69C8" w:rsidRPr="001D0305">
        <w:rPr>
          <w:color w:val="44546A" w:themeColor="text2"/>
        </w:rPr>
        <w:t xml:space="preserve"> submits costed activity for </w:t>
      </w:r>
      <w:r w:rsidR="00EF69C8">
        <w:rPr>
          <w:color w:val="44546A" w:themeColor="text2"/>
        </w:rPr>
        <w:t>16</w:t>
      </w:r>
      <w:r w:rsidR="00EF69C8" w:rsidRPr="001D0305">
        <w:rPr>
          <w:color w:val="44546A" w:themeColor="text2"/>
        </w:rPr>
        <w:t xml:space="preserve"> </w:t>
      </w:r>
      <w:r w:rsidR="00EF69C8">
        <w:rPr>
          <w:color w:val="44546A" w:themeColor="text2"/>
        </w:rPr>
        <w:t xml:space="preserve">Hospital </w:t>
      </w:r>
      <w:r w:rsidR="00C54896">
        <w:rPr>
          <w:color w:val="44546A" w:themeColor="text2"/>
        </w:rPr>
        <w:t>&amp;</w:t>
      </w:r>
      <w:r w:rsidR="00EF69C8">
        <w:rPr>
          <w:color w:val="44546A" w:themeColor="text2"/>
        </w:rPr>
        <w:t xml:space="preserve"> </w:t>
      </w:r>
      <w:r w:rsidR="00EF69C8" w:rsidRPr="001D0305">
        <w:rPr>
          <w:color w:val="44546A" w:themeColor="text2"/>
        </w:rPr>
        <w:t xml:space="preserve">Health </w:t>
      </w:r>
      <w:r w:rsidR="00EF69C8">
        <w:rPr>
          <w:color w:val="44546A" w:themeColor="text2"/>
        </w:rPr>
        <w:t>Services</w:t>
      </w:r>
      <w:r w:rsidR="00EF69C8" w:rsidRPr="001D0305">
        <w:rPr>
          <w:color w:val="44546A" w:themeColor="text2"/>
        </w:rPr>
        <w:t xml:space="preserve"> (</w:t>
      </w:r>
      <w:r w:rsidR="00EF69C8">
        <w:rPr>
          <w:color w:val="44546A" w:themeColor="text2"/>
        </w:rPr>
        <w:t>HHS)</w:t>
      </w:r>
      <w:r w:rsidR="00A347DA">
        <w:rPr>
          <w:color w:val="44546A" w:themeColor="text2"/>
        </w:rPr>
        <w:t>,</w:t>
      </w:r>
      <w:r w:rsidR="00EF69C8">
        <w:rPr>
          <w:color w:val="44546A" w:themeColor="text2"/>
        </w:rPr>
        <w:t xml:space="preserve"> in addition to the Mater Public Hospitals (Brisbane)</w:t>
      </w:r>
      <w:r w:rsidR="00A347DA">
        <w:rPr>
          <w:color w:val="44546A" w:themeColor="text2"/>
        </w:rPr>
        <w:t>,</w:t>
      </w:r>
      <w:r w:rsidR="00EF69C8" w:rsidRPr="001D0305">
        <w:rPr>
          <w:color w:val="44546A" w:themeColor="text2"/>
        </w:rPr>
        <w:t xml:space="preserve"> as part of the NHCDC. </w:t>
      </w:r>
    </w:p>
    <w:p w14:paraId="35648FF4" w14:textId="517DBBF6" w:rsidR="00EF69C8" w:rsidRPr="001D0305" w:rsidRDefault="00EF69C8" w:rsidP="00EF69C8">
      <w:pPr>
        <w:spacing w:line="240" w:lineRule="auto"/>
        <w:rPr>
          <w:color w:val="44546A" w:themeColor="text2"/>
        </w:rPr>
      </w:pPr>
      <w:r w:rsidRPr="001D0305">
        <w:rPr>
          <w:color w:val="44546A" w:themeColor="text2"/>
        </w:rPr>
        <w:t xml:space="preserve">Total costs submitted by </w:t>
      </w:r>
      <w:r w:rsidR="00B33D4A">
        <w:rPr>
          <w:color w:val="44546A" w:themeColor="text2"/>
        </w:rPr>
        <w:t>Queensland</w:t>
      </w:r>
      <w:r w:rsidRPr="001D0305">
        <w:rPr>
          <w:color w:val="44546A" w:themeColor="text2"/>
        </w:rPr>
        <w:t xml:space="preserve"> in 2023-24 were </w:t>
      </w:r>
      <w:r w:rsidRPr="001D0305">
        <w:rPr>
          <w:b/>
          <w:color w:val="44546A" w:themeColor="text2"/>
        </w:rPr>
        <w:t>$</w:t>
      </w:r>
      <w:r>
        <w:rPr>
          <w:b/>
          <w:color w:val="44546A" w:themeColor="text2"/>
        </w:rPr>
        <w:t>17.</w:t>
      </w:r>
      <w:r w:rsidR="006C7442">
        <w:rPr>
          <w:b/>
          <w:color w:val="44546A" w:themeColor="text2"/>
        </w:rPr>
        <w:t>88</w:t>
      </w:r>
      <w:r w:rsidRPr="001D0305">
        <w:rPr>
          <w:b/>
          <w:color w:val="44546A" w:themeColor="text2"/>
        </w:rPr>
        <w:t xml:space="preserve"> billion</w:t>
      </w:r>
      <w:r w:rsidRPr="001D0305">
        <w:rPr>
          <w:color w:val="44546A" w:themeColor="text2"/>
        </w:rPr>
        <w:t xml:space="preserve"> and </w:t>
      </w:r>
      <w:r>
        <w:rPr>
          <w:b/>
          <w:bCs/>
          <w:color w:val="44546A" w:themeColor="text2"/>
        </w:rPr>
        <w:t>11.</w:t>
      </w:r>
      <w:r w:rsidR="00C534C4">
        <w:rPr>
          <w:b/>
          <w:bCs/>
          <w:color w:val="44546A" w:themeColor="text2"/>
        </w:rPr>
        <w:t>7</w:t>
      </w:r>
      <w:r w:rsidR="006C7442">
        <w:rPr>
          <w:b/>
          <w:bCs/>
          <w:color w:val="44546A" w:themeColor="text2"/>
        </w:rPr>
        <w:t>2</w:t>
      </w:r>
      <w:r w:rsidR="00C534C4">
        <w:rPr>
          <w:b/>
          <w:color w:val="44546A" w:themeColor="text2"/>
        </w:rPr>
        <w:t> </w:t>
      </w:r>
      <w:r w:rsidRPr="001D0305">
        <w:rPr>
          <w:b/>
          <w:color w:val="44546A" w:themeColor="text2"/>
        </w:rPr>
        <w:t>million</w:t>
      </w:r>
      <w:r w:rsidRPr="001D0305">
        <w:rPr>
          <w:color w:val="44546A" w:themeColor="text2"/>
        </w:rPr>
        <w:t xml:space="preserve"> episodes</w:t>
      </w:r>
      <w:r w:rsidR="00A347DA">
        <w:rPr>
          <w:color w:val="44546A" w:themeColor="text2"/>
        </w:rPr>
        <w:t>.</w:t>
      </w:r>
      <w:r w:rsidR="00CE6F96">
        <w:rPr>
          <w:rFonts w:ascii="ZWAdobeF" w:hAnsi="ZWAdobeF" w:cs="ZWAdobeF"/>
          <w:color w:val="auto"/>
          <w:sz w:val="2"/>
          <w:szCs w:val="2"/>
        </w:rPr>
        <w:t>17F</w:t>
      </w:r>
      <w:r w:rsidRPr="001D0305">
        <w:rPr>
          <w:rStyle w:val="FootnoteReference"/>
          <w:color w:val="44546A" w:themeColor="text2"/>
        </w:rPr>
        <w:footnoteReference w:id="19"/>
      </w:r>
      <w:r w:rsidRPr="001D0305">
        <w:rPr>
          <w:color w:val="44546A" w:themeColor="text2"/>
        </w:rPr>
        <w:t xml:space="preserve"> </w:t>
      </w:r>
    </w:p>
    <w:p w14:paraId="6DF35CE1" w14:textId="4FE00F1A" w:rsidR="00EF69C8" w:rsidRPr="001D0305" w:rsidRDefault="00C534C4" w:rsidP="00EF69C8">
      <w:pPr>
        <w:spacing w:line="240" w:lineRule="auto"/>
        <w:rPr>
          <w:color w:val="44546A" w:themeColor="text2"/>
        </w:rPr>
      </w:pPr>
      <w:r>
        <w:rPr>
          <w:color w:val="44546A" w:themeColor="text2"/>
        </w:rPr>
        <w:t>The same scope of activity that was applied in the Cost Driver analysis has also been applied in this section</w:t>
      </w:r>
      <w:r w:rsidR="008E1600">
        <w:rPr>
          <w:color w:val="44546A" w:themeColor="text2"/>
        </w:rPr>
        <w:t xml:space="preserve">. </w:t>
      </w:r>
      <w:r w:rsidR="00EF69C8" w:rsidRPr="00CA1288">
        <w:rPr>
          <w:color w:val="44546A" w:themeColor="text2"/>
        </w:rPr>
        <w:t xml:space="preserve">Costs for ABF hospitals </w:t>
      </w:r>
      <w:r w:rsidR="008E1600">
        <w:rPr>
          <w:color w:val="44546A" w:themeColor="text2"/>
        </w:rPr>
        <w:t xml:space="preserve">and selected activity streams </w:t>
      </w:r>
      <w:r w:rsidR="00EF69C8" w:rsidRPr="00CA1288">
        <w:rPr>
          <w:color w:val="44546A" w:themeColor="text2"/>
        </w:rPr>
        <w:t xml:space="preserve">in </w:t>
      </w:r>
      <w:r w:rsidR="00B33D4A">
        <w:rPr>
          <w:color w:val="44546A" w:themeColor="text2"/>
        </w:rPr>
        <w:t>Queensland</w:t>
      </w:r>
      <w:r w:rsidR="00EF69C8" w:rsidRPr="00BB0BE5">
        <w:rPr>
          <w:color w:val="44546A" w:themeColor="text2"/>
        </w:rPr>
        <w:t xml:space="preserve"> </w:t>
      </w:r>
      <w:r w:rsidR="00EF69C8" w:rsidRPr="00CA1288">
        <w:rPr>
          <w:color w:val="44546A" w:themeColor="text2"/>
        </w:rPr>
        <w:t xml:space="preserve">in 2023-24 were </w:t>
      </w:r>
      <w:r w:rsidR="00EF69C8" w:rsidRPr="00CA1288">
        <w:rPr>
          <w:b/>
          <w:color w:val="44546A" w:themeColor="text2"/>
        </w:rPr>
        <w:t>$</w:t>
      </w:r>
      <w:r w:rsidR="000D5122">
        <w:rPr>
          <w:b/>
          <w:color w:val="44546A" w:themeColor="text2"/>
        </w:rPr>
        <w:t>15.98</w:t>
      </w:r>
      <w:r>
        <w:rPr>
          <w:b/>
          <w:color w:val="44546A" w:themeColor="text2"/>
        </w:rPr>
        <w:t> </w:t>
      </w:r>
      <w:r w:rsidR="00EF69C8" w:rsidRPr="00CA1288">
        <w:rPr>
          <w:b/>
          <w:color w:val="44546A" w:themeColor="text2"/>
        </w:rPr>
        <w:t>billion</w:t>
      </w:r>
      <w:r w:rsidR="00EF69C8" w:rsidRPr="00BB0BE5">
        <w:rPr>
          <w:rStyle w:val="CommentReference"/>
          <w:color w:val="44546A" w:themeColor="text2"/>
        </w:rPr>
        <w:t>.</w:t>
      </w:r>
      <w:r w:rsidR="00EF69C8" w:rsidRPr="00CA1288">
        <w:rPr>
          <w:color w:val="44546A" w:themeColor="text2"/>
        </w:rPr>
        <w:t xml:space="preserve"> </w:t>
      </w:r>
      <w:r w:rsidR="00B33D4A">
        <w:rPr>
          <w:color w:val="44546A" w:themeColor="text2"/>
        </w:rPr>
        <w:t>Queensland</w:t>
      </w:r>
      <w:r w:rsidR="00EF69C8" w:rsidRPr="00CA1288">
        <w:rPr>
          <w:color w:val="44546A" w:themeColor="text2"/>
        </w:rPr>
        <w:t xml:space="preserve"> is the </w:t>
      </w:r>
      <w:r w:rsidR="00EF69C8">
        <w:rPr>
          <w:color w:val="44546A" w:themeColor="text2"/>
        </w:rPr>
        <w:t>third</w:t>
      </w:r>
      <w:r w:rsidR="00EF69C8" w:rsidRPr="00CA1288">
        <w:rPr>
          <w:color w:val="44546A" w:themeColor="text2"/>
        </w:rPr>
        <w:t xml:space="preserve"> largest contributor to the NHCDC nationally.</w:t>
      </w:r>
    </w:p>
    <w:p w14:paraId="2C3F0A64" w14:textId="3434E5EC" w:rsidR="00EF69C8" w:rsidRPr="001D0305" w:rsidRDefault="00EF69C8" w:rsidP="00EF69C8">
      <w:pPr>
        <w:spacing w:line="240" w:lineRule="auto"/>
        <w:rPr>
          <w:color w:val="44546A" w:themeColor="text2"/>
        </w:rPr>
      </w:pPr>
      <w:r w:rsidRPr="005D1D70">
        <w:rPr>
          <w:color w:val="44546A" w:themeColor="text2"/>
        </w:rPr>
        <w:t xml:space="preserve">The total number of costed ABF hospital episodes in </w:t>
      </w:r>
      <w:r>
        <w:rPr>
          <w:color w:val="44546A" w:themeColor="text2"/>
        </w:rPr>
        <w:t>2023</w:t>
      </w:r>
      <w:r w:rsidRPr="005D1D70">
        <w:rPr>
          <w:color w:val="44546A" w:themeColor="text2"/>
        </w:rPr>
        <w:t xml:space="preserve">-24 was </w:t>
      </w:r>
      <w:r>
        <w:rPr>
          <w:b/>
          <w:color w:val="44546A" w:themeColor="text2"/>
        </w:rPr>
        <w:t>10.51</w:t>
      </w:r>
      <w:r w:rsidRPr="005D1D70">
        <w:rPr>
          <w:b/>
          <w:color w:val="44546A" w:themeColor="text2"/>
        </w:rPr>
        <w:t xml:space="preserve"> million</w:t>
      </w:r>
      <w:r w:rsidRPr="005D1D70">
        <w:rPr>
          <w:color w:val="44546A" w:themeColor="text2"/>
        </w:rPr>
        <w:t xml:space="preserve">, </w:t>
      </w:r>
      <w:r w:rsidR="00157665">
        <w:rPr>
          <w:color w:val="44546A" w:themeColor="text2"/>
        </w:rPr>
        <w:t xml:space="preserve">representing </w:t>
      </w:r>
      <w:r>
        <w:rPr>
          <w:color w:val="44546A" w:themeColor="text2"/>
        </w:rPr>
        <w:t xml:space="preserve">a </w:t>
      </w:r>
      <w:r w:rsidRPr="005D1D70">
        <w:rPr>
          <w:color w:val="44546A" w:themeColor="text2"/>
        </w:rPr>
        <w:t>growth</w:t>
      </w:r>
      <w:r>
        <w:rPr>
          <w:color w:val="44546A" w:themeColor="text2"/>
        </w:rPr>
        <w:t xml:space="preserve"> </w:t>
      </w:r>
      <w:r w:rsidRPr="005D1D70">
        <w:rPr>
          <w:color w:val="44546A" w:themeColor="text2"/>
        </w:rPr>
        <w:t xml:space="preserve">of </w:t>
      </w:r>
      <w:r>
        <w:rPr>
          <w:b/>
          <w:color w:val="44546A" w:themeColor="text2"/>
        </w:rPr>
        <w:t>5.1</w:t>
      </w:r>
      <w:r w:rsidRPr="005D1D70">
        <w:rPr>
          <w:b/>
          <w:color w:val="44546A" w:themeColor="text2"/>
        </w:rPr>
        <w:t>%</w:t>
      </w:r>
      <w:r w:rsidRPr="005D1D70">
        <w:rPr>
          <w:color w:val="44546A" w:themeColor="text2"/>
        </w:rPr>
        <w:t xml:space="preserve"> since </w:t>
      </w:r>
      <w:r>
        <w:rPr>
          <w:color w:val="44546A" w:themeColor="text2"/>
        </w:rPr>
        <w:t>2022-23</w:t>
      </w:r>
      <w:r w:rsidRPr="005D1D70">
        <w:rPr>
          <w:color w:val="44546A" w:themeColor="text2"/>
        </w:rPr>
        <w:t>.</w:t>
      </w:r>
      <w:r>
        <w:rPr>
          <w:color w:val="44546A" w:themeColor="text2"/>
        </w:rPr>
        <w:t xml:space="preserve"> </w:t>
      </w:r>
      <w:r w:rsidR="00B33D4A">
        <w:rPr>
          <w:color w:val="44546A" w:themeColor="text2"/>
        </w:rPr>
        <w:t>Queensland</w:t>
      </w:r>
      <w:r>
        <w:rPr>
          <w:color w:val="44546A" w:themeColor="text2"/>
        </w:rPr>
        <w:t xml:space="preserve"> ABF hospital episodes </w:t>
      </w:r>
      <w:r w:rsidR="00374F4B">
        <w:rPr>
          <w:color w:val="44546A" w:themeColor="text2"/>
        </w:rPr>
        <w:t xml:space="preserve">made </w:t>
      </w:r>
      <w:r>
        <w:rPr>
          <w:color w:val="44546A" w:themeColor="text2"/>
        </w:rPr>
        <w:t xml:space="preserve">up </w:t>
      </w:r>
      <w:r>
        <w:rPr>
          <w:b/>
          <w:bCs/>
          <w:color w:val="44546A" w:themeColor="text2"/>
        </w:rPr>
        <w:t>24.2% of national ABF episodes for 2023-24.</w:t>
      </w:r>
    </w:p>
    <w:p w14:paraId="097E727A" w14:textId="5FA09F3C" w:rsidR="00EF69C8" w:rsidRPr="001D0305" w:rsidRDefault="00B33D4A" w:rsidP="00EF69C8">
      <w:pPr>
        <w:spacing w:line="240" w:lineRule="auto"/>
        <w:rPr>
          <w:color w:val="44546A" w:themeColor="text2"/>
        </w:rPr>
      </w:pPr>
      <w:r>
        <w:rPr>
          <w:color w:val="44546A" w:themeColor="text2"/>
        </w:rPr>
        <w:t>Queensland</w:t>
      </w:r>
      <w:r w:rsidR="00EF69C8" w:rsidRPr="000F3664">
        <w:rPr>
          <w:color w:val="44546A" w:themeColor="text2"/>
        </w:rPr>
        <w:t xml:space="preserve"> delivered </w:t>
      </w:r>
      <w:r w:rsidR="00EF69C8" w:rsidRPr="000F3664">
        <w:rPr>
          <w:b/>
          <w:color w:val="44546A" w:themeColor="text2"/>
        </w:rPr>
        <w:t>2.</w:t>
      </w:r>
      <w:r w:rsidR="00EF69C8">
        <w:rPr>
          <w:b/>
          <w:color w:val="44546A" w:themeColor="text2"/>
        </w:rPr>
        <w:t>50</w:t>
      </w:r>
      <w:r w:rsidR="00EF69C8" w:rsidRPr="000F3664">
        <w:rPr>
          <w:b/>
          <w:color w:val="44546A" w:themeColor="text2"/>
        </w:rPr>
        <w:t xml:space="preserve"> million </w:t>
      </w:r>
      <w:r w:rsidR="00EF69C8" w:rsidRPr="000F3664">
        <w:rPr>
          <w:color w:val="44546A" w:themeColor="text2"/>
        </w:rPr>
        <w:t>GWAU</w:t>
      </w:r>
      <w:r w:rsidR="00157665">
        <w:rPr>
          <w:color w:val="44546A" w:themeColor="text2"/>
        </w:rPr>
        <w:t xml:space="preserve"> in 2023-24</w:t>
      </w:r>
      <w:r w:rsidR="00CE6F96">
        <w:rPr>
          <w:rFonts w:ascii="ZWAdobeF" w:hAnsi="ZWAdobeF" w:cs="ZWAdobeF"/>
          <w:color w:val="auto"/>
          <w:sz w:val="2"/>
          <w:szCs w:val="2"/>
        </w:rPr>
        <w:t>18F</w:t>
      </w:r>
      <w:r w:rsidR="00EF69C8" w:rsidRPr="000F3664">
        <w:rPr>
          <w:rStyle w:val="FootnoteReference"/>
          <w:color w:val="44546A" w:themeColor="text2"/>
        </w:rPr>
        <w:footnoteReference w:id="20"/>
      </w:r>
      <w:r w:rsidR="00EF69C8" w:rsidRPr="000F3664">
        <w:rPr>
          <w:color w:val="44546A" w:themeColor="text2"/>
        </w:rPr>
        <w:t xml:space="preserve">, </w:t>
      </w:r>
      <w:r w:rsidR="00EF69C8">
        <w:rPr>
          <w:color w:val="44546A" w:themeColor="text2"/>
        </w:rPr>
        <w:t xml:space="preserve">with a growth of </w:t>
      </w:r>
      <w:r w:rsidR="00EF69C8">
        <w:rPr>
          <w:b/>
          <w:color w:val="44546A" w:themeColor="text2"/>
        </w:rPr>
        <w:t>4.9</w:t>
      </w:r>
      <w:r w:rsidR="00EF69C8" w:rsidRPr="000F3664">
        <w:rPr>
          <w:b/>
          <w:color w:val="44546A" w:themeColor="text2"/>
        </w:rPr>
        <w:t>%</w:t>
      </w:r>
      <w:r w:rsidR="00EF69C8" w:rsidRPr="000F3664">
        <w:rPr>
          <w:color w:val="44546A" w:themeColor="text2"/>
        </w:rPr>
        <w:t xml:space="preserve"> since 2022</w:t>
      </w:r>
      <w:r w:rsidR="00EF69C8">
        <w:rPr>
          <w:color w:val="44546A" w:themeColor="text2"/>
        </w:rPr>
        <w:noBreakHyphen/>
      </w:r>
      <w:r w:rsidR="00EF69C8" w:rsidRPr="000F3664">
        <w:rPr>
          <w:color w:val="44546A" w:themeColor="text2"/>
        </w:rPr>
        <w:t>23</w:t>
      </w:r>
      <w:r w:rsidR="00EF69C8">
        <w:rPr>
          <w:color w:val="44546A" w:themeColor="text2"/>
        </w:rPr>
        <w:t xml:space="preserve">. </w:t>
      </w:r>
      <w:r>
        <w:rPr>
          <w:color w:val="44546A" w:themeColor="text2"/>
        </w:rPr>
        <w:t>Queensland</w:t>
      </w:r>
      <w:r w:rsidR="00EF69C8">
        <w:rPr>
          <w:color w:val="44546A" w:themeColor="text2"/>
        </w:rPr>
        <w:t xml:space="preserve"> GWAU </w:t>
      </w:r>
      <w:r w:rsidR="00EF69C8" w:rsidRPr="000F3664">
        <w:rPr>
          <w:color w:val="44546A" w:themeColor="text2"/>
        </w:rPr>
        <w:t>represent</w:t>
      </w:r>
      <w:r w:rsidR="00EF69C8">
        <w:rPr>
          <w:color w:val="44546A" w:themeColor="text2"/>
        </w:rPr>
        <w:t>s</w:t>
      </w:r>
      <w:r w:rsidR="00EF69C8" w:rsidRPr="000F3664">
        <w:rPr>
          <w:color w:val="44546A" w:themeColor="text2"/>
        </w:rPr>
        <w:t xml:space="preserve"> </w:t>
      </w:r>
      <w:r w:rsidR="00EF69C8" w:rsidRPr="000F3664">
        <w:rPr>
          <w:b/>
          <w:color w:val="44546A" w:themeColor="text2"/>
        </w:rPr>
        <w:t>2</w:t>
      </w:r>
      <w:r w:rsidR="00EF69C8">
        <w:rPr>
          <w:b/>
          <w:color w:val="44546A" w:themeColor="text2"/>
        </w:rPr>
        <w:t>4.1</w:t>
      </w:r>
      <w:r w:rsidR="00EF69C8" w:rsidRPr="000F3664">
        <w:rPr>
          <w:b/>
          <w:color w:val="44546A" w:themeColor="text2"/>
        </w:rPr>
        <w:t>%</w:t>
      </w:r>
      <w:r w:rsidR="00EF69C8" w:rsidRPr="000F3664">
        <w:rPr>
          <w:color w:val="44546A" w:themeColor="text2"/>
        </w:rPr>
        <w:t xml:space="preserve"> of weighted activity nationally</w:t>
      </w:r>
      <w:r w:rsidR="00EF69C8">
        <w:rPr>
          <w:color w:val="44546A" w:themeColor="text2"/>
        </w:rPr>
        <w:t>.</w:t>
      </w:r>
    </w:p>
    <w:p w14:paraId="52FA651F" w14:textId="6316627C" w:rsidR="00EF69C8" w:rsidRPr="001D0305" w:rsidRDefault="00EF69C8" w:rsidP="00EF69C8">
      <w:pPr>
        <w:spacing w:line="240" w:lineRule="auto"/>
        <w:rPr>
          <w:color w:val="44546A" w:themeColor="text2"/>
        </w:rPr>
      </w:pPr>
      <w:r w:rsidRPr="001D0305">
        <w:rPr>
          <w:color w:val="44546A" w:themeColor="text2"/>
        </w:rPr>
        <w:t xml:space="preserve">The average cost per GWAU in </w:t>
      </w:r>
      <w:r w:rsidR="00B33D4A">
        <w:rPr>
          <w:color w:val="44546A" w:themeColor="text2"/>
        </w:rPr>
        <w:t>Queensland</w:t>
      </w:r>
      <w:r w:rsidRPr="001D0305">
        <w:rPr>
          <w:color w:val="44546A" w:themeColor="text2"/>
        </w:rPr>
        <w:t xml:space="preserve"> was </w:t>
      </w:r>
      <w:r w:rsidRPr="001D0305">
        <w:rPr>
          <w:b/>
          <w:color w:val="44546A" w:themeColor="text2"/>
        </w:rPr>
        <w:t>$</w:t>
      </w:r>
      <w:r>
        <w:rPr>
          <w:b/>
          <w:color w:val="44546A" w:themeColor="text2"/>
        </w:rPr>
        <w:t>6,</w:t>
      </w:r>
      <w:r w:rsidR="00EF54D7">
        <w:rPr>
          <w:b/>
          <w:color w:val="44546A" w:themeColor="text2"/>
        </w:rPr>
        <w:t>383</w:t>
      </w:r>
      <w:r w:rsidR="00EF54D7" w:rsidRPr="001D0305">
        <w:rPr>
          <w:b/>
          <w:color w:val="44546A" w:themeColor="text2"/>
        </w:rPr>
        <w:t xml:space="preserve"> </w:t>
      </w:r>
      <w:r w:rsidRPr="001D0305">
        <w:rPr>
          <w:color w:val="44546A" w:themeColor="text2"/>
        </w:rPr>
        <w:t xml:space="preserve">in </w:t>
      </w:r>
      <w:r w:rsidRPr="001D0305">
        <w:rPr>
          <w:bCs/>
          <w:color w:val="44546A" w:themeColor="text2"/>
        </w:rPr>
        <w:t>2023</w:t>
      </w:r>
      <w:r w:rsidRPr="001D0305">
        <w:rPr>
          <w:color w:val="44546A" w:themeColor="text2"/>
        </w:rPr>
        <w:t xml:space="preserve">-24, representing growth of </w:t>
      </w:r>
      <w:r>
        <w:rPr>
          <w:b/>
          <w:color w:val="44546A" w:themeColor="text2"/>
        </w:rPr>
        <w:t>2.</w:t>
      </w:r>
      <w:r w:rsidR="00EF54D7">
        <w:rPr>
          <w:b/>
          <w:color w:val="44546A" w:themeColor="text2"/>
        </w:rPr>
        <w:t>0</w:t>
      </w:r>
      <w:r w:rsidRPr="001D0305">
        <w:rPr>
          <w:b/>
          <w:color w:val="44546A" w:themeColor="text2"/>
        </w:rPr>
        <w:t>%</w:t>
      </w:r>
      <w:r w:rsidRPr="001D0305">
        <w:rPr>
          <w:color w:val="44546A" w:themeColor="text2"/>
        </w:rPr>
        <w:t xml:space="preserve"> since 2022-23.</w:t>
      </w:r>
    </w:p>
    <w:p w14:paraId="4BD5211E" w14:textId="74AABD57" w:rsidR="00F04A5A" w:rsidRDefault="00EF69C8" w:rsidP="00856ABF">
      <w:pPr>
        <w:rPr>
          <w:color w:val="44546A" w:themeColor="text2"/>
        </w:rPr>
      </w:pPr>
      <w:r w:rsidRPr="00D5279F">
        <w:rPr>
          <w:color w:val="44546A" w:themeColor="text2"/>
        </w:rPr>
        <w:t xml:space="preserve">Overall, </w:t>
      </w:r>
      <w:r w:rsidR="00B33D4A">
        <w:rPr>
          <w:color w:val="44546A" w:themeColor="text2"/>
        </w:rPr>
        <w:t>Queensland</w:t>
      </w:r>
      <w:r w:rsidRPr="00D5279F">
        <w:rPr>
          <w:color w:val="44546A" w:themeColor="text2"/>
        </w:rPr>
        <w:t xml:space="preserve"> has had </w:t>
      </w:r>
      <w:r>
        <w:rPr>
          <w:color w:val="44546A" w:themeColor="text2"/>
        </w:rPr>
        <w:t xml:space="preserve">moderate </w:t>
      </w:r>
      <w:r w:rsidRPr="00D5279F">
        <w:rPr>
          <w:color w:val="44546A" w:themeColor="text2"/>
        </w:rPr>
        <w:t>growth in episodes (</w:t>
      </w:r>
      <w:r>
        <w:rPr>
          <w:color w:val="44546A" w:themeColor="text2"/>
        </w:rPr>
        <w:t>5</w:t>
      </w:r>
      <w:r w:rsidRPr="00D5279F">
        <w:rPr>
          <w:color w:val="44546A" w:themeColor="text2"/>
        </w:rPr>
        <w:t xml:space="preserve">.1%) matched by </w:t>
      </w:r>
      <w:r>
        <w:rPr>
          <w:color w:val="44546A" w:themeColor="text2"/>
        </w:rPr>
        <w:t>similar</w:t>
      </w:r>
      <w:r w:rsidRPr="00D5279F">
        <w:rPr>
          <w:color w:val="44546A" w:themeColor="text2"/>
        </w:rPr>
        <w:t xml:space="preserve"> growth in GWAU (</w:t>
      </w:r>
      <w:r>
        <w:rPr>
          <w:color w:val="44546A" w:themeColor="text2"/>
        </w:rPr>
        <w:t>4</w:t>
      </w:r>
      <w:r w:rsidRPr="00D5279F">
        <w:rPr>
          <w:color w:val="44546A" w:themeColor="text2"/>
        </w:rPr>
        <w:t>.</w:t>
      </w:r>
      <w:r>
        <w:rPr>
          <w:color w:val="44546A" w:themeColor="text2"/>
        </w:rPr>
        <w:t>9</w:t>
      </w:r>
      <w:r w:rsidRPr="00D5279F">
        <w:rPr>
          <w:color w:val="44546A" w:themeColor="text2"/>
        </w:rPr>
        <w:t xml:space="preserve">%). </w:t>
      </w:r>
      <w:r>
        <w:rPr>
          <w:color w:val="44546A" w:themeColor="text2"/>
        </w:rPr>
        <w:t>C</w:t>
      </w:r>
      <w:r w:rsidRPr="00B2750D">
        <w:rPr>
          <w:color w:val="44546A" w:themeColor="text2"/>
        </w:rPr>
        <w:t xml:space="preserve">ost growth per GWAU in the range of 3-4% is expected in the context of an inflationary environment and year-on-year EBA wage rises for healthcare workers. </w:t>
      </w:r>
      <w:r w:rsidR="00B33D4A">
        <w:rPr>
          <w:color w:val="44546A" w:themeColor="text2"/>
        </w:rPr>
        <w:t>Queensland</w:t>
      </w:r>
      <w:r w:rsidRPr="00B2750D">
        <w:rPr>
          <w:color w:val="44546A" w:themeColor="text2"/>
        </w:rPr>
        <w:t>’s average cost per GWAU growth of 2.</w:t>
      </w:r>
      <w:r w:rsidR="00EA4D59">
        <w:rPr>
          <w:color w:val="44546A" w:themeColor="text2"/>
        </w:rPr>
        <w:t>0</w:t>
      </w:r>
      <w:r w:rsidRPr="00B2750D">
        <w:rPr>
          <w:color w:val="44546A" w:themeColor="text2"/>
        </w:rPr>
        <w:t xml:space="preserve">% is lower than </w:t>
      </w:r>
      <w:r w:rsidR="00374F4B">
        <w:rPr>
          <w:color w:val="44546A" w:themeColor="text2"/>
        </w:rPr>
        <w:t>expected</w:t>
      </w:r>
      <w:r w:rsidR="00725DA8">
        <w:rPr>
          <w:color w:val="44546A" w:themeColor="text2"/>
        </w:rPr>
        <w:t>.</w:t>
      </w:r>
    </w:p>
    <w:p w14:paraId="28E7A219" w14:textId="4A478B4A" w:rsidR="00EF69C8" w:rsidRDefault="00EF69C8" w:rsidP="00EF69C8">
      <w:pPr>
        <w:pStyle w:val="Heading3"/>
      </w:pPr>
      <w:r>
        <w:lastRenderedPageBreak/>
        <w:t xml:space="preserve">Cost </w:t>
      </w:r>
      <w:r w:rsidR="00EF7DDE">
        <w:t>D</w:t>
      </w:r>
      <w:r>
        <w:t>river analysis by activity stream</w:t>
      </w:r>
    </w:p>
    <w:p w14:paraId="74194005" w14:textId="6BA8AD06" w:rsidR="00CB197E" w:rsidRPr="001D0305" w:rsidRDefault="00CB197E" w:rsidP="00EA0F54">
      <w:pPr>
        <w:rPr>
          <w:color w:val="44546A" w:themeColor="text2"/>
        </w:rPr>
      </w:pPr>
      <w:r w:rsidRPr="001D0305">
        <w:t xml:space="preserve">Analysis was undertaken on the </w:t>
      </w:r>
      <w:r>
        <w:rPr>
          <w:color w:val="44546A" w:themeColor="text2"/>
        </w:rPr>
        <w:t>NHCDC 2023-24</w:t>
      </w:r>
      <w:r w:rsidRPr="001D0305">
        <w:rPr>
          <w:color w:val="44546A" w:themeColor="text2"/>
        </w:rPr>
        <w:t xml:space="preserve"> submission to understand how submitted activity and cost have changed since 2022-23 and whether any drivers of change could be identified. This analysis considered a subset of the submitted cost data, focusing on 5 key activity streams: </w:t>
      </w:r>
    </w:p>
    <w:p w14:paraId="07BA032B" w14:textId="77777777" w:rsidR="00CB197E" w:rsidRPr="001D0305" w:rsidRDefault="00CB197E" w:rsidP="00EA0F54">
      <w:pPr>
        <w:pStyle w:val="ListParagraph"/>
        <w:numPr>
          <w:ilvl w:val="0"/>
          <w:numId w:val="19"/>
        </w:numPr>
        <w:rPr>
          <w:color w:val="44546A" w:themeColor="text2"/>
        </w:rPr>
      </w:pPr>
      <w:r w:rsidRPr="001D0305">
        <w:t>Admitted acute</w:t>
      </w:r>
      <w:r>
        <w:rPr>
          <w:color w:val="44546A" w:themeColor="text2"/>
        </w:rPr>
        <w:t>,</w:t>
      </w:r>
    </w:p>
    <w:p w14:paraId="06184C23" w14:textId="77777777" w:rsidR="00CB197E" w:rsidRPr="001D0305" w:rsidRDefault="00CB197E" w:rsidP="00EA0F54">
      <w:pPr>
        <w:pStyle w:val="ListParagraph"/>
        <w:numPr>
          <w:ilvl w:val="0"/>
          <w:numId w:val="19"/>
        </w:numPr>
      </w:pPr>
      <w:r w:rsidRPr="001D0305">
        <w:t xml:space="preserve">Non-admitted care, </w:t>
      </w:r>
    </w:p>
    <w:p w14:paraId="6D2D8113" w14:textId="77777777" w:rsidR="00CB197E" w:rsidRPr="001D0305" w:rsidRDefault="00CB197E" w:rsidP="00EA0F54">
      <w:pPr>
        <w:pStyle w:val="ListParagraph"/>
        <w:numPr>
          <w:ilvl w:val="0"/>
          <w:numId w:val="19"/>
        </w:numPr>
      </w:pPr>
      <w:r w:rsidRPr="001D0305">
        <w:t>Subacute and non-acute care,</w:t>
      </w:r>
    </w:p>
    <w:p w14:paraId="05BDB61C" w14:textId="55B1CC1D" w:rsidR="00CB197E" w:rsidRPr="001D0305" w:rsidRDefault="005E5D7C" w:rsidP="00EA0F54">
      <w:pPr>
        <w:pStyle w:val="ListParagraph"/>
        <w:numPr>
          <w:ilvl w:val="0"/>
          <w:numId w:val="19"/>
        </w:numPr>
      </w:pPr>
      <w:r>
        <w:t>ED</w:t>
      </w:r>
      <w:r w:rsidR="00CB197E" w:rsidRPr="001D0305">
        <w:t xml:space="preserve"> care and, </w:t>
      </w:r>
    </w:p>
    <w:p w14:paraId="59FFFB8E" w14:textId="77777777" w:rsidR="00CB197E" w:rsidRPr="001D0305" w:rsidRDefault="00CB197E" w:rsidP="00EA0F54">
      <w:pPr>
        <w:pStyle w:val="ListParagraph"/>
        <w:numPr>
          <w:ilvl w:val="0"/>
          <w:numId w:val="19"/>
        </w:numPr>
      </w:pPr>
      <w:r w:rsidRPr="001D0305">
        <w:t xml:space="preserve">Mental health care (with mental health split by admitted and community). </w:t>
      </w:r>
    </w:p>
    <w:p w14:paraId="4C6256F1" w14:textId="474B262C" w:rsidR="00CB197E" w:rsidRPr="001D0305" w:rsidRDefault="00CB197E" w:rsidP="00EA0F54">
      <w:pPr>
        <w:rPr>
          <w:color w:val="44546A" w:themeColor="text2"/>
        </w:rPr>
      </w:pPr>
      <w:r w:rsidRPr="001D0305">
        <w:t>A su</w:t>
      </w:r>
      <w:r w:rsidRPr="00BB0BE5">
        <w:rPr>
          <w:color w:val="44546A" w:themeColor="text2"/>
        </w:rPr>
        <w:t xml:space="preserve">mmary of the analysis is presented in the sections below. In this analysis, GWAU </w:t>
      </w:r>
      <w:r w:rsidR="00381DD7" w:rsidRPr="00BB0BE5">
        <w:rPr>
          <w:color w:val="44546A" w:themeColor="text2"/>
        </w:rPr>
        <w:t>was</w:t>
      </w:r>
      <w:r w:rsidRPr="00BB0BE5">
        <w:rPr>
          <w:color w:val="44546A" w:themeColor="text2"/>
        </w:rPr>
        <w:t xml:space="preserve"> used as a standardised activity unit, accounting for the relative complexity and resource intensity associated with treating patients. Furthermore, the results below are related to activity and cost submitted for </w:t>
      </w:r>
      <w:r w:rsidRPr="001D0305">
        <w:rPr>
          <w:b/>
          <w:color w:val="44546A" w:themeColor="text2"/>
        </w:rPr>
        <w:t>ABF hospitals only</w:t>
      </w:r>
      <w:r w:rsidRPr="001D0305">
        <w:rPr>
          <w:color w:val="44546A" w:themeColor="text2"/>
        </w:rPr>
        <w:t xml:space="preserve"> unless stated otherwise. </w:t>
      </w:r>
    </w:p>
    <w:p w14:paraId="24D03C4B" w14:textId="3F947149" w:rsidR="00CB197E" w:rsidRDefault="00157665" w:rsidP="00BA2C7A">
      <w:pPr>
        <w:pStyle w:val="Caption"/>
        <w:keepNext/>
      </w:pPr>
      <w:r>
        <w:rPr>
          <w:noProof/>
        </w:rPr>
        <mc:AlternateContent>
          <mc:Choice Requires="wpg">
            <w:drawing>
              <wp:anchor distT="0" distB="0" distL="114300" distR="114300" simplePos="0" relativeHeight="251658303" behindDoc="0" locked="0" layoutInCell="1" allowOverlap="1" wp14:anchorId="7D9AA8CC" wp14:editId="01B7052E">
                <wp:simplePos x="0" y="0"/>
                <wp:positionH relativeFrom="column">
                  <wp:posOffset>482695</wp:posOffset>
                </wp:positionH>
                <wp:positionV relativeFrom="paragraph">
                  <wp:posOffset>253892</wp:posOffset>
                </wp:positionV>
                <wp:extent cx="1691005" cy="762000"/>
                <wp:effectExtent l="0" t="0" r="4445" b="0"/>
                <wp:wrapTopAndBottom/>
                <wp:docPr id="1190487249" name="Group 10" descr="P18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91005" cy="762000"/>
                          <a:chOff x="-216133" y="0"/>
                          <a:chExt cx="1694706" cy="762202"/>
                        </a:xfrm>
                      </wpg:grpSpPr>
                      <pic:pic xmlns:pic="http://schemas.openxmlformats.org/drawingml/2006/picture">
                        <pic:nvPicPr>
                          <pic:cNvPr id="1777136740" name="Graphic 3" descr="Inpatient outline"/>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430242" y="0"/>
                            <a:ext cx="402590" cy="393065"/>
                          </a:xfrm>
                          <a:prstGeom prst="rect">
                            <a:avLst/>
                          </a:prstGeom>
                        </pic:spPr>
                      </pic:pic>
                      <wps:wsp>
                        <wps:cNvPr id="1768846977" name="TextBox 4"/>
                        <wps:cNvSpPr txBox="1"/>
                        <wps:spPr>
                          <a:xfrm>
                            <a:off x="-216133" y="405238"/>
                            <a:ext cx="1694706" cy="356964"/>
                          </a:xfrm>
                          <a:prstGeom prst="rect">
                            <a:avLst/>
                          </a:prstGeom>
                          <a:noFill/>
                          <a:ln>
                            <a:noFill/>
                          </a:ln>
                        </wps:spPr>
                        <wps:txbx>
                          <w:txbxContent>
                            <w:p w14:paraId="58FE8B06" w14:textId="4AE2CCDD" w:rsidR="00167419" w:rsidRDefault="00FE3C18"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Episodes</w:t>
                              </w:r>
                              <w:r w:rsidR="00167419">
                                <w:rPr>
                                  <w:rFonts w:asciiTheme="minorHAnsi"/>
                                  <w:b/>
                                  <w:bCs/>
                                  <w:color w:val="404040" w:themeColor="text1" w:themeTint="BF"/>
                                  <w:kern w:val="24"/>
                                </w:rPr>
                                <w:t xml:space="preserve"> </w:t>
                              </w:r>
                            </w:p>
                            <w:p w14:paraId="38284AB5" w14:textId="77777777" w:rsidR="00167419" w:rsidRDefault="00167419"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wps:txbx>
                        <wps:bodyPr wrap="square" lIns="0" tIns="0" rIns="0" bIns="0" rtlCol="0">
                          <a:spAutoFit/>
                        </wps:bodyPr>
                      </wps:wsp>
                    </wpg:wgp>
                  </a:graphicData>
                </a:graphic>
                <wp14:sizeRelH relativeFrom="margin">
                  <wp14:pctWidth>0</wp14:pctWidth>
                </wp14:sizeRelH>
              </wp:anchor>
            </w:drawing>
          </mc:Choice>
          <mc:Fallback>
            <w:pict>
              <v:group w14:anchorId="7D9AA8CC" id="_x0000_s1184" alt="P1891#y1" style="position:absolute;margin-left:38pt;margin-top:20pt;width:133.15pt;height:60pt;z-index:251658303;mso-position-horizontal-relative:text;mso-position-vertical-relative:text;mso-width-relative:margin" coordorigin="-2161" coordsize="16947,76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">
                <v:shape id="Graphic 3" o:spid="_x0000_s1185" type="#_x0000_t75" alt="Inpatient outline" style="position:absolute;left:4302;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">
                  <v:imagedata r:id="rId41" o:title="Inpatient outline"/>
                </v:shape>
                <v:shape id="TextBox 4" o:spid="_x0000_s1186" type="#_x0000_t202" style="position:absolute;left:-2161;top:4052;width:16946;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" filled="f" stroked="f">
                  <v:textbox style="mso-fit-shape-to-text:t" inset="0,0,0,0">
                    <w:txbxContent>
                      <w:p w14:paraId="58FE8B06" w14:textId="4AE2CCDD" w:rsidR="00167419" w:rsidRDefault="00FE3C18"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Episodes</w:t>
                        </w:r>
                        <w:r w:rsidR="00167419">
                          <w:rPr>
                            <w:rFonts w:asciiTheme="minorHAnsi"/>
                            <w:b/>
                            <w:bCs/>
                            <w:color w:val="404040" w:themeColor="text1" w:themeTint="BF"/>
                            <w:kern w:val="24"/>
                          </w:rPr>
                          <w:t xml:space="preserve"> </w:t>
                        </w:r>
                      </w:p>
                      <w:p w14:paraId="38284AB5" w14:textId="77777777" w:rsidR="00167419" w:rsidRDefault="00167419"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v:textbox>
                </v:shape>
                <w10:wrap type="topAndBottom"/>
              </v:group>
            </w:pict>
          </mc:Fallback>
        </mc:AlternateContent>
      </w:r>
      <w:r w:rsidR="00D73CD2">
        <w:t xml:space="preserve">Figure </w:t>
      </w:r>
      <w:r w:rsidR="00BD5B5E">
        <w:fldChar w:fldCharType="begin"/>
      </w:r>
      <w:r w:rsidR="00BD5B5E">
        <w:instrText xml:space="preserve"> SEQ Figure \* ARABIC </w:instrText>
      </w:r>
      <w:r w:rsidR="00BD5B5E">
        <w:fldChar w:fldCharType="separate"/>
      </w:r>
      <w:r w:rsidR="00CE6F96">
        <w:rPr>
          <w:noProof/>
        </w:rPr>
        <w:t>22</w:t>
      </w:r>
      <w:r w:rsidR="00BD5B5E">
        <w:fldChar w:fldCharType="end"/>
      </w:r>
      <w:r w:rsidR="00D73CD2">
        <w:t xml:space="preserve">: </w:t>
      </w:r>
      <w:r w:rsidR="00D73CD2" w:rsidRPr="00F24D72">
        <w:t xml:space="preserve">Growth in activity, GWAU and total cost for </w:t>
      </w:r>
      <w:r w:rsidR="00B33D4A">
        <w:t>Queensland</w:t>
      </w:r>
      <w:r w:rsidR="00D73CD2" w:rsidRPr="00F24D72">
        <w:t xml:space="preserve"> 2023-24</w:t>
      </w:r>
      <w:r w:rsidR="00167419">
        <w:rPr>
          <w:noProof/>
        </w:rPr>
        <mc:AlternateContent>
          <mc:Choice Requires="wpg">
            <w:drawing>
              <wp:anchor distT="0" distB="0" distL="114300" distR="114300" simplePos="0" relativeHeight="251658304" behindDoc="0" locked="0" layoutInCell="1" allowOverlap="1" wp14:anchorId="355D6D1C" wp14:editId="0D707F85">
                <wp:simplePos x="0" y="0"/>
                <wp:positionH relativeFrom="column">
                  <wp:posOffset>2472690</wp:posOffset>
                </wp:positionH>
                <wp:positionV relativeFrom="paragraph">
                  <wp:posOffset>254000</wp:posOffset>
                </wp:positionV>
                <wp:extent cx="1259840" cy="770256"/>
                <wp:effectExtent l="0" t="0" r="16510" b="10795"/>
                <wp:wrapTopAndBottom/>
                <wp:docPr id="1388937155" name="Group 9" descr="P1891#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56"/>
                          <a:chOff x="0" y="0"/>
                          <a:chExt cx="1260224" cy="770315"/>
                        </a:xfrm>
                      </wpg:grpSpPr>
                      <wps:wsp>
                        <wps:cNvPr id="824703158" name="TextBox 5"/>
                        <wps:cNvSpPr txBox="1"/>
                        <wps:spPr>
                          <a:xfrm>
                            <a:off x="0" y="413418"/>
                            <a:ext cx="1260224" cy="356897"/>
                          </a:xfrm>
                          <a:prstGeom prst="rect">
                            <a:avLst/>
                          </a:prstGeom>
                          <a:noFill/>
                          <a:ln>
                            <a:noFill/>
                          </a:ln>
                        </wps:spPr>
                        <wps:txbx>
                          <w:txbxContent>
                            <w:p w14:paraId="282F4CFC" w14:textId="7BD2E64B" w:rsidR="00167419" w:rsidRDefault="00FE3C18"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GWAU</w:t>
                              </w:r>
                            </w:p>
                            <w:p w14:paraId="39A935CA" w14:textId="77777777" w:rsidR="00167419" w:rsidRDefault="00167419"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wps:txbx>
                        <wps:bodyPr wrap="square" lIns="0" tIns="0" rIns="0" bIns="0" rtlCol="0">
                          <a:spAutoFit/>
                        </wps:bodyPr>
                      </wps:wsp>
                      <pic:pic xmlns:pic="http://schemas.openxmlformats.org/drawingml/2006/picture">
                        <pic:nvPicPr>
                          <pic:cNvPr id="143298056" name="Graphic 7" descr="Scales of justice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428894" y="0"/>
                            <a:ext cx="402590" cy="393065"/>
                          </a:xfrm>
                          <a:prstGeom prst="rect">
                            <a:avLst/>
                          </a:prstGeom>
                        </pic:spPr>
                      </pic:pic>
                    </wpg:wgp>
                  </a:graphicData>
                </a:graphic>
              </wp:anchor>
            </w:drawing>
          </mc:Choice>
          <mc:Fallback>
            <w:pict>
              <v:group w14:anchorId="355D6D1C" id="_x0000_s1187" alt="P1891#y2" style="position:absolute;margin-left:194.7pt;margin-top:20pt;width:99.2pt;height:60.65pt;z-index:251658304;mso-position-horizontal-relative:text;mso-position-vertical-relative:text" coordsize="12602,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">
                <v:shape id="TextBox 5" o:spid="_x0000_s1188" type="#_x0000_t202" style="position:absolute;top:4134;width:12602;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" filled="f" stroked="f">
                  <v:textbox style="mso-fit-shape-to-text:t" inset="0,0,0,0">
                    <w:txbxContent>
                      <w:p w14:paraId="282F4CFC" w14:textId="7BD2E64B" w:rsidR="00167419" w:rsidRDefault="00FE3C18"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GWAU</w:t>
                        </w:r>
                      </w:p>
                      <w:p w14:paraId="39A935CA" w14:textId="77777777" w:rsidR="00167419" w:rsidRDefault="00167419"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v:textbox>
                </v:shape>
                <v:shape id="Graphic 7" o:spid="_x0000_s1189" type="#_x0000_t75" alt="Scales of justice with solid fill" style="position:absolute;left:4288;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">
                  <v:imagedata r:id="rId38" o:title="Scales of justice with solid fill"/>
                </v:shape>
                <w10:wrap type="topAndBottom"/>
              </v:group>
            </w:pict>
          </mc:Fallback>
        </mc:AlternateContent>
      </w:r>
      <w:r w:rsidR="00167419">
        <w:rPr>
          <w:noProof/>
        </w:rPr>
        <mc:AlternateContent>
          <mc:Choice Requires="wpg">
            <w:drawing>
              <wp:anchor distT="0" distB="0" distL="114300" distR="114300" simplePos="0" relativeHeight="251658305" behindDoc="0" locked="0" layoutInCell="1" allowOverlap="1" wp14:anchorId="16483E3A" wp14:editId="65A4ABD4">
                <wp:simplePos x="0" y="0"/>
                <wp:positionH relativeFrom="column">
                  <wp:posOffset>4244340</wp:posOffset>
                </wp:positionH>
                <wp:positionV relativeFrom="paragraph">
                  <wp:posOffset>254000</wp:posOffset>
                </wp:positionV>
                <wp:extent cx="1259840" cy="770255"/>
                <wp:effectExtent l="0" t="0" r="16510" b="10795"/>
                <wp:wrapTopAndBottom/>
                <wp:docPr id="1552610963" name="Group 8" descr="P1891#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55"/>
                          <a:chOff x="0" y="0"/>
                          <a:chExt cx="1260000" cy="770314"/>
                        </a:xfrm>
                      </wpg:grpSpPr>
                      <pic:pic xmlns:pic="http://schemas.openxmlformats.org/drawingml/2006/picture">
                        <pic:nvPicPr>
                          <pic:cNvPr id="1710772997" name="Graphic 2" descr="Dollar outline"/>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429167" y="0"/>
                            <a:ext cx="402590" cy="393065"/>
                          </a:xfrm>
                          <a:prstGeom prst="rect">
                            <a:avLst/>
                          </a:prstGeom>
                        </pic:spPr>
                      </pic:pic>
                      <wps:wsp>
                        <wps:cNvPr id="1605616649" name="TextBox 6"/>
                        <wps:cNvSpPr txBox="1"/>
                        <wps:spPr>
                          <a:xfrm>
                            <a:off x="0" y="413417"/>
                            <a:ext cx="1260000" cy="356897"/>
                          </a:xfrm>
                          <a:prstGeom prst="rect">
                            <a:avLst/>
                          </a:prstGeom>
                          <a:noFill/>
                          <a:ln>
                            <a:noFill/>
                          </a:ln>
                        </wps:spPr>
                        <wps:txbx>
                          <w:txbxContent>
                            <w:p w14:paraId="01B04A80" w14:textId="4F2C9937" w:rsidR="00167419" w:rsidRDefault="00FE3C18"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costs</w:t>
                              </w:r>
                            </w:p>
                            <w:p w14:paraId="6326CF10" w14:textId="77777777" w:rsidR="00167419" w:rsidRDefault="00167419"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16483E3A" id="_x0000_s1190" alt="P1891#y3" style="position:absolute;margin-left:334.2pt;margin-top:20pt;width:99.2pt;height:60.65pt;z-index:251658305;mso-position-horizontal-relative:text;mso-position-vertical-relative:text" coordsize="12600,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">
                <v:shape id="Graphic 2" o:spid="_x0000_s1191" type="#_x0000_t75" alt="Dollar outline" style="position:absolute;left:4291;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">
                  <v:imagedata r:id="rId35" o:title="Dollar outline"/>
                </v:shape>
                <v:shape id="TextBox 6" o:spid="_x0000_s1192" type="#_x0000_t202" style="position:absolute;top:4134;width:1260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" filled="f" stroked="f">
                  <v:textbox style="mso-fit-shape-to-text:t" inset="0,0,0,0">
                    <w:txbxContent>
                      <w:p w14:paraId="01B04A80" w14:textId="4F2C9937" w:rsidR="00167419" w:rsidRDefault="00FE3C18"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costs</w:t>
                        </w:r>
                      </w:p>
                      <w:p w14:paraId="6326CF10" w14:textId="77777777" w:rsidR="00167419" w:rsidRDefault="00167419" w:rsidP="00167419">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v:textbox>
                </v:shape>
                <w10:wrap type="topAndBottom"/>
              </v:group>
            </w:pict>
          </mc:Fallback>
        </mc:AlternateContent>
      </w:r>
    </w:p>
    <w:p w14:paraId="5C7154B4" w14:textId="40148633" w:rsidR="00BA2C7A" w:rsidRDefault="00BA2C7A" w:rsidP="00EF69C8">
      <w:r>
        <w:rPr>
          <w:noProof/>
        </w:rPr>
        <w:drawing>
          <wp:inline distT="0" distB="0" distL="0" distR="0" wp14:anchorId="6E6D3727" wp14:editId="2449EC8B">
            <wp:extent cx="5895975" cy="3796030"/>
            <wp:effectExtent l="0" t="0" r="0" b="0"/>
            <wp:docPr id="1912047710" name="Chart 1" descr="P1892#yIS1">
              <a:extLst xmlns:a="http://schemas.openxmlformats.org/drawingml/2006/main">
                <a:ext uri="{FF2B5EF4-FFF2-40B4-BE49-F238E27FC236}">
                  <a16:creationId xmlns:a16="http://schemas.microsoft.com/office/drawing/2014/main" id="{9744104F-A340-D2CD-4F4A-CA61F1E51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7F16F88" w14:textId="77777777" w:rsidR="002E58CF" w:rsidRDefault="002E58CF" w:rsidP="00EF69C8"/>
    <w:p w14:paraId="24EEB521" w14:textId="475E402D" w:rsidR="00296092" w:rsidRDefault="00C00360" w:rsidP="00EC0C63">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23</w:t>
      </w:r>
      <w:r w:rsidR="00BD5B5E">
        <w:fldChar w:fldCharType="end"/>
      </w:r>
      <w:r>
        <w:t>: Average cost per GWAU</w:t>
      </w:r>
      <w:r w:rsidR="007C7AF8">
        <w:t xml:space="preserve"> - Queensland</w:t>
      </w:r>
    </w:p>
    <w:p w14:paraId="5F7EADBB" w14:textId="00B33C18" w:rsidR="00CB197E" w:rsidRDefault="002E58CF" w:rsidP="00EF69C8">
      <w:r w:rsidRPr="00296092">
        <w:rPr>
          <w:noProof/>
        </w:rPr>
        <mc:AlternateContent>
          <mc:Choice Requires="wpg">
            <w:drawing>
              <wp:anchor distT="0" distB="0" distL="114300" distR="114300" simplePos="0" relativeHeight="251658306" behindDoc="0" locked="0" layoutInCell="1" allowOverlap="1" wp14:anchorId="0C2E5988" wp14:editId="7960E1D1">
                <wp:simplePos x="0" y="0"/>
                <wp:positionH relativeFrom="margin">
                  <wp:posOffset>4977130</wp:posOffset>
                </wp:positionH>
                <wp:positionV relativeFrom="paragraph">
                  <wp:posOffset>736438</wp:posOffset>
                </wp:positionV>
                <wp:extent cx="866775" cy="2066932"/>
                <wp:effectExtent l="0" t="0" r="0" b="0"/>
                <wp:wrapNone/>
                <wp:docPr id="29" name="Group 28" descr="P1895#y1">
                  <a:extLst xmlns:a="http://schemas.openxmlformats.org/drawingml/2006/main">
                    <a:ext uri="{FF2B5EF4-FFF2-40B4-BE49-F238E27FC236}">
                      <a16:creationId xmlns:a16="http://schemas.microsoft.com/office/drawing/2014/main" id="{21CA9819-DF43-9A12-5984-BD6341A9748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775" cy="2066932"/>
                          <a:chOff x="0" y="0"/>
                          <a:chExt cx="867118" cy="2067092"/>
                        </a:xfrm>
                      </wpg:grpSpPr>
                      <wpg:grpSp>
                        <wpg:cNvPr id="392361183" name="Group 392361183">
                          <a:extLst>
                            <a:ext uri="{FF2B5EF4-FFF2-40B4-BE49-F238E27FC236}">
                              <a16:creationId xmlns:a16="http://schemas.microsoft.com/office/drawing/2014/main" id="{3E7572DE-8E58-CAA2-C729-21FBFA5AA211}"/>
                            </a:ext>
                          </a:extLst>
                        </wpg:cNvPr>
                        <wpg:cNvGrpSpPr/>
                        <wpg:grpSpPr>
                          <a:xfrm>
                            <a:off x="22220" y="865616"/>
                            <a:ext cx="844898" cy="371475"/>
                            <a:chOff x="22220" y="865616"/>
                            <a:chExt cx="844898" cy="371475"/>
                          </a:xfrm>
                        </wpg:grpSpPr>
                        <wps:wsp>
                          <wps:cNvPr id="244786962" name="Arrow: Right 244786962">
                            <a:extLst>
                              <a:ext uri="{FF2B5EF4-FFF2-40B4-BE49-F238E27FC236}">
                                <a16:creationId xmlns:a16="http://schemas.microsoft.com/office/drawing/2014/main" id="{33C4463A-9AAD-366F-F42B-9C86061D81F4}"/>
                              </a:ext>
                            </a:extLst>
                          </wps:cNvPr>
                          <wps:cNvSpPr/>
                          <wps:spPr>
                            <a:xfrm rot="16200000">
                              <a:off x="-6636" y="900324"/>
                              <a:ext cx="234525"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7797014" name="TextBox 11">
                            <a:extLst>
                              <a:ext uri="{FF2B5EF4-FFF2-40B4-BE49-F238E27FC236}">
                                <a16:creationId xmlns:a16="http://schemas.microsoft.com/office/drawing/2014/main" id="{8F7DE0D9-34E7-5F3A-4888-567128775659}"/>
                              </a:ext>
                            </a:extLst>
                          </wps:cNvPr>
                          <wps:cNvSpPr txBox="1"/>
                          <wps:spPr>
                            <a:xfrm>
                              <a:off x="231483" y="865616"/>
                              <a:ext cx="635635" cy="371475"/>
                            </a:xfrm>
                            <a:prstGeom prst="rect">
                              <a:avLst/>
                            </a:prstGeom>
                            <a:noFill/>
                          </wps:spPr>
                          <wps:txbx>
                            <w:txbxContent>
                              <w:p w14:paraId="46550855" w14:textId="3F7BD532" w:rsidR="00296092" w:rsidRDefault="00296092" w:rsidP="00296092">
                                <w:pPr>
                                  <w:rPr>
                                    <w:rFonts w:asciiTheme="minorHAnsi"/>
                                    <w:color w:val="000000" w:themeColor="text1"/>
                                    <w:kern w:val="24"/>
                                  </w:rPr>
                                </w:pPr>
                                <w:r>
                                  <w:rPr>
                                    <w:rFonts w:asciiTheme="minorHAnsi"/>
                                    <w:color w:val="000000" w:themeColor="text1"/>
                                    <w:kern w:val="24"/>
                                  </w:rPr>
                                  <w:t>7.</w:t>
                                </w:r>
                                <w:r w:rsidR="00230177">
                                  <w:rPr>
                                    <w:rFonts w:asciiTheme="minorHAnsi"/>
                                    <w:color w:val="000000" w:themeColor="text1"/>
                                    <w:kern w:val="24"/>
                                  </w:rPr>
                                  <w:t>4</w:t>
                                </w:r>
                                <w:r>
                                  <w:rPr>
                                    <w:rFonts w:asciiTheme="minorHAnsi"/>
                                    <w:color w:val="000000" w:themeColor="text1"/>
                                    <w:kern w:val="24"/>
                                  </w:rPr>
                                  <w:t>%</w:t>
                                </w:r>
                              </w:p>
                            </w:txbxContent>
                          </wps:txbx>
                          <wps:bodyPr wrap="square" rtlCol="0">
                            <a:spAutoFit/>
                          </wps:bodyPr>
                        </wps:wsp>
                      </wpg:grpSp>
                      <wpg:grpSp>
                        <wpg:cNvPr id="490208766" name="Group 490208766">
                          <a:extLst>
                            <a:ext uri="{FF2B5EF4-FFF2-40B4-BE49-F238E27FC236}">
                              <a16:creationId xmlns:a16="http://schemas.microsoft.com/office/drawing/2014/main" id="{3F48A21C-118D-D167-C2E7-50AC1F05006E}"/>
                            </a:ext>
                          </a:extLst>
                        </wpg:cNvPr>
                        <wpg:cNvGrpSpPr/>
                        <wpg:grpSpPr>
                          <a:xfrm>
                            <a:off x="0" y="436752"/>
                            <a:ext cx="865550" cy="371504"/>
                            <a:chOff x="0" y="436752"/>
                            <a:chExt cx="865550" cy="371504"/>
                          </a:xfrm>
                        </wpg:grpSpPr>
                        <wps:wsp>
                          <wps:cNvPr id="910014549" name="Arrow: Right 910014549">
                            <a:extLst>
                              <a:ext uri="{FF2B5EF4-FFF2-40B4-BE49-F238E27FC236}">
                                <a16:creationId xmlns:a16="http://schemas.microsoft.com/office/drawing/2014/main" id="{F7CB62D2-DE3F-EDD8-6855-518537FB071F}"/>
                              </a:ext>
                            </a:extLst>
                          </wps:cNvPr>
                          <wps:cNvSpPr/>
                          <wps:spPr>
                            <a:xfrm>
                              <a:off x="0" y="473590"/>
                              <a:ext cx="240303" cy="172561"/>
                            </a:xfrm>
                            <a:prstGeom prst="rightArrow">
                              <a:avLst/>
                            </a:prstGeom>
                            <a:solidFill>
                              <a:srgbClr val="FFC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83926396" name="TextBox 12">
                            <a:extLst>
                              <a:ext uri="{FF2B5EF4-FFF2-40B4-BE49-F238E27FC236}">
                                <a16:creationId xmlns:a16="http://schemas.microsoft.com/office/drawing/2014/main" id="{8ADDF40B-EF7A-0110-0312-09E4DD607017}"/>
                              </a:ext>
                            </a:extLst>
                          </wps:cNvPr>
                          <wps:cNvSpPr txBox="1"/>
                          <wps:spPr>
                            <a:xfrm>
                              <a:off x="230299" y="436752"/>
                              <a:ext cx="635251" cy="371504"/>
                            </a:xfrm>
                            <a:prstGeom prst="rect">
                              <a:avLst/>
                            </a:prstGeom>
                            <a:noFill/>
                          </wps:spPr>
                          <wps:txbx>
                            <w:txbxContent>
                              <w:p w14:paraId="472D732E" w14:textId="582B086A" w:rsidR="00296092" w:rsidRDefault="006A31D9" w:rsidP="00296092">
                                <w:pPr>
                                  <w:rPr>
                                    <w:rFonts w:asciiTheme="minorHAnsi"/>
                                    <w:color w:val="000000" w:themeColor="text1"/>
                                    <w:kern w:val="24"/>
                                  </w:rPr>
                                </w:pPr>
                                <w:r>
                                  <w:rPr>
                                    <w:rFonts w:asciiTheme="minorHAnsi"/>
                                    <w:color w:val="000000" w:themeColor="text1"/>
                                    <w:kern w:val="24"/>
                                  </w:rPr>
                                  <w:t>-0.6%</w:t>
                                </w:r>
                              </w:p>
                            </w:txbxContent>
                          </wps:txbx>
                          <wps:bodyPr wrap="square" rtlCol="0">
                            <a:spAutoFit/>
                          </wps:bodyPr>
                        </wps:wsp>
                      </wpg:grpSp>
                      <wpg:grpSp>
                        <wpg:cNvPr id="1487577194" name="Group 1487577194">
                          <a:extLst>
                            <a:ext uri="{FF2B5EF4-FFF2-40B4-BE49-F238E27FC236}">
                              <a16:creationId xmlns:a16="http://schemas.microsoft.com/office/drawing/2014/main" id="{E2A16503-AF18-88E3-3B69-0F89408B7C17}"/>
                            </a:ext>
                          </a:extLst>
                        </wpg:cNvPr>
                        <wpg:cNvGrpSpPr/>
                        <wpg:grpSpPr>
                          <a:xfrm>
                            <a:off x="31744" y="0"/>
                            <a:ext cx="834190" cy="371475"/>
                            <a:chOff x="31744" y="0"/>
                            <a:chExt cx="834190" cy="371475"/>
                          </a:xfrm>
                        </wpg:grpSpPr>
                        <wps:wsp>
                          <wps:cNvPr id="970911878" name="TextBox 13">
                            <a:extLst>
                              <a:ext uri="{FF2B5EF4-FFF2-40B4-BE49-F238E27FC236}">
                                <a16:creationId xmlns:a16="http://schemas.microsoft.com/office/drawing/2014/main" id="{EBBB5451-F001-805E-AD5F-70C574960140}"/>
                              </a:ext>
                            </a:extLst>
                          </wps:cNvPr>
                          <wps:cNvSpPr txBox="1"/>
                          <wps:spPr>
                            <a:xfrm>
                              <a:off x="230299" y="0"/>
                              <a:ext cx="635635" cy="371475"/>
                            </a:xfrm>
                            <a:prstGeom prst="rect">
                              <a:avLst/>
                            </a:prstGeom>
                            <a:noFill/>
                          </wps:spPr>
                          <wps:txbx>
                            <w:txbxContent>
                              <w:p w14:paraId="35A87E6F" w14:textId="46BCB097" w:rsidR="00296092" w:rsidRDefault="00296092" w:rsidP="00296092">
                                <w:pPr>
                                  <w:rPr>
                                    <w:rFonts w:asciiTheme="minorHAnsi"/>
                                    <w:color w:val="000000" w:themeColor="text1"/>
                                    <w:kern w:val="24"/>
                                  </w:rPr>
                                </w:pPr>
                                <w:r w:rsidDel="00B65A81">
                                  <w:rPr>
                                    <w:rFonts w:asciiTheme="minorHAnsi"/>
                                    <w:color w:val="000000" w:themeColor="text1"/>
                                    <w:kern w:val="24"/>
                                  </w:rPr>
                                  <w:t>4</w:t>
                                </w:r>
                                <w:r>
                                  <w:rPr>
                                    <w:rFonts w:asciiTheme="minorHAnsi"/>
                                    <w:color w:val="000000" w:themeColor="text1"/>
                                    <w:kern w:val="24"/>
                                  </w:rPr>
                                  <w:t>.</w:t>
                                </w:r>
                                <w:r w:rsidR="00230177">
                                  <w:rPr>
                                    <w:rFonts w:asciiTheme="minorHAnsi"/>
                                    <w:color w:val="000000" w:themeColor="text1"/>
                                    <w:kern w:val="24"/>
                                  </w:rPr>
                                  <w:t>4</w:t>
                                </w:r>
                                <w:r>
                                  <w:rPr>
                                    <w:rFonts w:asciiTheme="minorHAnsi"/>
                                    <w:color w:val="000000" w:themeColor="text1"/>
                                    <w:kern w:val="24"/>
                                  </w:rPr>
                                  <w:t>%</w:t>
                                </w:r>
                              </w:p>
                            </w:txbxContent>
                          </wps:txbx>
                          <wps:bodyPr wrap="square" rtlCol="0">
                            <a:spAutoFit/>
                          </wps:bodyPr>
                        </wps:wsp>
                        <wps:wsp>
                          <wps:cNvPr id="617852603" name="Arrow: Right 617852603">
                            <a:extLst>
                              <a:ext uri="{FF2B5EF4-FFF2-40B4-BE49-F238E27FC236}">
                                <a16:creationId xmlns:a16="http://schemas.microsoft.com/office/drawing/2014/main" id="{3185B9D2-FDFE-5BEB-F34A-D6D29AF6F9D2}"/>
                              </a:ext>
                            </a:extLst>
                          </wps:cNvPr>
                          <wps:cNvSpPr/>
                          <wps:spPr>
                            <a:xfrm rot="16200000">
                              <a:off x="-1" y="34704"/>
                              <a:ext cx="240303"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871810604" name="Group 1871810604">
                          <a:extLst>
                            <a:ext uri="{FF2B5EF4-FFF2-40B4-BE49-F238E27FC236}">
                              <a16:creationId xmlns:a16="http://schemas.microsoft.com/office/drawing/2014/main" id="{B70B0A4C-D41C-B1E7-8479-CB1E1F98E10F}"/>
                            </a:ext>
                          </a:extLst>
                        </wpg:cNvPr>
                        <wpg:cNvGrpSpPr/>
                        <wpg:grpSpPr>
                          <a:xfrm>
                            <a:off x="29069" y="1294204"/>
                            <a:ext cx="838049" cy="371475"/>
                            <a:chOff x="29069" y="1294204"/>
                            <a:chExt cx="838049" cy="371475"/>
                          </a:xfrm>
                        </wpg:grpSpPr>
                        <wps:wsp>
                          <wps:cNvPr id="1780383015" name="TextBox 10">
                            <a:extLst>
                              <a:ext uri="{FF2B5EF4-FFF2-40B4-BE49-F238E27FC236}">
                                <a16:creationId xmlns:a16="http://schemas.microsoft.com/office/drawing/2014/main" id="{603594AD-0CC0-5ED7-27FA-733BA3A649BE}"/>
                              </a:ext>
                            </a:extLst>
                          </wps:cNvPr>
                          <wps:cNvSpPr txBox="1"/>
                          <wps:spPr>
                            <a:xfrm>
                              <a:off x="231483" y="1294204"/>
                              <a:ext cx="635635" cy="371475"/>
                            </a:xfrm>
                            <a:prstGeom prst="rect">
                              <a:avLst/>
                            </a:prstGeom>
                            <a:noFill/>
                          </wps:spPr>
                          <wps:txbx>
                            <w:txbxContent>
                              <w:p w14:paraId="1C07302F" w14:textId="77777777" w:rsidR="00296092" w:rsidRDefault="00296092" w:rsidP="00296092">
                                <w:pPr>
                                  <w:rPr>
                                    <w:rFonts w:asciiTheme="minorHAnsi"/>
                                    <w:color w:val="000000" w:themeColor="text1"/>
                                    <w:kern w:val="24"/>
                                  </w:rPr>
                                </w:pPr>
                                <w:r>
                                  <w:rPr>
                                    <w:rFonts w:asciiTheme="minorHAnsi"/>
                                    <w:color w:val="000000" w:themeColor="text1"/>
                                    <w:kern w:val="24"/>
                                  </w:rPr>
                                  <w:t>11.4%</w:t>
                                </w:r>
                              </w:p>
                            </w:txbxContent>
                          </wps:txbx>
                          <wps:bodyPr wrap="square" rtlCol="0">
                            <a:spAutoFit/>
                          </wps:bodyPr>
                        </wps:wsp>
                        <wps:wsp>
                          <wps:cNvPr id="1955507805" name="Arrow: Right 1955507805">
                            <a:extLst>
                              <a:ext uri="{FF2B5EF4-FFF2-40B4-BE49-F238E27FC236}">
                                <a16:creationId xmlns:a16="http://schemas.microsoft.com/office/drawing/2014/main" id="{A252289F-378B-A159-79A0-BE4D530FD82B}"/>
                              </a:ext>
                            </a:extLst>
                          </wps:cNvPr>
                          <wps:cNvSpPr/>
                          <wps:spPr>
                            <a:xfrm rot="16200000">
                              <a:off x="213" y="1328914"/>
                              <a:ext cx="234525"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426246875" name="Group 426246875">
                          <a:extLst>
                            <a:ext uri="{FF2B5EF4-FFF2-40B4-BE49-F238E27FC236}">
                              <a16:creationId xmlns:a16="http://schemas.microsoft.com/office/drawing/2014/main" id="{867E5D01-01AA-9B6E-81F8-04BFE67F614F}"/>
                            </a:ext>
                          </a:extLst>
                        </wpg:cNvPr>
                        <wpg:cNvGrpSpPr/>
                        <wpg:grpSpPr>
                          <a:xfrm>
                            <a:off x="0" y="1695588"/>
                            <a:ext cx="866136" cy="371504"/>
                            <a:chOff x="0" y="1695588"/>
                            <a:chExt cx="866136" cy="371504"/>
                          </a:xfrm>
                        </wpg:grpSpPr>
                        <wps:wsp>
                          <wps:cNvPr id="583917730" name="TextBox 4">
                            <a:extLst>
                              <a:ext uri="{FF2B5EF4-FFF2-40B4-BE49-F238E27FC236}">
                                <a16:creationId xmlns:a16="http://schemas.microsoft.com/office/drawing/2014/main" id="{3CD771E3-5580-64A3-BC11-2C6A475B13B7}"/>
                              </a:ext>
                            </a:extLst>
                          </wps:cNvPr>
                          <wps:cNvSpPr txBox="1"/>
                          <wps:spPr>
                            <a:xfrm>
                              <a:off x="230249" y="1695588"/>
                              <a:ext cx="635887" cy="371504"/>
                            </a:xfrm>
                            <a:prstGeom prst="rect">
                              <a:avLst/>
                            </a:prstGeom>
                            <a:noFill/>
                          </wps:spPr>
                          <wps:txbx>
                            <w:txbxContent>
                              <w:p w14:paraId="5AD035F7" w14:textId="7124B221" w:rsidR="00296092" w:rsidRDefault="00B72811" w:rsidP="00296092">
                                <w:pPr>
                                  <w:rPr>
                                    <w:rFonts w:asciiTheme="minorHAnsi"/>
                                    <w:color w:val="000000" w:themeColor="text1"/>
                                    <w:kern w:val="24"/>
                                  </w:rPr>
                                </w:pPr>
                                <w:r>
                                  <w:rPr>
                                    <w:rFonts w:asciiTheme="minorHAnsi"/>
                                    <w:color w:val="000000" w:themeColor="text1"/>
                                    <w:kern w:val="24"/>
                                  </w:rPr>
                                  <w:t>0.1%</w:t>
                                </w:r>
                              </w:p>
                            </w:txbxContent>
                          </wps:txbx>
                          <wps:bodyPr wrap="square" rtlCol="0">
                            <a:spAutoFit/>
                          </wps:bodyPr>
                        </wps:wsp>
                        <wps:wsp>
                          <wps:cNvPr id="1475691981" name="Arrow: Right 1475691981">
                            <a:extLst>
                              <a:ext uri="{FF2B5EF4-FFF2-40B4-BE49-F238E27FC236}">
                                <a16:creationId xmlns:a16="http://schemas.microsoft.com/office/drawing/2014/main" id="{CA352A53-EE70-2A95-F156-83C20EC46E77}"/>
                              </a:ext>
                            </a:extLst>
                          </wps:cNvPr>
                          <wps:cNvSpPr/>
                          <wps:spPr>
                            <a:xfrm>
                              <a:off x="0" y="1732448"/>
                              <a:ext cx="240303" cy="172561"/>
                            </a:xfrm>
                            <a:prstGeom prst="rightArrow">
                              <a:avLst/>
                            </a:prstGeom>
                            <a:solidFill>
                              <a:srgbClr val="FFC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0C2E5988" id="Group 28" o:spid="_x0000_s1193" alt="P1895#y1" style="position:absolute;margin-left:391.9pt;margin-top:58pt;width:68.25pt;height:162.75pt;z-index:251658306;mso-position-horizontal-relative:margin;mso-position-vertical-relative:text" coordsize="8671,2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">
                <v:group id="Group 392361183" o:spid="_x0000_s1194" style="position:absolute;left:222;top:8656;width:8449;height:3714" coordorigin="222,8656" coordsize="844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">
                  <v:shape id="Arrow: Right 244786962" o:spid="_x0000_s1195" type="#_x0000_t13" style="position:absolute;left:-67;top:9003;width:2345;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" adj="13458" fillcolor="red" stroked="f" strokeweight="1pt">
                    <v:fill opacity="26214f"/>
                  </v:shape>
                  <v:shape id="TextBox 11" o:spid="_x0000_s1196" type="#_x0000_t202" style="position:absolute;left:2314;top:8656;width:635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" filled="f" stroked="f">
                    <v:textbox style="mso-fit-shape-to-text:t">
                      <w:txbxContent>
                        <w:p w14:paraId="46550855" w14:textId="3F7BD532" w:rsidR="00296092" w:rsidRDefault="00296092" w:rsidP="00296092">
                          <w:pPr>
                            <w:rPr>
                              <w:rFonts w:asciiTheme="minorHAnsi"/>
                              <w:color w:val="000000" w:themeColor="text1"/>
                              <w:kern w:val="24"/>
                            </w:rPr>
                          </w:pPr>
                          <w:r>
                            <w:rPr>
                              <w:rFonts w:asciiTheme="minorHAnsi"/>
                              <w:color w:val="000000" w:themeColor="text1"/>
                              <w:kern w:val="24"/>
                            </w:rPr>
                            <w:t>7.</w:t>
                          </w:r>
                          <w:r w:rsidR="00230177">
                            <w:rPr>
                              <w:rFonts w:asciiTheme="minorHAnsi"/>
                              <w:color w:val="000000" w:themeColor="text1"/>
                              <w:kern w:val="24"/>
                            </w:rPr>
                            <w:t>4</w:t>
                          </w:r>
                          <w:r>
                            <w:rPr>
                              <w:rFonts w:asciiTheme="minorHAnsi"/>
                              <w:color w:val="000000" w:themeColor="text1"/>
                              <w:kern w:val="24"/>
                            </w:rPr>
                            <w:t>%</w:t>
                          </w:r>
                        </w:p>
                      </w:txbxContent>
                    </v:textbox>
                  </v:shape>
                </v:group>
                <v:group id="Group 490208766" o:spid="_x0000_s1197" style="position:absolute;top:4367;width:8655;height:3715" coordorigin=",4367" coordsize="8655,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">
                  <v:shape id="Arrow: Right 910014549" o:spid="_x0000_s1198" type="#_x0000_t13" style="position:absolute;top:4735;width:2403;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" adj="13845" fillcolor="#ffc000" stroked="f" strokeweight="1pt">
                    <v:fill opacity="26214f"/>
                  </v:shape>
                  <v:shape id="TextBox 12" o:spid="_x0000_s1199" type="#_x0000_t202" style="position:absolute;left:2302;top:4367;width:635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" filled="f" stroked="f">
                    <v:textbox style="mso-fit-shape-to-text:t">
                      <w:txbxContent>
                        <w:p w14:paraId="472D732E" w14:textId="582B086A" w:rsidR="00296092" w:rsidRDefault="006A31D9" w:rsidP="00296092">
                          <w:pPr>
                            <w:rPr>
                              <w:rFonts w:asciiTheme="minorHAnsi"/>
                              <w:color w:val="000000" w:themeColor="text1"/>
                              <w:kern w:val="24"/>
                            </w:rPr>
                          </w:pPr>
                          <w:r>
                            <w:rPr>
                              <w:rFonts w:asciiTheme="minorHAnsi"/>
                              <w:color w:val="000000" w:themeColor="text1"/>
                              <w:kern w:val="24"/>
                            </w:rPr>
                            <w:t>-0.6%</w:t>
                          </w:r>
                        </w:p>
                      </w:txbxContent>
                    </v:textbox>
                  </v:shape>
                </v:group>
                <v:group id="Group 1487577194" o:spid="_x0000_s1200" style="position:absolute;left:317;width:8342;height:3714" coordorigin="317" coordsize="8341,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">
                  <v:shape id="TextBox 13" o:spid="_x0000_s1201" type="#_x0000_t202" style="position:absolute;left:2302;width:635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" filled="f" stroked="f">
                    <v:textbox style="mso-fit-shape-to-text:t">
                      <w:txbxContent>
                        <w:p w14:paraId="35A87E6F" w14:textId="46BCB097" w:rsidR="00296092" w:rsidRDefault="00296092" w:rsidP="00296092">
                          <w:pPr>
                            <w:rPr>
                              <w:rFonts w:asciiTheme="minorHAnsi"/>
                              <w:color w:val="000000" w:themeColor="text1"/>
                              <w:kern w:val="24"/>
                            </w:rPr>
                          </w:pPr>
                          <w:r w:rsidDel="00B65A81">
                            <w:rPr>
                              <w:rFonts w:asciiTheme="minorHAnsi"/>
                              <w:color w:val="000000" w:themeColor="text1"/>
                              <w:kern w:val="24"/>
                            </w:rPr>
                            <w:t>4</w:t>
                          </w:r>
                          <w:r>
                            <w:rPr>
                              <w:rFonts w:asciiTheme="minorHAnsi"/>
                              <w:color w:val="000000" w:themeColor="text1"/>
                              <w:kern w:val="24"/>
                            </w:rPr>
                            <w:t>.</w:t>
                          </w:r>
                          <w:r w:rsidR="00230177">
                            <w:rPr>
                              <w:rFonts w:asciiTheme="minorHAnsi"/>
                              <w:color w:val="000000" w:themeColor="text1"/>
                              <w:kern w:val="24"/>
                            </w:rPr>
                            <w:t>4</w:t>
                          </w:r>
                          <w:r>
                            <w:rPr>
                              <w:rFonts w:asciiTheme="minorHAnsi"/>
                              <w:color w:val="000000" w:themeColor="text1"/>
                              <w:kern w:val="24"/>
                            </w:rPr>
                            <w:t>%</w:t>
                          </w:r>
                        </w:p>
                      </w:txbxContent>
                    </v:textbox>
                  </v:shape>
                  <v:shape id="Arrow: Right 617852603" o:spid="_x0000_s1202" type="#_x0000_t13" style="position:absolute;left:-1;top:347;width:2403;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" adj="13653" fillcolor="red" stroked="f" strokeweight="1pt">
                    <v:fill opacity="26214f"/>
                  </v:shape>
                </v:group>
                <v:group id="Group 1871810604" o:spid="_x0000_s1203" style="position:absolute;left:290;top:12942;width:8381;height:3714" coordorigin="290,12942" coordsize="8380,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">
                  <v:shape id="TextBox 10" o:spid="_x0000_s1204" type="#_x0000_t202" style="position:absolute;left:2314;top:12942;width:635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" filled="f" stroked="f">
                    <v:textbox style="mso-fit-shape-to-text:t">
                      <w:txbxContent>
                        <w:p w14:paraId="1C07302F" w14:textId="77777777" w:rsidR="00296092" w:rsidRDefault="00296092" w:rsidP="00296092">
                          <w:pPr>
                            <w:rPr>
                              <w:rFonts w:asciiTheme="minorHAnsi"/>
                              <w:color w:val="000000" w:themeColor="text1"/>
                              <w:kern w:val="24"/>
                            </w:rPr>
                          </w:pPr>
                          <w:r>
                            <w:rPr>
                              <w:rFonts w:asciiTheme="minorHAnsi"/>
                              <w:color w:val="000000" w:themeColor="text1"/>
                              <w:kern w:val="24"/>
                            </w:rPr>
                            <w:t>11.4%</w:t>
                          </w:r>
                        </w:p>
                      </w:txbxContent>
                    </v:textbox>
                  </v:shape>
                  <v:shape id="Arrow: Right 1955507805" o:spid="_x0000_s1205" type="#_x0000_t13" style="position:absolute;left:1;top:13289;width:2345;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" adj="13458" fillcolor="red" stroked="f" strokeweight="1pt">
                    <v:fill opacity="26214f"/>
                  </v:shape>
                </v:group>
                <v:group id="Group 426246875" o:spid="_x0000_s1206" style="position:absolute;top:16955;width:8661;height:3715" coordorigin=",16955" coordsize="866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">
                  <v:shape id="TextBox 4" o:spid="_x0000_s1207" type="#_x0000_t202" style="position:absolute;left:2302;top:16955;width:635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" filled="f" stroked="f">
                    <v:textbox style="mso-fit-shape-to-text:t">
                      <w:txbxContent>
                        <w:p w14:paraId="5AD035F7" w14:textId="7124B221" w:rsidR="00296092" w:rsidRDefault="00B72811" w:rsidP="00296092">
                          <w:pPr>
                            <w:rPr>
                              <w:rFonts w:asciiTheme="minorHAnsi"/>
                              <w:color w:val="000000" w:themeColor="text1"/>
                              <w:kern w:val="24"/>
                            </w:rPr>
                          </w:pPr>
                          <w:r>
                            <w:rPr>
                              <w:rFonts w:asciiTheme="minorHAnsi"/>
                              <w:color w:val="000000" w:themeColor="text1"/>
                              <w:kern w:val="24"/>
                            </w:rPr>
                            <w:t>0.1%</w:t>
                          </w:r>
                        </w:p>
                      </w:txbxContent>
                    </v:textbox>
                  </v:shape>
                  <v:shape id="Arrow: Right 1475691981" o:spid="_x0000_s1208" type="#_x0000_t13" style="position:absolute;top:17324;width:2403;height:1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" adj="13845" fillcolor="#ffc000" stroked="f" strokeweight="1pt">
                    <v:fill opacity="26214f"/>
                  </v:shape>
                </v:group>
                <w10:wrap anchorx="margin"/>
              </v:group>
            </w:pict>
          </mc:Fallback>
        </mc:AlternateContent>
      </w:r>
      <w:r w:rsidR="00C00360" w:rsidRPr="00A816EE">
        <w:rPr>
          <w:noProof/>
        </w:rPr>
        <mc:AlternateContent>
          <mc:Choice Requires="wpg">
            <w:drawing>
              <wp:anchor distT="0" distB="0" distL="114300" distR="114300" simplePos="0" relativeHeight="251658307" behindDoc="0" locked="0" layoutInCell="1" allowOverlap="1" wp14:anchorId="4A238F67" wp14:editId="14C40E28">
                <wp:simplePos x="0" y="0"/>
                <wp:positionH relativeFrom="column">
                  <wp:posOffset>1188720</wp:posOffset>
                </wp:positionH>
                <wp:positionV relativeFrom="paragraph">
                  <wp:posOffset>0</wp:posOffset>
                </wp:positionV>
                <wp:extent cx="1650365" cy="590550"/>
                <wp:effectExtent l="0" t="0" r="0" b="0"/>
                <wp:wrapTopAndBottom/>
                <wp:docPr id="943530896" name="Group 1" descr="P1895#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50365" cy="590550"/>
                          <a:chOff x="1081330" y="9968"/>
                          <a:chExt cx="1650365" cy="590744"/>
                        </a:xfrm>
                      </wpg:grpSpPr>
                      <pic:pic xmlns:pic="http://schemas.openxmlformats.org/drawingml/2006/picture">
                        <pic:nvPicPr>
                          <pic:cNvPr id="76463838" name="Graphic 5" descr="Hospital outline"/>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704951" y="9968"/>
                            <a:ext cx="403200" cy="393504"/>
                          </a:xfrm>
                          <a:prstGeom prst="rect">
                            <a:avLst/>
                          </a:prstGeom>
                        </pic:spPr>
                      </pic:pic>
                      <wps:wsp>
                        <wps:cNvPr id="1127024045" name="TextBox 6"/>
                        <wps:cNvSpPr txBox="1"/>
                        <wps:spPr>
                          <a:xfrm>
                            <a:off x="1081330" y="330837"/>
                            <a:ext cx="1650365" cy="269875"/>
                          </a:xfrm>
                          <a:prstGeom prst="rect">
                            <a:avLst/>
                          </a:prstGeom>
                          <a:noFill/>
                          <a:ln>
                            <a:noFill/>
                          </a:ln>
                        </wps:spPr>
                        <wps:txbx>
                          <w:txbxContent>
                            <w:p w14:paraId="31A90779" w14:textId="77777777" w:rsidR="00296092" w:rsidRDefault="00296092" w:rsidP="00296092">
                              <w:pPr>
                                <w:spacing w:after="0"/>
                                <w:rPr>
                                  <w:rFonts w:asciiTheme="minorHAnsi"/>
                                  <w:b/>
                                  <w:bCs/>
                                  <w:color w:val="404040" w:themeColor="text1" w:themeTint="BF"/>
                                  <w:kern w:val="24"/>
                                </w:rPr>
                              </w:pPr>
                              <w:r>
                                <w:rPr>
                                  <w:rFonts w:asciiTheme="minorHAnsi"/>
                                  <w:b/>
                                  <w:bCs/>
                                  <w:color w:val="404040" w:themeColor="text1" w:themeTint="BF"/>
                                  <w:kern w:val="24"/>
                                </w:rPr>
                                <w:t>Average costs / GWAU</w:t>
                              </w:r>
                            </w:p>
                          </w:txbxContent>
                        </wps:txbx>
                        <wps:bodyPr wrap="square" rtlCol="0">
                          <a:spAutoFit/>
                        </wps:bodyPr>
                      </wps:wsp>
                    </wpg:wgp>
                  </a:graphicData>
                </a:graphic>
              </wp:anchor>
            </w:drawing>
          </mc:Choice>
          <mc:Fallback>
            <w:pict>
              <v:group w14:anchorId="4A238F67" id="_x0000_s1209" alt="P1895#y2" style="position:absolute;margin-left:93.6pt;margin-top:0;width:129.95pt;height:46.5pt;z-index:251658307;mso-position-horizontal-relative:text;mso-position-vertical-relative:text" coordorigin="10813,99" coordsize="16503,59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">
                <v:shape id="Graphic 5" o:spid="_x0000_s1210" type="#_x0000_t75" alt="Hospital outline" style="position:absolute;left:17049;top:99;width:4032;height: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">
                  <v:imagedata r:id="rId49" o:title="Hospital outline"/>
                </v:shape>
                <v:shape id="TextBox 6" o:spid="_x0000_s1211" type="#_x0000_t202" style="position:absolute;left:10813;top:3308;width:1650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" filled="f" stroked="f">
                  <v:textbox style="mso-fit-shape-to-text:t">
                    <w:txbxContent>
                      <w:p w14:paraId="31A90779" w14:textId="77777777" w:rsidR="00296092" w:rsidRDefault="00296092" w:rsidP="00296092">
                        <w:pPr>
                          <w:spacing w:after="0"/>
                          <w:rPr>
                            <w:rFonts w:asciiTheme="minorHAnsi"/>
                            <w:b/>
                            <w:bCs/>
                            <w:color w:val="404040" w:themeColor="text1" w:themeTint="BF"/>
                            <w:kern w:val="24"/>
                          </w:rPr>
                        </w:pPr>
                        <w:r>
                          <w:rPr>
                            <w:rFonts w:asciiTheme="minorHAnsi"/>
                            <w:b/>
                            <w:bCs/>
                            <w:color w:val="404040" w:themeColor="text1" w:themeTint="BF"/>
                            <w:kern w:val="24"/>
                          </w:rPr>
                          <w:t>Average costs / GWAU</w:t>
                        </w:r>
                      </w:p>
                    </w:txbxContent>
                  </v:textbox>
                </v:shape>
                <w10:wrap type="topAndBottom"/>
              </v:group>
            </w:pict>
          </mc:Fallback>
        </mc:AlternateContent>
      </w:r>
      <w:r w:rsidR="00C00360" w:rsidRPr="00A816EE">
        <w:rPr>
          <w:noProof/>
        </w:rPr>
        <mc:AlternateContent>
          <mc:Choice Requires="wpg">
            <w:drawing>
              <wp:anchor distT="0" distB="0" distL="114300" distR="114300" simplePos="0" relativeHeight="251658308" behindDoc="0" locked="0" layoutInCell="1" allowOverlap="1" wp14:anchorId="4E8C2EC7" wp14:editId="405FD87E">
                <wp:simplePos x="0" y="0"/>
                <wp:positionH relativeFrom="column">
                  <wp:posOffset>4357208</wp:posOffset>
                </wp:positionH>
                <wp:positionV relativeFrom="paragraph">
                  <wp:posOffset>0</wp:posOffset>
                </wp:positionV>
                <wp:extent cx="1845310" cy="591185"/>
                <wp:effectExtent l="0" t="0" r="0" b="0"/>
                <wp:wrapTopAndBottom/>
                <wp:docPr id="502198003" name="Group 2" descr="P1895#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5310" cy="591185"/>
                          <a:chOff x="5633546" y="0"/>
                          <a:chExt cx="1846025" cy="591297"/>
                        </a:xfrm>
                      </wpg:grpSpPr>
                      <wps:wsp>
                        <wps:cNvPr id="1333422512" name="TextBox 16"/>
                        <wps:cNvSpPr txBox="1"/>
                        <wps:spPr>
                          <a:xfrm>
                            <a:off x="5633546" y="321393"/>
                            <a:ext cx="1846025" cy="269904"/>
                          </a:xfrm>
                          <a:prstGeom prst="rect">
                            <a:avLst/>
                          </a:prstGeom>
                          <a:noFill/>
                          <a:ln>
                            <a:noFill/>
                          </a:ln>
                        </wps:spPr>
                        <wps:txbx>
                          <w:txbxContent>
                            <w:p w14:paraId="74A776CC" w14:textId="77777777" w:rsidR="00296092" w:rsidRDefault="00296092" w:rsidP="00296092">
                              <w:pPr>
                                <w:spacing w:after="0"/>
                                <w:jc w:val="center"/>
                                <w:rPr>
                                  <w:rFonts w:asciiTheme="minorHAnsi"/>
                                  <w:b/>
                                  <w:bCs/>
                                  <w:color w:val="404040" w:themeColor="text1" w:themeTint="BF"/>
                                  <w:kern w:val="24"/>
                                </w:rPr>
                              </w:pPr>
                              <w:r>
                                <w:rPr>
                                  <w:rFonts w:asciiTheme="minorHAnsi"/>
                                  <w:b/>
                                  <w:bCs/>
                                  <w:color w:val="404040" w:themeColor="text1" w:themeTint="BF"/>
                                  <w:kern w:val="24"/>
                                </w:rPr>
                                <w:t xml:space="preserve">Average cost per GWAU </w:t>
                              </w:r>
                            </w:p>
                          </w:txbxContent>
                        </wps:txbx>
                        <wps:bodyPr wrap="square" rtlCol="0">
                          <a:spAutoFit/>
                        </wps:bodyPr>
                      </wps:wsp>
                      <pic:pic xmlns:pic="http://schemas.openxmlformats.org/drawingml/2006/picture">
                        <pic:nvPicPr>
                          <pic:cNvPr id="216191205" name="Graphic 18" descr="Upward trend with solid fill"/>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6355061" y="0"/>
                            <a:ext cx="403200" cy="403200"/>
                          </a:xfrm>
                          <a:prstGeom prst="rect">
                            <a:avLst/>
                          </a:prstGeom>
                        </pic:spPr>
                      </pic:pic>
                    </wpg:wgp>
                  </a:graphicData>
                </a:graphic>
                <wp14:sizeRelH relativeFrom="margin">
                  <wp14:pctWidth>0</wp14:pctWidth>
                </wp14:sizeRelH>
              </wp:anchor>
            </w:drawing>
          </mc:Choice>
          <mc:Fallback>
            <w:pict>
              <v:group w14:anchorId="4E8C2EC7" id="_x0000_s1212" alt="P1895#y3" style="position:absolute;margin-left:343.1pt;margin-top:0;width:145.3pt;height:46.55pt;z-index:251658308;mso-position-horizontal-relative:text;mso-position-vertical-relative:text;mso-width-relative:margin" coordorigin="56335" coordsize="18460,59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">
                <v:shape id="TextBox 16" o:spid="_x0000_s1213" type="#_x0000_t202" style="position:absolute;left:56335;top:3213;width:1846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" filled="f" stroked="f">
                  <v:textbox style="mso-fit-shape-to-text:t">
                    <w:txbxContent>
                      <w:p w14:paraId="74A776CC" w14:textId="77777777" w:rsidR="00296092" w:rsidRDefault="00296092" w:rsidP="00296092">
                        <w:pPr>
                          <w:spacing w:after="0"/>
                          <w:jc w:val="center"/>
                          <w:rPr>
                            <w:rFonts w:asciiTheme="minorHAnsi"/>
                            <w:b/>
                            <w:bCs/>
                            <w:color w:val="404040" w:themeColor="text1" w:themeTint="BF"/>
                            <w:kern w:val="24"/>
                          </w:rPr>
                        </w:pPr>
                        <w:r>
                          <w:rPr>
                            <w:rFonts w:asciiTheme="minorHAnsi"/>
                            <w:b/>
                            <w:bCs/>
                            <w:color w:val="404040" w:themeColor="text1" w:themeTint="BF"/>
                            <w:kern w:val="24"/>
                          </w:rPr>
                          <w:t xml:space="preserve">Average cost per GWAU </w:t>
                        </w:r>
                      </w:p>
                    </w:txbxContent>
                  </v:textbox>
                </v:shape>
                <v:shape id="Graphic 18" o:spid="_x0000_s1214" type="#_x0000_t75" alt="Upward trend with solid fill" style="position:absolute;left:63550;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">
                  <v:imagedata r:id="rId45" o:title="Upward trend with solid fill"/>
                </v:shape>
                <w10:wrap type="topAndBottom"/>
              </v:group>
            </w:pict>
          </mc:Fallback>
        </mc:AlternateContent>
      </w:r>
      <w:r w:rsidR="00296092" w:rsidRPr="00296092">
        <w:rPr>
          <w:noProof/>
        </w:rPr>
        <w:drawing>
          <wp:inline distT="0" distB="0" distL="0" distR="0" wp14:anchorId="10F3CB23" wp14:editId="0BDAA634">
            <wp:extent cx="4944140" cy="2647315"/>
            <wp:effectExtent l="0" t="0" r="8890" b="635"/>
            <wp:docPr id="62915161" name="Chart 1" descr="P1895#yIS1">
              <a:extLst xmlns:a="http://schemas.openxmlformats.org/drawingml/2006/main">
                <a:ext uri="{FF2B5EF4-FFF2-40B4-BE49-F238E27FC236}">
                  <a16:creationId xmlns:a16="http://schemas.microsoft.com/office/drawing/2014/main" id="{E6DC0167-0409-9520-7DDB-EE93F71AB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F82F013" w14:textId="4A1C9280" w:rsidR="00A811A6" w:rsidRDefault="00343BD8" w:rsidP="00343BD8">
      <w:pPr>
        <w:pStyle w:val="Caption"/>
      </w:pPr>
      <w:r w:rsidRPr="00343BD8">
        <w:t>*Mental health analysis includes admitted only. Community mental health GWAU was not available as it was not priced in 2023-24.</w:t>
      </w:r>
    </w:p>
    <w:p w14:paraId="46411AF6" w14:textId="05CB0E68" w:rsidR="00343BD8" w:rsidRDefault="00CB197E" w:rsidP="00BA3157">
      <w:r>
        <w:t>Key findings by stream include:</w:t>
      </w:r>
    </w:p>
    <w:p w14:paraId="01D72E4C" w14:textId="6423321A" w:rsidR="00BA3157" w:rsidRDefault="00BA3157" w:rsidP="00BA3157">
      <w:pPr>
        <w:pStyle w:val="Caption"/>
        <w:keepNext/>
      </w:pPr>
      <w:r>
        <w:t xml:space="preserve">Table </w:t>
      </w:r>
      <w:r>
        <w:fldChar w:fldCharType="begin"/>
      </w:r>
      <w:r>
        <w:instrText xml:space="preserve"> SEQ Table \* ARABIC </w:instrText>
      </w:r>
      <w:r>
        <w:fldChar w:fldCharType="separate"/>
      </w:r>
      <w:r w:rsidR="00CE6F96">
        <w:rPr>
          <w:noProof/>
        </w:rPr>
        <w:t>17</w:t>
      </w:r>
      <w:r>
        <w:fldChar w:fldCharType="end"/>
      </w:r>
      <w:r>
        <w:t xml:space="preserve">: </w:t>
      </w:r>
      <w:r w:rsidR="00130A0B">
        <w:t xml:space="preserve">Key findings by stream in </w:t>
      </w:r>
      <w:r w:rsidR="00B33D4A">
        <w:t>Queensland</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451"/>
        <w:gridCol w:w="7529"/>
      </w:tblGrid>
      <w:tr w:rsidR="00A811A6" w:rsidRPr="002C3BA4" w14:paraId="6461D26F" w14:textId="77777777">
        <w:trPr>
          <w:cantSplit/>
          <w:trHeight w:val="2530"/>
        </w:trPr>
        <w:tc>
          <w:tcPr>
            <w:tcW w:w="1451" w:type="dxa"/>
            <w:shd w:val="clear" w:color="auto" w:fill="220054" w:themeFill="accent1"/>
            <w:vAlign w:val="center"/>
          </w:tcPr>
          <w:p w14:paraId="25D40552" w14:textId="77777777" w:rsidR="00A811A6" w:rsidRPr="003B01D5" w:rsidRDefault="00A811A6">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Admitted acute</w:t>
            </w:r>
          </w:p>
        </w:tc>
        <w:tc>
          <w:tcPr>
            <w:tcW w:w="7529" w:type="dxa"/>
            <w:shd w:val="clear" w:color="auto" w:fill="D8D9E1" w:themeFill="accent3" w:themeFillTint="33"/>
          </w:tcPr>
          <w:p w14:paraId="5A10022D" w14:textId="77777777" w:rsidR="00B8148F" w:rsidRPr="00C00E07" w:rsidRDefault="00B8148F" w:rsidP="00B8148F">
            <w:pPr>
              <w:pStyle w:val="Tablebulletpoint"/>
              <w:rPr>
                <w:rFonts w:eastAsiaTheme="minorEastAsia"/>
                <w:lang w:eastAsia="ja-JP"/>
              </w:rPr>
            </w:pPr>
            <w:r w:rsidRPr="00C00E07">
              <w:rPr>
                <w:rFonts w:eastAsiaTheme="minorEastAsia"/>
                <w:lang w:eastAsia="ja-JP"/>
              </w:rPr>
              <w:t xml:space="preserve">The admitted acute stream is the most resource intensive stream in a hospital. In 2023-24, there were </w:t>
            </w:r>
            <w:r>
              <w:rPr>
                <w:rFonts w:eastAsiaTheme="minorEastAsia"/>
                <w:lang w:eastAsia="ja-JP"/>
              </w:rPr>
              <w:t>1.7</w:t>
            </w:r>
            <w:r w:rsidRPr="00C00E07">
              <w:rPr>
                <w:rFonts w:eastAsiaTheme="minorEastAsia"/>
                <w:lang w:eastAsia="ja-JP"/>
              </w:rPr>
              <w:t xml:space="preserve"> million admitted acute costed episodes which was an increase of </w:t>
            </w:r>
            <w:r>
              <w:rPr>
                <w:rFonts w:eastAsiaTheme="minorEastAsia"/>
                <w:lang w:eastAsia="ja-JP"/>
              </w:rPr>
              <w:t>2.9</w:t>
            </w:r>
            <w:r w:rsidRPr="00C00E07">
              <w:rPr>
                <w:rFonts w:eastAsiaTheme="minorEastAsia"/>
                <w:lang w:eastAsia="ja-JP"/>
              </w:rPr>
              <w:t>% from the prior year. The growth in GWAU was 4</w:t>
            </w:r>
            <w:r>
              <w:rPr>
                <w:rFonts w:eastAsiaTheme="minorEastAsia"/>
                <w:lang w:eastAsia="ja-JP"/>
              </w:rPr>
              <w:t>.6</w:t>
            </w:r>
            <w:r w:rsidRPr="00C00E07">
              <w:rPr>
                <w:rFonts w:eastAsiaTheme="minorEastAsia"/>
                <w:lang w:eastAsia="ja-JP"/>
              </w:rPr>
              <w:t xml:space="preserve">%, indicating that the average patient complexity was slightly </w:t>
            </w:r>
            <w:r>
              <w:rPr>
                <w:rFonts w:eastAsiaTheme="minorEastAsia"/>
                <w:lang w:eastAsia="ja-JP"/>
              </w:rPr>
              <w:t>higher</w:t>
            </w:r>
            <w:r w:rsidRPr="00C00E07">
              <w:rPr>
                <w:rFonts w:eastAsiaTheme="minorEastAsia"/>
                <w:lang w:eastAsia="ja-JP"/>
              </w:rPr>
              <w:t xml:space="preserve"> in </w:t>
            </w:r>
            <w:r>
              <w:rPr>
                <w:rFonts w:eastAsiaTheme="minorEastAsia"/>
                <w:lang w:eastAsia="ja-JP"/>
              </w:rPr>
              <w:t>2023-24</w:t>
            </w:r>
            <w:r w:rsidRPr="00C00E07">
              <w:rPr>
                <w:rFonts w:eastAsiaTheme="minorEastAsia"/>
                <w:lang w:eastAsia="ja-JP"/>
              </w:rPr>
              <w:t xml:space="preserve">. </w:t>
            </w:r>
          </w:p>
          <w:p w14:paraId="333050C4" w14:textId="7A1400CA" w:rsidR="00B8148F" w:rsidRPr="00C00E07" w:rsidRDefault="00B8148F" w:rsidP="00B8148F">
            <w:pPr>
              <w:pStyle w:val="Tablebulletpoint"/>
              <w:rPr>
                <w:rFonts w:eastAsiaTheme="minorEastAsia"/>
                <w:lang w:eastAsia="ja-JP"/>
              </w:rPr>
            </w:pPr>
            <w:r w:rsidRPr="00C00E07">
              <w:rPr>
                <w:rFonts w:eastAsiaTheme="minorEastAsia"/>
                <w:lang w:eastAsia="ja-JP"/>
              </w:rPr>
              <w:t xml:space="preserve">Although admitted acute episodes made up </w:t>
            </w:r>
            <w:r>
              <w:rPr>
                <w:rFonts w:eastAsiaTheme="minorEastAsia"/>
                <w:lang w:eastAsia="ja-JP"/>
              </w:rPr>
              <w:t>15.8</w:t>
            </w:r>
            <w:r w:rsidR="00A811A6" w:rsidRPr="003B46EA">
              <w:rPr>
                <w:rFonts w:eastAsiaTheme="minorEastAsia"/>
                <w:lang w:eastAsia="ja-JP"/>
              </w:rPr>
              <w:t xml:space="preserve">% of total episodes for 2023-24, it accounted for </w:t>
            </w:r>
            <w:r w:rsidR="00A811A6" w:rsidRPr="00C14F62">
              <w:rPr>
                <w:rFonts w:eastAsiaTheme="minorEastAsia"/>
                <w:lang w:eastAsia="ja-JP"/>
              </w:rPr>
              <w:t>57</w:t>
            </w:r>
            <w:r>
              <w:rPr>
                <w:rFonts w:eastAsiaTheme="minorEastAsia"/>
                <w:lang w:eastAsia="ja-JP"/>
              </w:rPr>
              <w:t>.1</w:t>
            </w:r>
            <w:r w:rsidR="00A811A6" w:rsidRPr="003B46EA">
              <w:rPr>
                <w:rFonts w:eastAsiaTheme="minorEastAsia"/>
                <w:lang w:eastAsia="ja-JP"/>
              </w:rPr>
              <w:t xml:space="preserve">% of </w:t>
            </w:r>
            <w:r w:rsidR="00A811A6" w:rsidRPr="00563F81">
              <w:rPr>
                <w:rFonts w:eastAsiaTheme="minorEastAsia" w:hint="eastAsia"/>
              </w:rPr>
              <w:t>total costs</w:t>
            </w:r>
            <w:r w:rsidR="00A811A6" w:rsidRPr="003B46EA">
              <w:rPr>
                <w:rFonts w:eastAsiaTheme="minorEastAsia"/>
                <w:lang w:eastAsia="ja-JP"/>
              </w:rPr>
              <w:t xml:space="preserve"> with </w:t>
            </w:r>
            <w:r w:rsidR="00A811A6" w:rsidRPr="00C14F62">
              <w:rPr>
                <w:rFonts w:eastAsiaTheme="minorEastAsia"/>
                <w:lang w:eastAsia="ja-JP"/>
              </w:rPr>
              <w:t>$</w:t>
            </w:r>
            <w:r>
              <w:rPr>
                <w:rFonts w:eastAsiaTheme="minorEastAsia"/>
                <w:lang w:eastAsia="ja-JP"/>
              </w:rPr>
              <w:t>9.1</w:t>
            </w:r>
            <w:r w:rsidR="00A811A6" w:rsidRPr="003B46EA">
              <w:rPr>
                <w:rFonts w:eastAsiaTheme="minorEastAsia"/>
                <w:lang w:eastAsia="ja-JP"/>
              </w:rPr>
              <w:t xml:space="preserve"> billion submitted. This was an increase of </w:t>
            </w:r>
            <w:r w:rsidR="00ED0D27">
              <w:rPr>
                <w:rFonts w:eastAsiaTheme="minorEastAsia"/>
                <w:lang w:eastAsia="ja-JP"/>
              </w:rPr>
              <w:t>4.7</w:t>
            </w:r>
            <w:r w:rsidRPr="00C00E07">
              <w:rPr>
                <w:rFonts w:eastAsiaTheme="minorEastAsia"/>
                <w:lang w:eastAsia="ja-JP"/>
              </w:rPr>
              <w:t>%</w:t>
            </w:r>
            <w:r w:rsidR="00A811A6" w:rsidRPr="003B46EA">
              <w:rPr>
                <w:rFonts w:eastAsiaTheme="minorEastAsia"/>
                <w:lang w:eastAsia="ja-JP"/>
              </w:rPr>
              <w:t xml:space="preserve"> compared to 2022-23 and meant that the average cost to deliver services to the same casemix of patients (as measured by average cost per GWAU) was </w:t>
            </w:r>
            <w:r w:rsidR="00A811A6" w:rsidRPr="00C14F62">
              <w:rPr>
                <w:rFonts w:eastAsiaTheme="minorEastAsia"/>
                <w:lang w:eastAsia="ja-JP"/>
              </w:rPr>
              <w:t xml:space="preserve">relatively </w:t>
            </w:r>
            <w:r w:rsidR="00A811A6" w:rsidRPr="00C14F62" w:rsidDel="004A49CC">
              <w:rPr>
                <w:rFonts w:eastAsiaTheme="minorEastAsia"/>
                <w:lang w:eastAsia="ja-JP"/>
              </w:rPr>
              <w:t xml:space="preserve">stable </w:t>
            </w:r>
            <w:r w:rsidR="00A811A6" w:rsidRPr="00C14F62">
              <w:rPr>
                <w:rFonts w:eastAsiaTheme="minorEastAsia"/>
                <w:lang w:eastAsia="ja-JP"/>
              </w:rPr>
              <w:t xml:space="preserve">between </w:t>
            </w:r>
            <w:r w:rsidR="00A811A6">
              <w:rPr>
                <w:rFonts w:eastAsiaTheme="minorEastAsia"/>
                <w:lang w:eastAsia="ja-JP"/>
              </w:rPr>
              <w:t>2022</w:t>
            </w:r>
            <w:r w:rsidR="008112AF">
              <w:rPr>
                <w:rFonts w:eastAsiaTheme="minorEastAsia"/>
                <w:lang w:eastAsia="ja-JP"/>
              </w:rPr>
              <w:noBreakHyphen/>
            </w:r>
            <w:r w:rsidR="00A811A6" w:rsidRPr="00C14F62">
              <w:rPr>
                <w:rFonts w:eastAsiaTheme="minorEastAsia"/>
                <w:lang w:eastAsia="ja-JP"/>
              </w:rPr>
              <w:t>23 and</w:t>
            </w:r>
            <w:r w:rsidR="00A811A6" w:rsidRPr="003B46EA">
              <w:rPr>
                <w:rFonts w:eastAsiaTheme="minorEastAsia"/>
                <w:lang w:eastAsia="ja-JP"/>
              </w:rPr>
              <w:t xml:space="preserve"> 2023-24, </w:t>
            </w:r>
            <w:r w:rsidR="00A811A6" w:rsidRPr="00C14F62">
              <w:rPr>
                <w:rFonts w:eastAsiaTheme="minorEastAsia"/>
                <w:lang w:eastAsia="ja-JP"/>
              </w:rPr>
              <w:t xml:space="preserve">only </w:t>
            </w:r>
            <w:r w:rsidR="00A811A6" w:rsidRPr="003B46EA">
              <w:rPr>
                <w:rFonts w:eastAsiaTheme="minorEastAsia"/>
                <w:lang w:eastAsia="ja-JP"/>
              </w:rPr>
              <w:t xml:space="preserve">increasing by </w:t>
            </w:r>
            <w:r w:rsidR="00ED0D27">
              <w:rPr>
                <w:rFonts w:eastAsiaTheme="minorEastAsia"/>
                <w:lang w:eastAsia="ja-JP"/>
              </w:rPr>
              <w:t>0.1</w:t>
            </w:r>
            <w:r w:rsidRPr="00C00E07">
              <w:rPr>
                <w:rFonts w:eastAsiaTheme="minorEastAsia"/>
                <w:lang w:eastAsia="ja-JP"/>
              </w:rPr>
              <w:t>%.</w:t>
            </w:r>
          </w:p>
          <w:p w14:paraId="22C46BA1" w14:textId="6C6F41D6" w:rsidR="00A811A6" w:rsidRPr="003B46EA" w:rsidRDefault="00B8148F">
            <w:pPr>
              <w:pStyle w:val="Tablebulletpoint"/>
              <w:rPr>
                <w:lang w:eastAsia="ja-JP"/>
              </w:rPr>
            </w:pPr>
            <w:r w:rsidRPr="002F79D4">
              <w:t xml:space="preserve">Children’s Health Queensland was an outlier with significant reduction in episodes (-7.1%), GWAU (-20.4%) and average cost per GWAU (-12.1%). </w:t>
            </w:r>
            <w:r w:rsidR="00B33D4A">
              <w:t>Queensland</w:t>
            </w:r>
            <w:r>
              <w:t xml:space="preserve"> </w:t>
            </w:r>
            <w:r w:rsidRPr="002F79D4">
              <w:t xml:space="preserve">is investigating whether there is an underlying issue affecting matching of costs and activity in </w:t>
            </w:r>
            <w:r>
              <w:t>2023-24</w:t>
            </w:r>
            <w:r w:rsidRPr="002F79D4">
              <w:t xml:space="preserve">, </w:t>
            </w:r>
            <w:r>
              <w:t>driving the reduction in activity.</w:t>
            </w:r>
          </w:p>
        </w:tc>
      </w:tr>
      <w:tr w:rsidR="00A811A6" w:rsidRPr="002C3BA4" w14:paraId="455A2254" w14:textId="77777777">
        <w:trPr>
          <w:cantSplit/>
          <w:trHeight w:val="2530"/>
        </w:trPr>
        <w:tc>
          <w:tcPr>
            <w:tcW w:w="1451" w:type="dxa"/>
            <w:shd w:val="clear" w:color="auto" w:fill="464E7E" w:themeFill="accent2"/>
            <w:vAlign w:val="center"/>
          </w:tcPr>
          <w:p w14:paraId="17D2C917" w14:textId="77777777" w:rsidR="00A811A6" w:rsidRPr="003B01D5" w:rsidRDefault="00A811A6">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lastRenderedPageBreak/>
              <w:t>Emergency Department</w:t>
            </w:r>
          </w:p>
        </w:tc>
        <w:tc>
          <w:tcPr>
            <w:tcW w:w="7529" w:type="dxa"/>
            <w:shd w:val="clear" w:color="auto" w:fill="D6D9E8" w:themeFill="accent2" w:themeFillTint="33"/>
          </w:tcPr>
          <w:p w14:paraId="17FF0EA9" w14:textId="4E487FB2" w:rsidR="00513EAE" w:rsidRPr="00097538" w:rsidRDefault="00513EAE" w:rsidP="00513EAE">
            <w:pPr>
              <w:pStyle w:val="Tablebulletpoint"/>
              <w:rPr>
                <w:rFonts w:eastAsiaTheme="minorEastAsia"/>
                <w:lang w:eastAsia="ja-JP"/>
              </w:rPr>
            </w:pPr>
            <w:r w:rsidRPr="00097538">
              <w:rPr>
                <w:rFonts w:eastAsiaTheme="minorEastAsia"/>
                <w:lang w:eastAsia="ja-JP"/>
              </w:rPr>
              <w:t>The ED stream represented 18.</w:t>
            </w:r>
            <w:r>
              <w:rPr>
                <w:rFonts w:eastAsiaTheme="minorEastAsia"/>
                <w:lang w:eastAsia="ja-JP"/>
              </w:rPr>
              <w:t>4</w:t>
            </w:r>
            <w:r w:rsidRPr="00097538">
              <w:rPr>
                <w:rFonts w:eastAsiaTheme="minorEastAsia"/>
                <w:lang w:eastAsia="ja-JP"/>
              </w:rPr>
              <w:t xml:space="preserve">% of total episodes, with </w:t>
            </w:r>
            <w:r>
              <w:rPr>
                <w:rFonts w:eastAsiaTheme="minorEastAsia"/>
                <w:lang w:eastAsia="ja-JP"/>
              </w:rPr>
              <w:t>1.9 </w:t>
            </w:r>
            <w:r w:rsidRPr="00097538">
              <w:rPr>
                <w:rFonts w:eastAsiaTheme="minorEastAsia"/>
                <w:lang w:eastAsia="ja-JP"/>
              </w:rPr>
              <w:t xml:space="preserve">million costed </w:t>
            </w:r>
            <w:r>
              <w:rPr>
                <w:rFonts w:eastAsiaTheme="minorEastAsia"/>
                <w:lang w:eastAsia="ja-JP"/>
              </w:rPr>
              <w:t>presentations</w:t>
            </w:r>
            <w:r w:rsidRPr="00097538">
              <w:rPr>
                <w:rFonts w:eastAsiaTheme="minorEastAsia"/>
                <w:lang w:eastAsia="ja-JP"/>
              </w:rPr>
              <w:t xml:space="preserve"> submitted for 2023-24, </w:t>
            </w:r>
            <w:r>
              <w:rPr>
                <w:rFonts w:eastAsiaTheme="minorEastAsia"/>
                <w:lang w:eastAsia="ja-JP"/>
              </w:rPr>
              <w:t>a slight decrease</w:t>
            </w:r>
            <w:r w:rsidRPr="00097538">
              <w:rPr>
                <w:rFonts w:eastAsiaTheme="minorEastAsia"/>
                <w:lang w:eastAsia="ja-JP"/>
              </w:rPr>
              <w:t xml:space="preserve"> of </w:t>
            </w:r>
            <w:r>
              <w:rPr>
                <w:rFonts w:eastAsiaTheme="minorEastAsia"/>
                <w:lang w:eastAsia="ja-JP"/>
              </w:rPr>
              <w:t>0.4</w:t>
            </w:r>
            <w:r w:rsidRPr="00097538">
              <w:rPr>
                <w:rFonts w:eastAsiaTheme="minorEastAsia"/>
                <w:lang w:eastAsia="ja-JP"/>
              </w:rPr>
              <w:t xml:space="preserve">% compared to 2022-23. Growth in GWAU </w:t>
            </w:r>
            <w:r>
              <w:rPr>
                <w:rFonts w:eastAsiaTheme="minorEastAsia"/>
                <w:lang w:eastAsia="ja-JP"/>
              </w:rPr>
              <w:t xml:space="preserve">increased </w:t>
            </w:r>
            <w:r w:rsidRPr="00097538">
              <w:rPr>
                <w:rFonts w:eastAsiaTheme="minorEastAsia"/>
                <w:lang w:eastAsia="ja-JP"/>
              </w:rPr>
              <w:t xml:space="preserve">slightly </w:t>
            </w:r>
            <w:r>
              <w:rPr>
                <w:rFonts w:eastAsiaTheme="minorEastAsia"/>
                <w:lang w:eastAsia="ja-JP"/>
              </w:rPr>
              <w:t>by 0.6% over the same period,</w:t>
            </w:r>
            <w:r w:rsidRPr="00097538">
              <w:rPr>
                <w:rFonts w:eastAsiaTheme="minorEastAsia"/>
                <w:lang w:eastAsia="ja-JP"/>
              </w:rPr>
              <w:t xml:space="preserve"> indicating a </w:t>
            </w:r>
            <w:r>
              <w:rPr>
                <w:rFonts w:eastAsiaTheme="minorEastAsia"/>
                <w:lang w:eastAsia="ja-JP"/>
              </w:rPr>
              <w:t>slightly</w:t>
            </w:r>
            <w:r w:rsidRPr="00097538">
              <w:rPr>
                <w:rFonts w:eastAsiaTheme="minorEastAsia"/>
                <w:lang w:eastAsia="ja-JP"/>
              </w:rPr>
              <w:t xml:space="preserve"> more complex casemix of patients for the year. </w:t>
            </w:r>
          </w:p>
          <w:p w14:paraId="2EE22976" w14:textId="77777777" w:rsidR="00513EAE" w:rsidRPr="00097538" w:rsidRDefault="00513EAE" w:rsidP="00513EAE">
            <w:pPr>
              <w:pStyle w:val="Tablebulletpoint"/>
              <w:rPr>
                <w:rFonts w:eastAsiaTheme="minorEastAsia"/>
                <w:lang w:eastAsia="ja-JP"/>
              </w:rPr>
            </w:pPr>
            <w:r>
              <w:rPr>
                <w:rFonts w:eastAsiaTheme="minorEastAsia"/>
                <w:lang w:eastAsia="ja-JP"/>
              </w:rPr>
              <w:t>Despite small changes in activity volumes, t</w:t>
            </w:r>
            <w:r w:rsidRPr="00097538">
              <w:rPr>
                <w:rFonts w:eastAsiaTheme="minorEastAsia"/>
                <w:lang w:eastAsia="ja-JP"/>
              </w:rPr>
              <w:t xml:space="preserve">he average cost per GWAU for ED increased </w:t>
            </w:r>
            <w:r>
              <w:rPr>
                <w:rFonts w:eastAsiaTheme="minorEastAsia"/>
                <w:lang w:eastAsia="ja-JP"/>
              </w:rPr>
              <w:t xml:space="preserve">significantly </w:t>
            </w:r>
            <w:r w:rsidRPr="00097538">
              <w:rPr>
                <w:rFonts w:eastAsiaTheme="minorEastAsia"/>
                <w:lang w:eastAsia="ja-JP"/>
              </w:rPr>
              <w:t>by 11.4%</w:t>
            </w:r>
            <w:r>
              <w:rPr>
                <w:rFonts w:eastAsiaTheme="minorEastAsia"/>
                <w:lang w:eastAsia="ja-JP"/>
              </w:rPr>
              <w:t xml:space="preserve"> for 2023-24. This resulted in an increase to</w:t>
            </w:r>
            <w:r w:rsidRPr="00097538">
              <w:rPr>
                <w:rFonts w:eastAsiaTheme="minorEastAsia"/>
                <w:lang w:eastAsia="ja-JP"/>
              </w:rPr>
              <w:t xml:space="preserve"> total costs </w:t>
            </w:r>
            <w:r>
              <w:rPr>
                <w:rFonts w:eastAsiaTheme="minorEastAsia"/>
                <w:lang w:eastAsia="ja-JP"/>
              </w:rPr>
              <w:t>of 12.1</w:t>
            </w:r>
            <w:r w:rsidRPr="00097538">
              <w:rPr>
                <w:rFonts w:eastAsiaTheme="minorEastAsia"/>
                <w:lang w:eastAsia="ja-JP"/>
              </w:rPr>
              <w:t xml:space="preserve">% in 2023-24. </w:t>
            </w:r>
          </w:p>
          <w:p w14:paraId="1EAF4797" w14:textId="033DA3B6" w:rsidR="00A811A6" w:rsidRPr="003B46EA" w:rsidRDefault="00B33D4A">
            <w:pPr>
              <w:pStyle w:val="Tablebulletpoint"/>
              <w:rPr>
                <w:lang w:eastAsia="ja-JP"/>
              </w:rPr>
            </w:pPr>
            <w:r>
              <w:t>Queensland</w:t>
            </w:r>
            <w:r w:rsidR="00513EAE" w:rsidRPr="00BB0797">
              <w:t xml:space="preserve"> reported that </w:t>
            </w:r>
            <w:r w:rsidR="005E0239" w:rsidRPr="005E0239">
              <w:t xml:space="preserve">there were </w:t>
            </w:r>
            <w:r w:rsidR="00513EAE" w:rsidRPr="00BB0797">
              <w:t xml:space="preserve">investments in 2023-24 in ED to </w:t>
            </w:r>
            <w:r w:rsidR="005E0239" w:rsidRPr="005E0239">
              <w:t>reduce</w:t>
            </w:r>
            <w:r w:rsidR="00513EAE">
              <w:t xml:space="preserve"> </w:t>
            </w:r>
            <w:r w:rsidR="00513EAE" w:rsidRPr="00BB0797">
              <w:t>ramping challenges</w:t>
            </w:r>
            <w:r w:rsidR="005E0239" w:rsidRPr="005E0239">
              <w:t>, including $54 million to enhance transition and discharge lounges, extended hours of allied health clinicians</w:t>
            </w:r>
            <w:r w:rsidR="00513EAE" w:rsidRPr="00BB0797">
              <w:t xml:space="preserve"> in </w:t>
            </w:r>
            <w:r w:rsidR="005E0239" w:rsidRPr="005E0239">
              <w:t>E</w:t>
            </w:r>
            <w:r w:rsidR="005E0239">
              <w:t>D</w:t>
            </w:r>
            <w:r w:rsidR="005E0239" w:rsidRPr="005E0239">
              <w:t>s</w:t>
            </w:r>
            <w:r w:rsidR="005E0239">
              <w:t>,</w:t>
            </w:r>
            <w:r w:rsidR="005E0239" w:rsidRPr="005E0239">
              <w:t xml:space="preserve"> and senior doctors</w:t>
            </w:r>
            <w:r w:rsidR="00513EAE">
              <w:t xml:space="preserve"> as </w:t>
            </w:r>
            <w:r w:rsidR="00513EAE" w:rsidRPr="00BB0797">
              <w:t xml:space="preserve">Flow </w:t>
            </w:r>
            <w:r w:rsidR="005E0239" w:rsidRPr="005E0239">
              <w:t>Commanders.</w:t>
            </w:r>
            <w:r w:rsidR="00513EAE">
              <w:t xml:space="preserve"> </w:t>
            </w:r>
            <w:r w:rsidR="00513EAE" w:rsidRPr="00BB0797">
              <w:t>Wide Bay, Mackay</w:t>
            </w:r>
            <w:r w:rsidR="00980BF9">
              <w:t>,</w:t>
            </w:r>
            <w:r w:rsidR="00513EAE" w:rsidRPr="00BB0797">
              <w:t xml:space="preserve"> and Cairns &amp; Hinterland </w:t>
            </w:r>
            <w:r w:rsidR="00513EAE" w:rsidRPr="00097538">
              <w:t>HHS</w:t>
            </w:r>
            <w:r w:rsidR="00513EAE">
              <w:t>s</w:t>
            </w:r>
            <w:r w:rsidR="00513EAE" w:rsidRPr="00BB0797">
              <w:t xml:space="preserve"> saw </w:t>
            </w:r>
            <w:r w:rsidR="00513EAE">
              <w:t>significant</w:t>
            </w:r>
            <w:r w:rsidR="00513EAE" w:rsidRPr="00BB0797">
              <w:t xml:space="preserve"> investments and largest corresponding cost increases.</w:t>
            </w:r>
          </w:p>
        </w:tc>
      </w:tr>
      <w:tr w:rsidR="00A811A6" w:rsidRPr="002C3BA4" w14:paraId="697F0D98" w14:textId="77777777">
        <w:trPr>
          <w:cantSplit/>
          <w:trHeight w:val="2530"/>
        </w:trPr>
        <w:tc>
          <w:tcPr>
            <w:tcW w:w="1451" w:type="dxa"/>
            <w:shd w:val="clear" w:color="auto" w:fill="F7BE85" w:themeFill="accent5"/>
            <w:vAlign w:val="center"/>
          </w:tcPr>
          <w:p w14:paraId="2DE3CC61" w14:textId="77777777" w:rsidR="00A811A6" w:rsidRPr="002C3BA4" w:rsidRDefault="00A811A6">
            <w:pPr>
              <w:pStyle w:val="TableHeadingtext"/>
              <w:framePr w:hSpace="0" w:wrap="auto" w:vAnchor="margin" w:hAnchor="text" w:yAlign="inline"/>
              <w:jc w:val="center"/>
              <w:rPr>
                <w:rFonts w:asciiTheme="majorHAnsi" w:hAnsiTheme="majorHAnsi"/>
              </w:rPr>
            </w:pPr>
            <w:r>
              <w:rPr>
                <w:rFonts w:asciiTheme="majorHAnsi" w:hAnsiTheme="majorHAnsi"/>
              </w:rPr>
              <w:t>Non-admitted</w:t>
            </w:r>
          </w:p>
        </w:tc>
        <w:tc>
          <w:tcPr>
            <w:tcW w:w="7529" w:type="dxa"/>
            <w:shd w:val="clear" w:color="auto" w:fill="FDF1E6" w:themeFill="accent5" w:themeFillTint="33"/>
          </w:tcPr>
          <w:p w14:paraId="6493F48E" w14:textId="6EBE1F0F" w:rsidR="00000277" w:rsidRPr="00097538" w:rsidRDefault="00000277" w:rsidP="00000277">
            <w:pPr>
              <w:pStyle w:val="Tablebulletpoint"/>
              <w:rPr>
                <w:rFonts w:eastAsiaTheme="minorEastAsia"/>
                <w:lang w:eastAsia="ja-JP"/>
              </w:rPr>
            </w:pPr>
            <w:r w:rsidRPr="00097538">
              <w:rPr>
                <w:rFonts w:eastAsiaTheme="minorEastAsia"/>
                <w:lang w:eastAsia="ja-JP"/>
              </w:rPr>
              <w:t xml:space="preserve">The non-admitted stream makes up the largest proportion of submitted episodes, with </w:t>
            </w:r>
            <w:r>
              <w:rPr>
                <w:rFonts w:eastAsiaTheme="minorEastAsia"/>
                <w:lang w:eastAsia="ja-JP"/>
              </w:rPr>
              <w:t>6.8</w:t>
            </w:r>
            <w:r w:rsidRPr="00097538">
              <w:rPr>
                <w:rFonts w:eastAsiaTheme="minorEastAsia"/>
                <w:lang w:eastAsia="ja-JP"/>
              </w:rPr>
              <w:t xml:space="preserve"> million service events in 2023-24. This stream also had high</w:t>
            </w:r>
            <w:r>
              <w:rPr>
                <w:rFonts w:eastAsiaTheme="minorEastAsia"/>
                <w:lang w:eastAsia="ja-JP"/>
              </w:rPr>
              <w:t>est</w:t>
            </w:r>
            <w:r w:rsidRPr="00097538">
              <w:rPr>
                <w:rFonts w:eastAsiaTheme="minorEastAsia"/>
                <w:lang w:eastAsia="ja-JP"/>
              </w:rPr>
              <w:t xml:space="preserve"> growth in </w:t>
            </w:r>
            <w:r>
              <w:rPr>
                <w:rFonts w:eastAsiaTheme="minorEastAsia"/>
                <w:lang w:eastAsia="ja-JP"/>
              </w:rPr>
              <w:t xml:space="preserve">the number of </w:t>
            </w:r>
            <w:r w:rsidRPr="00097538">
              <w:rPr>
                <w:rFonts w:eastAsiaTheme="minorEastAsia"/>
                <w:lang w:eastAsia="ja-JP"/>
              </w:rPr>
              <w:t xml:space="preserve">costed </w:t>
            </w:r>
            <w:r>
              <w:rPr>
                <w:rFonts w:eastAsiaTheme="minorEastAsia"/>
                <w:lang w:eastAsia="ja-JP"/>
              </w:rPr>
              <w:t>service event records</w:t>
            </w:r>
            <w:r w:rsidRPr="00097538">
              <w:rPr>
                <w:rFonts w:eastAsiaTheme="minorEastAsia"/>
                <w:lang w:eastAsia="ja-JP"/>
              </w:rPr>
              <w:t xml:space="preserve">, increasing </w:t>
            </w:r>
            <w:r>
              <w:rPr>
                <w:rFonts w:eastAsiaTheme="minorEastAsia"/>
                <w:lang w:eastAsia="ja-JP"/>
              </w:rPr>
              <w:t>7.3</w:t>
            </w:r>
            <w:r w:rsidRPr="00097538">
              <w:rPr>
                <w:rFonts w:eastAsiaTheme="minorEastAsia"/>
                <w:lang w:eastAsia="ja-JP"/>
              </w:rPr>
              <w:t xml:space="preserve">% from the previous year. Over the same period, the volume of GWAU also increased significantly by </w:t>
            </w:r>
            <w:r>
              <w:rPr>
                <w:rFonts w:eastAsiaTheme="minorEastAsia"/>
                <w:lang w:eastAsia="ja-JP"/>
              </w:rPr>
              <w:t>10.1</w:t>
            </w:r>
            <w:r w:rsidRPr="00097538">
              <w:rPr>
                <w:rFonts w:eastAsiaTheme="minorEastAsia"/>
                <w:lang w:eastAsia="ja-JP"/>
              </w:rPr>
              <w:t>%.</w:t>
            </w:r>
          </w:p>
          <w:p w14:paraId="1B19C521" w14:textId="0EBA6729" w:rsidR="00000277" w:rsidRPr="00097538" w:rsidRDefault="00000277" w:rsidP="00000277">
            <w:pPr>
              <w:pStyle w:val="Tablebulletpoint"/>
              <w:rPr>
                <w:rFonts w:eastAsiaTheme="minorEastAsia"/>
                <w:lang w:eastAsia="ja-JP"/>
              </w:rPr>
            </w:pPr>
            <w:r w:rsidRPr="00097538">
              <w:rPr>
                <w:rFonts w:eastAsiaTheme="minorEastAsia"/>
                <w:lang w:eastAsia="ja-JP"/>
              </w:rPr>
              <w:t xml:space="preserve">The increases in non-admitted activity were observed across a range of HSSs across the state, which could be a result of improved data capture and submission at a patient level. </w:t>
            </w:r>
            <w:r w:rsidR="00B33D4A">
              <w:rPr>
                <w:rFonts w:eastAsiaTheme="minorEastAsia"/>
                <w:lang w:eastAsia="ja-JP"/>
              </w:rPr>
              <w:t>Queensland</w:t>
            </w:r>
            <w:r w:rsidRPr="00097538">
              <w:rPr>
                <w:rFonts w:eastAsiaTheme="minorEastAsia"/>
                <w:lang w:eastAsia="ja-JP"/>
              </w:rPr>
              <w:t xml:space="preserve"> explained that there was a lot of focus </w:t>
            </w:r>
            <w:r w:rsidR="00BF3BAB">
              <w:rPr>
                <w:rFonts w:eastAsiaTheme="minorEastAsia"/>
                <w:lang w:eastAsia="ja-JP"/>
              </w:rPr>
              <w:t xml:space="preserve">by HSSs </w:t>
            </w:r>
            <w:r w:rsidRPr="00097538">
              <w:rPr>
                <w:rFonts w:eastAsiaTheme="minorEastAsia"/>
                <w:lang w:eastAsia="ja-JP"/>
              </w:rPr>
              <w:t xml:space="preserve">on improving patient activity capture </w:t>
            </w:r>
            <w:r w:rsidR="00BF3BAB">
              <w:rPr>
                <w:rFonts w:eastAsiaTheme="minorEastAsia"/>
                <w:lang w:eastAsia="ja-JP"/>
              </w:rPr>
              <w:t>in non-admitted collections</w:t>
            </w:r>
            <w:r w:rsidRPr="00097538">
              <w:rPr>
                <w:rFonts w:eastAsiaTheme="minorEastAsia"/>
                <w:lang w:eastAsia="ja-JP"/>
              </w:rPr>
              <w:t>.</w:t>
            </w:r>
          </w:p>
          <w:p w14:paraId="718DD707" w14:textId="4BD9ACC5" w:rsidR="00A811A6" w:rsidRPr="003B46EA" w:rsidRDefault="00000277">
            <w:pPr>
              <w:pStyle w:val="Tablebulletpoint"/>
              <w:rPr>
                <w:lang w:eastAsia="ja-JP"/>
              </w:rPr>
            </w:pPr>
            <w:r w:rsidRPr="00097538">
              <w:rPr>
                <w:rFonts w:eastAsiaTheme="minorEastAsia"/>
                <w:lang w:eastAsia="ja-JP"/>
              </w:rPr>
              <w:t xml:space="preserve">Total submitted costs </w:t>
            </w:r>
            <w:r>
              <w:rPr>
                <w:rFonts w:eastAsiaTheme="minorEastAsia"/>
                <w:lang w:eastAsia="ja-JP"/>
              </w:rPr>
              <w:t>grew in line with the increases in GWAU, with $3.</w:t>
            </w:r>
            <w:r w:rsidR="001D51E1">
              <w:rPr>
                <w:rFonts w:eastAsiaTheme="minorEastAsia"/>
                <w:lang w:eastAsia="ja-JP"/>
              </w:rPr>
              <w:t>1</w:t>
            </w:r>
            <w:r w:rsidR="004B3862">
              <w:rPr>
                <w:rFonts w:eastAsiaTheme="minorEastAsia"/>
                <w:lang w:eastAsia="ja-JP"/>
              </w:rPr>
              <w:t> </w:t>
            </w:r>
            <w:r>
              <w:rPr>
                <w:rFonts w:eastAsiaTheme="minorEastAsia"/>
                <w:lang w:eastAsia="ja-JP"/>
              </w:rPr>
              <w:t xml:space="preserve">billion submitted for the non-admitted stream in 2023-24, an </w:t>
            </w:r>
            <w:r w:rsidRPr="00097538">
              <w:rPr>
                <w:rFonts w:eastAsiaTheme="minorEastAsia"/>
                <w:lang w:eastAsia="ja-JP"/>
              </w:rPr>
              <w:t>increase</w:t>
            </w:r>
            <w:r>
              <w:rPr>
                <w:rFonts w:eastAsiaTheme="minorEastAsia"/>
                <w:lang w:eastAsia="ja-JP"/>
              </w:rPr>
              <w:t xml:space="preserve"> of 9.</w:t>
            </w:r>
            <w:r w:rsidR="001D51E1">
              <w:rPr>
                <w:rFonts w:eastAsiaTheme="minorEastAsia"/>
                <w:lang w:eastAsia="ja-JP"/>
              </w:rPr>
              <w:t>4</w:t>
            </w:r>
            <w:r w:rsidRPr="00097538">
              <w:rPr>
                <w:rFonts w:eastAsiaTheme="minorEastAsia"/>
                <w:lang w:eastAsia="ja-JP"/>
              </w:rPr>
              <w:t>%</w:t>
            </w:r>
            <w:r>
              <w:rPr>
                <w:rFonts w:eastAsiaTheme="minorEastAsia"/>
                <w:lang w:eastAsia="ja-JP"/>
              </w:rPr>
              <w:t>. This resulted in</w:t>
            </w:r>
            <w:r w:rsidRPr="00097538">
              <w:rPr>
                <w:rFonts w:eastAsiaTheme="minorEastAsia"/>
                <w:lang w:eastAsia="ja-JP"/>
              </w:rPr>
              <w:t xml:space="preserve"> a small decrease in the average cost per GWAU of 0.</w:t>
            </w:r>
            <w:r w:rsidR="001D51E1">
              <w:rPr>
                <w:rFonts w:eastAsiaTheme="minorEastAsia"/>
                <w:lang w:eastAsia="ja-JP"/>
              </w:rPr>
              <w:t>6</w:t>
            </w:r>
            <w:r w:rsidRPr="00097538">
              <w:rPr>
                <w:rFonts w:eastAsiaTheme="minorEastAsia"/>
                <w:lang w:eastAsia="ja-JP"/>
              </w:rPr>
              <w:t>%</w:t>
            </w:r>
            <w:r>
              <w:rPr>
                <w:rFonts w:eastAsiaTheme="minorEastAsia"/>
                <w:lang w:eastAsia="ja-JP"/>
              </w:rPr>
              <w:t xml:space="preserve">. The non-admitted stream was </w:t>
            </w:r>
            <w:r w:rsidRPr="00097538">
              <w:rPr>
                <w:rFonts w:eastAsiaTheme="minorEastAsia"/>
                <w:lang w:eastAsia="ja-JP"/>
              </w:rPr>
              <w:t>the only stream with a reduction in average cost per GWAU.</w:t>
            </w:r>
          </w:p>
        </w:tc>
      </w:tr>
      <w:tr w:rsidR="00A811A6" w:rsidRPr="002C3BA4" w14:paraId="26D49F42" w14:textId="77777777" w:rsidTr="00FC7B2C">
        <w:trPr>
          <w:cantSplit/>
          <w:trHeight w:val="2041"/>
        </w:trPr>
        <w:tc>
          <w:tcPr>
            <w:tcW w:w="1451" w:type="dxa"/>
            <w:shd w:val="clear" w:color="auto" w:fill="B4B5DB" w:themeFill="accent4"/>
            <w:vAlign w:val="center"/>
          </w:tcPr>
          <w:p w14:paraId="4A396958" w14:textId="77777777" w:rsidR="00A811A6" w:rsidRPr="00AD1F32" w:rsidRDefault="00A811A6">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t>Subacute</w:t>
            </w:r>
          </w:p>
        </w:tc>
        <w:tc>
          <w:tcPr>
            <w:tcW w:w="7529" w:type="dxa"/>
            <w:shd w:val="clear" w:color="auto" w:fill="EFF0F7" w:themeFill="accent4" w:themeFillTint="33"/>
          </w:tcPr>
          <w:p w14:paraId="2398640C" w14:textId="77777777" w:rsidR="00FC7B2C" w:rsidRPr="00097538" w:rsidRDefault="00FC7B2C" w:rsidP="00FC7B2C">
            <w:pPr>
              <w:pStyle w:val="Tablebulletpoint"/>
              <w:rPr>
                <w:rFonts w:eastAsiaTheme="minorEastAsia"/>
                <w:lang w:eastAsia="ja-JP"/>
              </w:rPr>
            </w:pPr>
            <w:r w:rsidRPr="00097538">
              <w:rPr>
                <w:rFonts w:eastAsiaTheme="minorEastAsia"/>
                <w:lang w:eastAsia="ja-JP"/>
              </w:rPr>
              <w:t xml:space="preserve">The subacute stream is a relatively small stream, making up only 0.6% of episodes. Costed subacute </w:t>
            </w:r>
            <w:r>
              <w:rPr>
                <w:rFonts w:eastAsiaTheme="minorEastAsia"/>
                <w:lang w:eastAsia="ja-JP"/>
              </w:rPr>
              <w:t>records</w:t>
            </w:r>
            <w:r w:rsidRPr="00097538">
              <w:rPr>
                <w:rFonts w:eastAsiaTheme="minorEastAsia"/>
                <w:lang w:eastAsia="ja-JP"/>
              </w:rPr>
              <w:t xml:space="preserve"> increased by 1</w:t>
            </w:r>
            <w:r>
              <w:rPr>
                <w:rFonts w:eastAsiaTheme="minorEastAsia"/>
                <w:lang w:eastAsia="ja-JP"/>
              </w:rPr>
              <w:t>.9</w:t>
            </w:r>
            <w:r w:rsidRPr="00097538">
              <w:rPr>
                <w:rFonts w:eastAsiaTheme="minorEastAsia"/>
                <w:lang w:eastAsia="ja-JP"/>
              </w:rPr>
              <w:t>% in 2023-24, with a higher increase in GWAU (</w:t>
            </w:r>
            <w:r>
              <w:rPr>
                <w:rFonts w:eastAsiaTheme="minorEastAsia"/>
                <w:lang w:eastAsia="ja-JP"/>
              </w:rPr>
              <w:t>6.8</w:t>
            </w:r>
            <w:r w:rsidRPr="00097538">
              <w:rPr>
                <w:rFonts w:eastAsiaTheme="minorEastAsia"/>
                <w:lang w:eastAsia="ja-JP"/>
              </w:rPr>
              <w:t xml:space="preserve">%) reflecting an increasing level of patient complexity. </w:t>
            </w:r>
          </w:p>
          <w:p w14:paraId="50A6B759" w14:textId="51AD5305" w:rsidR="00A811A6" w:rsidRPr="003B46EA" w:rsidRDefault="00A811A6">
            <w:pPr>
              <w:pStyle w:val="Tablebulletpoint"/>
              <w:rPr>
                <w:lang w:eastAsia="ja-JP"/>
              </w:rPr>
            </w:pPr>
            <w:r w:rsidRPr="003B46EA">
              <w:rPr>
                <w:rFonts w:eastAsiaTheme="minorEastAsia"/>
                <w:lang w:eastAsia="ja-JP"/>
              </w:rPr>
              <w:t xml:space="preserve">The </w:t>
            </w:r>
            <w:r w:rsidRPr="00563F81">
              <w:rPr>
                <w:rFonts w:eastAsiaTheme="minorEastAsia" w:hint="eastAsia"/>
              </w:rPr>
              <w:t>average cost per GWAU</w:t>
            </w:r>
            <w:r w:rsidRPr="003B46EA">
              <w:rPr>
                <w:rFonts w:eastAsiaTheme="minorEastAsia"/>
                <w:lang w:eastAsia="ja-JP"/>
              </w:rPr>
              <w:t xml:space="preserve"> grew by </w:t>
            </w:r>
            <w:r w:rsidR="00FC7B2C" w:rsidRPr="00097538">
              <w:rPr>
                <w:rFonts w:eastAsiaTheme="minorEastAsia"/>
                <w:lang w:eastAsia="ja-JP"/>
              </w:rPr>
              <w:t>4.</w:t>
            </w:r>
            <w:r w:rsidR="0066138A">
              <w:rPr>
                <w:rFonts w:eastAsiaTheme="minorEastAsia"/>
                <w:lang w:eastAsia="ja-JP"/>
              </w:rPr>
              <w:t>4</w:t>
            </w:r>
            <w:r w:rsidR="00FC7B2C" w:rsidRPr="00097538">
              <w:rPr>
                <w:rFonts w:eastAsiaTheme="minorEastAsia"/>
                <w:lang w:eastAsia="ja-JP"/>
              </w:rPr>
              <w:t>% over the year</w:t>
            </w:r>
            <w:r w:rsidRPr="003B46EA">
              <w:rPr>
                <w:rFonts w:eastAsiaTheme="minorEastAsia"/>
                <w:lang w:eastAsia="ja-JP"/>
              </w:rPr>
              <w:t xml:space="preserve">, </w:t>
            </w:r>
            <w:r w:rsidR="00A96971">
              <w:rPr>
                <w:rFonts w:eastAsiaTheme="minorEastAsia"/>
                <w:lang w:eastAsia="ja-JP"/>
              </w:rPr>
              <w:t>resulting</w:t>
            </w:r>
            <w:r w:rsidRPr="003B46EA">
              <w:rPr>
                <w:rFonts w:eastAsiaTheme="minorEastAsia"/>
                <w:lang w:eastAsia="ja-JP"/>
              </w:rPr>
              <w:t xml:space="preserve"> in a high growth in total cost for this stream over and above the increase in episodes</w:t>
            </w:r>
            <w:r w:rsidR="00FC7B2C">
              <w:rPr>
                <w:rFonts w:eastAsiaTheme="minorEastAsia"/>
                <w:lang w:eastAsia="ja-JP"/>
              </w:rPr>
              <w:t>.</w:t>
            </w:r>
            <w:r w:rsidR="00FC7B2C" w:rsidRPr="00097538">
              <w:rPr>
                <w:rFonts w:eastAsiaTheme="minorEastAsia"/>
                <w:lang w:eastAsia="ja-JP"/>
              </w:rPr>
              <w:t xml:space="preserve"> </w:t>
            </w:r>
            <w:r w:rsidR="00FC7B2C">
              <w:rPr>
                <w:rFonts w:eastAsiaTheme="minorEastAsia"/>
                <w:lang w:eastAsia="ja-JP"/>
              </w:rPr>
              <w:t>T</w:t>
            </w:r>
            <w:r w:rsidR="00FC7B2C" w:rsidRPr="00097538">
              <w:rPr>
                <w:rFonts w:eastAsiaTheme="minorEastAsia"/>
                <w:lang w:eastAsia="ja-JP"/>
              </w:rPr>
              <w:t>he</w:t>
            </w:r>
            <w:r w:rsidRPr="003B46EA">
              <w:rPr>
                <w:rFonts w:eastAsiaTheme="minorEastAsia"/>
                <w:lang w:eastAsia="ja-JP"/>
              </w:rPr>
              <w:t xml:space="preserve"> $1.</w:t>
            </w:r>
            <w:r w:rsidR="00FC7B2C">
              <w:rPr>
                <w:rFonts w:eastAsiaTheme="minorEastAsia"/>
                <w:lang w:eastAsia="ja-JP"/>
              </w:rPr>
              <w:t>2</w:t>
            </w:r>
            <w:r w:rsidRPr="003B46EA">
              <w:rPr>
                <w:rFonts w:eastAsiaTheme="minorEastAsia"/>
                <w:lang w:eastAsia="ja-JP"/>
              </w:rPr>
              <w:t xml:space="preserve"> billion in submitted costs </w:t>
            </w:r>
            <w:r w:rsidR="00FC7B2C" w:rsidRPr="00097538">
              <w:rPr>
                <w:rFonts w:eastAsiaTheme="minorEastAsia"/>
                <w:lang w:eastAsia="ja-JP"/>
              </w:rPr>
              <w:t>represent</w:t>
            </w:r>
            <w:r w:rsidR="00FC7B2C">
              <w:rPr>
                <w:rFonts w:eastAsiaTheme="minorEastAsia"/>
                <w:lang w:eastAsia="ja-JP"/>
              </w:rPr>
              <w:t>ed</w:t>
            </w:r>
            <w:r w:rsidR="00FC7B2C" w:rsidRPr="00097538">
              <w:rPr>
                <w:rFonts w:eastAsiaTheme="minorEastAsia"/>
                <w:lang w:eastAsia="ja-JP"/>
              </w:rPr>
              <w:t xml:space="preserve"> a</w:t>
            </w:r>
            <w:r w:rsidR="00FC7B2C">
              <w:rPr>
                <w:rFonts w:eastAsiaTheme="minorEastAsia"/>
                <w:lang w:eastAsia="ja-JP"/>
              </w:rPr>
              <w:t>n</w:t>
            </w:r>
            <w:r w:rsidR="00FC7B2C" w:rsidRPr="00097538">
              <w:rPr>
                <w:rFonts w:eastAsiaTheme="minorEastAsia"/>
                <w:lang w:eastAsia="ja-JP"/>
              </w:rPr>
              <w:t xml:space="preserve"> </w:t>
            </w:r>
            <w:r w:rsidR="00FC7B2C">
              <w:rPr>
                <w:rFonts w:eastAsiaTheme="minorEastAsia"/>
                <w:lang w:eastAsia="ja-JP"/>
              </w:rPr>
              <w:t>11</w:t>
            </w:r>
            <w:r>
              <w:rPr>
                <w:rFonts w:eastAsiaTheme="minorEastAsia"/>
                <w:lang w:eastAsia="ja-JP"/>
              </w:rPr>
              <w:t>.</w:t>
            </w:r>
            <w:r w:rsidR="0066138A">
              <w:rPr>
                <w:rFonts w:eastAsiaTheme="minorEastAsia"/>
                <w:lang w:eastAsia="ja-JP"/>
              </w:rPr>
              <w:t>5</w:t>
            </w:r>
            <w:r w:rsidRPr="003B46EA">
              <w:rPr>
                <w:rFonts w:eastAsiaTheme="minorEastAsia"/>
                <w:lang w:eastAsia="ja-JP"/>
              </w:rPr>
              <w:t>% increase compared to 2022-23.</w:t>
            </w:r>
          </w:p>
        </w:tc>
      </w:tr>
      <w:tr w:rsidR="00A811A6" w:rsidRPr="002C3BA4" w14:paraId="626CFDF3" w14:textId="77777777">
        <w:trPr>
          <w:cantSplit/>
          <w:trHeight w:val="2530"/>
        </w:trPr>
        <w:tc>
          <w:tcPr>
            <w:tcW w:w="1451" w:type="dxa"/>
            <w:shd w:val="clear" w:color="auto" w:fill="80C0B0"/>
            <w:vAlign w:val="center"/>
          </w:tcPr>
          <w:p w14:paraId="45EE7D38" w14:textId="313DA3F9" w:rsidR="00A811A6" w:rsidRPr="00AD1F32" w:rsidRDefault="00A811A6">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lastRenderedPageBreak/>
              <w:t>Admitted mental health</w:t>
            </w:r>
          </w:p>
        </w:tc>
        <w:tc>
          <w:tcPr>
            <w:tcW w:w="7529" w:type="dxa"/>
            <w:shd w:val="clear" w:color="auto" w:fill="BCDED5"/>
          </w:tcPr>
          <w:p w14:paraId="0CADD6D8" w14:textId="795D50DD" w:rsidR="00220FF5" w:rsidRPr="00097538" w:rsidRDefault="00220FF5" w:rsidP="00220FF5">
            <w:pPr>
              <w:pStyle w:val="Tablebulletpoint"/>
              <w:rPr>
                <w:rFonts w:eastAsiaTheme="minorEastAsia"/>
                <w:lang w:eastAsia="ja-JP"/>
              </w:rPr>
            </w:pPr>
            <w:r w:rsidRPr="00097538">
              <w:rPr>
                <w:rFonts w:eastAsiaTheme="minorEastAsia"/>
                <w:lang w:eastAsia="ja-JP"/>
              </w:rPr>
              <w:t xml:space="preserve">The majority of </w:t>
            </w:r>
            <w:r w:rsidR="00B33D4A">
              <w:rPr>
                <w:rFonts w:eastAsiaTheme="minorEastAsia"/>
                <w:lang w:eastAsia="ja-JP"/>
              </w:rPr>
              <w:t>Queensland</w:t>
            </w:r>
            <w:r w:rsidRPr="00097538">
              <w:rPr>
                <w:rFonts w:eastAsiaTheme="minorEastAsia"/>
                <w:lang w:eastAsia="ja-JP"/>
              </w:rPr>
              <w:t xml:space="preserve">’s </w:t>
            </w:r>
            <w:r>
              <w:rPr>
                <w:rFonts w:eastAsiaTheme="minorEastAsia"/>
                <w:lang w:eastAsia="ja-JP"/>
              </w:rPr>
              <w:t xml:space="preserve">data </w:t>
            </w:r>
            <w:r w:rsidRPr="00097538">
              <w:rPr>
                <w:rFonts w:eastAsiaTheme="minorEastAsia"/>
                <w:lang w:eastAsia="ja-JP"/>
              </w:rPr>
              <w:t xml:space="preserve">for admitted mental health was </w:t>
            </w:r>
            <w:r>
              <w:rPr>
                <w:rFonts w:eastAsiaTheme="minorEastAsia"/>
                <w:lang w:eastAsia="ja-JP"/>
              </w:rPr>
              <w:t>submitted as</w:t>
            </w:r>
            <w:r w:rsidRPr="00097538">
              <w:rPr>
                <w:rFonts w:eastAsiaTheme="minorEastAsia"/>
                <w:lang w:eastAsia="ja-JP"/>
              </w:rPr>
              <w:t xml:space="preserve"> phases of care, </w:t>
            </w:r>
            <w:r w:rsidR="00A96971">
              <w:rPr>
                <w:rFonts w:eastAsiaTheme="minorEastAsia"/>
                <w:lang w:eastAsia="ja-JP"/>
              </w:rPr>
              <w:t>growing</w:t>
            </w:r>
            <w:r w:rsidRPr="00097538">
              <w:rPr>
                <w:rFonts w:eastAsiaTheme="minorEastAsia"/>
                <w:lang w:eastAsia="ja-JP"/>
              </w:rPr>
              <w:t xml:space="preserve"> by </w:t>
            </w:r>
            <w:r>
              <w:rPr>
                <w:rFonts w:eastAsiaTheme="minorEastAsia"/>
                <w:lang w:eastAsia="ja-JP"/>
              </w:rPr>
              <w:t>10.9</w:t>
            </w:r>
            <w:r w:rsidRPr="00097538">
              <w:rPr>
                <w:rFonts w:eastAsiaTheme="minorEastAsia"/>
                <w:lang w:eastAsia="ja-JP"/>
              </w:rPr>
              <w:t xml:space="preserve">% in 2023-24. However, </w:t>
            </w:r>
            <w:r>
              <w:rPr>
                <w:rFonts w:eastAsiaTheme="minorEastAsia"/>
                <w:lang w:eastAsia="ja-JP"/>
              </w:rPr>
              <w:t>despite the increases in phases of care,</w:t>
            </w:r>
            <w:r w:rsidRPr="00097538">
              <w:rPr>
                <w:rFonts w:eastAsiaTheme="minorEastAsia"/>
                <w:lang w:eastAsia="ja-JP"/>
              </w:rPr>
              <w:t xml:space="preserve"> the </w:t>
            </w:r>
            <w:r>
              <w:rPr>
                <w:rFonts w:eastAsiaTheme="minorEastAsia"/>
                <w:lang w:eastAsia="ja-JP"/>
              </w:rPr>
              <w:t>volume</w:t>
            </w:r>
            <w:r w:rsidRPr="00097538">
              <w:rPr>
                <w:rFonts w:eastAsiaTheme="minorEastAsia"/>
                <w:lang w:eastAsia="ja-JP"/>
              </w:rPr>
              <w:t xml:space="preserve"> of GWAU </w:t>
            </w:r>
            <w:r>
              <w:rPr>
                <w:rFonts w:eastAsiaTheme="minorEastAsia"/>
                <w:lang w:eastAsia="ja-JP"/>
              </w:rPr>
              <w:t>remained relatively stable, decreasing by only -0.1%</w:t>
            </w:r>
            <w:r w:rsidRPr="00097538">
              <w:rPr>
                <w:rFonts w:eastAsiaTheme="minorEastAsia"/>
                <w:lang w:eastAsia="ja-JP"/>
              </w:rPr>
              <w:t xml:space="preserve">. </w:t>
            </w:r>
            <w:r w:rsidR="00B33D4A">
              <w:t>Queensland</w:t>
            </w:r>
            <w:r w:rsidRPr="00097538">
              <w:t xml:space="preserve"> reported that initiatives were introduced to improve phase of care assignment and improve data quality, </w:t>
            </w:r>
            <w:r w:rsidR="00A96971">
              <w:t>contributing</w:t>
            </w:r>
            <w:r w:rsidRPr="00097538">
              <w:t xml:space="preserve"> to the difference between phase growth and GWAU growth. </w:t>
            </w:r>
          </w:p>
          <w:p w14:paraId="56ED2338" w14:textId="5DC5A6DF" w:rsidR="00A811A6" w:rsidRPr="003B46EA" w:rsidRDefault="00A811A6">
            <w:pPr>
              <w:pStyle w:val="Tablebulletpoint"/>
            </w:pPr>
            <w:r>
              <w:rPr>
                <w:rFonts w:eastAsiaTheme="minorEastAsia"/>
                <w:lang w:eastAsia="ja-JP"/>
              </w:rPr>
              <w:t xml:space="preserve">Total admitted mental health </w:t>
            </w:r>
            <w:r w:rsidR="00221695">
              <w:rPr>
                <w:rFonts w:eastAsiaTheme="minorEastAsia"/>
                <w:lang w:eastAsia="ja-JP"/>
              </w:rPr>
              <w:t xml:space="preserve">phase </w:t>
            </w:r>
            <w:r>
              <w:rPr>
                <w:rFonts w:eastAsiaTheme="minorEastAsia"/>
                <w:lang w:eastAsia="ja-JP"/>
              </w:rPr>
              <w:t xml:space="preserve">costs increased by </w:t>
            </w:r>
            <w:r w:rsidR="00220FF5">
              <w:rPr>
                <w:rFonts w:eastAsiaTheme="minorEastAsia"/>
                <w:lang w:eastAsia="ja-JP"/>
              </w:rPr>
              <w:t>7.</w:t>
            </w:r>
            <w:r w:rsidR="00887107">
              <w:rPr>
                <w:rFonts w:eastAsiaTheme="minorEastAsia"/>
                <w:lang w:eastAsia="ja-JP"/>
              </w:rPr>
              <w:t>3</w:t>
            </w:r>
            <w:r w:rsidR="00220FF5" w:rsidRPr="00097538">
              <w:rPr>
                <w:rFonts w:eastAsiaTheme="minorEastAsia"/>
                <w:lang w:eastAsia="ja-JP"/>
              </w:rPr>
              <w:t xml:space="preserve">%, </w:t>
            </w:r>
            <w:r w:rsidR="00220FF5">
              <w:rPr>
                <w:rFonts w:eastAsiaTheme="minorEastAsia"/>
                <w:lang w:eastAsia="ja-JP"/>
              </w:rPr>
              <w:t>with a corresponding change in</w:t>
            </w:r>
            <w:r w:rsidRPr="003B46EA">
              <w:rPr>
                <w:rFonts w:eastAsiaTheme="minorEastAsia"/>
                <w:lang w:eastAsia="ja-JP"/>
              </w:rPr>
              <w:t xml:space="preserve"> the average cost to deliver admitted mental health services (</w:t>
            </w:r>
            <w:r w:rsidRPr="00563F81">
              <w:rPr>
                <w:rFonts w:eastAsiaTheme="minorEastAsia" w:hint="eastAsia"/>
              </w:rPr>
              <w:t>average cost per GWAU</w:t>
            </w:r>
            <w:r w:rsidRPr="003B46EA">
              <w:rPr>
                <w:rFonts w:eastAsiaTheme="minorEastAsia"/>
                <w:lang w:eastAsia="ja-JP"/>
              </w:rPr>
              <w:t xml:space="preserve">) </w:t>
            </w:r>
            <w:r w:rsidR="00220FF5">
              <w:rPr>
                <w:rFonts w:eastAsiaTheme="minorEastAsia"/>
                <w:lang w:eastAsia="ja-JP"/>
              </w:rPr>
              <w:t>of</w:t>
            </w:r>
            <w:r w:rsidR="00220FF5" w:rsidRPr="00097538">
              <w:rPr>
                <w:rFonts w:eastAsiaTheme="minorEastAsia"/>
                <w:lang w:eastAsia="ja-JP"/>
              </w:rPr>
              <w:t xml:space="preserve"> 7.</w:t>
            </w:r>
            <w:r w:rsidR="00887107">
              <w:rPr>
                <w:rFonts w:eastAsiaTheme="minorEastAsia"/>
                <w:lang w:eastAsia="ja-JP"/>
              </w:rPr>
              <w:t>4</w:t>
            </w:r>
            <w:r w:rsidR="00220FF5" w:rsidRPr="00097538">
              <w:rPr>
                <w:rFonts w:eastAsiaTheme="minorEastAsia"/>
                <w:lang w:eastAsia="ja-JP"/>
              </w:rPr>
              <w:t>%</w:t>
            </w:r>
            <w:r w:rsidR="00220FF5">
              <w:rPr>
                <w:rFonts w:eastAsiaTheme="minorEastAsia"/>
                <w:lang w:eastAsia="ja-JP"/>
              </w:rPr>
              <w:t>.</w:t>
            </w:r>
          </w:p>
        </w:tc>
      </w:tr>
      <w:tr w:rsidR="00A811A6" w:rsidRPr="002C3BA4" w14:paraId="2BF80992" w14:textId="77777777">
        <w:trPr>
          <w:cantSplit/>
          <w:trHeight w:val="2530"/>
        </w:trPr>
        <w:tc>
          <w:tcPr>
            <w:tcW w:w="1451" w:type="dxa"/>
            <w:shd w:val="clear" w:color="auto" w:fill="220054" w:themeFill="accent1"/>
            <w:vAlign w:val="center"/>
          </w:tcPr>
          <w:p w14:paraId="0A572E9E" w14:textId="77777777" w:rsidR="00A811A6" w:rsidRDefault="00A811A6">
            <w:pPr>
              <w:pStyle w:val="TableHeadingtext"/>
              <w:framePr w:hSpace="0" w:wrap="auto" w:vAnchor="margin" w:hAnchor="text" w:yAlign="inline"/>
              <w:jc w:val="center"/>
              <w:rPr>
                <w:rFonts w:asciiTheme="majorHAnsi" w:hAnsiTheme="majorHAnsi"/>
              </w:rPr>
            </w:pPr>
            <w:r w:rsidRPr="003B46EA">
              <w:rPr>
                <w:rFonts w:asciiTheme="majorHAnsi" w:hAnsiTheme="majorHAnsi"/>
                <w:color w:val="FFFFFF" w:themeColor="background1"/>
              </w:rPr>
              <w:t>Community mental health</w:t>
            </w:r>
          </w:p>
        </w:tc>
        <w:tc>
          <w:tcPr>
            <w:tcW w:w="7529" w:type="dxa"/>
            <w:shd w:val="clear" w:color="auto" w:fill="D8D9E1" w:themeFill="accent3" w:themeFillTint="33"/>
          </w:tcPr>
          <w:p w14:paraId="0DEA2AAD" w14:textId="029FAFDA" w:rsidR="007C7EC2" w:rsidRPr="00097538" w:rsidRDefault="00B33D4A" w:rsidP="00CD718C">
            <w:pPr>
              <w:pStyle w:val="ListParagraph"/>
              <w:keepNext/>
              <w:numPr>
                <w:ilvl w:val="0"/>
                <w:numId w:val="50"/>
              </w:numPr>
              <w:ind w:left="456"/>
            </w:pPr>
            <w:r>
              <w:t>Queensland</w:t>
            </w:r>
            <w:r w:rsidR="007C7EC2">
              <w:t xml:space="preserve"> submits community mental health activity and costs through both episodes and phases of care. </w:t>
            </w:r>
            <w:r w:rsidR="007C7EC2" w:rsidRPr="00097538">
              <w:t>Submissions for community mental health continue to mature and hence there has been volatility in submitted costs and activity for 2023-24 as data quality continues to improve.</w:t>
            </w:r>
          </w:p>
          <w:p w14:paraId="6B73E0D3" w14:textId="35B76F20" w:rsidR="007C7EC2" w:rsidRPr="00097538" w:rsidRDefault="007C7EC2" w:rsidP="00CD718C">
            <w:pPr>
              <w:pStyle w:val="ListParagraph"/>
              <w:keepNext/>
              <w:numPr>
                <w:ilvl w:val="0"/>
                <w:numId w:val="50"/>
              </w:numPr>
              <w:ind w:left="456"/>
            </w:pPr>
            <w:r w:rsidRPr="00097538">
              <w:t>Community mental health activity is not restricted to ABF hospitals</w:t>
            </w:r>
            <w:r w:rsidR="000A12A7">
              <w:t xml:space="preserve"> (unlike the rest of the Cost Driver analysis)</w:t>
            </w:r>
            <w:r w:rsidRPr="00097538">
              <w:t xml:space="preserve">, and the </w:t>
            </w:r>
            <w:r>
              <w:t xml:space="preserve">records (episodes and </w:t>
            </w:r>
            <w:r w:rsidRPr="00097538">
              <w:t>phases</w:t>
            </w:r>
            <w:r>
              <w:t>)</w:t>
            </w:r>
            <w:r w:rsidRPr="00097538">
              <w:t xml:space="preserve"> submitted in 2023-24 for all facilities increased by </w:t>
            </w:r>
            <w:r>
              <w:t>6.3</w:t>
            </w:r>
            <w:r w:rsidRPr="00097538">
              <w:t>% compared to 2022</w:t>
            </w:r>
            <w:r w:rsidR="00DD764D">
              <w:noBreakHyphen/>
            </w:r>
            <w:r w:rsidRPr="00097538">
              <w:t>23. Community mental health was not ABF priced in 2023-24 and hence GWAU w</w:t>
            </w:r>
            <w:r w:rsidR="00381DD7">
              <w:t>as</w:t>
            </w:r>
            <w:r w:rsidRPr="00097538">
              <w:t xml:space="preserve"> not considered in this analysis. </w:t>
            </w:r>
          </w:p>
          <w:p w14:paraId="5784DE69" w14:textId="4329F4D1" w:rsidR="007C7EC2" w:rsidRPr="00097538" w:rsidRDefault="00A811A6" w:rsidP="00CD718C">
            <w:pPr>
              <w:pStyle w:val="ListParagraph"/>
              <w:keepNext/>
              <w:numPr>
                <w:ilvl w:val="0"/>
                <w:numId w:val="50"/>
              </w:numPr>
              <w:ind w:left="456"/>
            </w:pPr>
            <w:r>
              <w:t xml:space="preserve">Submitted costs </w:t>
            </w:r>
            <w:r w:rsidR="004516CB">
              <w:t xml:space="preserve">(episodes and </w:t>
            </w:r>
            <w:r w:rsidR="004516CB" w:rsidRPr="00097538">
              <w:t>phases</w:t>
            </w:r>
            <w:r w:rsidR="004516CB">
              <w:t xml:space="preserve">) </w:t>
            </w:r>
            <w:r>
              <w:t xml:space="preserve">also increased significantly by </w:t>
            </w:r>
            <w:r w:rsidR="007C7EC2">
              <w:t>3</w:t>
            </w:r>
            <w:r w:rsidR="005D48AC">
              <w:t>1.9</w:t>
            </w:r>
            <w:r>
              <w:t xml:space="preserve">% compared to 2022-23. </w:t>
            </w:r>
            <w:r w:rsidR="007C7EC2">
              <w:t>The majority of community mental health costs were submitted as phases of care, with phase level costs increasing by 53.3% since 2022-23.</w:t>
            </w:r>
          </w:p>
          <w:p w14:paraId="7ED0D13D" w14:textId="2EBFD01E" w:rsidR="00A811A6" w:rsidRPr="003B46EA" w:rsidRDefault="007C7EC2" w:rsidP="00A47640">
            <w:pPr>
              <w:pStyle w:val="ListParagraph"/>
              <w:keepNext/>
              <w:numPr>
                <w:ilvl w:val="0"/>
                <w:numId w:val="50"/>
              </w:numPr>
              <w:ind w:left="456"/>
            </w:pPr>
            <w:r>
              <w:t>This also led to a significant</w:t>
            </w:r>
            <w:r w:rsidR="00A811A6">
              <w:t xml:space="preserve"> increase in the average cost per phase</w:t>
            </w:r>
            <w:r>
              <w:t xml:space="preserve">, </w:t>
            </w:r>
            <w:r w:rsidR="00A96971">
              <w:t>increasing</w:t>
            </w:r>
            <w:r w:rsidRPr="00097538">
              <w:t xml:space="preserve"> by 4</w:t>
            </w:r>
            <w:r w:rsidR="009F4528">
              <w:t>0.8</w:t>
            </w:r>
            <w:r w:rsidRPr="00097538">
              <w:t xml:space="preserve">% </w:t>
            </w:r>
            <w:r w:rsidR="00A811A6">
              <w:t>compared to the prior year.</w:t>
            </w:r>
            <w:r w:rsidRPr="00097538">
              <w:t xml:space="preserve"> </w:t>
            </w:r>
          </w:p>
        </w:tc>
      </w:tr>
    </w:tbl>
    <w:p w14:paraId="4D8AA3FC" w14:textId="77777777" w:rsidR="00CB197E" w:rsidRDefault="00CB197E" w:rsidP="00EF69C8"/>
    <w:p w14:paraId="577C7CF7" w14:textId="4C10BF55" w:rsidR="00CB197E" w:rsidRDefault="00B33D4A" w:rsidP="00CB197E">
      <w:pPr>
        <w:pStyle w:val="Heading3"/>
      </w:pPr>
      <w:r>
        <w:t>Queensland</w:t>
      </w:r>
      <w:r w:rsidR="00CB197E">
        <w:t xml:space="preserve"> Costing Summary</w:t>
      </w:r>
    </w:p>
    <w:p w14:paraId="6E10569B" w14:textId="3988F4C6" w:rsidR="00CB197E" w:rsidRPr="00AD1F32" w:rsidRDefault="00B33D4A" w:rsidP="009F419F">
      <w:pPr>
        <w:pStyle w:val="Heading4"/>
        <w:rPr>
          <w:color w:val="484B5D" w:themeColor="accent3"/>
        </w:rPr>
      </w:pPr>
      <w:r w:rsidRPr="00AD1F32">
        <w:rPr>
          <w:color w:val="484B5D" w:themeColor="accent3"/>
        </w:rPr>
        <w:t>Queensland</w:t>
      </w:r>
      <w:r w:rsidR="00CB197E" w:rsidRPr="00AD1F32">
        <w:rPr>
          <w:color w:val="484B5D" w:themeColor="accent3"/>
        </w:rPr>
        <w:t xml:space="preserve"> costing process</w:t>
      </w:r>
    </w:p>
    <w:p w14:paraId="437F5D51" w14:textId="0F9FE06C" w:rsidR="00150CB7" w:rsidRDefault="00150CB7" w:rsidP="006472ED">
      <w:r w:rsidRPr="004A6730">
        <w:t xml:space="preserve">Hospital costing in </w:t>
      </w:r>
      <w:r w:rsidR="00B33D4A" w:rsidRPr="004A6730">
        <w:t>Queensland</w:t>
      </w:r>
      <w:r w:rsidRPr="004A6730">
        <w:t xml:space="preserve"> is conducted by 12 HHSs and the Mater Public Hospitals, supported by the Queensland DoH Clinical Costing Team, </w:t>
      </w:r>
      <w:r w:rsidR="00A96971">
        <w:t>providing</w:t>
      </w:r>
      <w:r w:rsidRPr="004A6730">
        <w:t xml:space="preserve"> technical expertise, guidance, and clinical costing resources. For the remaining 4 HHSs (North West HHS, South West HHS, Central West HHS</w:t>
      </w:r>
      <w:r>
        <w:t xml:space="preserve">, and Torres and Cape HHS) the DoH Clinical Costing Team directly performs the costing </w:t>
      </w:r>
      <w:r w:rsidR="009264F1">
        <w:t>processing</w:t>
      </w:r>
      <w:r>
        <w:t xml:space="preserve"> function.</w:t>
      </w:r>
    </w:p>
    <w:p w14:paraId="082BC4B2" w14:textId="628634C4" w:rsidR="00150CB7" w:rsidRDefault="00150CB7" w:rsidP="006472ED">
      <w:r>
        <w:t>The costing process is conducted for the purpose of submitting the NHCDC to IHACPA</w:t>
      </w:r>
      <w:r w:rsidR="00A136FF" w:rsidRPr="00A136FF">
        <w:t xml:space="preserve"> and supporting business case and benchmarking activities across the HHSs.</w:t>
      </w:r>
      <w:r>
        <w:t xml:space="preserve"> </w:t>
      </w:r>
      <w:r w:rsidR="00C54896">
        <w:t>HHSs</w:t>
      </w:r>
      <w:r>
        <w:t xml:space="preserve"> perform the costing </w:t>
      </w:r>
      <w:r w:rsidR="00A136FF" w:rsidRPr="00A136FF">
        <w:t xml:space="preserve">process </w:t>
      </w:r>
      <w:r>
        <w:t xml:space="preserve">monthly and </w:t>
      </w:r>
      <w:r w:rsidR="00A136FF" w:rsidRPr="00A136FF">
        <w:t>try</w:t>
      </w:r>
      <w:r>
        <w:t xml:space="preserve"> to focus on ‘audit areas’ (those flagged in the system as requiring follow up) during the year. However, due to the limited </w:t>
      </w:r>
      <w:r w:rsidR="00A136FF" w:rsidRPr="00A136FF">
        <w:t xml:space="preserve">specialist clinical </w:t>
      </w:r>
      <w:r>
        <w:t>costing resources, the main focus and review is on the annual costed outputs.</w:t>
      </w:r>
    </w:p>
    <w:p w14:paraId="12259318" w14:textId="3491B375" w:rsidR="00150CB7" w:rsidRDefault="00150CB7" w:rsidP="006472ED">
      <w:r>
        <w:t xml:space="preserve">HHSs perform </w:t>
      </w:r>
      <w:r w:rsidR="00503C48">
        <w:t xml:space="preserve">clinical </w:t>
      </w:r>
      <w:r>
        <w:t xml:space="preserve">costing using data sourced from multiple statewide feeder systems of varying maturity. These systems cover key service areas such as medical imaging, pharmacy, </w:t>
      </w:r>
      <w:r>
        <w:lastRenderedPageBreak/>
        <w:t>pathology, blood products, organ retrieval, mental health, and non-emergency patient transport. Costing teams review feeder data, attempt to link to patient activity, and investigate discrepancies to improve the accuracy of cost and activity matching.</w:t>
      </w:r>
    </w:p>
    <w:p w14:paraId="4688BC8F" w14:textId="1CDE2990" w:rsidR="00150CB7" w:rsidRDefault="00150CB7" w:rsidP="006472ED">
      <w:r>
        <w:t xml:space="preserve">In 2023–24, 2 costing systems were used across </w:t>
      </w:r>
      <w:r w:rsidR="00B33D4A">
        <w:t>Queensland</w:t>
      </w:r>
      <w:r>
        <w:t>:</w:t>
      </w:r>
    </w:p>
    <w:p w14:paraId="06B6A6AD" w14:textId="77777777" w:rsidR="00150CB7" w:rsidRDefault="00150CB7" w:rsidP="006472ED">
      <w:pPr>
        <w:pStyle w:val="ListParagraph"/>
        <w:numPr>
          <w:ilvl w:val="0"/>
          <w:numId w:val="49"/>
        </w:numPr>
      </w:pPr>
      <w:r>
        <w:t>CostPro – used by 14 HHSs</w:t>
      </w:r>
    </w:p>
    <w:p w14:paraId="2824DD77" w14:textId="1D270C70" w:rsidR="00150CB7" w:rsidRDefault="00150CB7" w:rsidP="006472ED">
      <w:pPr>
        <w:pStyle w:val="ListParagraph"/>
        <w:numPr>
          <w:ilvl w:val="0"/>
          <w:numId w:val="49"/>
        </w:numPr>
      </w:pPr>
      <w:r>
        <w:t>PPM – used by 3 HHSs</w:t>
      </w:r>
    </w:p>
    <w:p w14:paraId="2950F4ED" w14:textId="03715AB1" w:rsidR="00150CB7" w:rsidRDefault="00150CB7" w:rsidP="006472ED">
      <w:r>
        <w:t xml:space="preserve">The DoH </w:t>
      </w:r>
      <w:r w:rsidR="007A3D44" w:rsidRPr="007A3D44">
        <w:t>team request</w:t>
      </w:r>
      <w:r w:rsidR="007A3D44">
        <w:t>s</w:t>
      </w:r>
      <w:r>
        <w:t xml:space="preserve"> HHS to provide their </w:t>
      </w:r>
      <w:r w:rsidR="007A3D44" w:rsidRPr="007A3D44">
        <w:t>final</w:t>
      </w:r>
      <w:r>
        <w:t xml:space="preserve"> costing submission in September each year, together with a survey </w:t>
      </w:r>
      <w:r w:rsidR="00A96971">
        <w:t xml:space="preserve">that </w:t>
      </w:r>
      <w:r>
        <w:t>contains information around WIP, summary of costs</w:t>
      </w:r>
      <w:r w:rsidR="003C47D5">
        <w:t>,</w:t>
      </w:r>
      <w:r>
        <w:t xml:space="preserve"> and compliance with the AHPCS</w:t>
      </w:r>
      <w:r w:rsidR="007A3D44" w:rsidRPr="007A3D44">
        <w:t>.</w:t>
      </w:r>
      <w:r>
        <w:t xml:space="preserve"> The costed output is accessed by the DoH </w:t>
      </w:r>
      <w:r w:rsidR="007A3D44" w:rsidRPr="007A3D44">
        <w:t>team</w:t>
      </w:r>
      <w:r w:rsidDel="00257495">
        <w:t xml:space="preserve"> </w:t>
      </w:r>
      <w:r>
        <w:t>via a statewide data warehouse</w:t>
      </w:r>
      <w:r w:rsidR="007A3D44" w:rsidRPr="007A3D44">
        <w:t xml:space="preserve"> or via secure file transfer. </w:t>
      </w:r>
      <w:r>
        <w:t xml:space="preserve"> </w:t>
      </w:r>
    </w:p>
    <w:p w14:paraId="21D0E1A5" w14:textId="6CC8F661" w:rsidR="00150CB7" w:rsidRDefault="00150CB7" w:rsidP="006472ED">
      <w:r>
        <w:t>The DoH Clinical Costing Team</w:t>
      </w:r>
      <w:r w:rsidDel="00257495">
        <w:t xml:space="preserve"> </w:t>
      </w:r>
      <w:r>
        <w:t xml:space="preserve">performs QA checks on the output, comparing the total dollars costed to the GL amounts and the final cost centres </w:t>
      </w:r>
      <w:r w:rsidR="003C47D5">
        <w:t>and line items</w:t>
      </w:r>
      <w:r>
        <w:t xml:space="preserve"> produced to what they expected. As part of this QA, they match the dataset to patient demographic data from the activity files, to enable a better understanding of the cost outputs (e.g.</w:t>
      </w:r>
      <w:r w:rsidR="006C162D">
        <w:t>,</w:t>
      </w:r>
      <w:r>
        <w:t xml:space="preserve"> age, co-morbidities, etc.). This ‘longitudinal dataset’ is held by the DoH to support HHS in queries on the costed output or to inform business cases for investment.  </w:t>
      </w:r>
    </w:p>
    <w:p w14:paraId="656D3D99" w14:textId="11ED2ED0" w:rsidR="00150CB7" w:rsidRPr="00BB0411" w:rsidRDefault="00B33D4A" w:rsidP="006472ED">
      <w:pPr>
        <w:rPr>
          <w:color w:val="44546A" w:themeColor="text2"/>
        </w:rPr>
      </w:pPr>
      <w:r>
        <w:rPr>
          <w:color w:val="44546A" w:themeColor="text2"/>
        </w:rPr>
        <w:t>Queensland</w:t>
      </w:r>
      <w:r w:rsidR="00150CB7" w:rsidRPr="00BB0411">
        <w:rPr>
          <w:color w:val="44546A" w:themeColor="text2"/>
        </w:rPr>
        <w:t xml:space="preserve"> has implemented several changes for the 2023-24 year:</w:t>
      </w:r>
    </w:p>
    <w:p w14:paraId="2AE0FB70" w14:textId="297661AE" w:rsidR="00150CB7" w:rsidRDefault="00150CB7" w:rsidP="00150CB7">
      <w:pPr>
        <w:pStyle w:val="ListParagraph"/>
        <w:numPr>
          <w:ilvl w:val="0"/>
          <w:numId w:val="6"/>
        </w:numPr>
      </w:pPr>
      <w:r>
        <w:t>Reporting of ABF related statewide services</w:t>
      </w:r>
      <w:r w:rsidR="004D7E06">
        <w:t xml:space="preserve"> in activity submissions allowing for clinical costing to be undertaken in future submissions.</w:t>
      </w:r>
    </w:p>
    <w:p w14:paraId="141ABDE6" w14:textId="2EB0E868" w:rsidR="00150CB7" w:rsidRPr="00BB0411" w:rsidRDefault="00150CB7" w:rsidP="00150CB7">
      <w:pPr>
        <w:pStyle w:val="ListParagraph"/>
        <w:numPr>
          <w:ilvl w:val="0"/>
          <w:numId w:val="6"/>
        </w:numPr>
      </w:pPr>
      <w:r>
        <w:t xml:space="preserve">New feeds have been implemented </w:t>
      </w:r>
      <w:r w:rsidR="00A96971">
        <w:t xml:space="preserve">that </w:t>
      </w:r>
      <w:r>
        <w:t>include emergency service and outpatient data from satellite hospitals and a new allied health feeder system.</w:t>
      </w:r>
    </w:p>
    <w:p w14:paraId="14CF22E3" w14:textId="02790747" w:rsidR="00A31303" w:rsidRDefault="00A31303" w:rsidP="00BD79DA">
      <w:r>
        <w:t xml:space="preserve">As part of the costing submission, a number of records with negative costs across various line items were identified by </w:t>
      </w:r>
      <w:r w:rsidR="00B33D4A">
        <w:t>Queensland</w:t>
      </w:r>
      <w:r>
        <w:t xml:space="preserve">. </w:t>
      </w:r>
      <w:r w:rsidR="00B33D4A">
        <w:t>Queensland</w:t>
      </w:r>
      <w:r>
        <w:t xml:space="preserve"> excluded the impacted records ($19 million) from their </w:t>
      </w:r>
      <w:r w:rsidR="00F553FC">
        <w:t xml:space="preserve">NHCDC 2023-24 </w:t>
      </w:r>
      <w:r>
        <w:t xml:space="preserve">submission, noting that the records represent only 0.1% of submitted costs. </w:t>
      </w:r>
    </w:p>
    <w:p w14:paraId="214EC0EE" w14:textId="7742EC77" w:rsidR="00150CB7" w:rsidRPr="004A6730" w:rsidRDefault="009547D9" w:rsidP="00C360C1">
      <w:r>
        <w:rPr>
          <w:noProof/>
        </w:rPr>
        <mc:AlternateContent>
          <mc:Choice Requires="wps">
            <w:drawing>
              <wp:anchor distT="45720" distB="45720" distL="114300" distR="114300" simplePos="0" relativeHeight="251658250" behindDoc="0" locked="0" layoutInCell="1" allowOverlap="1" wp14:anchorId="2BE830FE" wp14:editId="3804E64E">
                <wp:simplePos x="0" y="0"/>
                <wp:positionH relativeFrom="margin">
                  <wp:align>left</wp:align>
                </wp:positionH>
                <wp:positionV relativeFrom="paragraph">
                  <wp:posOffset>625775</wp:posOffset>
                </wp:positionV>
                <wp:extent cx="5715000" cy="1447800"/>
                <wp:effectExtent l="0" t="0" r="0" b="0"/>
                <wp:wrapTopAndBottom/>
                <wp:docPr id="183489877" name="Text Box 2" descr="P1943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0DA7B0D1" w14:textId="27D28B2F" w:rsidR="00F87732" w:rsidRPr="00C360C1" w:rsidRDefault="00B33D4A" w:rsidP="00F87732">
                            <w:pPr>
                              <w:spacing w:after="120"/>
                              <w:rPr>
                                <w:rFonts w:ascii="Avenir Next LT Pro Demi" w:hAnsi="Avenir Next LT Pro Demi"/>
                                <w:b/>
                                <w:bCs/>
                                <w:color w:val="FFFFFF" w:themeColor="background1"/>
                              </w:rPr>
                            </w:pPr>
                            <w:r>
                              <w:rPr>
                                <w:rFonts w:ascii="Avenir Next LT Pro Demi" w:hAnsi="Avenir Next LT Pro Demi"/>
                                <w:b/>
                                <w:bCs/>
                                <w:color w:val="FFFFFF" w:themeColor="background1"/>
                              </w:rPr>
                              <w:t>Queensland</w:t>
                            </w:r>
                            <w:r w:rsidR="00F87732" w:rsidRPr="00845B1A">
                              <w:rPr>
                                <w:rFonts w:ascii="Avenir Next LT Pro Demi" w:hAnsi="Avenir Next LT Pro Demi"/>
                                <w:b/>
                                <w:bCs/>
                                <w:color w:val="FFFFFF" w:themeColor="background1"/>
                              </w:rPr>
                              <w:t xml:space="preserve"> Costing Insigh</w:t>
                            </w:r>
                            <w:r w:rsidR="00F87732" w:rsidRPr="00C360C1">
                              <w:rPr>
                                <w:rFonts w:ascii="Avenir Next LT Pro Demi" w:hAnsi="Avenir Next LT Pro Demi"/>
                                <w:b/>
                                <w:bCs/>
                                <w:color w:val="FFFFFF" w:themeColor="background1"/>
                              </w:rPr>
                              <w:t>ts:</w:t>
                            </w:r>
                          </w:p>
                          <w:p w14:paraId="7536FAA5" w14:textId="6BEEFFF0" w:rsidR="00F87732" w:rsidRPr="00C360C1" w:rsidRDefault="00B33D4A" w:rsidP="00C360C1">
                            <w:pPr>
                              <w:pStyle w:val="Tablebulletpoint"/>
                              <w:rPr>
                                <w:color w:val="FFFFFF" w:themeColor="background1"/>
                              </w:rPr>
                            </w:pPr>
                            <w:r>
                              <w:rPr>
                                <w:color w:val="FFFFFF" w:themeColor="background1"/>
                              </w:rPr>
                              <w:t>Queensland</w:t>
                            </w:r>
                            <w:r w:rsidR="00C360C1" w:rsidRPr="00255072">
                              <w:rPr>
                                <w:color w:val="FFFFFF" w:themeColor="background1"/>
                              </w:rPr>
                              <w:t xml:space="preserve"> HHS are their own statutory entities with </w:t>
                            </w:r>
                            <w:r w:rsidR="004E29A8" w:rsidRPr="00255072">
                              <w:rPr>
                                <w:color w:val="FFFFFF" w:themeColor="background1"/>
                              </w:rPr>
                              <w:t>a sing</w:t>
                            </w:r>
                            <w:r w:rsidR="00255072" w:rsidRPr="00255072">
                              <w:rPr>
                                <w:color w:val="FFFFFF" w:themeColor="background1"/>
                              </w:rPr>
                              <w:t>ular Chart of Accounts. HHSs not using CostPro nee</w:t>
                            </w:r>
                            <w:r w:rsidR="00255072">
                              <w:rPr>
                                <w:color w:val="FFFFFF" w:themeColor="background1"/>
                              </w:rPr>
                              <w:t>d</w:t>
                            </w:r>
                            <w:r w:rsidR="00255072" w:rsidRPr="00255072">
                              <w:rPr>
                                <w:color w:val="FFFFFF" w:themeColor="background1"/>
                              </w:rPr>
                              <w:t xml:space="preserve"> to map the GL accounts manually, </w:t>
                            </w:r>
                            <w:r w:rsidR="00A96971">
                              <w:rPr>
                                <w:color w:val="FFFFFF" w:themeColor="background1"/>
                              </w:rPr>
                              <w:t>resulting</w:t>
                            </w:r>
                            <w:r w:rsidR="00255072" w:rsidRPr="00255072">
                              <w:rPr>
                                <w:color w:val="FFFFFF" w:themeColor="background1"/>
                              </w:rPr>
                              <w:t xml:space="preserve"> in minor </w:t>
                            </w:r>
                            <w:r w:rsidR="00255072">
                              <w:rPr>
                                <w:color w:val="FFFFFF" w:themeColor="background1"/>
                              </w:rPr>
                              <w:t xml:space="preserve">reporting </w:t>
                            </w:r>
                            <w:r w:rsidR="00255072" w:rsidRPr="00255072">
                              <w:rPr>
                                <w:color w:val="FFFFFF" w:themeColor="background1"/>
                              </w:rPr>
                              <w:t>variation</w:t>
                            </w:r>
                            <w:r w:rsidR="00255072">
                              <w:rPr>
                                <w:color w:val="FFFFFF" w:themeColor="background1"/>
                              </w:rPr>
                              <w:t>s</w:t>
                            </w:r>
                            <w:r w:rsidR="00255072" w:rsidRPr="00255072">
                              <w:rPr>
                                <w:color w:val="FFFFFF" w:themeColor="background1"/>
                              </w:rPr>
                              <w:t xml:space="preserve"> between HSSs.</w:t>
                            </w:r>
                          </w:p>
                        </w:txbxContent>
                      </wps:txbx>
                      <wps:bodyPr rot="0" vert="horz" wrap="square" lIns="180000" tIns="180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2BE830FE" id="_x0000_s1215" type="#_x0000_t202" alt="P1943TB24#y1" style="position:absolute;margin-left:0;margin-top:49.25pt;width:450pt;height:114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" fillcolor="#343a5e [2405]" stroked="f" strokeweight="1pt">
                <v:textbox style="mso-fit-shape-to-text:t" inset="5mm,5mm,5mm,5mm">
                  <w:txbxContent>
                    <w:p w14:paraId="0DA7B0D1" w14:textId="27D28B2F" w:rsidR="00F87732" w:rsidRPr="00C360C1" w:rsidRDefault="00B33D4A" w:rsidP="00F87732">
                      <w:pPr>
                        <w:spacing w:after="120"/>
                        <w:rPr>
                          <w:rFonts w:ascii="Avenir Next LT Pro Demi" w:hAnsi="Avenir Next LT Pro Demi"/>
                          <w:b/>
                          <w:bCs/>
                          <w:color w:val="FFFFFF" w:themeColor="background1"/>
                        </w:rPr>
                      </w:pPr>
                      <w:r>
                        <w:rPr>
                          <w:rFonts w:ascii="Avenir Next LT Pro Demi" w:hAnsi="Avenir Next LT Pro Demi"/>
                          <w:b/>
                          <w:bCs/>
                          <w:color w:val="FFFFFF" w:themeColor="background1"/>
                        </w:rPr>
                        <w:t>Queensland</w:t>
                      </w:r>
                      <w:r w:rsidR="00F87732" w:rsidRPr="00845B1A">
                        <w:rPr>
                          <w:rFonts w:ascii="Avenir Next LT Pro Demi" w:hAnsi="Avenir Next LT Pro Demi"/>
                          <w:b/>
                          <w:bCs/>
                          <w:color w:val="FFFFFF" w:themeColor="background1"/>
                        </w:rPr>
                        <w:t xml:space="preserve"> Costing Insigh</w:t>
                      </w:r>
                      <w:r w:rsidR="00F87732" w:rsidRPr="00C360C1">
                        <w:rPr>
                          <w:rFonts w:ascii="Avenir Next LT Pro Demi" w:hAnsi="Avenir Next LT Pro Demi"/>
                          <w:b/>
                          <w:bCs/>
                          <w:color w:val="FFFFFF" w:themeColor="background1"/>
                        </w:rPr>
                        <w:t>ts:</w:t>
                      </w:r>
                    </w:p>
                    <w:p w14:paraId="7536FAA5" w14:textId="6BEEFFF0" w:rsidR="00F87732" w:rsidRPr="00C360C1" w:rsidRDefault="00B33D4A" w:rsidP="00C360C1">
                      <w:pPr>
                        <w:pStyle w:val="Tablebulletpoint"/>
                        <w:rPr>
                          <w:color w:val="FFFFFF" w:themeColor="background1"/>
                        </w:rPr>
                      </w:pPr>
                      <w:r>
                        <w:rPr>
                          <w:color w:val="FFFFFF" w:themeColor="background1"/>
                        </w:rPr>
                        <w:t>Queensland</w:t>
                      </w:r>
                      <w:r w:rsidR="00C360C1" w:rsidRPr="00255072">
                        <w:rPr>
                          <w:color w:val="FFFFFF" w:themeColor="background1"/>
                        </w:rPr>
                        <w:t xml:space="preserve"> HHS are their own statutory entities with </w:t>
                      </w:r>
                      <w:r w:rsidR="004E29A8" w:rsidRPr="00255072">
                        <w:rPr>
                          <w:color w:val="FFFFFF" w:themeColor="background1"/>
                        </w:rPr>
                        <w:t>a sing</w:t>
                      </w:r>
                      <w:r w:rsidR="00255072" w:rsidRPr="00255072">
                        <w:rPr>
                          <w:color w:val="FFFFFF" w:themeColor="background1"/>
                        </w:rPr>
                        <w:t>ular Chart of Accounts. HHSs not using CostPro nee</w:t>
                      </w:r>
                      <w:r w:rsidR="00255072">
                        <w:rPr>
                          <w:color w:val="FFFFFF" w:themeColor="background1"/>
                        </w:rPr>
                        <w:t>d</w:t>
                      </w:r>
                      <w:r w:rsidR="00255072" w:rsidRPr="00255072">
                        <w:rPr>
                          <w:color w:val="FFFFFF" w:themeColor="background1"/>
                        </w:rPr>
                        <w:t xml:space="preserve"> to map the GL accounts manually, </w:t>
                      </w:r>
                      <w:r w:rsidR="00A96971">
                        <w:rPr>
                          <w:color w:val="FFFFFF" w:themeColor="background1"/>
                        </w:rPr>
                        <w:t>resulting</w:t>
                      </w:r>
                      <w:r w:rsidR="00255072" w:rsidRPr="00255072">
                        <w:rPr>
                          <w:color w:val="FFFFFF" w:themeColor="background1"/>
                        </w:rPr>
                        <w:t xml:space="preserve"> in minor </w:t>
                      </w:r>
                      <w:r w:rsidR="00255072">
                        <w:rPr>
                          <w:color w:val="FFFFFF" w:themeColor="background1"/>
                        </w:rPr>
                        <w:t xml:space="preserve">reporting </w:t>
                      </w:r>
                      <w:r w:rsidR="00255072" w:rsidRPr="00255072">
                        <w:rPr>
                          <w:color w:val="FFFFFF" w:themeColor="background1"/>
                        </w:rPr>
                        <w:t>variation</w:t>
                      </w:r>
                      <w:r w:rsidR="00255072">
                        <w:rPr>
                          <w:color w:val="FFFFFF" w:themeColor="background1"/>
                        </w:rPr>
                        <w:t>s</w:t>
                      </w:r>
                      <w:r w:rsidR="00255072" w:rsidRPr="00255072">
                        <w:rPr>
                          <w:color w:val="FFFFFF" w:themeColor="background1"/>
                        </w:rPr>
                        <w:t xml:space="preserve"> between HSSs.</w:t>
                      </w:r>
                    </w:p>
                  </w:txbxContent>
                </v:textbox>
                <w10:wrap type="topAndBottom" anchorx="margin"/>
              </v:shape>
            </w:pict>
          </mc:Fallback>
        </mc:AlternateContent>
      </w:r>
      <w:r w:rsidR="00A31303">
        <w:t xml:space="preserve">As requested by IHACPA, </w:t>
      </w:r>
      <w:r w:rsidR="00F553FC">
        <w:t xml:space="preserve">Queensland has now submitted </w:t>
      </w:r>
      <w:r w:rsidR="00A31303">
        <w:t>these negative records</w:t>
      </w:r>
      <w:r w:rsidR="00CC4C93">
        <w:t xml:space="preserve">, and the records </w:t>
      </w:r>
      <w:r w:rsidR="00A31303">
        <w:t>were reinstated in the costed submission. Queensland has committed to including negative costs in future submissions.</w:t>
      </w:r>
    </w:p>
    <w:p w14:paraId="136D60A3" w14:textId="5131DC93" w:rsidR="00150CB7" w:rsidRPr="00AD1F32" w:rsidRDefault="00B33D4A" w:rsidP="009F419F">
      <w:pPr>
        <w:pStyle w:val="Heading4"/>
        <w:rPr>
          <w:color w:val="484B5D" w:themeColor="accent3"/>
        </w:rPr>
      </w:pPr>
      <w:r w:rsidRPr="00AD1F32">
        <w:rPr>
          <w:color w:val="484B5D" w:themeColor="accent3"/>
        </w:rPr>
        <w:t>Queensland</w:t>
      </w:r>
      <w:r w:rsidR="00150CB7" w:rsidRPr="00AD1F32">
        <w:rPr>
          <w:color w:val="484B5D" w:themeColor="accent3"/>
        </w:rPr>
        <w:t xml:space="preserve"> structural arrangements and inclusion in costing outputs</w:t>
      </w:r>
    </w:p>
    <w:p w14:paraId="316DA973" w14:textId="00E7DDF4" w:rsidR="00B96703" w:rsidRPr="004A6730" w:rsidRDefault="00B33D4A" w:rsidP="00B96703">
      <w:r w:rsidRPr="004A6730">
        <w:t>Queensland</w:t>
      </w:r>
      <w:r w:rsidR="00B96703" w:rsidRPr="004A6730">
        <w:t xml:space="preserve"> has shared services arrangements for several clinical and corporate expenses:</w:t>
      </w:r>
    </w:p>
    <w:p w14:paraId="570A71C6" w14:textId="3C6B17AB" w:rsidR="00B96703" w:rsidRPr="00B76E29" w:rsidRDefault="00B96703" w:rsidP="00B96703">
      <w:pPr>
        <w:pStyle w:val="ListParagraph"/>
        <w:numPr>
          <w:ilvl w:val="0"/>
          <w:numId w:val="6"/>
        </w:numPr>
      </w:pPr>
      <w:r w:rsidRPr="004A6730">
        <w:t>Shared services provided for accounts payable and payroll, with charge back to HHSs.</w:t>
      </w:r>
      <w:r w:rsidR="00AA2071" w:rsidRPr="004A6730">
        <w:t xml:space="preserve"> These costs were recorded in the </w:t>
      </w:r>
      <w:r w:rsidR="00AA2071">
        <w:t>‘exclude’ line item of their submission</w:t>
      </w:r>
      <w:r w:rsidRPr="00B76E29">
        <w:t>.</w:t>
      </w:r>
    </w:p>
    <w:p w14:paraId="46BBA055" w14:textId="7AE78BE4" w:rsidR="00B96703" w:rsidRPr="00B76E29" w:rsidRDefault="00B96703" w:rsidP="00B96703">
      <w:pPr>
        <w:pStyle w:val="ListParagraph"/>
        <w:numPr>
          <w:ilvl w:val="0"/>
          <w:numId w:val="6"/>
        </w:numPr>
      </w:pPr>
      <w:r>
        <w:t>eHealth provides IT services which are charged onto HHSs.</w:t>
      </w:r>
    </w:p>
    <w:p w14:paraId="2702A9D5" w14:textId="77777777" w:rsidR="00B96703" w:rsidRPr="00B76E29" w:rsidRDefault="00B96703" w:rsidP="00B96703">
      <w:pPr>
        <w:pStyle w:val="ListParagraph"/>
        <w:numPr>
          <w:ilvl w:val="0"/>
          <w:numId w:val="6"/>
        </w:numPr>
      </w:pPr>
      <w:r w:rsidRPr="00B76E29">
        <w:t>Statewide Blood Service</w:t>
      </w:r>
      <w:r>
        <w:t>, for which HHSs receive a monthly charge.</w:t>
      </w:r>
    </w:p>
    <w:p w14:paraId="2C3A18C3" w14:textId="5A3A985B" w:rsidR="00B96703" w:rsidRPr="004A6730" w:rsidRDefault="00B96703" w:rsidP="00B96703">
      <w:r w:rsidRPr="008D699C">
        <w:lastRenderedPageBreak/>
        <w:t xml:space="preserve">There are some other services provided by </w:t>
      </w:r>
      <w:r w:rsidR="00B33D4A">
        <w:t>Queensland</w:t>
      </w:r>
      <w:r w:rsidR="00693914">
        <w:t xml:space="preserve"> Health</w:t>
      </w:r>
      <w:r w:rsidRPr="008D699C">
        <w:t xml:space="preserve"> where no costs are passed onto HHSs or allocated to patients in the </w:t>
      </w:r>
      <w:r w:rsidR="00693914">
        <w:t xml:space="preserve">clinical </w:t>
      </w:r>
      <w:r w:rsidRPr="008D699C">
        <w:t>costing process</w:t>
      </w:r>
      <w:r w:rsidR="00693914">
        <w:t xml:space="preserve"> –</w:t>
      </w:r>
      <w:r>
        <w:t xml:space="preserve"> e.g.</w:t>
      </w:r>
      <w:r w:rsidR="00BA3157">
        <w:t>,</w:t>
      </w:r>
      <w:r>
        <w:t xml:space="preserve"> </w:t>
      </w:r>
      <w:r w:rsidR="00693914">
        <w:t>clinical</w:t>
      </w:r>
      <w:r>
        <w:t xml:space="preserve"> c</w:t>
      </w:r>
      <w:r w:rsidRPr="008D699C">
        <w:t xml:space="preserve">osting services </w:t>
      </w:r>
      <w:r>
        <w:t>to 4</w:t>
      </w:r>
      <w:r w:rsidRPr="008D699C">
        <w:t xml:space="preserve"> </w:t>
      </w:r>
      <w:r w:rsidR="005C4A3E">
        <w:t xml:space="preserve">Rural </w:t>
      </w:r>
      <w:r w:rsidR="005C4A3E" w:rsidRPr="004A6730">
        <w:t>and Remote HSSs</w:t>
      </w:r>
      <w:r w:rsidRPr="004A6730">
        <w:t>.</w:t>
      </w:r>
    </w:p>
    <w:p w14:paraId="4C067DEB" w14:textId="77777777" w:rsidR="00B96703" w:rsidRPr="00AD1F32" w:rsidRDefault="00B96703" w:rsidP="009F419F">
      <w:pPr>
        <w:pStyle w:val="Heading4"/>
        <w:rPr>
          <w:color w:val="484B5D" w:themeColor="accent3"/>
        </w:rPr>
      </w:pPr>
      <w:r w:rsidRPr="00AD1F32">
        <w:rPr>
          <w:color w:val="484B5D" w:themeColor="accent3"/>
        </w:rPr>
        <w:t>Contracted care costs included in costed records</w:t>
      </w:r>
    </w:p>
    <w:p w14:paraId="0179512A" w14:textId="7A41E676" w:rsidR="002A2C06" w:rsidRPr="004A6730" w:rsidRDefault="002A2C06">
      <w:pPr>
        <w:tabs>
          <w:tab w:val="clear" w:pos="5309"/>
        </w:tabs>
        <w:spacing w:line="279" w:lineRule="auto"/>
      </w:pPr>
      <w:r w:rsidRPr="004A6730">
        <w:t xml:space="preserve">There are several contracted care arrangements within </w:t>
      </w:r>
      <w:r w:rsidR="00B33D4A" w:rsidRPr="004A6730">
        <w:t>Queensland</w:t>
      </w:r>
      <w:r w:rsidRPr="004A6730">
        <w:t xml:space="preserve">, with 761 episodes (across all streams) reported costs of $26.88 million in </w:t>
      </w:r>
      <w:r w:rsidR="00B33D4A" w:rsidRPr="004A6730">
        <w:t>Queensland</w:t>
      </w:r>
      <w:r w:rsidRPr="004A6730">
        <w:t xml:space="preserve"> in 2023-24. These arrangements </w:t>
      </w:r>
      <w:r w:rsidR="005C4A3E" w:rsidRPr="004A6730">
        <w:t>are</w:t>
      </w:r>
      <w:r w:rsidRPr="004A6730">
        <w:t xml:space="preserve"> used extensively post</w:t>
      </w:r>
      <w:r w:rsidRPr="004A6730">
        <w:noBreakHyphen/>
        <w:t xml:space="preserve">COVID to reduce </w:t>
      </w:r>
      <w:r w:rsidRPr="0080771B">
        <w:t xml:space="preserve">the surgical wait lists. This was costed at a service encounter level at </w:t>
      </w:r>
      <w:r w:rsidR="005C4A3E">
        <w:t>an</w:t>
      </w:r>
      <w:r w:rsidRPr="0080771B">
        <w:t xml:space="preserve"> agreed price with individual private hospitals, with the costs reported under the </w:t>
      </w:r>
      <w:r w:rsidR="008967F2" w:rsidRPr="003B59A0">
        <w:rPr>
          <w:i/>
          <w:iCs/>
        </w:rPr>
        <w:t>Goods</w:t>
      </w:r>
      <w:r w:rsidR="008967F2">
        <w:rPr>
          <w:i/>
          <w:iCs/>
        </w:rPr>
        <w:t> </w:t>
      </w:r>
      <w:r w:rsidR="003B59A0" w:rsidRPr="003B59A0">
        <w:rPr>
          <w:i/>
          <w:iCs/>
        </w:rPr>
        <w:t>&amp; S</w:t>
      </w:r>
      <w:r w:rsidRPr="003B59A0">
        <w:rPr>
          <w:i/>
          <w:iCs/>
        </w:rPr>
        <w:t>ervices</w:t>
      </w:r>
      <w:r w:rsidRPr="0080771B">
        <w:t xml:space="preserve"> line item. The average cost per GWAU for contracted activity in </w:t>
      </w:r>
      <w:r w:rsidR="00B33D4A">
        <w:t>Queensland</w:t>
      </w:r>
      <w:r w:rsidRPr="0080771B">
        <w:t xml:space="preserve"> was $5,</w:t>
      </w:r>
      <w:r w:rsidRPr="004A6730">
        <w:t>868, 8.</w:t>
      </w:r>
      <w:r w:rsidR="00850A02" w:rsidRPr="004A6730">
        <w:t>2</w:t>
      </w:r>
      <w:r w:rsidRPr="004A6730">
        <w:t>% lower than non-contracted care.</w:t>
      </w:r>
    </w:p>
    <w:p w14:paraId="2F708D40" w14:textId="77777777" w:rsidR="002A2C06" w:rsidRPr="00AD1F32" w:rsidRDefault="002A2C06" w:rsidP="009F419F">
      <w:pPr>
        <w:pStyle w:val="Heading4"/>
        <w:rPr>
          <w:color w:val="484B5D" w:themeColor="accent3"/>
        </w:rPr>
      </w:pPr>
      <w:r w:rsidRPr="00AD1F32">
        <w:rPr>
          <w:color w:val="484B5D" w:themeColor="accent3"/>
        </w:rPr>
        <w:t>Corporate costs included in costed records</w:t>
      </w:r>
    </w:p>
    <w:p w14:paraId="05C1F9F1" w14:textId="521DC4EB" w:rsidR="007A33CA" w:rsidRDefault="00C429E1" w:rsidP="00BA3157">
      <w:r w:rsidRPr="004A6730">
        <w:t>The AHPCS v4.2 provide guidance on the inclusion of corporate overhead expenses. Business Rule 3.1C.3.2 states that ‘</w:t>
      </w:r>
      <w:r w:rsidRPr="004A6730">
        <w:rPr>
          <w:b/>
          <w:bCs/>
          <w:i/>
          <w:iCs/>
        </w:rPr>
        <w:t xml:space="preserve">corporate overhead expenses should not be included for more than one level above the management </w:t>
      </w:r>
      <w:r w:rsidRPr="00174ADD">
        <w:rPr>
          <w:b/>
          <w:bCs/>
          <w:i/>
          <w:iCs/>
        </w:rPr>
        <w:t xml:space="preserve">of the hospital. Expenses related to the direct management of the LHN or corporate management are within scope.’ </w:t>
      </w:r>
      <w:r w:rsidRPr="00174ADD">
        <w:t xml:space="preserve">The table below shows how </w:t>
      </w:r>
      <w:r w:rsidR="00B33D4A">
        <w:t>Queensland</w:t>
      </w:r>
      <w:r w:rsidRPr="00174ADD">
        <w:t xml:space="preserve"> </w:t>
      </w:r>
      <w:r>
        <w:t>HSS</w:t>
      </w:r>
      <w:r w:rsidRPr="00174ADD">
        <w:t>s</w:t>
      </w:r>
      <w:r>
        <w:t xml:space="preserve">, the </w:t>
      </w:r>
      <w:r w:rsidR="00B33D4A">
        <w:t>Queensland</w:t>
      </w:r>
      <w:r>
        <w:t xml:space="preserve"> equivalent of an LHN,</w:t>
      </w:r>
      <w:r w:rsidRPr="00174ADD">
        <w:t xml:space="preserve"> are treating corporate costs and allocating them to patients in the costing process.</w:t>
      </w:r>
    </w:p>
    <w:p w14:paraId="71343BE9" w14:textId="0A0C9E45" w:rsidR="00BA3157" w:rsidRDefault="00BA3157" w:rsidP="00BA3157">
      <w:pPr>
        <w:pStyle w:val="Caption"/>
        <w:keepNext/>
      </w:pPr>
      <w:r>
        <w:t xml:space="preserve">Table </w:t>
      </w:r>
      <w:r>
        <w:fldChar w:fldCharType="begin"/>
      </w:r>
      <w:r>
        <w:instrText xml:space="preserve"> SEQ Table \* ARABIC </w:instrText>
      </w:r>
      <w:r>
        <w:fldChar w:fldCharType="separate"/>
      </w:r>
      <w:r w:rsidR="00CE6F96">
        <w:rPr>
          <w:noProof/>
        </w:rPr>
        <w:t>18</w:t>
      </w:r>
      <w:r>
        <w:fldChar w:fldCharType="end"/>
      </w:r>
      <w:r>
        <w:t xml:space="preserve">: </w:t>
      </w:r>
      <w:r w:rsidR="00B33D4A">
        <w:t>Queensland</w:t>
      </w:r>
      <w:r w:rsidRPr="00B11D53">
        <w:t xml:space="preserve"> HSS treatment of corporate costs and patient allocation costing process</w:t>
      </w:r>
    </w:p>
    <w:tbl>
      <w:tblPr>
        <w:tblStyle w:val="ScyneTable"/>
        <w:tblW w:w="4978"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249"/>
        <w:gridCol w:w="3401"/>
        <w:gridCol w:w="1560"/>
        <w:gridCol w:w="1776"/>
      </w:tblGrid>
      <w:tr w:rsidR="007B1AC6" w:rsidRPr="00D422F0" w14:paraId="7D9A0ADC" w14:textId="77777777" w:rsidTr="0006507C">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251" w:type="pct"/>
            <w:tcBorders>
              <w:bottom w:val="single" w:sz="18" w:space="0" w:color="EFF0F7" w:themeColor="accent4" w:themeTint="33"/>
            </w:tcBorders>
            <w:shd w:val="clear" w:color="auto" w:fill="464E7E" w:themeFill="accent2"/>
            <w:vAlign w:val="center"/>
            <w:hideMark/>
          </w:tcPr>
          <w:p w14:paraId="7FCC819B" w14:textId="77777777" w:rsidR="00C360C1" w:rsidRPr="00D422F0" w:rsidRDefault="00C360C1" w:rsidP="00810693">
            <w:pPr>
              <w:pStyle w:val="TableNormalColumnHeading"/>
              <w:rPr>
                <w:rFonts w:asciiTheme="majorHAnsi" w:hAnsiTheme="majorHAnsi"/>
                <w:snapToGrid/>
                <w:sz w:val="20"/>
                <w:lang w:eastAsia="en-AU"/>
              </w:rPr>
            </w:pPr>
            <w:r w:rsidRPr="00D422F0">
              <w:rPr>
                <w:rFonts w:asciiTheme="majorHAnsi" w:hAnsiTheme="majorHAnsi"/>
                <w:sz w:val="20"/>
              </w:rPr>
              <w:t>Type of corporate cost</w:t>
            </w:r>
          </w:p>
        </w:tc>
        <w:tc>
          <w:tcPr>
            <w:tcW w:w="1892" w:type="pct"/>
            <w:tcBorders>
              <w:bottom w:val="single" w:sz="18" w:space="0" w:color="EFF0F7" w:themeColor="accent4" w:themeTint="33"/>
            </w:tcBorders>
            <w:shd w:val="clear" w:color="auto" w:fill="464E7E" w:themeFill="accent2"/>
            <w:vAlign w:val="center"/>
            <w:hideMark/>
          </w:tcPr>
          <w:p w14:paraId="63950B26" w14:textId="66B267CB" w:rsidR="00C360C1" w:rsidRPr="00D422F0" w:rsidRDefault="00C360C1" w:rsidP="00810693">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Details of whether these are passed onto H</w:t>
            </w:r>
            <w:r>
              <w:rPr>
                <w:rFonts w:asciiTheme="majorHAnsi" w:hAnsiTheme="majorHAnsi"/>
                <w:sz w:val="20"/>
              </w:rPr>
              <w:t>S</w:t>
            </w:r>
            <w:r w:rsidRPr="00D422F0">
              <w:rPr>
                <w:rFonts w:asciiTheme="majorHAnsi" w:hAnsiTheme="majorHAnsi"/>
                <w:sz w:val="20"/>
              </w:rPr>
              <w:t>Ss</w:t>
            </w:r>
          </w:p>
        </w:tc>
        <w:tc>
          <w:tcPr>
            <w:tcW w:w="868" w:type="pct"/>
            <w:tcBorders>
              <w:bottom w:val="single" w:sz="18" w:space="0" w:color="EFF0F7" w:themeColor="accent4" w:themeTint="33"/>
            </w:tcBorders>
            <w:shd w:val="clear" w:color="auto" w:fill="464E7E" w:themeFill="accent2"/>
            <w:vAlign w:val="center"/>
            <w:hideMark/>
          </w:tcPr>
          <w:p w14:paraId="67D98F23" w14:textId="77777777" w:rsidR="00C360C1" w:rsidRPr="00D422F0" w:rsidRDefault="00C360C1" w:rsidP="00C360C1">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Included in patient level costing</w:t>
            </w:r>
          </w:p>
        </w:tc>
        <w:tc>
          <w:tcPr>
            <w:tcW w:w="988" w:type="pct"/>
            <w:tcBorders>
              <w:bottom w:val="single" w:sz="18" w:space="0" w:color="EFF0F7" w:themeColor="accent4" w:themeTint="33"/>
            </w:tcBorders>
            <w:shd w:val="clear" w:color="auto" w:fill="464E7E" w:themeFill="accent2"/>
            <w:vAlign w:val="center"/>
            <w:hideMark/>
          </w:tcPr>
          <w:p w14:paraId="205525DB" w14:textId="77777777" w:rsidR="00C360C1" w:rsidRPr="00D422F0" w:rsidRDefault="00C360C1" w:rsidP="00C360C1">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 line with the guidance in the AHPCS</w:t>
            </w:r>
          </w:p>
        </w:tc>
      </w:tr>
      <w:tr w:rsidR="0006507C" w:rsidRPr="00D422F0" w14:paraId="57BDFF53" w14:textId="77777777" w:rsidTr="0006507C">
        <w:trPr>
          <w:trHeight w:val="290"/>
        </w:trPr>
        <w:tc>
          <w:tcPr>
            <w:cnfStyle w:val="001000000000" w:firstRow="0" w:lastRow="0" w:firstColumn="1" w:lastColumn="0" w:oddVBand="0" w:evenVBand="0" w:oddHBand="0" w:evenHBand="0" w:firstRowFirstColumn="0" w:firstRowLastColumn="0" w:lastRowFirstColumn="0" w:lastRowLastColumn="0"/>
            <w:tcW w:w="125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199FA4FE" w14:textId="77777777" w:rsidR="0006507C" w:rsidRPr="00D422F0" w:rsidRDefault="0006507C" w:rsidP="0006507C">
            <w:pPr>
              <w:spacing w:before="120" w:after="120"/>
              <w:rPr>
                <w:lang w:val="en-GB"/>
              </w:rPr>
            </w:pPr>
            <w:r w:rsidRPr="00D422F0">
              <w:t>Corporate costs at the facility</w:t>
            </w:r>
          </w:p>
        </w:tc>
        <w:tc>
          <w:tcPr>
            <w:tcW w:w="189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C895C8C" w14:textId="6BDF9618" w:rsidR="0006507C" w:rsidRPr="00D422F0" w:rsidRDefault="0006507C" w:rsidP="0006507C">
            <w:pPr>
              <w:spacing w:before="120" w:after="120"/>
              <w:cnfStyle w:val="000000000000" w:firstRow="0" w:lastRow="0" w:firstColumn="0" w:lastColumn="0" w:oddVBand="0" w:evenVBand="0" w:oddHBand="0" w:evenHBand="0" w:firstRowFirstColumn="0" w:firstRowLastColumn="0" w:lastRowFirstColumn="0" w:lastRowLastColumn="0"/>
            </w:pPr>
            <w:r w:rsidRPr="008C220E">
              <w:rPr>
                <w:color w:val="44546A" w:themeColor="text2"/>
              </w:rPr>
              <w:t>Included in H</w:t>
            </w:r>
            <w:r>
              <w:rPr>
                <w:color w:val="44546A" w:themeColor="text2"/>
              </w:rPr>
              <w:t>H</w:t>
            </w:r>
            <w:r w:rsidRPr="008C220E">
              <w:rPr>
                <w:color w:val="44546A" w:themeColor="text2"/>
              </w:rPr>
              <w:t>S GL</w:t>
            </w:r>
          </w:p>
        </w:tc>
        <w:tc>
          <w:tcPr>
            <w:tcW w:w="8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CB02A25" w14:textId="77777777" w:rsidR="0006507C" w:rsidRPr="0006507C" w:rsidRDefault="0006507C" w:rsidP="0006507C">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507C">
              <w:rPr>
                <w:rFonts w:ascii="Segoe UI Symbol" w:hAnsi="Segoe UI Symbol" w:cs="Segoe UI Symbol"/>
                <w:lang w:val="en-US"/>
              </w:rPr>
              <w:t>✔</w:t>
            </w:r>
          </w:p>
        </w:tc>
        <w:tc>
          <w:tcPr>
            <w:tcW w:w="98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D4DABA0" w14:textId="77777777" w:rsidR="0006507C" w:rsidRPr="0006507C" w:rsidRDefault="0006507C" w:rsidP="0006507C">
            <w:pPr>
              <w:spacing w:before="120" w:after="120"/>
              <w:jc w:val="center"/>
              <w:cnfStyle w:val="000000000000" w:firstRow="0" w:lastRow="0" w:firstColumn="0" w:lastColumn="0" w:oddVBand="0" w:evenVBand="0" w:oddHBand="0" w:evenHBand="0" w:firstRowFirstColumn="0" w:firstRowLastColumn="0" w:lastRowFirstColumn="0" w:lastRowLastColumn="0"/>
            </w:pPr>
            <w:r w:rsidRPr="0006507C">
              <w:rPr>
                <w:rFonts w:ascii="Segoe UI Symbol" w:hAnsi="Segoe UI Symbol" w:cs="Segoe UI Symbol"/>
                <w:lang w:val="en-US"/>
              </w:rPr>
              <w:t>✔</w:t>
            </w:r>
          </w:p>
        </w:tc>
      </w:tr>
      <w:tr w:rsidR="0006507C" w:rsidRPr="00D422F0" w14:paraId="1B6E673D" w14:textId="77777777" w:rsidTr="0006507C">
        <w:trPr>
          <w:trHeight w:val="290"/>
        </w:trPr>
        <w:tc>
          <w:tcPr>
            <w:cnfStyle w:val="001000000000" w:firstRow="0" w:lastRow="0" w:firstColumn="1" w:lastColumn="0" w:oddVBand="0" w:evenVBand="0" w:oddHBand="0" w:evenHBand="0" w:firstRowFirstColumn="0" w:firstRowLastColumn="0" w:lastRowFirstColumn="0" w:lastRowLastColumn="0"/>
            <w:tcW w:w="125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2EF90A11" w14:textId="082D92A5" w:rsidR="0006507C" w:rsidRPr="00D422F0" w:rsidRDefault="0006507C" w:rsidP="0006507C">
            <w:pPr>
              <w:spacing w:before="120" w:after="120"/>
              <w:rPr>
                <w:lang w:val="en-GB"/>
              </w:rPr>
            </w:pPr>
            <w:r w:rsidRPr="00D422F0">
              <w:t>Corporate costs at the HS</w:t>
            </w:r>
            <w:r>
              <w:t>S</w:t>
            </w:r>
          </w:p>
        </w:tc>
        <w:tc>
          <w:tcPr>
            <w:tcW w:w="189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303EBC5" w14:textId="1396BE8E" w:rsidR="0006507C" w:rsidRPr="00D422F0" w:rsidRDefault="0006507C" w:rsidP="0006507C">
            <w:pPr>
              <w:spacing w:before="120" w:after="120"/>
              <w:cnfStyle w:val="000000000000" w:firstRow="0" w:lastRow="0" w:firstColumn="0" w:lastColumn="0" w:oddVBand="0" w:evenVBand="0" w:oddHBand="0" w:evenHBand="0" w:firstRowFirstColumn="0" w:firstRowLastColumn="0" w:lastRowFirstColumn="0" w:lastRowLastColumn="0"/>
            </w:pPr>
            <w:r w:rsidRPr="008C220E">
              <w:rPr>
                <w:color w:val="44546A" w:themeColor="text2"/>
              </w:rPr>
              <w:t>Included in H</w:t>
            </w:r>
            <w:r>
              <w:rPr>
                <w:color w:val="44546A" w:themeColor="text2"/>
              </w:rPr>
              <w:t>H</w:t>
            </w:r>
            <w:r w:rsidRPr="008C220E">
              <w:rPr>
                <w:color w:val="44546A" w:themeColor="text2"/>
              </w:rPr>
              <w:t>S GL</w:t>
            </w:r>
          </w:p>
        </w:tc>
        <w:tc>
          <w:tcPr>
            <w:tcW w:w="8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878A3E1" w14:textId="77777777" w:rsidR="0006507C" w:rsidRPr="0006507C" w:rsidRDefault="0006507C" w:rsidP="0006507C">
            <w:pPr>
              <w:spacing w:before="120" w:after="120"/>
              <w:jc w:val="center"/>
              <w:cnfStyle w:val="000000000000" w:firstRow="0" w:lastRow="0" w:firstColumn="0" w:lastColumn="0" w:oddVBand="0" w:evenVBand="0" w:oddHBand="0" w:evenHBand="0" w:firstRowFirstColumn="0" w:firstRowLastColumn="0" w:lastRowFirstColumn="0" w:lastRowLastColumn="0"/>
            </w:pPr>
            <w:r w:rsidRPr="0006507C">
              <w:rPr>
                <w:rFonts w:ascii="Segoe UI Symbol" w:hAnsi="Segoe UI Symbol" w:cs="Segoe UI Symbol"/>
                <w:lang w:val="en-US"/>
              </w:rPr>
              <w:t>✔</w:t>
            </w:r>
          </w:p>
        </w:tc>
        <w:tc>
          <w:tcPr>
            <w:tcW w:w="98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733DB3B" w14:textId="77777777" w:rsidR="0006507C" w:rsidRPr="0006507C" w:rsidRDefault="0006507C" w:rsidP="0006507C">
            <w:pPr>
              <w:spacing w:before="120" w:after="120"/>
              <w:jc w:val="center"/>
              <w:cnfStyle w:val="000000000000" w:firstRow="0" w:lastRow="0" w:firstColumn="0" w:lastColumn="0" w:oddVBand="0" w:evenVBand="0" w:oddHBand="0" w:evenHBand="0" w:firstRowFirstColumn="0" w:firstRowLastColumn="0" w:lastRowFirstColumn="0" w:lastRowLastColumn="0"/>
            </w:pPr>
            <w:r w:rsidRPr="0006507C">
              <w:rPr>
                <w:rFonts w:ascii="Segoe UI Symbol" w:hAnsi="Segoe UI Symbol" w:cs="Segoe UI Symbol"/>
                <w:lang w:val="en-US"/>
              </w:rPr>
              <w:t>✔</w:t>
            </w:r>
          </w:p>
        </w:tc>
      </w:tr>
      <w:tr w:rsidR="0006507C" w:rsidRPr="00D422F0" w14:paraId="221A7050" w14:textId="77777777" w:rsidTr="0006507C">
        <w:trPr>
          <w:trHeight w:val="290"/>
        </w:trPr>
        <w:tc>
          <w:tcPr>
            <w:cnfStyle w:val="001000000000" w:firstRow="0" w:lastRow="0" w:firstColumn="1" w:lastColumn="0" w:oddVBand="0" w:evenVBand="0" w:oddHBand="0" w:evenHBand="0" w:firstRowFirstColumn="0" w:firstRowLastColumn="0" w:lastRowFirstColumn="0" w:lastRowLastColumn="0"/>
            <w:tcW w:w="125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57B4BED" w14:textId="77777777" w:rsidR="0006507C" w:rsidRPr="0006507C" w:rsidRDefault="0006507C" w:rsidP="0006507C">
            <w:pPr>
              <w:spacing w:before="120" w:after="120"/>
            </w:pPr>
            <w:r w:rsidRPr="0006507C">
              <w:t>Corporate costs at shared service functions</w:t>
            </w:r>
          </w:p>
        </w:tc>
        <w:tc>
          <w:tcPr>
            <w:tcW w:w="189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61CA8DA" w14:textId="714FFD34" w:rsidR="0006507C" w:rsidRPr="00D422F0" w:rsidRDefault="0006507C" w:rsidP="0006507C">
            <w:pPr>
              <w:spacing w:before="120" w:after="120"/>
              <w:cnfStyle w:val="000000000000" w:firstRow="0" w:lastRow="0" w:firstColumn="0" w:lastColumn="0" w:oddVBand="0" w:evenVBand="0" w:oddHBand="0" w:evenHBand="0" w:firstRowFirstColumn="0" w:firstRowLastColumn="0" w:lastRowFirstColumn="0" w:lastRowLastColumn="0"/>
            </w:pPr>
            <w:r>
              <w:rPr>
                <w:color w:val="44546A" w:themeColor="text2"/>
              </w:rPr>
              <w:t xml:space="preserve">Accounts payable and payroll services are not passed on </w:t>
            </w:r>
          </w:p>
        </w:tc>
        <w:tc>
          <w:tcPr>
            <w:tcW w:w="8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4868072" w14:textId="10C98AFB" w:rsidR="0006507C" w:rsidRPr="0006507C" w:rsidRDefault="0006507C" w:rsidP="0006507C">
            <w:pPr>
              <w:spacing w:before="120" w:after="120"/>
              <w:jc w:val="center"/>
              <w:cnfStyle w:val="000000000000" w:firstRow="0" w:lastRow="0" w:firstColumn="0" w:lastColumn="0" w:oddVBand="0" w:evenVBand="0" w:oddHBand="0" w:evenHBand="0" w:firstRowFirstColumn="0" w:firstRowLastColumn="0" w:lastRowFirstColumn="0" w:lastRowLastColumn="0"/>
            </w:pPr>
            <w:r w:rsidRPr="0006507C">
              <w:rPr>
                <w:rFonts w:ascii="Segoe UI Symbol" w:hAnsi="Segoe UI Symbol" w:cs="Segoe UI Symbol"/>
              </w:rPr>
              <w:t>✖</w:t>
            </w:r>
          </w:p>
        </w:tc>
        <w:tc>
          <w:tcPr>
            <w:tcW w:w="98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6FA79AC" w14:textId="77777777" w:rsidR="0006507C" w:rsidRPr="0006507C" w:rsidRDefault="0006507C" w:rsidP="0006507C">
            <w:pPr>
              <w:spacing w:before="120" w:after="120"/>
              <w:jc w:val="center"/>
              <w:cnfStyle w:val="000000000000" w:firstRow="0" w:lastRow="0" w:firstColumn="0" w:lastColumn="0" w:oddVBand="0" w:evenVBand="0" w:oddHBand="0" w:evenHBand="0" w:firstRowFirstColumn="0" w:firstRowLastColumn="0" w:lastRowFirstColumn="0" w:lastRowLastColumn="0"/>
            </w:pPr>
            <w:r w:rsidRPr="0006507C">
              <w:rPr>
                <w:rFonts w:ascii="Segoe UI Symbol" w:hAnsi="Segoe UI Symbol" w:cs="Segoe UI Symbol"/>
                <w:lang w:val="en-US"/>
              </w:rPr>
              <w:t>✔</w:t>
            </w:r>
          </w:p>
        </w:tc>
      </w:tr>
      <w:tr w:rsidR="007B1AC6" w:rsidRPr="00D422F0" w14:paraId="3FFF54D3" w14:textId="77777777" w:rsidTr="003872A1">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251" w:type="pct"/>
            <w:tcBorders>
              <w:top w:val="single" w:sz="18" w:space="0" w:color="EFF0F7" w:themeColor="accent4" w:themeTint="33"/>
              <w:left w:val="single" w:sz="18" w:space="0" w:color="EFF0F7" w:themeColor="accent4" w:themeTint="33"/>
              <w:bottom w:val="single" w:sz="4" w:space="0" w:color="F2EFED" w:themeColor="background2"/>
              <w:right w:val="single" w:sz="8" w:space="0" w:color="F2EFED" w:themeColor="background2"/>
            </w:tcBorders>
            <w:shd w:val="clear" w:color="auto" w:fill="EFF0F7" w:themeFill="accent4" w:themeFillTint="33"/>
            <w:vAlign w:val="center"/>
          </w:tcPr>
          <w:p w14:paraId="6B5362B5" w14:textId="4C2425CC" w:rsidR="0006507C" w:rsidRPr="0006507C" w:rsidRDefault="0006507C" w:rsidP="0006507C">
            <w:pPr>
              <w:spacing w:before="120" w:after="120"/>
            </w:pPr>
            <w:r w:rsidRPr="0006507C">
              <w:t xml:space="preserve">Corporate costs at </w:t>
            </w:r>
            <w:r w:rsidR="00B33D4A">
              <w:t>Queensland</w:t>
            </w:r>
            <w:r w:rsidRPr="0006507C">
              <w:t xml:space="preserve"> Health</w:t>
            </w:r>
          </w:p>
        </w:tc>
        <w:tc>
          <w:tcPr>
            <w:tcW w:w="1892" w:type="pct"/>
            <w:tcBorders>
              <w:top w:val="single" w:sz="18" w:space="0" w:color="EFF0F7" w:themeColor="accent4" w:themeTint="33"/>
              <w:left w:val="single" w:sz="8" w:space="0" w:color="F2EFED" w:themeColor="background2"/>
              <w:bottom w:val="single" w:sz="18" w:space="0" w:color="EFF0F7" w:themeColor="accent4" w:themeTint="33"/>
              <w:right w:val="single" w:sz="18" w:space="0" w:color="EFF0F7" w:themeColor="accent4" w:themeTint="33"/>
            </w:tcBorders>
            <w:vAlign w:val="center"/>
          </w:tcPr>
          <w:p w14:paraId="78FEBC0D" w14:textId="1D813405" w:rsidR="0006507C" w:rsidRPr="008A6E00" w:rsidRDefault="0006507C" w:rsidP="0006507C">
            <w:pPr>
              <w:cnfStyle w:val="010000000000" w:firstRow="0" w:lastRow="1" w:firstColumn="0" w:lastColumn="0" w:oddVBand="0" w:evenVBand="0" w:oddHBand="0" w:evenHBand="0" w:firstRowFirstColumn="0" w:firstRowLastColumn="0" w:lastRowFirstColumn="0" w:lastRowLastColumn="0"/>
              <w:rPr>
                <w:b w:val="0"/>
                <w:color w:val="44546A" w:themeColor="text2"/>
              </w:rPr>
            </w:pPr>
            <w:r w:rsidRPr="008A6E00">
              <w:rPr>
                <w:b w:val="0"/>
                <w:color w:val="44546A" w:themeColor="text2"/>
              </w:rPr>
              <w:t>Not allocated to HHS (this includes the services from DoH Clinical Costing Team who perform costing services to the 4 Rural and Remote HHS, which should be passed onto HHS per the AHPCS).</w:t>
            </w:r>
          </w:p>
        </w:tc>
        <w:tc>
          <w:tcPr>
            <w:tcW w:w="86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F813A21" w14:textId="77777777" w:rsidR="0006507C" w:rsidRPr="0006507C" w:rsidRDefault="0006507C" w:rsidP="0006507C">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rPr>
            </w:pPr>
            <w:r w:rsidRPr="0006507C">
              <w:rPr>
                <w:rFonts w:ascii="Segoe UI Symbol" w:hAnsi="Segoe UI Symbol" w:cs="Segoe UI Symbol"/>
              </w:rPr>
              <w:t>✖</w:t>
            </w:r>
          </w:p>
        </w:tc>
        <w:tc>
          <w:tcPr>
            <w:tcW w:w="988"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8F7FA3A" w14:textId="00FBA183" w:rsidR="0006507C" w:rsidRDefault="0006507C" w:rsidP="0006507C">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lang w:val="en-US"/>
              </w:rPr>
            </w:pPr>
          </w:p>
          <w:p w14:paraId="3D4395D1" w14:textId="77777777" w:rsidR="00BB0168" w:rsidRPr="0006507C" w:rsidRDefault="00BB0168" w:rsidP="00BB0168">
            <w:pPr>
              <w:spacing w:line="240" w:lineRule="auto"/>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06507C">
              <w:rPr>
                <w:rFonts w:ascii="Segoe UI Symbol" w:hAnsi="Segoe UI Symbol" w:cs="Segoe UI Symbol"/>
                <w:b w:val="0"/>
              </w:rPr>
              <w:t>✖</w:t>
            </w:r>
          </w:p>
          <w:p w14:paraId="7B9FE41E" w14:textId="64D7395B" w:rsidR="00BB0168" w:rsidRPr="0006507C" w:rsidRDefault="00BB0168" w:rsidP="00BB0168">
            <w:pPr>
              <w:spacing w:before="120" w:after="120"/>
              <w:jc w:val="center"/>
              <w:cnfStyle w:val="010000000000" w:firstRow="0" w:lastRow="1" w:firstColumn="0" w:lastColumn="0" w:oddVBand="0" w:evenVBand="0" w:oddHBand="0" w:evenHBand="0" w:firstRowFirstColumn="0" w:firstRowLastColumn="0" w:lastRowFirstColumn="0" w:lastRowLastColumn="0"/>
            </w:pPr>
            <w:r w:rsidRPr="008909C5">
              <w:rPr>
                <w:b w:val="0"/>
                <w:color w:val="44546A" w:themeColor="text2"/>
              </w:rPr>
              <w:t>(for the costing services)</w:t>
            </w:r>
          </w:p>
        </w:tc>
      </w:tr>
    </w:tbl>
    <w:p w14:paraId="0EC456A8" w14:textId="38FE77CA" w:rsidR="00C429E1" w:rsidRDefault="00C429E1">
      <w:pPr>
        <w:tabs>
          <w:tab w:val="clear" w:pos="5309"/>
        </w:tabs>
        <w:spacing w:line="279" w:lineRule="auto"/>
      </w:pPr>
    </w:p>
    <w:p w14:paraId="4AF0C81C" w14:textId="706B4E0D" w:rsidR="00C429E1" w:rsidRDefault="007A33CA">
      <w:pPr>
        <w:tabs>
          <w:tab w:val="clear" w:pos="5309"/>
        </w:tabs>
        <w:spacing w:line="279" w:lineRule="auto"/>
      </w:pPr>
      <w:r>
        <w:rPr>
          <w:noProof/>
        </w:rPr>
        <w:lastRenderedPageBreak/>
        <mc:AlternateContent>
          <mc:Choice Requires="wps">
            <w:drawing>
              <wp:anchor distT="45720" distB="45720" distL="114300" distR="114300" simplePos="0" relativeHeight="251658251" behindDoc="0" locked="0" layoutInCell="1" allowOverlap="1" wp14:anchorId="4A565586" wp14:editId="2F040778">
                <wp:simplePos x="0" y="0"/>
                <wp:positionH relativeFrom="margin">
                  <wp:posOffset>0</wp:posOffset>
                </wp:positionH>
                <wp:positionV relativeFrom="paragraph">
                  <wp:posOffset>321945</wp:posOffset>
                </wp:positionV>
                <wp:extent cx="5715000" cy="1447800"/>
                <wp:effectExtent l="0" t="0" r="0" b="0"/>
                <wp:wrapTopAndBottom/>
                <wp:docPr id="230701687" name="Text Box 2" descr="P1983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5CF0F2A9" w14:textId="4CA0772A" w:rsidR="007A33CA" w:rsidRPr="00183201" w:rsidRDefault="007A33CA" w:rsidP="007A33CA">
                            <w:pPr>
                              <w:spacing w:after="120"/>
                              <w:rPr>
                                <w:rFonts w:ascii="Avenir Next LT Pro Demi" w:hAnsi="Avenir Next LT Pro Demi"/>
                                <w:b/>
                                <w:bCs/>
                                <w:color w:val="FFFFFF" w:themeColor="background1"/>
                              </w:rPr>
                            </w:pPr>
                            <w:r w:rsidRPr="00183201">
                              <w:rPr>
                                <w:rFonts w:ascii="Avenir Next LT Pro Demi" w:hAnsi="Avenir Next LT Pro Demi"/>
                                <w:b/>
                                <w:bCs/>
                                <w:color w:val="FFFFFF" w:themeColor="background1"/>
                              </w:rPr>
                              <w:t xml:space="preserve">Comparability of </w:t>
                            </w:r>
                            <w:r w:rsidR="00B33D4A">
                              <w:rPr>
                                <w:rFonts w:ascii="Avenir Next LT Pro Demi" w:hAnsi="Avenir Next LT Pro Demi"/>
                                <w:b/>
                                <w:bCs/>
                                <w:color w:val="FFFFFF" w:themeColor="background1"/>
                              </w:rPr>
                              <w:t>Queensland</w:t>
                            </w:r>
                            <w:r w:rsidRPr="00183201">
                              <w:rPr>
                                <w:rFonts w:ascii="Avenir Next LT Pro Demi" w:hAnsi="Avenir Next LT Pro Demi"/>
                                <w:b/>
                                <w:bCs/>
                                <w:color w:val="FFFFFF" w:themeColor="background1"/>
                              </w:rPr>
                              <w:t>’s costing outputs to other states</w:t>
                            </w:r>
                          </w:p>
                          <w:p w14:paraId="6513DDAB" w14:textId="6351361D" w:rsidR="00183201" w:rsidRPr="00183201" w:rsidRDefault="00B33D4A" w:rsidP="00183201">
                            <w:pPr>
                              <w:pStyle w:val="Tablebulletpoint"/>
                              <w:rPr>
                                <w:color w:val="FFFFFF" w:themeColor="background1"/>
                              </w:rPr>
                            </w:pPr>
                            <w:r>
                              <w:rPr>
                                <w:color w:val="FFFFFF" w:themeColor="background1"/>
                              </w:rPr>
                              <w:t>Queensland</w:t>
                            </w:r>
                            <w:r w:rsidR="00183201" w:rsidRPr="00183201">
                              <w:rPr>
                                <w:color w:val="FFFFFF" w:themeColor="background1"/>
                              </w:rPr>
                              <w:t xml:space="preserve"> includes redundancy, </w:t>
                            </w:r>
                            <w:r w:rsidR="00DA52E2" w:rsidRPr="00183201">
                              <w:rPr>
                                <w:color w:val="FFFFFF" w:themeColor="background1"/>
                              </w:rPr>
                              <w:t>Workcover</w:t>
                            </w:r>
                            <w:r w:rsidR="00183201" w:rsidRPr="00183201">
                              <w:rPr>
                                <w:color w:val="FFFFFF" w:themeColor="background1"/>
                              </w:rPr>
                              <w:t>, superannuation in the O</w:t>
                            </w:r>
                            <w:r w:rsidR="00183201" w:rsidRPr="00183201">
                              <w:rPr>
                                <w:i/>
                                <w:iCs/>
                                <w:color w:val="FFFFFF" w:themeColor="background1"/>
                              </w:rPr>
                              <w:t>ncost</w:t>
                            </w:r>
                            <w:r w:rsidR="00183201" w:rsidRPr="00183201">
                              <w:rPr>
                                <w:color w:val="FFFFFF" w:themeColor="background1"/>
                              </w:rPr>
                              <w:t xml:space="preserve"> line item. Leave is recorded in the respective </w:t>
                            </w:r>
                            <w:r w:rsidR="00183201" w:rsidRPr="00183201">
                              <w:rPr>
                                <w:i/>
                                <w:iCs/>
                                <w:color w:val="FFFFFF" w:themeColor="background1"/>
                              </w:rPr>
                              <w:t xml:space="preserve">S&amp;W </w:t>
                            </w:r>
                            <w:r w:rsidR="00183201" w:rsidRPr="00183201">
                              <w:rPr>
                                <w:color w:val="FFFFFF" w:themeColor="background1"/>
                              </w:rPr>
                              <w:t>line items.</w:t>
                            </w:r>
                          </w:p>
                          <w:p w14:paraId="78F3D295" w14:textId="361E90F1" w:rsidR="00BF6B3F" w:rsidRDefault="00B33D4A" w:rsidP="00183201">
                            <w:pPr>
                              <w:pStyle w:val="Tablebulletpoint"/>
                              <w:rPr>
                                <w:color w:val="FFFFFF" w:themeColor="background1"/>
                              </w:rPr>
                            </w:pPr>
                            <w:r>
                              <w:rPr>
                                <w:color w:val="FFFFFF" w:themeColor="background1"/>
                              </w:rPr>
                              <w:t>Queensland</w:t>
                            </w:r>
                            <w:r w:rsidR="00183201" w:rsidRPr="00183201">
                              <w:rPr>
                                <w:color w:val="FFFFFF" w:themeColor="background1"/>
                              </w:rPr>
                              <w:t xml:space="preserve"> excludes TTR costs from their NHCDC submission. These costs are </w:t>
                            </w:r>
                            <w:r w:rsidR="00BF6B3F">
                              <w:rPr>
                                <w:color w:val="FFFFFF" w:themeColor="background1"/>
                              </w:rPr>
                              <w:t>obtained from</w:t>
                            </w:r>
                            <w:r w:rsidR="00183201" w:rsidRPr="00183201">
                              <w:rPr>
                                <w:color w:val="FFFFFF" w:themeColor="background1"/>
                              </w:rPr>
                              <w:t xml:space="preserve"> the </w:t>
                            </w:r>
                            <w:r w:rsidR="00BF6B3F">
                              <w:rPr>
                                <w:color w:val="FFFFFF" w:themeColor="background1"/>
                              </w:rPr>
                              <w:t>GL.</w:t>
                            </w:r>
                          </w:p>
                          <w:p w14:paraId="462BE6DA" w14:textId="6DED0A69" w:rsidR="007A33CA" w:rsidRPr="00183201" w:rsidRDefault="00BF6B3F" w:rsidP="00183201">
                            <w:pPr>
                              <w:pStyle w:val="Tablebulletpoint"/>
                              <w:rPr>
                                <w:color w:val="FFFFFF" w:themeColor="background1"/>
                              </w:rPr>
                            </w:pPr>
                            <w:r w:rsidRPr="00BF6B3F">
                              <w:rPr>
                                <w:color w:val="FFFFFF" w:themeColor="background1"/>
                              </w:rPr>
                              <w:t xml:space="preserve">The payroll and account payable functions are provided to HSSs under a shared </w:t>
                            </w:r>
                            <w:r w:rsidR="00183201" w:rsidRPr="00183201">
                              <w:rPr>
                                <w:color w:val="FFFFFF" w:themeColor="background1"/>
                              </w:rPr>
                              <w:t xml:space="preserve">service </w:t>
                            </w:r>
                            <w:r w:rsidRPr="00BF6B3F">
                              <w:rPr>
                                <w:color w:val="FFFFFF" w:themeColor="background1"/>
                              </w:rPr>
                              <w:t>arrangement; the cost of these services reported under the ‘exclude’ line item</w:t>
                            </w:r>
                            <w:r w:rsidR="00183201" w:rsidRPr="00183201">
                              <w:rPr>
                                <w:color w:val="FFFFFF" w:themeColor="background1"/>
                              </w:rPr>
                              <w:t>.</w:t>
                            </w:r>
                          </w:p>
                        </w:txbxContent>
                      </wps:txbx>
                      <wps:bodyPr rot="0" vert="horz" wrap="square" lIns="180000" tIns="180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A565586" id="_x0000_s1216" type="#_x0000_t202" alt="P1983TB25#y1" style="position:absolute;margin-left:0;margin-top:25.35pt;width:450pt;height:114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" fillcolor="#343a5e [2405]" stroked="f" strokeweight="1pt">
                <v:textbox style="mso-fit-shape-to-text:t" inset="5mm,5mm,5mm,5mm">
                  <w:txbxContent>
                    <w:p w14:paraId="5CF0F2A9" w14:textId="4CA0772A" w:rsidR="007A33CA" w:rsidRPr="00183201" w:rsidRDefault="007A33CA" w:rsidP="007A33CA">
                      <w:pPr>
                        <w:spacing w:after="120"/>
                        <w:rPr>
                          <w:rFonts w:ascii="Avenir Next LT Pro Demi" w:hAnsi="Avenir Next LT Pro Demi"/>
                          <w:b/>
                          <w:bCs/>
                          <w:color w:val="FFFFFF" w:themeColor="background1"/>
                        </w:rPr>
                      </w:pPr>
                      <w:r w:rsidRPr="00183201">
                        <w:rPr>
                          <w:rFonts w:ascii="Avenir Next LT Pro Demi" w:hAnsi="Avenir Next LT Pro Demi"/>
                          <w:b/>
                          <w:bCs/>
                          <w:color w:val="FFFFFF" w:themeColor="background1"/>
                        </w:rPr>
                        <w:t xml:space="preserve">Comparability of </w:t>
                      </w:r>
                      <w:r w:rsidR="00B33D4A">
                        <w:rPr>
                          <w:rFonts w:ascii="Avenir Next LT Pro Demi" w:hAnsi="Avenir Next LT Pro Demi"/>
                          <w:b/>
                          <w:bCs/>
                          <w:color w:val="FFFFFF" w:themeColor="background1"/>
                        </w:rPr>
                        <w:t>Queensland</w:t>
                      </w:r>
                      <w:r w:rsidRPr="00183201">
                        <w:rPr>
                          <w:rFonts w:ascii="Avenir Next LT Pro Demi" w:hAnsi="Avenir Next LT Pro Demi"/>
                          <w:b/>
                          <w:bCs/>
                          <w:color w:val="FFFFFF" w:themeColor="background1"/>
                        </w:rPr>
                        <w:t>’s costing outputs to other states</w:t>
                      </w:r>
                    </w:p>
                    <w:p w14:paraId="6513DDAB" w14:textId="6351361D" w:rsidR="00183201" w:rsidRPr="00183201" w:rsidRDefault="00B33D4A" w:rsidP="00183201">
                      <w:pPr>
                        <w:pStyle w:val="Tablebulletpoint"/>
                        <w:rPr>
                          <w:color w:val="FFFFFF" w:themeColor="background1"/>
                        </w:rPr>
                      </w:pPr>
                      <w:r>
                        <w:rPr>
                          <w:color w:val="FFFFFF" w:themeColor="background1"/>
                        </w:rPr>
                        <w:t>Queensland</w:t>
                      </w:r>
                      <w:r w:rsidR="00183201" w:rsidRPr="00183201">
                        <w:rPr>
                          <w:color w:val="FFFFFF" w:themeColor="background1"/>
                        </w:rPr>
                        <w:t xml:space="preserve"> includes redundancy, </w:t>
                      </w:r>
                      <w:r w:rsidR="00DA52E2" w:rsidRPr="00183201">
                        <w:rPr>
                          <w:color w:val="FFFFFF" w:themeColor="background1"/>
                        </w:rPr>
                        <w:t>Workcover</w:t>
                      </w:r>
                      <w:r w:rsidR="00183201" w:rsidRPr="00183201">
                        <w:rPr>
                          <w:color w:val="FFFFFF" w:themeColor="background1"/>
                        </w:rPr>
                        <w:t>, superannuation in the O</w:t>
                      </w:r>
                      <w:r w:rsidR="00183201" w:rsidRPr="00183201">
                        <w:rPr>
                          <w:i/>
                          <w:iCs/>
                          <w:color w:val="FFFFFF" w:themeColor="background1"/>
                        </w:rPr>
                        <w:t>ncost</w:t>
                      </w:r>
                      <w:r w:rsidR="00183201" w:rsidRPr="00183201">
                        <w:rPr>
                          <w:color w:val="FFFFFF" w:themeColor="background1"/>
                        </w:rPr>
                        <w:t xml:space="preserve"> line item. Leave is recorded in the respective </w:t>
                      </w:r>
                      <w:r w:rsidR="00183201" w:rsidRPr="00183201">
                        <w:rPr>
                          <w:i/>
                          <w:iCs/>
                          <w:color w:val="FFFFFF" w:themeColor="background1"/>
                        </w:rPr>
                        <w:t xml:space="preserve">S&amp;W </w:t>
                      </w:r>
                      <w:r w:rsidR="00183201" w:rsidRPr="00183201">
                        <w:rPr>
                          <w:color w:val="FFFFFF" w:themeColor="background1"/>
                        </w:rPr>
                        <w:t>line items.</w:t>
                      </w:r>
                    </w:p>
                    <w:p w14:paraId="78F3D295" w14:textId="361E90F1" w:rsidR="00BF6B3F" w:rsidRDefault="00B33D4A" w:rsidP="00183201">
                      <w:pPr>
                        <w:pStyle w:val="Tablebulletpoint"/>
                        <w:rPr>
                          <w:color w:val="FFFFFF" w:themeColor="background1"/>
                        </w:rPr>
                      </w:pPr>
                      <w:r>
                        <w:rPr>
                          <w:color w:val="FFFFFF" w:themeColor="background1"/>
                        </w:rPr>
                        <w:t>Queensland</w:t>
                      </w:r>
                      <w:r w:rsidR="00183201" w:rsidRPr="00183201">
                        <w:rPr>
                          <w:color w:val="FFFFFF" w:themeColor="background1"/>
                        </w:rPr>
                        <w:t xml:space="preserve"> excludes TTR costs from their NHCDC submission. These costs are </w:t>
                      </w:r>
                      <w:r w:rsidR="00BF6B3F">
                        <w:rPr>
                          <w:color w:val="FFFFFF" w:themeColor="background1"/>
                        </w:rPr>
                        <w:t>obtained from</w:t>
                      </w:r>
                      <w:r w:rsidR="00183201" w:rsidRPr="00183201">
                        <w:rPr>
                          <w:color w:val="FFFFFF" w:themeColor="background1"/>
                        </w:rPr>
                        <w:t xml:space="preserve"> the </w:t>
                      </w:r>
                      <w:r w:rsidR="00BF6B3F">
                        <w:rPr>
                          <w:color w:val="FFFFFF" w:themeColor="background1"/>
                        </w:rPr>
                        <w:t>GL.</w:t>
                      </w:r>
                    </w:p>
                    <w:p w14:paraId="462BE6DA" w14:textId="6DED0A69" w:rsidR="007A33CA" w:rsidRPr="00183201" w:rsidRDefault="00BF6B3F" w:rsidP="00183201">
                      <w:pPr>
                        <w:pStyle w:val="Tablebulletpoint"/>
                        <w:rPr>
                          <w:color w:val="FFFFFF" w:themeColor="background1"/>
                        </w:rPr>
                      </w:pPr>
                      <w:r w:rsidRPr="00BF6B3F">
                        <w:rPr>
                          <w:color w:val="FFFFFF" w:themeColor="background1"/>
                        </w:rPr>
                        <w:t xml:space="preserve">The payroll and account payable functions are provided to HSSs under a shared </w:t>
                      </w:r>
                      <w:r w:rsidR="00183201" w:rsidRPr="00183201">
                        <w:rPr>
                          <w:color w:val="FFFFFF" w:themeColor="background1"/>
                        </w:rPr>
                        <w:t xml:space="preserve">service </w:t>
                      </w:r>
                      <w:r w:rsidRPr="00BF6B3F">
                        <w:rPr>
                          <w:color w:val="FFFFFF" w:themeColor="background1"/>
                        </w:rPr>
                        <w:t>arrangement; the cost of these services reported under the ‘exclude’ line item</w:t>
                      </w:r>
                      <w:r w:rsidR="00183201" w:rsidRPr="00183201">
                        <w:rPr>
                          <w:color w:val="FFFFFF" w:themeColor="background1"/>
                        </w:rPr>
                        <w:t>.</w:t>
                      </w:r>
                    </w:p>
                  </w:txbxContent>
                </v:textbox>
                <w10:wrap type="topAndBottom" anchorx="margin"/>
              </v:shape>
            </w:pict>
          </mc:Fallback>
        </mc:AlternateContent>
      </w:r>
    </w:p>
    <w:p w14:paraId="0BC7B4E0" w14:textId="77777777" w:rsidR="00C429E1" w:rsidRDefault="00C429E1" w:rsidP="00C429E1">
      <w:pPr>
        <w:pStyle w:val="Heading3"/>
      </w:pPr>
      <w:r>
        <w:t>Reconciliation from GL to submitted costs</w:t>
      </w:r>
    </w:p>
    <w:p w14:paraId="4DD909EE" w14:textId="3D1EEB5B" w:rsidR="00C75D91" w:rsidRPr="00AD1F32" w:rsidRDefault="00E31556" w:rsidP="00C75D91">
      <w:pPr>
        <w:spacing w:line="240" w:lineRule="auto"/>
      </w:pPr>
      <w:r>
        <w:rPr>
          <w:color w:val="44546A" w:themeColor="text2"/>
        </w:rPr>
        <w:t>On request from IHACPA, 2</w:t>
      </w:r>
      <w:r w:rsidR="00C75D91" w:rsidRPr="00A720A5">
        <w:rPr>
          <w:color w:val="44546A" w:themeColor="text2"/>
        </w:rPr>
        <w:t xml:space="preserve"> </w:t>
      </w:r>
      <w:r w:rsidR="00B33D4A">
        <w:rPr>
          <w:color w:val="44546A" w:themeColor="text2"/>
        </w:rPr>
        <w:t>Queensland</w:t>
      </w:r>
      <w:r w:rsidR="00C75D91" w:rsidRPr="00A720A5">
        <w:rPr>
          <w:color w:val="44546A" w:themeColor="text2"/>
        </w:rPr>
        <w:t xml:space="preserve"> </w:t>
      </w:r>
      <w:r w:rsidR="00C75D91">
        <w:rPr>
          <w:color w:val="44546A" w:themeColor="text2"/>
        </w:rPr>
        <w:t>HSS</w:t>
      </w:r>
      <w:r w:rsidR="00C75D91" w:rsidRPr="00A720A5">
        <w:rPr>
          <w:color w:val="44546A" w:themeColor="text2"/>
        </w:rPr>
        <w:t>s participated in the IFR</w:t>
      </w:r>
      <w:r w:rsidR="006C127B">
        <w:rPr>
          <w:color w:val="44546A" w:themeColor="text2"/>
        </w:rPr>
        <w:t>:</w:t>
      </w:r>
      <w:r w:rsidR="00C75D91" w:rsidRPr="00A720A5">
        <w:rPr>
          <w:color w:val="44546A" w:themeColor="text2"/>
        </w:rPr>
        <w:t xml:space="preserve"> </w:t>
      </w:r>
      <w:r w:rsidR="00C75D91">
        <w:rPr>
          <w:color w:val="44546A" w:themeColor="text2"/>
        </w:rPr>
        <w:t>Metro North</w:t>
      </w:r>
      <w:r w:rsidR="00C75D91" w:rsidRPr="00A720A5">
        <w:rPr>
          <w:color w:val="44546A" w:themeColor="text2"/>
        </w:rPr>
        <w:t xml:space="preserve"> </w:t>
      </w:r>
      <w:r w:rsidR="006C127B">
        <w:rPr>
          <w:color w:val="44546A" w:themeColor="text2"/>
        </w:rPr>
        <w:t xml:space="preserve">HSS </w:t>
      </w:r>
      <w:r w:rsidR="00C75D91" w:rsidRPr="00A720A5">
        <w:rPr>
          <w:color w:val="44546A" w:themeColor="text2"/>
        </w:rPr>
        <w:t xml:space="preserve">and </w:t>
      </w:r>
      <w:r w:rsidR="00C75D91">
        <w:rPr>
          <w:color w:val="44546A" w:themeColor="text2"/>
        </w:rPr>
        <w:t>Wide Bay</w:t>
      </w:r>
      <w:r w:rsidR="00C75D91" w:rsidRPr="00A720A5">
        <w:rPr>
          <w:color w:val="44546A" w:themeColor="text2"/>
        </w:rPr>
        <w:t xml:space="preserve"> </w:t>
      </w:r>
      <w:r w:rsidR="00C75D91">
        <w:rPr>
          <w:color w:val="44546A" w:themeColor="text2"/>
        </w:rPr>
        <w:t>HHS</w:t>
      </w:r>
      <w:r w:rsidR="00C75D91" w:rsidRPr="00A720A5">
        <w:rPr>
          <w:color w:val="44546A" w:themeColor="text2"/>
        </w:rPr>
        <w:t>.</w:t>
      </w:r>
      <w:r w:rsidR="00C75D91" w:rsidRPr="00A720A5">
        <w:t xml:space="preserve"> This section discusses major variances, reconciling items and adjustments from the </w:t>
      </w:r>
      <w:r w:rsidR="00C75D91">
        <w:t>GL</w:t>
      </w:r>
      <w:r w:rsidR="00C75D91" w:rsidRPr="00A720A5">
        <w:t xml:space="preserve"> of the participating </w:t>
      </w:r>
      <w:r w:rsidR="00985D51">
        <w:t>HHS</w:t>
      </w:r>
      <w:r w:rsidR="00F46CD9">
        <w:t>s</w:t>
      </w:r>
      <w:r w:rsidR="00C75D91" w:rsidRPr="00A720A5">
        <w:t xml:space="preserve"> from </w:t>
      </w:r>
      <w:r w:rsidR="00B33D4A">
        <w:t>Queensland</w:t>
      </w:r>
      <w:r w:rsidR="00C75D91" w:rsidRPr="00A720A5">
        <w:t xml:space="preserve">, through to the costed products submitted to IHACPA in the </w:t>
      </w:r>
      <w:r w:rsidR="00C75D91" w:rsidRPr="004A6730">
        <w:t>NHCDC submission.</w:t>
      </w:r>
    </w:p>
    <w:p w14:paraId="53F1814F" w14:textId="77777777" w:rsidR="00C75D91" w:rsidRPr="00AD1F32" w:rsidRDefault="00C75D91" w:rsidP="009F419F">
      <w:pPr>
        <w:pStyle w:val="Heading4"/>
        <w:rPr>
          <w:color w:val="484B5D" w:themeColor="accent3"/>
        </w:rPr>
      </w:pPr>
      <w:r w:rsidRPr="00AD1F32">
        <w:rPr>
          <w:color w:val="484B5D" w:themeColor="accent3"/>
        </w:rPr>
        <w:t>Reconciliation from GL to NHCDC – Metro North HHS</w:t>
      </w:r>
    </w:p>
    <w:p w14:paraId="1615D959" w14:textId="1ACE6D54" w:rsidR="00400868" w:rsidRPr="004A6730" w:rsidRDefault="00B33D4A" w:rsidP="00400868">
      <w:r w:rsidRPr="004A6730">
        <w:t>Queensland</w:t>
      </w:r>
      <w:r w:rsidR="00400868" w:rsidRPr="004A6730">
        <w:t xml:space="preserve">’s total reported costs were </w:t>
      </w:r>
      <w:r w:rsidR="00400868" w:rsidRPr="00AD1F32">
        <w:t>$17.9 billion (representing 23.4% of national costs).</w:t>
      </w:r>
    </w:p>
    <w:p w14:paraId="5F3FD9B6" w14:textId="77777777" w:rsidR="00400868" w:rsidRPr="00A92C87" w:rsidRDefault="00400868" w:rsidP="00400868">
      <w:pPr>
        <w:pStyle w:val="ListParagraph"/>
        <w:numPr>
          <w:ilvl w:val="0"/>
          <w:numId w:val="8"/>
        </w:numPr>
      </w:pPr>
      <w:r w:rsidRPr="004A6730">
        <w:t xml:space="preserve">Metro North HHS’s </w:t>
      </w:r>
      <w:r w:rsidRPr="00A92C87">
        <w:t>GL was $4.2</w:t>
      </w:r>
      <w:r>
        <w:t>5</w:t>
      </w:r>
      <w:r w:rsidRPr="00A92C87">
        <w:t xml:space="preserve"> billion</w:t>
      </w:r>
      <w:r>
        <w:t>.</w:t>
      </w:r>
    </w:p>
    <w:p w14:paraId="2F9005AB" w14:textId="7C44F3C6" w:rsidR="00400868" w:rsidRPr="00A92C87" w:rsidRDefault="00400868" w:rsidP="00400868">
      <w:pPr>
        <w:pStyle w:val="ListParagraph"/>
        <w:numPr>
          <w:ilvl w:val="1"/>
          <w:numId w:val="8"/>
        </w:numPr>
      </w:pPr>
      <w:r w:rsidRPr="00A92C87">
        <w:t xml:space="preserve">Their submitted costs to the NHCDC were </w:t>
      </w:r>
      <w:r w:rsidRPr="00A92C87">
        <w:rPr>
          <w:rFonts w:asciiTheme="minorHAnsi" w:hAnsiTheme="minorHAnsi" w:cs="Arial"/>
        </w:rPr>
        <w:t xml:space="preserve">$3.48 billion </w:t>
      </w:r>
      <w:r w:rsidRPr="00A92C87">
        <w:t xml:space="preserve">(representing 19.4% of </w:t>
      </w:r>
      <w:r w:rsidR="00B33D4A">
        <w:t>Queensland</w:t>
      </w:r>
      <w:r w:rsidRPr="00A92C87">
        <w:t>’s costs).</w:t>
      </w:r>
    </w:p>
    <w:p w14:paraId="43362FD6" w14:textId="77777777" w:rsidR="00400868" w:rsidRPr="00A92C87" w:rsidRDefault="00400868" w:rsidP="00400868">
      <w:pPr>
        <w:pStyle w:val="ListParagraph"/>
        <w:numPr>
          <w:ilvl w:val="1"/>
          <w:numId w:val="8"/>
        </w:numPr>
      </w:pPr>
      <w:r w:rsidRPr="00A92C87">
        <w:t>Overall, Metro North HHS submitted 72% of their GL to the NHCDC.</w:t>
      </w:r>
    </w:p>
    <w:p w14:paraId="311AB87E" w14:textId="0F10051C" w:rsidR="00400868" w:rsidRDefault="00400868" w:rsidP="00931BB8">
      <w:pPr>
        <w:pStyle w:val="ListParagraph"/>
        <w:numPr>
          <w:ilvl w:val="1"/>
          <w:numId w:val="8"/>
        </w:numPr>
      </w:pPr>
      <w:r w:rsidRPr="00A92C87">
        <w:t>$767 million costs (28% of GL) were not included in NHCDC submissions for a variety of reasons including being out</w:t>
      </w:r>
      <w:r>
        <w:t>-</w:t>
      </w:r>
      <w:r w:rsidRPr="00A92C87">
        <w:t>of</w:t>
      </w:r>
      <w:r>
        <w:t>-</w:t>
      </w:r>
      <w:r w:rsidRPr="00A92C87">
        <w:t xml:space="preserve">scope, or an inability to link costs and activity due to data </w:t>
      </w:r>
      <w:r w:rsidR="00E31556">
        <w:t>matching</w:t>
      </w:r>
      <w:r w:rsidRPr="00A92C87">
        <w:t xml:space="preserve"> issues.</w:t>
      </w:r>
    </w:p>
    <w:p w14:paraId="62BC94CF" w14:textId="602FD28E" w:rsidR="00400868" w:rsidRDefault="00483CC9"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24</w:t>
      </w:r>
      <w:r w:rsidR="00BD5B5E">
        <w:fldChar w:fldCharType="end"/>
      </w:r>
      <w:r>
        <w:t xml:space="preserve">: </w:t>
      </w:r>
      <w:r w:rsidRPr="004E3E7A">
        <w:t>Waterfall from GL to NHCDC submitted costs – Metro North HHS</w:t>
      </w:r>
    </w:p>
    <w:p w14:paraId="679F59A9" w14:textId="7B51D530" w:rsidR="00C172E6" w:rsidRPr="00C172E6" w:rsidRDefault="0042761F" w:rsidP="00B1445C">
      <w:r>
        <w:rPr>
          <w:noProof/>
        </w:rPr>
        <mc:AlternateContent>
          <mc:Choice Requires="cx1">
            <w:drawing>
              <wp:inline distT="0" distB="0" distL="0" distR="0" wp14:anchorId="0D6C812F" wp14:editId="47468824">
                <wp:extent cx="6068291" cy="2375065"/>
                <wp:effectExtent l="0" t="0" r="8890" b="6350"/>
                <wp:docPr id="10858638" name="Chart 1" descr="P1993#y1">
                  <a:extLst xmlns:a="http://schemas.openxmlformats.org/drawingml/2006/main">
                    <a:ext uri="{FF2B5EF4-FFF2-40B4-BE49-F238E27FC236}">
                      <a16:creationId xmlns:a16="http://schemas.microsoft.com/office/drawing/2014/main" id="{169E605B-E0E9-4519-8FD2-2E063E5FD47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0"/>
                  </a:graphicData>
                </a:graphic>
              </wp:inline>
            </w:drawing>
          </mc:Choice>
          <mc:Fallback>
            <w:drawing>
              <wp:inline distT="0" distB="0" distL="0" distR="0" wp14:anchorId="0D6C812F" wp14:editId="47468824">
                <wp:extent cx="6068291" cy="2375065"/>
                <wp:effectExtent l="0" t="0" r="8890" b="6350"/>
                <wp:docPr id="10858638" name="Chart 1">
                  <a:extLst xmlns:a="http://schemas.openxmlformats.org/drawingml/2006/main">
                    <a:ext uri="{FF2B5EF4-FFF2-40B4-BE49-F238E27FC236}">
                      <a16:creationId xmlns:a16="http://schemas.microsoft.com/office/drawing/2014/main" id="{169E605B-E0E9-4519-8FD2-2E063E5FD47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858638" name="Chart 1">
                          <a:extLst>
                            <a:ext uri="{FF2B5EF4-FFF2-40B4-BE49-F238E27FC236}">
                              <a16:creationId xmlns:a16="http://schemas.microsoft.com/office/drawing/2014/main" id="{169E605B-E0E9-4519-8FD2-2E063E5FD47C}"/>
                            </a:ext>
                          </a:extLst>
                        </pic:cNvPr>
                        <pic:cNvPicPr>
                          <a:picLocks noGrp="1" noRot="1" noChangeAspect="1" noMove="1" noResize="1" noEditPoints="1" noAdjustHandles="1" noChangeArrowheads="1" noChangeShapeType="1"/>
                        </pic:cNvPicPr>
                      </pic:nvPicPr>
                      <pic:blipFill>
                        <a:blip r:embed="rId81"/>
                        <a:stretch>
                          <a:fillRect/>
                        </a:stretch>
                      </pic:blipFill>
                      <pic:spPr>
                        <a:xfrm>
                          <a:off x="0" y="0"/>
                          <a:ext cx="6068060" cy="2374900"/>
                        </a:xfrm>
                        <a:prstGeom prst="rect">
                          <a:avLst/>
                        </a:prstGeom>
                      </pic:spPr>
                    </pic:pic>
                  </a:graphicData>
                </a:graphic>
              </wp:inline>
            </w:drawing>
          </mc:Fallback>
        </mc:AlternateContent>
      </w:r>
    </w:p>
    <w:p w14:paraId="73DB3A11" w14:textId="22B9CD3E" w:rsidR="00EF7CF9" w:rsidRPr="007D327A" w:rsidRDefault="00EF7CF9" w:rsidP="00EF7CF9">
      <w:r w:rsidRPr="007D327A">
        <w:t xml:space="preserve">This section discusses adjustments from the </w:t>
      </w:r>
      <w:r>
        <w:t>GL</w:t>
      </w:r>
      <w:r w:rsidRPr="007D327A">
        <w:t xml:space="preserve"> of Metro North HHS, through to the costed products submitted to IHACPA in the NHCDC submission.</w:t>
      </w:r>
    </w:p>
    <w:p w14:paraId="3C4F8667" w14:textId="77777777" w:rsidR="00EF7CF9" w:rsidRPr="006B4786" w:rsidRDefault="00EF7CF9" w:rsidP="00EF7CF9">
      <w:pPr>
        <w:pStyle w:val="ListParagraph"/>
        <w:numPr>
          <w:ilvl w:val="0"/>
          <w:numId w:val="9"/>
        </w:numPr>
      </w:pPr>
      <w:r w:rsidRPr="00C24C71">
        <w:rPr>
          <w:b/>
          <w:bCs/>
        </w:rPr>
        <w:lastRenderedPageBreak/>
        <w:t>Inclusions</w:t>
      </w:r>
      <w:r w:rsidRPr="00C24C71">
        <w:t xml:space="preserve"> – </w:t>
      </w:r>
      <w:r>
        <w:t>Metro North HHS added $44 million</w:t>
      </w:r>
      <w:r w:rsidRPr="00C24C71">
        <w:t xml:space="preserve"> relating to prior year WIP. These were for patients who were </w:t>
      </w:r>
      <w:r w:rsidRPr="006B4786">
        <w:t xml:space="preserve">admitted in the prior year but discharged in 2023-24. </w:t>
      </w:r>
    </w:p>
    <w:p w14:paraId="51E3EA5E" w14:textId="27C9D24B" w:rsidR="00EF7CF9" w:rsidRPr="006B4786" w:rsidRDefault="00EF7CF9" w:rsidP="00EF7CF9">
      <w:pPr>
        <w:pStyle w:val="ListParagraph"/>
        <w:numPr>
          <w:ilvl w:val="0"/>
          <w:numId w:val="9"/>
        </w:numPr>
      </w:pPr>
      <w:r w:rsidRPr="006B4786">
        <w:rPr>
          <w:b/>
          <w:bCs/>
        </w:rPr>
        <w:t>Out</w:t>
      </w:r>
      <w:r>
        <w:rPr>
          <w:b/>
          <w:bCs/>
        </w:rPr>
        <w:t>-o</w:t>
      </w:r>
      <w:r w:rsidRPr="006B4786">
        <w:rPr>
          <w:b/>
          <w:bCs/>
        </w:rPr>
        <w:t>f</w:t>
      </w:r>
      <w:r>
        <w:rPr>
          <w:b/>
          <w:bCs/>
        </w:rPr>
        <w:t>-S</w:t>
      </w:r>
      <w:r w:rsidRPr="006B4786">
        <w:rPr>
          <w:b/>
          <w:bCs/>
        </w:rPr>
        <w:t>cope</w:t>
      </w:r>
      <w:r w:rsidRPr="006B4786">
        <w:t xml:space="preserve"> – Metro North </w:t>
      </w:r>
      <w:r>
        <w:t xml:space="preserve">HHS </w:t>
      </w:r>
      <w:r w:rsidRPr="006B4786">
        <w:t xml:space="preserve">excluded $93 million of out-of-scope costs, </w:t>
      </w:r>
      <w:r w:rsidR="00284C31">
        <w:t>compromising of</w:t>
      </w:r>
      <w:r w:rsidRPr="006B4786">
        <w:t xml:space="preserve"> $67 million costs relating to Oral Health which is block funded, and $26 million relating to current WIP patients who were still admitted </w:t>
      </w:r>
      <w:r w:rsidR="00CC1E0D">
        <w:t xml:space="preserve">at </w:t>
      </w:r>
      <w:r w:rsidRPr="006B4786">
        <w:t>30 June 2024.</w:t>
      </w:r>
    </w:p>
    <w:p w14:paraId="2FA306E5" w14:textId="0F459745" w:rsidR="00EF7CF9" w:rsidRPr="006530C5" w:rsidRDefault="00EF7CF9" w:rsidP="00EF7CF9">
      <w:pPr>
        <w:pStyle w:val="ListParagraph"/>
        <w:numPr>
          <w:ilvl w:val="0"/>
          <w:numId w:val="9"/>
        </w:numPr>
      </w:pPr>
      <w:r w:rsidRPr="006530C5">
        <w:rPr>
          <w:b/>
          <w:bCs/>
        </w:rPr>
        <w:t xml:space="preserve">Other exclusions </w:t>
      </w:r>
      <w:r w:rsidRPr="006530C5">
        <w:t xml:space="preserve">– </w:t>
      </w:r>
      <w:r w:rsidR="00C82888">
        <w:t>Metro North excluded</w:t>
      </w:r>
      <w:r w:rsidRPr="006530C5">
        <w:t xml:space="preserve"> $717 million</w:t>
      </w:r>
      <w:r w:rsidR="00C82888">
        <w:t xml:space="preserve">, </w:t>
      </w:r>
      <w:r w:rsidRPr="006530C5">
        <w:t xml:space="preserve">made up of costs </w:t>
      </w:r>
      <w:r w:rsidR="00C82888">
        <w:t xml:space="preserve">for clinical services </w:t>
      </w:r>
      <w:r w:rsidRPr="006530C5">
        <w:t xml:space="preserve">that </w:t>
      </w:r>
      <w:r w:rsidR="00C82888">
        <w:t>are not in scope of</w:t>
      </w:r>
      <w:r w:rsidRPr="006530C5">
        <w:t xml:space="preserve"> the</w:t>
      </w:r>
      <w:r w:rsidR="002C6F46">
        <w:t xml:space="preserve"> National Health Reform Agreement</w:t>
      </w:r>
      <w:r w:rsidRPr="006530C5">
        <w:t xml:space="preserve"> </w:t>
      </w:r>
      <w:r w:rsidR="002C6F46">
        <w:t>(</w:t>
      </w:r>
      <w:r w:rsidR="00C82888">
        <w:t>NHRA</w:t>
      </w:r>
      <w:r w:rsidR="002C6F46">
        <w:t>)</w:t>
      </w:r>
      <w:r w:rsidR="00C82888">
        <w:t xml:space="preserve"> or costs incurred by</w:t>
      </w:r>
      <w:r w:rsidRPr="006530C5">
        <w:t xml:space="preserve"> the </w:t>
      </w:r>
      <w:r w:rsidR="00C82888">
        <w:t>HHS that</w:t>
      </w:r>
      <w:r w:rsidRPr="006530C5">
        <w:t xml:space="preserve"> could not be matched to </w:t>
      </w:r>
      <w:r w:rsidR="00C82888">
        <w:t>patient activity.</w:t>
      </w:r>
      <w:r w:rsidRPr="006530C5">
        <w:t xml:space="preserve"> The </w:t>
      </w:r>
      <w:r w:rsidR="005A2B8D">
        <w:t>$717 million was</w:t>
      </w:r>
      <w:r w:rsidRPr="006530C5">
        <w:t xml:space="preserve"> made up of:</w:t>
      </w:r>
    </w:p>
    <w:p w14:paraId="56E0514E" w14:textId="04955AF3" w:rsidR="00A20770" w:rsidRDefault="00A20770" w:rsidP="00A20770">
      <w:pPr>
        <w:pStyle w:val="ListParagraph"/>
        <w:numPr>
          <w:ilvl w:val="1"/>
          <w:numId w:val="9"/>
        </w:numPr>
      </w:pPr>
      <w:r>
        <w:t xml:space="preserve">$606 million </w:t>
      </w:r>
      <w:r w:rsidR="00284C31">
        <w:t xml:space="preserve">that </w:t>
      </w:r>
      <w:r>
        <w:t>included costs for non</w:t>
      </w:r>
      <w:r w:rsidR="00CE5E55">
        <w:t>-</w:t>
      </w:r>
      <w:r>
        <w:t xml:space="preserve">NHRA programs such as population health services and </w:t>
      </w:r>
      <w:r w:rsidR="00F46CD9">
        <w:t>TTR</w:t>
      </w:r>
      <w:r>
        <w:t>; and</w:t>
      </w:r>
    </w:p>
    <w:p w14:paraId="791C061C" w14:textId="70CEBC45" w:rsidR="00EF7CF9" w:rsidRPr="004A6730" w:rsidRDefault="00A20770" w:rsidP="00EF7CF9">
      <w:pPr>
        <w:pStyle w:val="ListParagraph"/>
        <w:numPr>
          <w:ilvl w:val="1"/>
          <w:numId w:val="9"/>
        </w:numPr>
      </w:pPr>
      <w:r>
        <w:t xml:space="preserve">$111 million of costs </w:t>
      </w:r>
      <w:r w:rsidR="00284C31">
        <w:t xml:space="preserve">that </w:t>
      </w:r>
      <w:r>
        <w:t>could not be matched to activity either due to the activity being out</w:t>
      </w:r>
      <w:r w:rsidR="00C03F69">
        <w:t>-</w:t>
      </w:r>
      <w:r>
        <w:t>of</w:t>
      </w:r>
      <w:r w:rsidR="00C03F69">
        <w:t>-</w:t>
      </w:r>
      <w:r>
        <w:t>scope</w:t>
      </w:r>
      <w:r w:rsidR="00C03F69">
        <w:t xml:space="preserve"> for NHRA</w:t>
      </w:r>
      <w:r>
        <w:t xml:space="preserve">, or an inability to link the costs to activity ($63 million for outpatients, $10 million for mental health, $2 million for emergency </w:t>
      </w:r>
      <w:r w:rsidRPr="004A6730">
        <w:t>services and $1 million for acute services</w:t>
      </w:r>
      <w:r w:rsidR="00F46CD9" w:rsidRPr="004A6730">
        <w:t>)</w:t>
      </w:r>
      <w:r w:rsidRPr="004A6730">
        <w:t>. $35 million represents costs which could not be linked to feeder systems and matched to a patient episode of care.</w:t>
      </w:r>
    </w:p>
    <w:p w14:paraId="43C4E5BA" w14:textId="77777777" w:rsidR="00EF7CF9" w:rsidRPr="00AD1F32" w:rsidRDefault="00EF7CF9" w:rsidP="009F419F">
      <w:pPr>
        <w:pStyle w:val="Heading4"/>
        <w:rPr>
          <w:color w:val="484B5D" w:themeColor="accent3"/>
        </w:rPr>
      </w:pPr>
      <w:r w:rsidRPr="00AD1F32">
        <w:rPr>
          <w:color w:val="484B5D" w:themeColor="accent3"/>
        </w:rPr>
        <w:t>Reconciliation from GL to NHCDC – Wide Bay HHS</w:t>
      </w:r>
    </w:p>
    <w:p w14:paraId="12B82645" w14:textId="77777777" w:rsidR="00B039C0" w:rsidRPr="004A6730" w:rsidRDefault="00B039C0" w:rsidP="00B039C0">
      <w:pPr>
        <w:pStyle w:val="ListParagraph"/>
        <w:numPr>
          <w:ilvl w:val="0"/>
          <w:numId w:val="9"/>
        </w:numPr>
      </w:pPr>
      <w:r w:rsidRPr="004A6730">
        <w:t>Wide Bay HHS’s GL was $911 million.</w:t>
      </w:r>
    </w:p>
    <w:p w14:paraId="3DA0DADE" w14:textId="30BDFF63" w:rsidR="00B039C0" w:rsidRPr="00930F63" w:rsidRDefault="00B039C0" w:rsidP="00B039C0">
      <w:pPr>
        <w:pStyle w:val="ListParagraph"/>
        <w:numPr>
          <w:ilvl w:val="1"/>
          <w:numId w:val="9"/>
        </w:numPr>
      </w:pPr>
      <w:r w:rsidRPr="004A6730">
        <w:t xml:space="preserve">Their submitted </w:t>
      </w:r>
      <w:r w:rsidRPr="00930F63">
        <w:t xml:space="preserve">costs to the NHCDC were $704 million (representing 3.9% of </w:t>
      </w:r>
      <w:r w:rsidR="00B33D4A">
        <w:t>Queensland</w:t>
      </w:r>
      <w:r w:rsidR="002C6F46">
        <w:t>’s</w:t>
      </w:r>
      <w:r w:rsidRPr="00930F63">
        <w:t xml:space="preserve"> costs).</w:t>
      </w:r>
    </w:p>
    <w:p w14:paraId="5EF93A28" w14:textId="77777777" w:rsidR="00B039C0" w:rsidRPr="00930F63" w:rsidRDefault="00B039C0" w:rsidP="00B039C0">
      <w:pPr>
        <w:pStyle w:val="ListParagraph"/>
        <w:numPr>
          <w:ilvl w:val="1"/>
          <w:numId w:val="9"/>
        </w:numPr>
      </w:pPr>
      <w:r w:rsidRPr="00930F63">
        <w:t>Overall, Wide Bay HHS submitted 77% of their GL to the NHCDC.</w:t>
      </w:r>
    </w:p>
    <w:p w14:paraId="1A3903A0" w14:textId="46199269" w:rsidR="00B039C0" w:rsidRPr="00930F63" w:rsidRDefault="00B039C0" w:rsidP="00B039C0">
      <w:pPr>
        <w:pStyle w:val="ListParagraph"/>
        <w:numPr>
          <w:ilvl w:val="1"/>
          <w:numId w:val="9"/>
        </w:numPr>
      </w:pPr>
      <w:r w:rsidRPr="00930F63">
        <w:t>$207 million costs (23% of GL) were not included in NHCDC submissions for a variety of reasons, as set out in the waterfall below:</w:t>
      </w:r>
    </w:p>
    <w:p w14:paraId="7A561E7E" w14:textId="3B21AC90" w:rsidR="00B039C0" w:rsidRDefault="00B900EE"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25</w:t>
      </w:r>
      <w:r w:rsidR="00BD5B5E">
        <w:fldChar w:fldCharType="end"/>
      </w:r>
      <w:r>
        <w:t>: Waterfall from GL to NHCDC submitted costs – Wide Bay HHS</w:t>
      </w:r>
    </w:p>
    <w:p w14:paraId="21721033" w14:textId="19035C4D" w:rsidR="006535AB" w:rsidRPr="006535AB" w:rsidRDefault="006535AB" w:rsidP="00B1445C">
      <w:r>
        <w:rPr>
          <w:noProof/>
        </w:rPr>
        <mc:AlternateContent>
          <mc:Choice Requires="cx1">
            <w:drawing>
              <wp:inline distT="0" distB="0" distL="0" distR="0" wp14:anchorId="30F8B8BC" wp14:editId="77278963">
                <wp:extent cx="6151418" cy="2386940"/>
                <wp:effectExtent l="0" t="0" r="1905" b="13970"/>
                <wp:docPr id="490960726" name="Chart 1" descr="P2006#y1">
                  <a:extLst xmlns:a="http://schemas.openxmlformats.org/drawingml/2006/main">
                    <a:ext uri="{FF2B5EF4-FFF2-40B4-BE49-F238E27FC236}">
                      <a16:creationId xmlns:a16="http://schemas.microsoft.com/office/drawing/2014/main" id="{149200F9-26DA-4BDB-B4D4-7EF5E18F489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2"/>
                  </a:graphicData>
                </a:graphic>
              </wp:inline>
            </w:drawing>
          </mc:Choice>
          <mc:Fallback>
            <w:drawing>
              <wp:inline distT="0" distB="0" distL="0" distR="0" wp14:anchorId="30F8B8BC" wp14:editId="77278963">
                <wp:extent cx="6151418" cy="2386940"/>
                <wp:effectExtent l="0" t="0" r="1905" b="13970"/>
                <wp:docPr id="490960726" name="Chart 1">
                  <a:extLst xmlns:a="http://schemas.openxmlformats.org/drawingml/2006/main">
                    <a:ext uri="{FF2B5EF4-FFF2-40B4-BE49-F238E27FC236}">
                      <a16:creationId xmlns:a16="http://schemas.microsoft.com/office/drawing/2014/main" id="{149200F9-26DA-4BDB-B4D4-7EF5E18F489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0960726" name="Chart 1">
                          <a:extLst>
                            <a:ext uri="{FF2B5EF4-FFF2-40B4-BE49-F238E27FC236}">
                              <a16:creationId xmlns:a16="http://schemas.microsoft.com/office/drawing/2014/main" id="{149200F9-26DA-4BDB-B4D4-7EF5E18F4897}"/>
                            </a:ext>
                          </a:extLst>
                        </pic:cNvPr>
                        <pic:cNvPicPr>
                          <a:picLocks noGrp="1" noRot="1" noChangeAspect="1" noMove="1" noResize="1" noEditPoints="1" noAdjustHandles="1" noChangeArrowheads="1" noChangeShapeType="1"/>
                        </pic:cNvPicPr>
                      </pic:nvPicPr>
                      <pic:blipFill>
                        <a:blip r:embed="rId83"/>
                        <a:stretch>
                          <a:fillRect/>
                        </a:stretch>
                      </pic:blipFill>
                      <pic:spPr>
                        <a:xfrm>
                          <a:off x="0" y="0"/>
                          <a:ext cx="6151245" cy="2386330"/>
                        </a:xfrm>
                        <a:prstGeom prst="rect">
                          <a:avLst/>
                        </a:prstGeom>
                      </pic:spPr>
                    </pic:pic>
                  </a:graphicData>
                </a:graphic>
              </wp:inline>
            </w:drawing>
          </mc:Fallback>
        </mc:AlternateContent>
      </w:r>
    </w:p>
    <w:p w14:paraId="23BCEDAA" w14:textId="77777777" w:rsidR="0057701B" w:rsidRPr="00B671F7" w:rsidRDefault="0057701B" w:rsidP="0057701B">
      <w:pPr>
        <w:pStyle w:val="ListParagraph"/>
        <w:numPr>
          <w:ilvl w:val="0"/>
          <w:numId w:val="9"/>
        </w:numPr>
      </w:pPr>
      <w:r w:rsidRPr="00B671F7">
        <w:rPr>
          <w:b/>
          <w:bCs/>
        </w:rPr>
        <w:t>Inclusions</w:t>
      </w:r>
      <w:r w:rsidRPr="00B671F7">
        <w:t xml:space="preserve"> – </w:t>
      </w:r>
      <w:r>
        <w:t>Wide Bay HHS added $22 million of prior year WIP.</w:t>
      </w:r>
      <w:r w:rsidRPr="00B671F7">
        <w:t xml:space="preserve"> </w:t>
      </w:r>
    </w:p>
    <w:p w14:paraId="21F651ED" w14:textId="1A9DF582" w:rsidR="0057701B" w:rsidRPr="00B671F7" w:rsidRDefault="0057701B" w:rsidP="0057701B">
      <w:pPr>
        <w:pStyle w:val="ListParagraph"/>
        <w:numPr>
          <w:ilvl w:val="0"/>
          <w:numId w:val="9"/>
        </w:numPr>
      </w:pPr>
      <w:r w:rsidRPr="00B671F7">
        <w:rPr>
          <w:b/>
          <w:bCs/>
        </w:rPr>
        <w:t>Out</w:t>
      </w:r>
      <w:r>
        <w:rPr>
          <w:b/>
          <w:bCs/>
        </w:rPr>
        <w:t>-o</w:t>
      </w:r>
      <w:r w:rsidRPr="00B671F7">
        <w:rPr>
          <w:b/>
          <w:bCs/>
        </w:rPr>
        <w:t>f</w:t>
      </w:r>
      <w:r>
        <w:rPr>
          <w:b/>
          <w:bCs/>
        </w:rPr>
        <w:t>-s</w:t>
      </w:r>
      <w:r w:rsidRPr="00B671F7">
        <w:rPr>
          <w:b/>
          <w:bCs/>
        </w:rPr>
        <w:t>cope</w:t>
      </w:r>
      <w:r w:rsidRPr="00B671F7">
        <w:t xml:space="preserve"> – </w:t>
      </w:r>
      <w:r>
        <w:t xml:space="preserve">Wide Bay HHS </w:t>
      </w:r>
      <w:r w:rsidRPr="00B671F7">
        <w:t>excluded $</w:t>
      </w:r>
      <w:r>
        <w:t>23</w:t>
      </w:r>
      <w:r w:rsidRPr="00B671F7">
        <w:t xml:space="preserve"> million of out-of-scope costs, </w:t>
      </w:r>
      <w:r w:rsidR="00284C31">
        <w:t>compromising of</w:t>
      </w:r>
      <w:r w:rsidRPr="00B671F7">
        <w:t xml:space="preserve"> $</w:t>
      </w:r>
      <w:r>
        <w:t>23</w:t>
      </w:r>
      <w:r w:rsidRPr="00B671F7">
        <w:t xml:space="preserve"> million costs relating to Oral Health which is block funded, </w:t>
      </w:r>
      <w:r w:rsidR="00711F2E">
        <w:t>as well as</w:t>
      </w:r>
      <w:r>
        <w:t xml:space="preserve"> $0.2 million</w:t>
      </w:r>
      <w:r w:rsidRPr="00B671F7">
        <w:t xml:space="preserve"> current WIP patients</w:t>
      </w:r>
      <w:r>
        <w:t>.</w:t>
      </w:r>
    </w:p>
    <w:p w14:paraId="19D0D549" w14:textId="3DF0E7AC" w:rsidR="0057701B" w:rsidRDefault="0057701B" w:rsidP="00C13977">
      <w:pPr>
        <w:pStyle w:val="ListParagraph"/>
        <w:numPr>
          <w:ilvl w:val="0"/>
          <w:numId w:val="9"/>
        </w:numPr>
      </w:pPr>
      <w:r w:rsidRPr="00B671F7">
        <w:rPr>
          <w:b/>
          <w:bCs/>
        </w:rPr>
        <w:lastRenderedPageBreak/>
        <w:t xml:space="preserve">Other exclusions </w:t>
      </w:r>
      <w:r w:rsidRPr="00B671F7">
        <w:t xml:space="preserve">– </w:t>
      </w:r>
      <w:r w:rsidR="00360217">
        <w:t>Wide Bay HHS excluded a further</w:t>
      </w:r>
      <w:r w:rsidRPr="00B671F7">
        <w:t xml:space="preserve"> $</w:t>
      </w:r>
      <w:r>
        <w:t>206</w:t>
      </w:r>
      <w:r w:rsidRPr="00B671F7">
        <w:t xml:space="preserve"> million</w:t>
      </w:r>
      <w:r w:rsidR="00360217">
        <w:t>,</w:t>
      </w:r>
      <w:r w:rsidRPr="00B671F7">
        <w:t xml:space="preserve"> made up of costs</w:t>
      </w:r>
      <w:r w:rsidRPr="006530C5">
        <w:t xml:space="preserve"> </w:t>
      </w:r>
      <w:r w:rsidR="00360217">
        <w:t xml:space="preserve">for clinical services that are not in scope of the NHRA or </w:t>
      </w:r>
      <w:r w:rsidRPr="006530C5">
        <w:t xml:space="preserve">costs </w:t>
      </w:r>
      <w:r w:rsidR="00360217">
        <w:t>incurred by</w:t>
      </w:r>
      <w:r w:rsidRPr="006530C5">
        <w:t xml:space="preserve"> the </w:t>
      </w:r>
      <w:r w:rsidR="00360217">
        <w:t xml:space="preserve">HHS that </w:t>
      </w:r>
      <w:r w:rsidRPr="006530C5">
        <w:t xml:space="preserve">could not be matched to </w:t>
      </w:r>
      <w:r w:rsidRPr="00FB569B">
        <w:t xml:space="preserve">patient </w:t>
      </w:r>
      <w:r w:rsidRPr="006E0486">
        <w:t>activity.</w:t>
      </w:r>
    </w:p>
    <w:p w14:paraId="30D98FE2" w14:textId="18BCBC1A" w:rsidR="004F6C4D" w:rsidRDefault="004F6C4D">
      <w:pPr>
        <w:tabs>
          <w:tab w:val="clear" w:pos="5309"/>
        </w:tabs>
        <w:spacing w:line="279" w:lineRule="auto"/>
      </w:pPr>
      <w:r>
        <w:br w:type="page"/>
      </w:r>
    </w:p>
    <w:p w14:paraId="7706E0BC" w14:textId="4732EF91" w:rsidR="0057701B" w:rsidRDefault="0057701B" w:rsidP="0057701B">
      <w:pPr>
        <w:pStyle w:val="Heading3"/>
      </w:pPr>
      <w:r>
        <w:lastRenderedPageBreak/>
        <w:t>ICU and Critical Care Focused Review</w:t>
      </w:r>
    </w:p>
    <w:p w14:paraId="30467D68" w14:textId="2937B7CC" w:rsidR="000C57C2" w:rsidRDefault="00CE328B" w:rsidP="004F6C4D">
      <w:pPr>
        <w:keepNext/>
        <w:rPr>
          <w:color w:val="44546A" w:themeColor="text2"/>
        </w:rPr>
      </w:pPr>
      <w:r>
        <w:rPr>
          <w:noProof/>
        </w:rPr>
        <mc:AlternateContent>
          <mc:Choice Requires="wpg">
            <w:drawing>
              <wp:anchor distT="0" distB="0" distL="114300" distR="114300" simplePos="0" relativeHeight="251658270" behindDoc="0" locked="0" layoutInCell="1" allowOverlap="1" wp14:anchorId="46EC8F39" wp14:editId="30AAD1D5">
                <wp:simplePos x="0" y="0"/>
                <wp:positionH relativeFrom="column">
                  <wp:posOffset>1687907</wp:posOffset>
                </wp:positionH>
                <wp:positionV relativeFrom="paragraph">
                  <wp:posOffset>79333</wp:posOffset>
                </wp:positionV>
                <wp:extent cx="4469765" cy="3098800"/>
                <wp:effectExtent l="0" t="0" r="6985" b="6350"/>
                <wp:wrapSquare wrapText="bothSides"/>
                <wp:docPr id="934484481" name="Group 3" descr="P2012#y1"/>
                <wp:cNvGraphicFramePr/>
                <a:graphic xmlns:a="http://schemas.openxmlformats.org/drawingml/2006/main">
                  <a:graphicData uri="http://schemas.microsoft.com/office/word/2010/wordprocessingGroup">
                    <wpg:wgp>
                      <wpg:cNvGrpSpPr/>
                      <wpg:grpSpPr>
                        <a:xfrm>
                          <a:off x="0" y="0"/>
                          <a:ext cx="4469765" cy="3098800"/>
                          <a:chOff x="0" y="0"/>
                          <a:chExt cx="4469765" cy="3099386"/>
                        </a:xfrm>
                      </wpg:grpSpPr>
                      <pic:pic xmlns:pic="http://schemas.openxmlformats.org/drawingml/2006/picture">
                        <pic:nvPicPr>
                          <pic:cNvPr id="490638265" name="Picture 6" descr="A diagram of health care services&#10;&#10;AI-generated content may be incorrect."/>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76166" y="251256"/>
                            <a:ext cx="4393599" cy="2848130"/>
                          </a:xfrm>
                          <a:prstGeom prst="rect">
                            <a:avLst/>
                          </a:prstGeom>
                          <a:noFill/>
                          <a:ln>
                            <a:noFill/>
                          </a:ln>
                        </pic:spPr>
                      </pic:pic>
                      <wps:wsp>
                        <wps:cNvPr id="1665336024" name="Text Box 1"/>
                        <wps:cNvSpPr txBox="1"/>
                        <wps:spPr>
                          <a:xfrm>
                            <a:off x="0" y="0"/>
                            <a:ext cx="4469765" cy="165735"/>
                          </a:xfrm>
                          <a:prstGeom prst="rect">
                            <a:avLst/>
                          </a:prstGeom>
                          <a:solidFill>
                            <a:prstClr val="white"/>
                          </a:solidFill>
                          <a:ln>
                            <a:noFill/>
                          </a:ln>
                        </wps:spPr>
                        <wps:txbx>
                          <w:txbxContent>
                            <w:p w14:paraId="6CDFCE84" w14:textId="607B843E" w:rsidR="0078678C" w:rsidRPr="00542669" w:rsidRDefault="0078678C" w:rsidP="0078678C">
                              <w:pPr>
                                <w:pStyle w:val="Caption"/>
                                <w:rPr>
                                  <w:noProof/>
                                  <w:color w:val="484B5D" w:themeColor="accent3"/>
                                  <w:sz w:val="20"/>
                                  <w:szCs w:val="20"/>
                                </w:rPr>
                              </w:pPr>
                              <w:r>
                                <w:t xml:space="preserve">Figure </w:t>
                              </w:r>
                              <w:r w:rsidR="00BD5B5E">
                                <w:fldChar w:fldCharType="begin"/>
                              </w:r>
                              <w:r w:rsidR="00BD5B5E">
                                <w:instrText xml:space="preserve"> SEQ Figure \* ARABIC </w:instrText>
                              </w:r>
                              <w:r w:rsidR="00BD5B5E">
                                <w:fldChar w:fldCharType="separate"/>
                              </w:r>
                              <w:r w:rsidR="00CE6F96">
                                <w:rPr>
                                  <w:noProof/>
                                </w:rPr>
                                <w:t>26</w:t>
                              </w:r>
                              <w:r w:rsidR="00BD5B5E">
                                <w:fldChar w:fldCharType="end"/>
                              </w:r>
                              <w:r>
                                <w:t xml:space="preserve">: </w:t>
                              </w:r>
                              <w:r w:rsidR="00C85D5B" w:rsidRPr="00C85D5B">
                                <w:t xml:space="preserve">Critical care services at </w:t>
                              </w:r>
                              <w:r w:rsidR="0001629D">
                                <w:t xml:space="preserve">Queensland’s </w:t>
                              </w:r>
                              <w:r w:rsidR="00C85D5B" w:rsidRPr="00C85D5B">
                                <w:t>participating sites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EC8F39" id="_x0000_s1217" alt="P2012#y1" style="position:absolute;margin-left:132.9pt;margin-top:6.25pt;width:351.95pt;height:244pt;z-index:251658270;mso-position-horizontal-relative:text;mso-position-vertical-relative:text" coordsize="44697,3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">
                <v:shape id="Picture 6" o:spid="_x0000_s1218" type="#_x0000_t75" alt="A diagram of health care services&#10;&#10;AI-generated content may be incorrect." style="position:absolute;left:761;top:2512;width:43936;height:2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">
                  <v:imagedata r:id="rId85" o:title="A diagram of health care services&#10;&#10;AI-generated content may be incorrect"/>
                </v:shape>
                <v:shape id="_x0000_s1219" type="#_x0000_t202" style="position:absolute;width:4469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" stroked="f">
                  <v:textbox inset="0,0,0,0">
                    <w:txbxContent>
                      <w:p w14:paraId="6CDFCE84" w14:textId="607B843E" w:rsidR="0078678C" w:rsidRPr="00542669" w:rsidRDefault="0078678C" w:rsidP="0078678C">
                        <w:pPr>
                          <w:pStyle w:val="Caption"/>
                          <w:rPr>
                            <w:noProof/>
                            <w:color w:val="484B5D" w:themeColor="accent3"/>
                            <w:sz w:val="20"/>
                            <w:szCs w:val="20"/>
                          </w:rPr>
                        </w:pPr>
                        <w:r>
                          <w:t xml:space="preserve">Figure </w:t>
                        </w:r>
                        <w:r w:rsidR="00BD5B5E">
                          <w:fldChar w:fldCharType="begin"/>
                        </w:r>
                        <w:r w:rsidR="00BD5B5E">
                          <w:instrText xml:space="preserve"> SEQ Figure \* ARABIC </w:instrText>
                        </w:r>
                        <w:r w:rsidR="00BD5B5E">
                          <w:fldChar w:fldCharType="separate"/>
                        </w:r>
                        <w:r w:rsidR="00CE6F96">
                          <w:rPr>
                            <w:noProof/>
                          </w:rPr>
                          <w:t>26</w:t>
                        </w:r>
                        <w:r w:rsidR="00BD5B5E">
                          <w:fldChar w:fldCharType="end"/>
                        </w:r>
                        <w:r>
                          <w:t xml:space="preserve">: </w:t>
                        </w:r>
                        <w:r w:rsidR="00C85D5B" w:rsidRPr="00C85D5B">
                          <w:t xml:space="preserve">Critical care services at </w:t>
                        </w:r>
                        <w:r w:rsidR="0001629D">
                          <w:t xml:space="preserve">Queensland’s </w:t>
                        </w:r>
                        <w:r w:rsidR="00C85D5B" w:rsidRPr="00C85D5B">
                          <w:t>participating sites</w:t>
                        </w:r>
                      </w:p>
                    </w:txbxContent>
                  </v:textbox>
                </v:shape>
                <w10:wrap type="square"/>
              </v:group>
            </w:pict>
          </mc:Fallback>
        </mc:AlternateContent>
      </w:r>
      <w:r w:rsidR="00D05A23">
        <w:rPr>
          <w:color w:val="44546A" w:themeColor="text2"/>
        </w:rPr>
        <w:t xml:space="preserve">Royal Brisbane </w:t>
      </w:r>
      <w:r w:rsidR="008A758E">
        <w:rPr>
          <w:color w:val="44546A" w:themeColor="text2"/>
        </w:rPr>
        <w:t xml:space="preserve">and </w:t>
      </w:r>
      <w:r w:rsidR="00D05A23">
        <w:rPr>
          <w:color w:val="44546A" w:themeColor="text2"/>
        </w:rPr>
        <w:t>Women’s Hospital</w:t>
      </w:r>
      <w:r w:rsidR="008A758E">
        <w:rPr>
          <w:color w:val="44546A" w:themeColor="text2"/>
        </w:rPr>
        <w:t xml:space="preserve"> (</w:t>
      </w:r>
      <w:r w:rsidR="00292A1E">
        <w:rPr>
          <w:color w:val="44546A" w:themeColor="text2"/>
        </w:rPr>
        <w:t>RBWH</w:t>
      </w:r>
      <w:r w:rsidR="008A758E">
        <w:rPr>
          <w:color w:val="44546A" w:themeColor="text2"/>
        </w:rPr>
        <w:t>)</w:t>
      </w:r>
      <w:r w:rsidR="000C57C2" w:rsidRPr="00F37AE4">
        <w:rPr>
          <w:color w:val="44546A" w:themeColor="text2"/>
        </w:rPr>
        <w:t xml:space="preserve"> is a metropolitan facility in Brisbane. It forms part of Metro North HHS. It is a tertiary service that offers a significant number of statewide highly specialised therapies, including to major trauma and burns patients. Its critical care services include:</w:t>
      </w:r>
    </w:p>
    <w:p w14:paraId="1B45CC1C" w14:textId="5A216B4D" w:rsidR="000C57C2" w:rsidRPr="00F37AE4" w:rsidRDefault="00C61CEB" w:rsidP="004F6C4D">
      <w:pPr>
        <w:pStyle w:val="ListParagraph"/>
        <w:keepNext/>
        <w:numPr>
          <w:ilvl w:val="0"/>
          <w:numId w:val="52"/>
        </w:numPr>
        <w:ind w:left="714" w:hanging="357"/>
        <w:rPr>
          <w:color w:val="44546A" w:themeColor="text2"/>
        </w:rPr>
      </w:pPr>
      <w:r>
        <w:rPr>
          <w:color w:val="44546A" w:themeColor="text2"/>
        </w:rPr>
        <w:t xml:space="preserve">A </w:t>
      </w:r>
      <w:r w:rsidR="000C57C2">
        <w:rPr>
          <w:color w:val="44546A" w:themeColor="text2"/>
        </w:rPr>
        <w:t>36</w:t>
      </w:r>
      <w:r w:rsidR="00D97883">
        <w:rPr>
          <w:color w:val="44546A" w:themeColor="text2"/>
        </w:rPr>
        <w:t>-</w:t>
      </w:r>
      <w:r w:rsidR="000C57C2">
        <w:rPr>
          <w:color w:val="44546A" w:themeColor="text2"/>
        </w:rPr>
        <w:t>bed Adult ICU staffed with</w:t>
      </w:r>
      <w:r w:rsidR="000C57C2" w:rsidRPr="00F37AE4">
        <w:rPr>
          <w:color w:val="44546A" w:themeColor="text2"/>
        </w:rPr>
        <w:t xml:space="preserve"> </w:t>
      </w:r>
      <w:r w:rsidR="000C57C2">
        <w:rPr>
          <w:color w:val="44546A" w:themeColor="text2"/>
        </w:rPr>
        <w:t xml:space="preserve">a nursing ratio based on </w:t>
      </w:r>
      <w:r w:rsidR="000C57C2" w:rsidRPr="00F37AE4">
        <w:rPr>
          <w:color w:val="44546A" w:themeColor="text2"/>
        </w:rPr>
        <w:t xml:space="preserve">33 </w:t>
      </w:r>
      <w:r w:rsidR="000C57C2">
        <w:rPr>
          <w:color w:val="44546A" w:themeColor="text2"/>
        </w:rPr>
        <w:t>of the</w:t>
      </w:r>
      <w:r w:rsidR="000C57C2" w:rsidRPr="00F37AE4">
        <w:rPr>
          <w:color w:val="44546A" w:themeColor="text2"/>
        </w:rPr>
        <w:t xml:space="preserve"> </w:t>
      </w:r>
      <w:r w:rsidR="000C57C2">
        <w:rPr>
          <w:color w:val="44546A" w:themeColor="text2"/>
        </w:rPr>
        <w:t>beds</w:t>
      </w:r>
      <w:r w:rsidR="000C57C2" w:rsidRPr="00F37AE4">
        <w:rPr>
          <w:color w:val="44546A" w:themeColor="text2"/>
        </w:rPr>
        <w:t xml:space="preserve"> designated </w:t>
      </w:r>
      <w:r w:rsidR="000C57C2" w:rsidRPr="00F5272C">
        <w:rPr>
          <w:color w:val="44546A" w:themeColor="text2"/>
        </w:rPr>
        <w:t>for</w:t>
      </w:r>
      <w:r w:rsidR="000C57C2" w:rsidRPr="00F37AE4">
        <w:rPr>
          <w:color w:val="44546A" w:themeColor="text2"/>
        </w:rPr>
        <w:t xml:space="preserve"> ICU </w:t>
      </w:r>
      <w:r w:rsidR="000C57C2" w:rsidRPr="00F5272C">
        <w:rPr>
          <w:color w:val="44546A" w:themeColor="text2"/>
        </w:rPr>
        <w:t xml:space="preserve">patients (requiring a 1:1 ratio) </w:t>
      </w:r>
      <w:r w:rsidR="000C57C2" w:rsidRPr="00F37AE4">
        <w:rPr>
          <w:color w:val="44546A" w:themeColor="text2"/>
        </w:rPr>
        <w:t xml:space="preserve">and 3 </w:t>
      </w:r>
      <w:r w:rsidR="000C57C2" w:rsidRPr="00F5272C">
        <w:rPr>
          <w:color w:val="44546A" w:themeColor="text2"/>
        </w:rPr>
        <w:t>for</w:t>
      </w:r>
      <w:r w:rsidR="000C57C2" w:rsidRPr="00F37AE4">
        <w:rPr>
          <w:color w:val="44546A" w:themeColor="text2"/>
        </w:rPr>
        <w:t xml:space="preserve"> HDU</w:t>
      </w:r>
      <w:r w:rsidR="000C57C2" w:rsidRPr="00F5272C">
        <w:rPr>
          <w:color w:val="44546A" w:themeColor="text2"/>
        </w:rPr>
        <w:t xml:space="preserve"> (2:1 ratio).</w:t>
      </w:r>
      <w:r w:rsidR="000C57C2" w:rsidRPr="00AE3403">
        <w:rPr>
          <w:noProof/>
          <w:color w:val="44546A" w:themeColor="text2"/>
        </w:rPr>
        <w:t xml:space="preserve"> </w:t>
      </w:r>
    </w:p>
    <w:p w14:paraId="5FB41308" w14:textId="53095044" w:rsidR="000C57C2" w:rsidRPr="00F37AE4" w:rsidRDefault="00C61CEB" w:rsidP="004F6C4D">
      <w:pPr>
        <w:pStyle w:val="ListParagraph"/>
        <w:keepNext/>
        <w:numPr>
          <w:ilvl w:val="0"/>
          <w:numId w:val="10"/>
        </w:numPr>
        <w:ind w:left="714" w:hanging="357"/>
        <w:rPr>
          <w:color w:val="44546A" w:themeColor="text2"/>
        </w:rPr>
      </w:pPr>
      <w:r>
        <w:rPr>
          <w:color w:val="44546A" w:themeColor="text2"/>
        </w:rPr>
        <w:t xml:space="preserve">A </w:t>
      </w:r>
      <w:r w:rsidR="000C57C2" w:rsidRPr="00F37AE4">
        <w:rPr>
          <w:color w:val="44546A" w:themeColor="text2"/>
        </w:rPr>
        <w:t>32</w:t>
      </w:r>
      <w:r w:rsidR="00D97883">
        <w:rPr>
          <w:color w:val="44546A" w:themeColor="text2"/>
        </w:rPr>
        <w:t>-</w:t>
      </w:r>
      <w:r w:rsidR="000C57C2" w:rsidRPr="00F37AE4">
        <w:rPr>
          <w:color w:val="44546A" w:themeColor="text2"/>
        </w:rPr>
        <w:t>bed</w:t>
      </w:r>
      <w:r w:rsidR="000C57C2">
        <w:rPr>
          <w:color w:val="44546A" w:themeColor="text2"/>
        </w:rPr>
        <w:t xml:space="preserve"> NICU and a separate </w:t>
      </w:r>
      <w:r w:rsidR="000D32FE">
        <w:rPr>
          <w:color w:val="44546A" w:themeColor="text2"/>
        </w:rPr>
        <w:t>SCN</w:t>
      </w:r>
      <w:r w:rsidR="000C57C2">
        <w:rPr>
          <w:color w:val="44546A" w:themeColor="text2"/>
        </w:rPr>
        <w:t>.</w:t>
      </w:r>
    </w:p>
    <w:p w14:paraId="1A4AF0FA" w14:textId="77777777" w:rsidR="000C57C2" w:rsidRPr="00F37AE4" w:rsidRDefault="000C57C2" w:rsidP="004F6C4D">
      <w:pPr>
        <w:pStyle w:val="ListParagraph"/>
        <w:keepNext/>
        <w:numPr>
          <w:ilvl w:val="0"/>
          <w:numId w:val="10"/>
        </w:numPr>
        <w:ind w:left="714" w:hanging="357"/>
        <w:rPr>
          <w:color w:val="44546A" w:themeColor="text2"/>
        </w:rPr>
      </w:pPr>
      <w:r w:rsidRPr="00F37AE4">
        <w:rPr>
          <w:color w:val="44546A" w:themeColor="text2"/>
        </w:rPr>
        <w:t xml:space="preserve">There is also a dedicated </w:t>
      </w:r>
      <w:r>
        <w:rPr>
          <w:color w:val="44546A" w:themeColor="text2"/>
        </w:rPr>
        <w:t>Coronary Care Unit (</w:t>
      </w:r>
      <w:r w:rsidRPr="00F37AE4">
        <w:rPr>
          <w:color w:val="44546A" w:themeColor="text2"/>
        </w:rPr>
        <w:t>CCU</w:t>
      </w:r>
      <w:r>
        <w:rPr>
          <w:color w:val="44546A" w:themeColor="text2"/>
        </w:rPr>
        <w:t>)</w:t>
      </w:r>
      <w:r w:rsidRPr="00F37AE4">
        <w:rPr>
          <w:color w:val="44546A" w:themeColor="text2"/>
        </w:rPr>
        <w:t>, but this is reported under Cardiology and information was not captured on the scope of these services.</w:t>
      </w:r>
    </w:p>
    <w:p w14:paraId="480B5CD8" w14:textId="0F36342A" w:rsidR="000C57C2" w:rsidRPr="00F37AE4" w:rsidRDefault="000C57C2" w:rsidP="000C57C2">
      <w:pPr>
        <w:spacing w:line="240" w:lineRule="auto"/>
        <w:rPr>
          <w:color w:val="44546A" w:themeColor="text2"/>
        </w:rPr>
      </w:pPr>
      <w:r w:rsidRPr="00F37AE4">
        <w:rPr>
          <w:color w:val="44546A" w:themeColor="text2"/>
        </w:rPr>
        <w:t>Caboolture Hospital is a metropolitan facility in Brisbane, situated 44</w:t>
      </w:r>
      <w:r>
        <w:rPr>
          <w:color w:val="44546A" w:themeColor="text2"/>
        </w:rPr>
        <w:t xml:space="preserve"> kilometres </w:t>
      </w:r>
      <w:r w:rsidRPr="00F37AE4">
        <w:rPr>
          <w:color w:val="44546A" w:themeColor="text2"/>
        </w:rPr>
        <w:t>north of Brisbane</w:t>
      </w:r>
      <w:r w:rsidR="00284C31">
        <w:rPr>
          <w:color w:val="44546A" w:themeColor="text2"/>
        </w:rPr>
        <w:t xml:space="preserve"> </w:t>
      </w:r>
      <w:r w:rsidRPr="00F37AE4">
        <w:rPr>
          <w:color w:val="44546A" w:themeColor="text2"/>
        </w:rPr>
        <w:t>is also part of Metro North HHS. Its critical care services include:</w:t>
      </w:r>
    </w:p>
    <w:p w14:paraId="76F5A2E2" w14:textId="4D33374D" w:rsidR="000C57C2" w:rsidRPr="00F37AE4" w:rsidRDefault="00C61CEB" w:rsidP="00CD718C">
      <w:pPr>
        <w:pStyle w:val="ListParagraph"/>
        <w:numPr>
          <w:ilvl w:val="0"/>
          <w:numId w:val="51"/>
        </w:numPr>
        <w:spacing w:line="240" w:lineRule="auto"/>
        <w:rPr>
          <w:color w:val="44546A" w:themeColor="text2"/>
        </w:rPr>
      </w:pPr>
      <w:r>
        <w:rPr>
          <w:color w:val="44546A" w:themeColor="text2"/>
        </w:rPr>
        <w:t xml:space="preserve">A </w:t>
      </w:r>
      <w:r w:rsidR="000C57C2" w:rsidRPr="00F37AE4">
        <w:rPr>
          <w:color w:val="44546A" w:themeColor="text2"/>
        </w:rPr>
        <w:t>10</w:t>
      </w:r>
      <w:r>
        <w:rPr>
          <w:color w:val="44546A" w:themeColor="text2"/>
        </w:rPr>
        <w:t>-</w:t>
      </w:r>
      <w:r w:rsidR="000C57C2" w:rsidRPr="00F37AE4">
        <w:rPr>
          <w:color w:val="44546A" w:themeColor="text2"/>
        </w:rPr>
        <w:t>bed Adult ICU</w:t>
      </w:r>
      <w:r w:rsidR="005B1727">
        <w:rPr>
          <w:color w:val="44546A" w:themeColor="text2"/>
        </w:rPr>
        <w:t xml:space="preserve"> </w:t>
      </w:r>
      <w:r w:rsidR="000C57C2" w:rsidRPr="00F37AE4">
        <w:rPr>
          <w:color w:val="44546A" w:themeColor="text2"/>
        </w:rPr>
        <w:t xml:space="preserve">which offers ICU and HDU services. </w:t>
      </w:r>
    </w:p>
    <w:p w14:paraId="48769ED4" w14:textId="77777777" w:rsidR="000C57C2" w:rsidRPr="00F37AE4" w:rsidRDefault="000C57C2" w:rsidP="00CD718C">
      <w:pPr>
        <w:pStyle w:val="ListParagraph"/>
        <w:numPr>
          <w:ilvl w:val="0"/>
          <w:numId w:val="51"/>
        </w:numPr>
        <w:spacing w:line="240" w:lineRule="auto"/>
        <w:rPr>
          <w:color w:val="44546A" w:themeColor="text2"/>
        </w:rPr>
      </w:pPr>
      <w:r w:rsidRPr="00F37AE4">
        <w:rPr>
          <w:color w:val="44546A" w:themeColor="text2"/>
        </w:rPr>
        <w:t>There is also a CCU but this is reported under Cardiology and information was not captured on the scope of these services.</w:t>
      </w:r>
    </w:p>
    <w:p w14:paraId="09B8060F" w14:textId="6AAF5ECC" w:rsidR="000C57C2" w:rsidRPr="00F37AE4" w:rsidRDefault="000C57C2" w:rsidP="000C57C2">
      <w:pPr>
        <w:spacing w:line="240" w:lineRule="auto"/>
      </w:pPr>
      <w:r w:rsidRPr="00F37AE4">
        <w:rPr>
          <w:color w:val="44546A" w:themeColor="text2"/>
        </w:rPr>
        <w:t xml:space="preserve">Bundaberg Base Hospital is a regional </w:t>
      </w:r>
      <w:r w:rsidR="00B33D4A">
        <w:rPr>
          <w:color w:val="44546A" w:themeColor="text2"/>
        </w:rPr>
        <w:t>Queensland</w:t>
      </w:r>
      <w:r w:rsidRPr="00F37AE4">
        <w:rPr>
          <w:color w:val="44546A" w:themeColor="text2"/>
        </w:rPr>
        <w:t xml:space="preserve"> hospital</w:t>
      </w:r>
      <w:r>
        <w:rPr>
          <w:color w:val="44546A" w:themeColor="text2"/>
        </w:rPr>
        <w:t xml:space="preserve"> </w:t>
      </w:r>
      <w:r w:rsidR="00980BF9">
        <w:rPr>
          <w:color w:val="44546A" w:themeColor="text2"/>
        </w:rPr>
        <w:t xml:space="preserve">and is </w:t>
      </w:r>
      <w:r>
        <w:rPr>
          <w:color w:val="44546A" w:themeColor="text2"/>
        </w:rPr>
        <w:t>part of the Wide Bay HHS</w:t>
      </w:r>
      <w:r w:rsidRPr="00F37AE4">
        <w:rPr>
          <w:color w:val="44546A" w:themeColor="text2"/>
        </w:rPr>
        <w:t xml:space="preserve">. Its critical care services include: </w:t>
      </w:r>
    </w:p>
    <w:p w14:paraId="73CD1529" w14:textId="3516522E" w:rsidR="000C57C2" w:rsidRPr="00764D7D" w:rsidRDefault="00B81757" w:rsidP="000C57C2">
      <w:pPr>
        <w:pStyle w:val="ListParagraph"/>
        <w:numPr>
          <w:ilvl w:val="0"/>
          <w:numId w:val="11"/>
        </w:numPr>
        <w:spacing w:line="240" w:lineRule="auto"/>
        <w:rPr>
          <w:color w:val="44546A" w:themeColor="text2"/>
        </w:rPr>
      </w:pPr>
      <w:r>
        <w:rPr>
          <w:color w:val="44546A" w:themeColor="text2"/>
        </w:rPr>
        <w:t>6</w:t>
      </w:r>
      <w:r w:rsidR="00C61CEB">
        <w:rPr>
          <w:color w:val="44546A" w:themeColor="text2"/>
        </w:rPr>
        <w:t>-</w:t>
      </w:r>
      <w:r w:rsidR="000C57C2" w:rsidRPr="00EB20D0">
        <w:rPr>
          <w:color w:val="44546A" w:themeColor="text2"/>
        </w:rPr>
        <w:t xml:space="preserve">bed Adult ICU </w:t>
      </w:r>
    </w:p>
    <w:p w14:paraId="1E25CEF6" w14:textId="3009BCF4" w:rsidR="000C57C2" w:rsidRPr="00AD1F32" w:rsidRDefault="000C57C2" w:rsidP="000C57C2">
      <w:r>
        <w:rPr>
          <w:color w:val="44546A" w:themeColor="text2"/>
        </w:rPr>
        <w:t>RBWH</w:t>
      </w:r>
      <w:r w:rsidRPr="005328A0">
        <w:rPr>
          <w:color w:val="44546A" w:themeColor="text2"/>
        </w:rPr>
        <w:t>, Caboolture Hospital and Bundaberg Base Hospital are Level 3 ICU facilities and meet the criteria</w:t>
      </w:r>
      <w:r w:rsidR="00CE6F96">
        <w:rPr>
          <w:rFonts w:ascii="ZWAdobeF" w:hAnsi="ZWAdobeF" w:cs="ZWAdobeF"/>
          <w:color w:val="auto"/>
          <w:sz w:val="2"/>
          <w:szCs w:val="2"/>
        </w:rPr>
        <w:t>19F</w:t>
      </w:r>
      <w:r w:rsidR="00295F2B">
        <w:rPr>
          <w:rStyle w:val="FootnoteReference"/>
          <w:color w:val="44546A" w:themeColor="text2"/>
        </w:rPr>
        <w:footnoteReference w:id="21"/>
      </w:r>
      <w:r w:rsidRPr="005328A0">
        <w:rPr>
          <w:color w:val="44546A" w:themeColor="text2"/>
        </w:rPr>
        <w:t xml:space="preserve"> for </w:t>
      </w:r>
      <w:r w:rsidRPr="00AD1F32">
        <w:t>IHACPA’s ICU adjustment for the NEP.</w:t>
      </w:r>
    </w:p>
    <w:p w14:paraId="46F24390" w14:textId="77777777" w:rsidR="00015918" w:rsidRPr="00AD1F32" w:rsidRDefault="00015918" w:rsidP="00015918">
      <w:pPr>
        <w:pStyle w:val="Heading4"/>
        <w:rPr>
          <w:color w:val="484B5D" w:themeColor="accent3"/>
        </w:rPr>
      </w:pPr>
      <w:r w:rsidRPr="00AD1F32">
        <w:rPr>
          <w:color w:val="484B5D" w:themeColor="accent3"/>
        </w:rPr>
        <w:t>Critical Care Cost and Activity Reporting</w:t>
      </w:r>
    </w:p>
    <w:p w14:paraId="5716D662" w14:textId="066BB02C" w:rsidR="00015918" w:rsidRPr="004A6730" w:rsidRDefault="00015918" w:rsidP="00015918">
      <w:r w:rsidRPr="004A6730">
        <w:t>IHACPA provides definitions in its DRS for the reporting of critical care costs and activity. These include:</w:t>
      </w:r>
    </w:p>
    <w:p w14:paraId="222B5D19" w14:textId="28334163" w:rsidR="00015918" w:rsidRPr="007D316B" w:rsidRDefault="00015918" w:rsidP="00015918">
      <w:pPr>
        <w:pStyle w:val="ListParagraph"/>
        <w:numPr>
          <w:ilvl w:val="0"/>
          <w:numId w:val="23"/>
        </w:numPr>
        <w:ind w:left="714" w:hanging="357"/>
        <w:rPr>
          <w:i/>
        </w:rPr>
      </w:pPr>
      <w:r w:rsidRPr="007D316B">
        <w:lastRenderedPageBreak/>
        <w:t>The N</w:t>
      </w:r>
      <w:r w:rsidRPr="008D50D7">
        <w:t>H</w:t>
      </w:r>
      <w:r w:rsidRPr="00B54383">
        <w:t xml:space="preserve">CDC </w:t>
      </w:r>
      <w:r w:rsidR="008D50D7">
        <w:rPr>
          <w:iCs/>
        </w:rPr>
        <w:t>P</w:t>
      </w:r>
      <w:r w:rsidRPr="00561545">
        <w:rPr>
          <w:iCs/>
        </w:rPr>
        <w:t xml:space="preserve">ublic </w:t>
      </w:r>
      <w:r w:rsidR="008D50D7">
        <w:rPr>
          <w:iCs/>
        </w:rPr>
        <w:t>S</w:t>
      </w:r>
      <w:r w:rsidRPr="00561545">
        <w:rPr>
          <w:iCs/>
        </w:rPr>
        <w:t xml:space="preserve">ector DRS </w:t>
      </w:r>
      <w:r w:rsidRPr="00561545">
        <w:rPr>
          <w:i/>
        </w:rPr>
        <w:t>Critical</w:t>
      </w:r>
      <w:r w:rsidRPr="00561545">
        <w:rPr>
          <w:iCs/>
        </w:rPr>
        <w:t xml:space="preserve"> </w:t>
      </w:r>
      <w:r w:rsidR="00EC0832">
        <w:rPr>
          <w:iCs/>
        </w:rPr>
        <w:t xml:space="preserve">NHCDC </w:t>
      </w:r>
      <w:r w:rsidRPr="00561545">
        <w:rPr>
          <w:iCs/>
        </w:rPr>
        <w:t xml:space="preserve">Cost Centre Group contains 10 codes to capture the types of critical care costs: </w:t>
      </w:r>
      <w:r w:rsidRPr="007D316B">
        <w:rPr>
          <w:i/>
        </w:rPr>
        <w:t>Ccu, Hdicu, Aicu, Cticu, Gencritcare, Nicu, OtherCritCare, Paedicu, Psychicu, Scnicu.</w:t>
      </w:r>
    </w:p>
    <w:p w14:paraId="749F4658" w14:textId="77777777" w:rsidR="00015918" w:rsidRPr="007D316B" w:rsidRDefault="00015918" w:rsidP="00015918">
      <w:pPr>
        <w:pStyle w:val="ListParagraph"/>
        <w:numPr>
          <w:ilvl w:val="0"/>
          <w:numId w:val="23"/>
        </w:numPr>
      </w:pPr>
      <w:r w:rsidRPr="00B54383">
        <w:rPr>
          <w:iCs/>
        </w:rPr>
        <w:t>The ABF Admitted Patie</w:t>
      </w:r>
      <w:r w:rsidRPr="00E141E2">
        <w:rPr>
          <w:iCs/>
        </w:rPr>
        <w:t>nt</w:t>
      </w:r>
      <w:r w:rsidRPr="007D316B">
        <w:t xml:space="preserve"> Care DRS contains 2 data items for ICU hours. These are:</w:t>
      </w:r>
    </w:p>
    <w:p w14:paraId="1D5A9C00" w14:textId="77777777" w:rsidR="00015918" w:rsidRPr="007D316B" w:rsidRDefault="00015918" w:rsidP="00015918">
      <w:pPr>
        <w:pStyle w:val="ListParagraph"/>
        <w:numPr>
          <w:ilvl w:val="1"/>
          <w:numId w:val="23"/>
        </w:numPr>
      </w:pPr>
      <w:r w:rsidRPr="007D316B">
        <w:t xml:space="preserve"> </w:t>
      </w:r>
      <w:r w:rsidRPr="007D316B">
        <w:rPr>
          <w:i/>
        </w:rPr>
        <w:t xml:space="preserve">Length of stay in </w:t>
      </w:r>
      <w:r w:rsidRPr="007D316B">
        <w:rPr>
          <w:i/>
          <w:iCs/>
        </w:rPr>
        <w:t>ICU,</w:t>
      </w:r>
      <w:r w:rsidRPr="007D316B">
        <w:t xml:space="preserve"> defined as the number of hours reported by a hospital with approved Adult ICU Level 3 or Paediatric ICU, and</w:t>
      </w:r>
    </w:p>
    <w:p w14:paraId="381F738F" w14:textId="77777777" w:rsidR="00015918" w:rsidRPr="007D316B" w:rsidRDefault="00015918" w:rsidP="00015918">
      <w:pPr>
        <w:pStyle w:val="ListParagraph"/>
        <w:numPr>
          <w:ilvl w:val="1"/>
          <w:numId w:val="23"/>
        </w:numPr>
      </w:pPr>
      <w:r w:rsidRPr="007D316B">
        <w:t>Length of stay in ICU – Other, defined as hours reported by hospitals with approved ICUs other than Level 3 or Paediatric ICU.</w:t>
      </w:r>
    </w:p>
    <w:p w14:paraId="0C922F5D" w14:textId="17553DED" w:rsidR="00A0544F" w:rsidRDefault="00B33D4A" w:rsidP="00A0544F">
      <w:pPr>
        <w:spacing w:line="240" w:lineRule="auto"/>
      </w:pPr>
      <w:r>
        <w:t>Queensland</w:t>
      </w:r>
      <w:r w:rsidR="00A0544F">
        <w:t xml:space="preserve"> reports critical care hours for facilities that are certified as </w:t>
      </w:r>
      <w:r w:rsidR="007061DB">
        <w:t>L</w:t>
      </w:r>
      <w:r w:rsidR="00A0544F">
        <w:t xml:space="preserve">evel 3 ICU facilities, combining all critical care hours in the </w:t>
      </w:r>
      <w:r w:rsidR="007061DB" w:rsidRPr="00B54383">
        <w:rPr>
          <w:i/>
          <w:iCs/>
        </w:rPr>
        <w:t xml:space="preserve">Level </w:t>
      </w:r>
      <w:r w:rsidR="00A0544F" w:rsidRPr="00B54383">
        <w:rPr>
          <w:i/>
          <w:iCs/>
        </w:rPr>
        <w:t xml:space="preserve">3 ICU </w:t>
      </w:r>
      <w:r w:rsidR="007061DB" w:rsidRPr="00B54383">
        <w:rPr>
          <w:i/>
          <w:iCs/>
        </w:rPr>
        <w:t>H</w:t>
      </w:r>
      <w:r w:rsidR="00A0544F" w:rsidRPr="00B54383">
        <w:rPr>
          <w:i/>
          <w:iCs/>
        </w:rPr>
        <w:t>ours</w:t>
      </w:r>
      <w:r w:rsidR="00A0544F">
        <w:t xml:space="preserve"> field. The </w:t>
      </w:r>
      <w:r w:rsidR="00A0544F" w:rsidRPr="00B54383">
        <w:rPr>
          <w:i/>
          <w:iCs/>
        </w:rPr>
        <w:t>Other ICU</w:t>
      </w:r>
      <w:r w:rsidR="00E141E2" w:rsidRPr="00B54383">
        <w:rPr>
          <w:i/>
          <w:iCs/>
        </w:rPr>
        <w:t xml:space="preserve"> Hours</w:t>
      </w:r>
      <w:r w:rsidR="00A0544F">
        <w:t xml:space="preserve"> field has not been used for reporting any critical care hours.</w:t>
      </w:r>
    </w:p>
    <w:p w14:paraId="2D974094" w14:textId="30EB7A29" w:rsidR="007061DB" w:rsidRDefault="00A0544F" w:rsidP="00A0544F">
      <w:pPr>
        <w:spacing w:line="240" w:lineRule="auto"/>
      </w:pPr>
      <w:r>
        <w:t xml:space="preserve">In </w:t>
      </w:r>
      <w:r w:rsidR="00B33D4A">
        <w:t>Queensland</w:t>
      </w:r>
      <w:r>
        <w:t xml:space="preserve">, levels of ICU are derived from the Clinical Services Capability Framework (CSCF) which is determined by each Hospital and Health Service and may not be contemporary. </w:t>
      </w:r>
      <w:r w:rsidR="00B33D4A">
        <w:t>Queensland</w:t>
      </w:r>
      <w:r>
        <w:t xml:space="preserve"> is currently reviewing each facility against the ICU criteria, noting that significant hospital capacity and service expansions are planned for many facilities. It is expected that some amendments to reporting may be made to the 2024-25 activity and cost submission, but most changes wouldn’t be implemented until 2025-26.</w:t>
      </w:r>
    </w:p>
    <w:p w14:paraId="30F51BFD" w14:textId="54BA48F1" w:rsidR="00086077" w:rsidRPr="00062402" w:rsidRDefault="00086077" w:rsidP="00086077">
      <w:pPr>
        <w:spacing w:line="240" w:lineRule="auto"/>
        <w:rPr>
          <w:color w:val="44546A" w:themeColor="text2"/>
        </w:rPr>
      </w:pPr>
      <w:r>
        <w:rPr>
          <w:color w:val="44546A" w:themeColor="text2"/>
        </w:rPr>
        <w:t xml:space="preserve">Facilities/HHS use local mappings from their GL, mapped to cost pools in their local instance of their costing ledger, to map to IHACPA’s </w:t>
      </w:r>
      <w:r w:rsidR="00E61037" w:rsidRPr="00EC0C63">
        <w:rPr>
          <w:i/>
          <w:color w:val="44546A" w:themeColor="text2"/>
        </w:rPr>
        <w:t>Critical</w:t>
      </w:r>
      <w:r>
        <w:rPr>
          <w:color w:val="44546A" w:themeColor="text2"/>
        </w:rPr>
        <w:t xml:space="preserve"> </w:t>
      </w:r>
      <w:r w:rsidR="00C639A5">
        <w:rPr>
          <w:color w:val="44546A" w:themeColor="text2"/>
        </w:rPr>
        <w:t xml:space="preserve">NHCDC </w:t>
      </w:r>
      <w:r>
        <w:rPr>
          <w:color w:val="44546A" w:themeColor="text2"/>
        </w:rPr>
        <w:t xml:space="preserve">Cost Centre Groups. They also determine which ICU hours are included in the </w:t>
      </w:r>
      <w:r w:rsidRPr="00EB20D0">
        <w:rPr>
          <w:i/>
          <w:iCs/>
          <w:color w:val="44546A" w:themeColor="text2"/>
        </w:rPr>
        <w:t>Level 3 ICU Hours</w:t>
      </w:r>
      <w:r>
        <w:rPr>
          <w:color w:val="44546A" w:themeColor="text2"/>
        </w:rPr>
        <w:t xml:space="preserve"> reporting. </w:t>
      </w:r>
    </w:p>
    <w:p w14:paraId="0FACA0B4" w14:textId="01BE6627" w:rsidR="00EC45CD" w:rsidRDefault="00086077" w:rsidP="00BA3157">
      <w:r w:rsidRPr="00B33C87">
        <w:rPr>
          <w:color w:val="44546A" w:themeColor="text2"/>
        </w:rPr>
        <w:t xml:space="preserve">The table below shows how </w:t>
      </w:r>
      <w:r>
        <w:rPr>
          <w:color w:val="44546A" w:themeColor="text2"/>
        </w:rPr>
        <w:t>the nominated sites</w:t>
      </w:r>
      <w:r w:rsidRPr="00B33C87">
        <w:rPr>
          <w:color w:val="44546A" w:themeColor="text2"/>
        </w:rPr>
        <w:t xml:space="preserve"> map ICU costs and activity to IHACPA’s cost and activity types.</w:t>
      </w:r>
    </w:p>
    <w:p w14:paraId="1692460A" w14:textId="296DAD47" w:rsidR="00BA3157" w:rsidRDefault="00BA3157" w:rsidP="00BA3157">
      <w:pPr>
        <w:pStyle w:val="Caption"/>
        <w:keepNext/>
      </w:pPr>
      <w:r>
        <w:t xml:space="preserve">Table </w:t>
      </w:r>
      <w:r>
        <w:fldChar w:fldCharType="begin"/>
      </w:r>
      <w:r>
        <w:instrText xml:space="preserve"> SEQ Table \* ARABIC </w:instrText>
      </w:r>
      <w:r>
        <w:fldChar w:fldCharType="separate"/>
      </w:r>
      <w:r w:rsidR="00CE6F96">
        <w:rPr>
          <w:noProof/>
        </w:rPr>
        <w:t>19</w:t>
      </w:r>
      <w:r>
        <w:fldChar w:fldCharType="end"/>
      </w:r>
      <w:r>
        <w:t xml:space="preserve">: </w:t>
      </w:r>
      <w:r w:rsidR="00B33D4A">
        <w:t>Queensland</w:t>
      </w:r>
      <w:r w:rsidRPr="004F2A4E">
        <w:t xml:space="preserve"> ICU costs and activity mapped to IHACPA cost and activity types</w:t>
      </w:r>
    </w:p>
    <w:tbl>
      <w:tblPr>
        <w:tblStyle w:val="ScyneTable"/>
        <w:tblW w:w="5036" w:type="pct"/>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1827"/>
        <w:gridCol w:w="1562"/>
        <w:gridCol w:w="951"/>
        <w:gridCol w:w="951"/>
        <w:gridCol w:w="951"/>
        <w:gridCol w:w="951"/>
        <w:gridCol w:w="951"/>
        <w:gridCol w:w="947"/>
      </w:tblGrid>
      <w:tr w:rsidR="00EC0C63" w:rsidRPr="00D422F0" w14:paraId="6EFDB55A" w14:textId="77777777" w:rsidTr="00EC45CD">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005" w:type="pct"/>
            <w:vMerge w:val="restart"/>
            <w:shd w:val="clear" w:color="auto" w:fill="464E7E" w:themeFill="accent2"/>
            <w:vAlign w:val="center"/>
            <w:hideMark/>
          </w:tcPr>
          <w:p w14:paraId="3E5E492E" w14:textId="77777777" w:rsidR="00EC45CD" w:rsidRPr="00D422F0" w:rsidRDefault="00EC45CD" w:rsidP="00810693">
            <w:pPr>
              <w:pStyle w:val="TableNormalColumnHeading"/>
              <w:rPr>
                <w:rFonts w:asciiTheme="majorHAnsi" w:hAnsiTheme="majorHAnsi"/>
                <w:snapToGrid/>
                <w:sz w:val="20"/>
                <w:lang w:eastAsia="en-AU"/>
              </w:rPr>
            </w:pPr>
            <w:r>
              <w:rPr>
                <w:rFonts w:asciiTheme="majorHAnsi" w:hAnsiTheme="majorHAnsi"/>
                <w:sz w:val="20"/>
              </w:rPr>
              <w:t>ICU Description</w:t>
            </w:r>
          </w:p>
        </w:tc>
        <w:tc>
          <w:tcPr>
            <w:tcW w:w="859" w:type="pct"/>
            <w:vMerge w:val="restart"/>
            <w:shd w:val="clear" w:color="auto" w:fill="464E7E" w:themeFill="accent2"/>
            <w:vAlign w:val="center"/>
            <w:hideMark/>
          </w:tcPr>
          <w:p w14:paraId="422A438D" w14:textId="2C1F8D5E" w:rsidR="00EC45CD" w:rsidRPr="00D422F0" w:rsidRDefault="00EC45CD" w:rsidP="00E61037">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z w:val="20"/>
              </w:rPr>
              <w:t xml:space="preserve">NHCDC </w:t>
            </w:r>
            <w:r w:rsidR="00E61037">
              <w:rPr>
                <w:rFonts w:asciiTheme="majorHAnsi" w:hAnsiTheme="majorHAnsi"/>
                <w:sz w:val="20"/>
              </w:rPr>
              <w:t xml:space="preserve">Critical </w:t>
            </w:r>
            <w:r>
              <w:rPr>
                <w:rFonts w:asciiTheme="majorHAnsi" w:hAnsiTheme="majorHAnsi"/>
                <w:sz w:val="20"/>
              </w:rPr>
              <w:t>Cost Centre</w:t>
            </w:r>
          </w:p>
        </w:tc>
        <w:tc>
          <w:tcPr>
            <w:tcW w:w="1046" w:type="pct"/>
            <w:gridSpan w:val="2"/>
            <w:tcBorders>
              <w:bottom w:val="single" w:sz="18" w:space="0" w:color="EFF0F7" w:themeColor="accent4" w:themeTint="33"/>
            </w:tcBorders>
            <w:shd w:val="clear" w:color="auto" w:fill="464E7E" w:themeFill="accent2"/>
            <w:vAlign w:val="center"/>
            <w:hideMark/>
          </w:tcPr>
          <w:p w14:paraId="26FDBB3B" w14:textId="5AE161CB" w:rsidR="00EC45CD" w:rsidRDefault="00EC45CD" w:rsidP="00810693">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RBHW Hospital</w:t>
            </w:r>
          </w:p>
        </w:tc>
        <w:tc>
          <w:tcPr>
            <w:tcW w:w="1046" w:type="pct"/>
            <w:gridSpan w:val="2"/>
            <w:tcBorders>
              <w:bottom w:val="single" w:sz="18" w:space="0" w:color="EFF0F7" w:themeColor="accent4" w:themeTint="33"/>
            </w:tcBorders>
            <w:shd w:val="clear" w:color="auto" w:fill="464E7E" w:themeFill="accent2"/>
          </w:tcPr>
          <w:p w14:paraId="5BFC7437" w14:textId="615DB575" w:rsidR="00EC45CD" w:rsidRDefault="00EC45CD" w:rsidP="00810693">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Caboolture Hospital</w:t>
            </w:r>
          </w:p>
        </w:tc>
        <w:tc>
          <w:tcPr>
            <w:tcW w:w="1044" w:type="pct"/>
            <w:gridSpan w:val="2"/>
            <w:tcBorders>
              <w:bottom w:val="single" w:sz="18" w:space="0" w:color="EFF0F7" w:themeColor="accent4" w:themeTint="33"/>
            </w:tcBorders>
            <w:shd w:val="clear" w:color="auto" w:fill="464E7E" w:themeFill="accent2"/>
          </w:tcPr>
          <w:p w14:paraId="2415AF95" w14:textId="6A4A0BF5" w:rsidR="00EC45CD" w:rsidRPr="00D422F0" w:rsidRDefault="00EC45CD" w:rsidP="00810693">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Bundaberg Hospital</w:t>
            </w:r>
          </w:p>
        </w:tc>
      </w:tr>
      <w:tr w:rsidR="00E859F0" w:rsidRPr="00D422F0" w14:paraId="4EF2F8DB" w14:textId="77777777" w:rsidTr="00EC45CD">
        <w:trPr>
          <w:trHeight w:val="500"/>
        </w:trPr>
        <w:tc>
          <w:tcPr>
            <w:cnfStyle w:val="001000000000" w:firstRow="0" w:lastRow="0" w:firstColumn="1" w:lastColumn="0" w:oddVBand="0" w:evenVBand="0" w:oddHBand="0" w:evenHBand="0" w:firstRowFirstColumn="0" w:firstRowLastColumn="0" w:lastRowFirstColumn="0" w:lastRowLastColumn="0"/>
            <w:tcW w:w="1005" w:type="pct"/>
            <w:vMerge/>
            <w:tcBorders>
              <w:bottom w:val="single" w:sz="18" w:space="0" w:color="EFF0F7" w:themeColor="accent4" w:themeTint="33"/>
            </w:tcBorders>
            <w:shd w:val="clear" w:color="auto" w:fill="464E7E" w:themeFill="accent2"/>
            <w:vAlign w:val="center"/>
          </w:tcPr>
          <w:p w14:paraId="2C9113CF" w14:textId="77777777" w:rsidR="00EC45CD" w:rsidRDefault="00EC45CD" w:rsidP="00B900EE">
            <w:pPr>
              <w:pStyle w:val="TableNormalColumnHeading"/>
              <w:rPr>
                <w:rFonts w:asciiTheme="majorHAnsi" w:hAnsiTheme="majorHAnsi"/>
                <w:sz w:val="20"/>
              </w:rPr>
            </w:pPr>
          </w:p>
        </w:tc>
        <w:tc>
          <w:tcPr>
            <w:tcW w:w="859" w:type="pct"/>
            <w:vMerge/>
            <w:tcBorders>
              <w:bottom w:val="single" w:sz="18" w:space="0" w:color="EFF0F7" w:themeColor="accent4" w:themeTint="33"/>
            </w:tcBorders>
            <w:shd w:val="clear" w:color="auto" w:fill="464E7E" w:themeFill="accent2"/>
            <w:vAlign w:val="center"/>
          </w:tcPr>
          <w:p w14:paraId="54B1A90A" w14:textId="77777777" w:rsidR="00EC45CD" w:rsidRDefault="00EC45CD" w:rsidP="00E61037">
            <w:pPr>
              <w:pStyle w:val="TableNormalColumnHead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rPr>
            </w:pPr>
          </w:p>
        </w:tc>
        <w:tc>
          <w:tcPr>
            <w:tcW w:w="523" w:type="pct"/>
            <w:tcBorders>
              <w:bottom w:val="single" w:sz="18" w:space="0" w:color="EFF0F7" w:themeColor="accent4" w:themeTint="33"/>
            </w:tcBorders>
            <w:shd w:val="clear" w:color="auto" w:fill="464E7E" w:themeFill="accent2"/>
            <w:vAlign w:val="center"/>
          </w:tcPr>
          <w:p w14:paraId="3EAED15B" w14:textId="6F70C821" w:rsidR="00EC45CD" w:rsidRDefault="00EC45CD" w:rsidP="00EC45CD">
            <w:pPr>
              <w:pStyle w:val="TableNormalColumnHead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Costs</w:t>
            </w:r>
          </w:p>
        </w:tc>
        <w:tc>
          <w:tcPr>
            <w:tcW w:w="523" w:type="pct"/>
            <w:tcBorders>
              <w:bottom w:val="single" w:sz="18" w:space="0" w:color="EFF0F7" w:themeColor="accent4" w:themeTint="33"/>
            </w:tcBorders>
            <w:shd w:val="clear" w:color="auto" w:fill="464E7E" w:themeFill="accent2"/>
            <w:vAlign w:val="center"/>
          </w:tcPr>
          <w:p w14:paraId="53A2590A" w14:textId="6C2B7A95" w:rsidR="00EC45CD" w:rsidRDefault="00E943C4" w:rsidP="00EC45CD">
            <w:pPr>
              <w:pStyle w:val="TableNormalColumnHead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Hours</w:t>
            </w:r>
          </w:p>
        </w:tc>
        <w:tc>
          <w:tcPr>
            <w:tcW w:w="523" w:type="pct"/>
            <w:tcBorders>
              <w:bottom w:val="single" w:sz="18" w:space="0" w:color="EFF0F7" w:themeColor="accent4" w:themeTint="33"/>
            </w:tcBorders>
            <w:shd w:val="clear" w:color="auto" w:fill="464E7E" w:themeFill="accent2"/>
            <w:vAlign w:val="center"/>
          </w:tcPr>
          <w:p w14:paraId="163EAB54" w14:textId="6BD17B2C" w:rsidR="00EC45CD" w:rsidRDefault="00EC45CD" w:rsidP="00EC45CD">
            <w:pPr>
              <w:pStyle w:val="TableNormalColumnHead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Costs</w:t>
            </w:r>
          </w:p>
        </w:tc>
        <w:tc>
          <w:tcPr>
            <w:tcW w:w="523" w:type="pct"/>
            <w:tcBorders>
              <w:bottom w:val="single" w:sz="18" w:space="0" w:color="EFF0F7" w:themeColor="accent4" w:themeTint="33"/>
            </w:tcBorders>
            <w:shd w:val="clear" w:color="auto" w:fill="464E7E" w:themeFill="accent2"/>
            <w:vAlign w:val="center"/>
          </w:tcPr>
          <w:p w14:paraId="7D3F6F0F" w14:textId="17E83C38" w:rsidR="00EC45CD" w:rsidRDefault="00E943C4" w:rsidP="00EC45CD">
            <w:pPr>
              <w:pStyle w:val="TableNormalColumnHead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Hours</w:t>
            </w:r>
          </w:p>
        </w:tc>
        <w:tc>
          <w:tcPr>
            <w:tcW w:w="523" w:type="pct"/>
            <w:tcBorders>
              <w:bottom w:val="single" w:sz="18" w:space="0" w:color="EFF0F7" w:themeColor="accent4" w:themeTint="33"/>
            </w:tcBorders>
            <w:shd w:val="clear" w:color="auto" w:fill="464E7E" w:themeFill="accent2"/>
            <w:vAlign w:val="center"/>
          </w:tcPr>
          <w:p w14:paraId="05947F79" w14:textId="1DA4298D" w:rsidR="00EC45CD" w:rsidRDefault="00EC45CD" w:rsidP="00EC45CD">
            <w:pPr>
              <w:pStyle w:val="TableNormalColumnHead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Costs</w:t>
            </w:r>
          </w:p>
        </w:tc>
        <w:tc>
          <w:tcPr>
            <w:tcW w:w="521" w:type="pct"/>
            <w:tcBorders>
              <w:bottom w:val="single" w:sz="18" w:space="0" w:color="EFF0F7" w:themeColor="accent4" w:themeTint="33"/>
            </w:tcBorders>
            <w:shd w:val="clear" w:color="auto" w:fill="464E7E" w:themeFill="accent2"/>
            <w:vAlign w:val="center"/>
          </w:tcPr>
          <w:p w14:paraId="2CEB0386" w14:textId="0A331CC0" w:rsidR="00EC45CD" w:rsidRDefault="00E943C4" w:rsidP="00EC45CD">
            <w:pPr>
              <w:pStyle w:val="TableNormalColumnHead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Hours</w:t>
            </w:r>
          </w:p>
        </w:tc>
      </w:tr>
      <w:tr w:rsidR="00D86ECD" w:rsidRPr="00D422F0" w14:paraId="45EF8861"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6232FD0" w14:textId="1D21D52B" w:rsidR="00D86ECD" w:rsidRPr="00FC6B54" w:rsidRDefault="00D86ECD" w:rsidP="00EC45CD">
            <w:pPr>
              <w:spacing w:before="120" w:after="120"/>
            </w:pPr>
            <w:r w:rsidRPr="000021AE">
              <w:rPr>
                <w:color w:val="484B5D"/>
              </w:rPr>
              <w:t>Adult ICU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EEE0A9D" w14:textId="2EE29178" w:rsidR="00D86ECD" w:rsidRPr="00D422F0"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Aicu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D1A10E2" w14:textId="4C2D617F"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pPr>
            <w:r w:rsidRPr="009124DF">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D4CCA6C" w14:textId="0402268C"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9124DF">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F8B719D" w14:textId="618D816E"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9124DF">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D1454AC" w14:textId="0CAB3820"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9124DF">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1906E91" w14:textId="1F94CAF7"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9124DF">
              <w:rPr>
                <w:rFonts w:ascii="Segoe UI Symbol" w:hAnsi="Segoe UI Symbol" w:cs="Segoe UI Symbol"/>
                <w:lang w:val="en-U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C06A4DE" w14:textId="2A3B2712"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pPr>
            <w:r w:rsidRPr="009124DF">
              <w:rPr>
                <w:rFonts w:ascii="Segoe UI Symbol" w:hAnsi="Segoe UI Symbol" w:cs="Segoe UI Symbol"/>
                <w:lang w:val="en-US"/>
              </w:rPr>
              <w:t>✔</w:t>
            </w:r>
          </w:p>
        </w:tc>
      </w:tr>
      <w:tr w:rsidR="00D86ECD" w:rsidRPr="00D422F0" w14:paraId="40CF1D4F"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14FBFC4" w14:textId="0D4E7F04" w:rsidR="00D86ECD" w:rsidRPr="00D422F0" w:rsidRDefault="00D86ECD" w:rsidP="00EC45CD">
            <w:pPr>
              <w:spacing w:before="120" w:after="120"/>
            </w:pPr>
            <w:r w:rsidRPr="000021AE">
              <w:rPr>
                <w:color w:val="484B5D"/>
              </w:rPr>
              <w:t>Paediatric ICU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B7C8377" w14:textId="44F36A3B" w:rsidR="00D86ECD" w:rsidRPr="00D422F0"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Paedicu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2CC4E17" w14:textId="14481508"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pPr>
            <w:r w:rsidRPr="00AC1CC6">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C04A485" w14:textId="2C5B9578"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AC1CC6">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030F211" w14:textId="5081F3F6"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AC1CC6">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10D2279" w14:textId="2478F644"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AC1CC6">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CDDEE27" w14:textId="4F8C56A2"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AC1CC6">
              <w:rPr>
                <w:rFonts w:ascii="Segoe UI Symbol" w:hAnsi="Segoe UI Symbol" w:cs="Segoe UI Symbol"/>
                <w:bC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2DC845F" w14:textId="55E46D13"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pPr>
            <w:r w:rsidRPr="00AC1CC6">
              <w:rPr>
                <w:rFonts w:ascii="Segoe UI Symbol" w:hAnsi="Segoe UI Symbol" w:cs="Segoe UI Symbol"/>
                <w:bCs/>
              </w:rPr>
              <w:t>✖</w:t>
            </w:r>
          </w:p>
        </w:tc>
      </w:tr>
      <w:tr w:rsidR="00D86ECD" w:rsidRPr="00D422F0" w14:paraId="58DEC1A7"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64A42FA5" w14:textId="10DCC1B0" w:rsidR="00D86ECD" w:rsidRPr="00FC6B54" w:rsidRDefault="00D86ECD" w:rsidP="00EC45CD">
            <w:pPr>
              <w:spacing w:before="120" w:after="120"/>
            </w:pPr>
            <w:r w:rsidRPr="000021AE">
              <w:rPr>
                <w:color w:val="484B5D"/>
              </w:rPr>
              <w:t>Neonatal ICU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9C4C5E1" w14:textId="493F37C5" w:rsidR="00D86ECD" w:rsidRPr="00FC6B54"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Nicu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CE802A8" w14:textId="666684DD"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854B98">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110EF47" w14:textId="06040A2D" w:rsidR="00D86ECD" w:rsidRPr="00293A9C"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854B98">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3832519" w14:textId="657D8F58" w:rsidR="00D86ECD" w:rsidRPr="00293A9C" w:rsidRDefault="00C56756"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AC1CC6">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EA318E7" w14:textId="232A41AF" w:rsidR="00D86ECD" w:rsidRPr="00293A9C" w:rsidRDefault="00353756"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C544C9">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DA38502" w14:textId="40E3BF7A" w:rsidR="00D86ECD" w:rsidRPr="00293A9C"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C544C9">
              <w:rPr>
                <w:rFonts w:ascii="Segoe UI Symbol" w:hAnsi="Segoe UI Symbol" w:cs="Segoe UI Symbol"/>
                <w:bC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BBAD088" w14:textId="7C358F59"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b/>
                <w:bCs/>
              </w:rPr>
            </w:pPr>
            <w:r w:rsidRPr="00C544C9">
              <w:rPr>
                <w:rFonts w:ascii="Segoe UI Symbol" w:hAnsi="Segoe UI Symbol" w:cs="Segoe UI Symbol"/>
                <w:bCs/>
              </w:rPr>
              <w:t>✖</w:t>
            </w:r>
          </w:p>
        </w:tc>
      </w:tr>
      <w:tr w:rsidR="00D86ECD" w:rsidRPr="00D422F0" w14:paraId="1FD75833"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4B8121C" w14:textId="7AE2F055" w:rsidR="00D86ECD" w:rsidRPr="00FC6B54" w:rsidRDefault="00D86ECD" w:rsidP="00EC45CD">
            <w:pPr>
              <w:spacing w:before="120" w:after="120"/>
            </w:pPr>
            <w:r w:rsidRPr="000021AE">
              <w:rPr>
                <w:color w:val="484B5D"/>
              </w:rPr>
              <w:t>Special Care Nursery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49BB255" w14:textId="4C09FF0D" w:rsidR="00D86ECD" w:rsidRPr="00FC6B54"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S</w:t>
            </w:r>
            <w:r w:rsidR="00FD420E">
              <w:rPr>
                <w:i/>
                <w:iCs/>
                <w:color w:val="484B5D"/>
              </w:rPr>
              <w:t>cnicu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41551F3" w14:textId="322CDA2D"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1A2E9D">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2C50C12" w14:textId="7DBAAD43"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1A2E9D">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2818B91" w14:textId="18679750"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C544C9">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B37059D" w14:textId="6ABBD1DF" w:rsidR="00D86ECD" w:rsidRPr="00D422F0" w:rsidRDefault="00353756"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1A2E9D">
              <w:rPr>
                <w:rFonts w:ascii="Segoe UI Symbol" w:hAnsi="Segoe UI Symbol" w:cs="Segoe UI Symbol"/>
                <w:lang w:val="en-U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0B4B743" w14:textId="6DE3E56B"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C544C9">
              <w:rPr>
                <w:rFonts w:ascii="Segoe UI Symbol" w:hAnsi="Segoe UI Symbol" w:cs="Segoe UI Symbol"/>
                <w:bC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0F5C6C5" w14:textId="24037E7B"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C544C9">
              <w:rPr>
                <w:rFonts w:ascii="Segoe UI Symbol" w:hAnsi="Segoe UI Symbol" w:cs="Segoe UI Symbol"/>
                <w:bCs/>
              </w:rPr>
              <w:t>✖</w:t>
            </w:r>
          </w:p>
        </w:tc>
      </w:tr>
      <w:tr w:rsidR="00D86ECD" w:rsidRPr="00D422F0" w14:paraId="395D782F"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235F4DE8" w14:textId="5D548AAF" w:rsidR="00D86ECD" w:rsidRPr="00FC6B54" w:rsidRDefault="00D86ECD" w:rsidP="00EC45CD">
            <w:pPr>
              <w:spacing w:before="120" w:after="120"/>
            </w:pPr>
            <w:r w:rsidRPr="000021AE">
              <w:rPr>
                <w:color w:val="484B5D"/>
              </w:rPr>
              <w:t>Coronary Care Unit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A3C8BA9" w14:textId="79094E45" w:rsidR="00D86ECD" w:rsidRPr="00FC6B54"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Ccu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FC685B9" w14:textId="4C8545E8"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42E1E">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4A1E9EB" w14:textId="7E386305"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542E1E">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ADC0D74" w14:textId="6B06F36C"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C544C9">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9BA1351" w14:textId="08DBA8B5"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C544C9">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67BEF43" w14:textId="5AE52684"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C544C9">
              <w:rPr>
                <w:rFonts w:ascii="Segoe UI Symbol" w:hAnsi="Segoe UI Symbol" w:cs="Segoe UI Symbol"/>
                <w:bC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E04CDF2" w14:textId="3517F712"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C544C9">
              <w:rPr>
                <w:rFonts w:ascii="Segoe UI Symbol" w:hAnsi="Segoe UI Symbol" w:cs="Segoe UI Symbol"/>
                <w:bCs/>
              </w:rPr>
              <w:t>✖</w:t>
            </w:r>
          </w:p>
        </w:tc>
      </w:tr>
      <w:tr w:rsidR="00D86ECD" w:rsidRPr="00D422F0" w14:paraId="48E99FDA"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1D8708D" w14:textId="6EF257B1" w:rsidR="00D86ECD" w:rsidRPr="00FC6B54" w:rsidRDefault="00D86ECD" w:rsidP="00EC45CD">
            <w:pPr>
              <w:spacing w:before="120" w:after="120"/>
            </w:pPr>
            <w:r w:rsidRPr="000021AE">
              <w:rPr>
                <w:color w:val="484B5D"/>
              </w:rPr>
              <w:t>General Critical Care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762A404" w14:textId="1EE89EBC" w:rsidR="00D86ECD" w:rsidRPr="00FC6B54"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Gen</w:t>
            </w:r>
            <w:r w:rsidR="00102814">
              <w:rPr>
                <w:i/>
                <w:iCs/>
                <w:color w:val="484B5D"/>
              </w:rPr>
              <w:t>c</w:t>
            </w:r>
            <w:r w:rsidRPr="000021AE">
              <w:rPr>
                <w:i/>
                <w:iCs/>
                <w:color w:val="484B5D"/>
              </w:rPr>
              <w:t>rit</w:t>
            </w:r>
            <w:r w:rsidR="00102814">
              <w:rPr>
                <w:i/>
                <w:iCs/>
                <w:color w:val="484B5D"/>
              </w:rPr>
              <w:t>c</w:t>
            </w:r>
            <w:r w:rsidRPr="000021AE">
              <w:rPr>
                <w:i/>
                <w:iCs/>
                <w:color w:val="484B5D"/>
              </w:rPr>
              <w:t>ar</w:t>
            </w:r>
            <w:r w:rsidR="00205B51">
              <w:rPr>
                <w:i/>
                <w:iCs/>
                <w:color w:val="484B5D"/>
              </w:rPr>
              <w:t>e</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E3B22A5" w14:textId="2FD7A096"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42E1E">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2C58AE3" w14:textId="543BB06D" w:rsidR="00D86ECD" w:rsidRPr="00B4563F"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42E1E">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BC4A3DC" w14:textId="4C5F6A4B" w:rsidR="00D86ECD" w:rsidRPr="00B4563F"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42E1E">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3D541E4" w14:textId="02DA0484" w:rsidR="00D86ECD" w:rsidRPr="00B4563F"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42E1E">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F19445D" w14:textId="1CCBA0E0" w:rsidR="00D86ECD" w:rsidRPr="00B4563F"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C11A9A">
              <w:rPr>
                <w:rFonts w:ascii="Segoe UI Symbol" w:hAnsi="Segoe UI Symbol" w:cs="Segoe UI Symbol"/>
                <w:lang w:val="en-U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DACCAB6" w14:textId="6BB5FF4E" w:rsidR="00D86ECD" w:rsidRPr="008E61F2" w:rsidRDefault="00C270A4"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C544C9">
              <w:rPr>
                <w:rFonts w:ascii="Segoe UI Symbol" w:hAnsi="Segoe UI Symbol" w:cs="Segoe UI Symbol"/>
                <w:bCs/>
              </w:rPr>
              <w:t>✖</w:t>
            </w:r>
          </w:p>
        </w:tc>
      </w:tr>
      <w:tr w:rsidR="00D86ECD" w:rsidRPr="00D422F0" w14:paraId="39E178A4"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5A65213" w14:textId="42FB84FA" w:rsidR="00D86ECD" w:rsidRPr="00FC6B54" w:rsidRDefault="00D86ECD" w:rsidP="00EC45CD">
            <w:pPr>
              <w:spacing w:before="120" w:after="120"/>
            </w:pPr>
            <w:r w:rsidRPr="000021AE">
              <w:rPr>
                <w:color w:val="484B5D"/>
              </w:rPr>
              <w:lastRenderedPageBreak/>
              <w:t>Other Critical Care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8A7819D" w14:textId="5BE4F343" w:rsidR="00D86ECD" w:rsidRPr="00FC6B54"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OtherCritCare</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D242E49" w14:textId="4CBC23F3"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2136A9E" w14:textId="64D9EEC7"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8812328" w14:textId="5B044355"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F40FA48" w14:textId="638883E6"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D940000" w14:textId="325FB4E4" w:rsidR="00D86ECD" w:rsidRPr="00D422F0"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700938">
              <w:rPr>
                <w:rFonts w:ascii="Segoe UI Symbol" w:hAnsi="Segoe UI Symbol" w:cs="Segoe UI Symbol"/>
                <w:bC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010A6F3" w14:textId="1C296721"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r>
      <w:tr w:rsidR="00D86ECD" w:rsidRPr="00D422F0" w14:paraId="61116696"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9DE068B" w14:textId="379240B3" w:rsidR="00D86ECD" w:rsidRPr="00FC6B54" w:rsidRDefault="00D86ECD" w:rsidP="00EC45CD">
            <w:pPr>
              <w:spacing w:before="120" w:after="120"/>
            </w:pPr>
            <w:r w:rsidRPr="000021AE">
              <w:rPr>
                <w:color w:val="484B5D"/>
              </w:rPr>
              <w:t>HDU / Step Down Care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5ADC99A" w14:textId="79554A0C" w:rsidR="00D86ECD" w:rsidRPr="00FC6B54"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Hdicu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71C013F" w14:textId="68BC0B39"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8F8B707" w14:textId="17AA4487"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6F8D2FB" w14:textId="4D9800D3"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3CF77DF" w14:textId="0738F104"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F9AB63F" w14:textId="1CAB6BAB"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868A1BA" w14:textId="7B6615EE"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r>
      <w:tr w:rsidR="00D86ECD" w:rsidRPr="00D422F0" w14:paraId="4546FF93" w14:textId="77777777" w:rsidTr="00EC45CD">
        <w:trPr>
          <w:trHeight w:val="290"/>
        </w:trPr>
        <w:tc>
          <w:tcPr>
            <w:cnfStyle w:val="001000000000" w:firstRow="0" w:lastRow="0" w:firstColumn="1" w:lastColumn="0" w:oddVBand="0" w:evenVBand="0" w:oddHBand="0" w:evenHBand="0" w:firstRowFirstColumn="0" w:firstRowLastColumn="0" w:lastRowFirstColumn="0"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39978CF" w14:textId="33541EF0" w:rsidR="00D86ECD" w:rsidRPr="00FC6B54" w:rsidRDefault="00D86ECD" w:rsidP="00EC45CD">
            <w:pPr>
              <w:spacing w:before="120" w:after="120"/>
            </w:pPr>
            <w:r w:rsidRPr="000021AE">
              <w:rPr>
                <w:color w:val="484B5D"/>
              </w:rPr>
              <w:t>Cardiothoracic ICU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1BC81C0" w14:textId="5806A019" w:rsidR="00D86ECD" w:rsidRPr="00FC6B54" w:rsidRDefault="00D86ECD" w:rsidP="00E61037">
            <w:pPr>
              <w:spacing w:before="120" w:after="120"/>
              <w:jc w:val="center"/>
              <w:cnfStyle w:val="000000000000" w:firstRow="0" w:lastRow="0" w:firstColumn="0" w:lastColumn="0" w:oddVBand="0" w:evenVBand="0" w:oddHBand="0" w:evenHBand="0" w:firstRowFirstColumn="0" w:firstRowLastColumn="0" w:lastRowFirstColumn="0" w:lastRowLastColumn="0"/>
            </w:pPr>
            <w:r w:rsidRPr="000021AE">
              <w:rPr>
                <w:i/>
                <w:iCs/>
                <w:color w:val="484B5D"/>
              </w:rPr>
              <w:t>Cticu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7CA99F7" w14:textId="110783C5"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2BB988F" w14:textId="7A13A8A9"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B922BDA" w14:textId="5B647C89"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3FBCD24" w14:textId="2E82CD7E"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C36EDDA" w14:textId="774E349E" w:rsidR="00D86ECD" w:rsidRPr="005F5485"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2814BD5" w14:textId="16644D77" w:rsidR="00D86ECD" w:rsidRPr="008E61F2" w:rsidRDefault="00D86ECD" w:rsidP="00EC45CD">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700938">
              <w:rPr>
                <w:rFonts w:ascii="Segoe UI Symbol" w:hAnsi="Segoe UI Symbol" w:cs="Segoe UI Symbol"/>
                <w:bCs/>
              </w:rPr>
              <w:t>✖</w:t>
            </w:r>
          </w:p>
        </w:tc>
      </w:tr>
      <w:tr w:rsidR="00D86ECD" w:rsidRPr="00D422F0" w14:paraId="347FC8BA" w14:textId="77777777" w:rsidTr="00EC45CD">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00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FC77208" w14:textId="0449417D" w:rsidR="00D86ECD" w:rsidRPr="00D86ECD" w:rsidRDefault="00D86ECD" w:rsidP="00EC45CD">
            <w:pPr>
              <w:spacing w:before="120" w:after="120"/>
              <w:rPr>
                <w:b w:val="0"/>
                <w:bCs/>
              </w:rPr>
            </w:pPr>
            <w:r w:rsidRPr="00D86ECD">
              <w:rPr>
                <w:b w:val="0"/>
                <w:bCs/>
                <w:color w:val="484B5D"/>
              </w:rPr>
              <w:t>Psychiatric ICU </w:t>
            </w:r>
          </w:p>
        </w:tc>
        <w:tc>
          <w:tcPr>
            <w:tcW w:w="85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16E8F9F" w14:textId="1138D519" w:rsidR="00D86ECD" w:rsidRPr="00D86ECD" w:rsidRDefault="00D86ECD" w:rsidP="00E61037">
            <w:pPr>
              <w:spacing w:before="120" w:after="120"/>
              <w:jc w:val="center"/>
              <w:cnfStyle w:val="010000000000" w:firstRow="0" w:lastRow="1" w:firstColumn="0" w:lastColumn="0" w:oddVBand="0" w:evenVBand="0" w:oddHBand="0" w:evenHBand="0" w:firstRowFirstColumn="0" w:firstRowLastColumn="0" w:lastRowFirstColumn="0" w:lastRowLastColumn="0"/>
              <w:rPr>
                <w:b w:val="0"/>
                <w:bCs/>
              </w:rPr>
            </w:pPr>
            <w:r w:rsidRPr="00D86ECD">
              <w:rPr>
                <w:b w:val="0"/>
                <w:bCs/>
                <w:i/>
                <w:iCs/>
                <w:color w:val="484B5D"/>
              </w:rPr>
              <w:t>Psychicu</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988A41F" w14:textId="6856CBEB" w:rsidR="00D86ECD" w:rsidRPr="004C5C3E" w:rsidRDefault="00D86ECD" w:rsidP="00EC45CD">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DE4E38">
              <w:rPr>
                <w:rFonts w:ascii="Segoe UI Symbol" w:hAnsi="Segoe UI Symbol" w:cs="Segoe UI Symbol"/>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528F25C" w14:textId="5F3A4F62" w:rsidR="00D86ECD" w:rsidRPr="00D81C67" w:rsidRDefault="00D86ECD" w:rsidP="00EC45CD">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DE4E38">
              <w:rPr>
                <w:rFonts w:ascii="Segoe UI Symbol" w:hAnsi="Segoe UI Symbol" w:cs="Segoe UI Symbol"/>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D02A6D2" w14:textId="390A8476" w:rsidR="00D86ECD" w:rsidRPr="00D81C67" w:rsidRDefault="00D86ECD" w:rsidP="00EC45CD">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DE4E38">
              <w:rPr>
                <w:rFonts w:ascii="Segoe UI Symbol" w:hAnsi="Segoe UI Symbol" w:cs="Segoe UI Symbol"/>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82C8DDB" w14:textId="6B122699" w:rsidR="00D86ECD" w:rsidRPr="00D81C67" w:rsidRDefault="00D86ECD" w:rsidP="00EC45CD">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DE4E38">
              <w:rPr>
                <w:rFonts w:ascii="Segoe UI Symbol" w:hAnsi="Segoe UI Symbol" w:cs="Segoe UI Symbol"/>
              </w:rPr>
              <w:t>✖</w:t>
            </w:r>
          </w:p>
        </w:tc>
        <w:tc>
          <w:tcPr>
            <w:tcW w:w="52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B8BA127" w14:textId="0E4585C4" w:rsidR="00D86ECD" w:rsidRPr="00D81C67" w:rsidRDefault="00D86ECD" w:rsidP="00EC45CD">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DE4E38">
              <w:rPr>
                <w:rFonts w:ascii="Segoe UI Symbol" w:hAnsi="Segoe UI Symbol" w:cs="Segoe UI Symbol"/>
              </w:rPr>
              <w:t>✖</w:t>
            </w:r>
          </w:p>
        </w:tc>
        <w:tc>
          <w:tcPr>
            <w:tcW w:w="52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A0D1F8B" w14:textId="20FC8767" w:rsidR="00D86ECD" w:rsidRPr="004C5C3E" w:rsidRDefault="00D86ECD" w:rsidP="00EC45CD">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DE4E38">
              <w:rPr>
                <w:rFonts w:ascii="Segoe UI Symbol" w:hAnsi="Segoe UI Symbol" w:cs="Segoe UI Symbol"/>
              </w:rPr>
              <w:t>✖</w:t>
            </w:r>
          </w:p>
        </w:tc>
      </w:tr>
    </w:tbl>
    <w:p w14:paraId="483F3AF7" w14:textId="77777777" w:rsidR="00086077" w:rsidRDefault="00086077" w:rsidP="00086077">
      <w:pPr>
        <w:rPr>
          <w:color w:val="44546A" w:themeColor="text2"/>
        </w:rPr>
      </w:pPr>
    </w:p>
    <w:p w14:paraId="2C34496B" w14:textId="7C9AD8B9" w:rsidR="002422E0" w:rsidRPr="00A73712" w:rsidRDefault="00B33D4A" w:rsidP="002422E0">
      <w:pPr>
        <w:rPr>
          <w:color w:val="44546A" w:themeColor="text2"/>
        </w:rPr>
      </w:pPr>
      <w:r>
        <w:rPr>
          <w:color w:val="44546A" w:themeColor="text2"/>
        </w:rPr>
        <w:t>Queensland</w:t>
      </w:r>
      <w:r w:rsidR="002422E0" w:rsidRPr="00A73712">
        <w:rPr>
          <w:color w:val="44546A" w:themeColor="text2"/>
        </w:rPr>
        <w:t xml:space="preserve"> do</w:t>
      </w:r>
      <w:r w:rsidR="002422E0">
        <w:rPr>
          <w:color w:val="44546A" w:themeColor="text2"/>
        </w:rPr>
        <w:t>es</w:t>
      </w:r>
      <w:r w:rsidR="002422E0" w:rsidRPr="00A73712">
        <w:rPr>
          <w:color w:val="44546A" w:themeColor="text2"/>
        </w:rPr>
        <w:t xml:space="preserve"> not report any costs under </w:t>
      </w:r>
      <w:r w:rsidR="002422E0" w:rsidRPr="00324D8D">
        <w:rPr>
          <w:i/>
          <w:iCs/>
          <w:color w:val="44546A" w:themeColor="text2"/>
        </w:rPr>
        <w:t>Psychicu, Cticu and Hdicu</w:t>
      </w:r>
      <w:r w:rsidR="002422E0" w:rsidRPr="00A73712">
        <w:rPr>
          <w:color w:val="44546A" w:themeColor="text2"/>
        </w:rPr>
        <w:t>.</w:t>
      </w:r>
      <w:r w:rsidR="002422E0">
        <w:rPr>
          <w:color w:val="44546A" w:themeColor="text2"/>
        </w:rPr>
        <w:t xml:space="preserve"> Participating sites did not report any hours in </w:t>
      </w:r>
      <w:r w:rsidR="002422E0" w:rsidRPr="00DF38ED">
        <w:rPr>
          <w:i/>
          <w:iCs/>
          <w:color w:val="44546A" w:themeColor="text2"/>
        </w:rPr>
        <w:t>OtherCritCare</w:t>
      </w:r>
      <w:r w:rsidR="002422E0">
        <w:rPr>
          <w:color w:val="44546A" w:themeColor="text2"/>
        </w:rPr>
        <w:t xml:space="preserve">. Neither RBWH or Caboolture recorded CCU costs or activity under the </w:t>
      </w:r>
      <w:r w:rsidR="002422E0" w:rsidRPr="00E943C4">
        <w:rPr>
          <w:i/>
          <w:color w:val="44546A" w:themeColor="text2"/>
        </w:rPr>
        <w:t>Critical</w:t>
      </w:r>
      <w:r w:rsidR="002422E0">
        <w:rPr>
          <w:color w:val="44546A" w:themeColor="text2"/>
        </w:rPr>
        <w:t xml:space="preserve"> </w:t>
      </w:r>
      <w:r w:rsidR="00C639A5">
        <w:rPr>
          <w:color w:val="44546A" w:themeColor="text2"/>
        </w:rPr>
        <w:t xml:space="preserve">NHCDC </w:t>
      </w:r>
      <w:r w:rsidR="002422E0">
        <w:rPr>
          <w:color w:val="44546A" w:themeColor="text2"/>
        </w:rPr>
        <w:t>Cost Centre Group or captured hours relating to these services.</w:t>
      </w:r>
      <w:r w:rsidR="00364683">
        <w:rPr>
          <w:color w:val="44546A" w:themeColor="text2"/>
        </w:rPr>
        <w:t xml:space="preserve"> This has been rectified for 2024-25.</w:t>
      </w:r>
    </w:p>
    <w:p w14:paraId="6CF163A9" w14:textId="5160459C" w:rsidR="002422E0" w:rsidRDefault="002422E0" w:rsidP="002422E0">
      <w:pPr>
        <w:rPr>
          <w:color w:val="44546A" w:themeColor="text2"/>
        </w:rPr>
      </w:pPr>
      <w:r w:rsidRPr="005328A0">
        <w:rPr>
          <w:color w:val="44546A" w:themeColor="text2"/>
        </w:rPr>
        <w:t xml:space="preserve">The chart below shows the total volume of </w:t>
      </w:r>
      <w:r w:rsidRPr="002A73D5">
        <w:rPr>
          <w:i/>
          <w:color w:val="44546A" w:themeColor="text2"/>
        </w:rPr>
        <w:t xml:space="preserve">Level 3 </w:t>
      </w:r>
      <w:r w:rsidR="002A73D5" w:rsidRPr="002A73D5">
        <w:rPr>
          <w:i/>
          <w:iCs/>
          <w:color w:val="44546A" w:themeColor="text2"/>
        </w:rPr>
        <w:t>ICU</w:t>
      </w:r>
      <w:r w:rsidRPr="002A73D5">
        <w:rPr>
          <w:i/>
          <w:color w:val="44546A" w:themeColor="text2"/>
        </w:rPr>
        <w:t xml:space="preserve"> </w:t>
      </w:r>
      <w:r w:rsidR="00CA63F4">
        <w:rPr>
          <w:i/>
          <w:color w:val="44546A" w:themeColor="text2"/>
        </w:rPr>
        <w:t>H</w:t>
      </w:r>
      <w:r w:rsidRPr="002A73D5">
        <w:rPr>
          <w:i/>
          <w:color w:val="44546A" w:themeColor="text2"/>
        </w:rPr>
        <w:t>ours</w:t>
      </w:r>
      <w:r w:rsidRPr="005328A0">
        <w:rPr>
          <w:color w:val="44546A" w:themeColor="text2"/>
        </w:rPr>
        <w:t xml:space="preserve"> across all </w:t>
      </w:r>
      <w:r w:rsidR="00B33D4A">
        <w:rPr>
          <w:color w:val="44546A" w:themeColor="text2"/>
        </w:rPr>
        <w:t>Queensland</w:t>
      </w:r>
      <w:r w:rsidRPr="005328A0">
        <w:rPr>
          <w:color w:val="44546A" w:themeColor="text2"/>
        </w:rPr>
        <w:t xml:space="preserve"> HHSs and at the 3 participating sites.</w:t>
      </w:r>
    </w:p>
    <w:p w14:paraId="4060FD56" w14:textId="0D7C9FDD" w:rsidR="002422E0" w:rsidRDefault="00E75A76"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27</w:t>
      </w:r>
      <w:r w:rsidR="00BD5B5E">
        <w:fldChar w:fldCharType="end"/>
      </w:r>
      <w:r>
        <w:t xml:space="preserve">: </w:t>
      </w:r>
      <w:r w:rsidRPr="00C30B77">
        <w:t xml:space="preserve">Volume and percentage of ICU hours, reported by Level 3 ICU Hours, at </w:t>
      </w:r>
      <w:r w:rsidR="00292A1E">
        <w:t>RBWH</w:t>
      </w:r>
      <w:r w:rsidRPr="00C30B77">
        <w:t xml:space="preserve">, Bundaberg Base Hospital, Caboolture Hospital and all </w:t>
      </w:r>
      <w:r w:rsidR="00B33D4A">
        <w:t>Queensland</w:t>
      </w:r>
      <w:r w:rsidRPr="00C30B77">
        <w:t xml:space="preserve"> hospitals</w:t>
      </w:r>
    </w:p>
    <w:p w14:paraId="055C64E6" w14:textId="22EE03A7" w:rsidR="002422E0" w:rsidRDefault="0031567A" w:rsidP="002422E0">
      <w:pPr>
        <w:rPr>
          <w:color w:val="44546A" w:themeColor="text2"/>
        </w:rPr>
      </w:pPr>
      <w:r w:rsidRPr="0031567A">
        <w:rPr>
          <w:noProof/>
          <w:color w:val="44546A" w:themeColor="text2"/>
        </w:rPr>
        <w:drawing>
          <wp:anchor distT="0" distB="0" distL="114300" distR="114300" simplePos="0" relativeHeight="251658271" behindDoc="0" locked="0" layoutInCell="1" allowOverlap="1" wp14:anchorId="200ED7F7" wp14:editId="64E95FD0">
            <wp:simplePos x="0" y="0"/>
            <wp:positionH relativeFrom="margin">
              <wp:align>center</wp:align>
            </wp:positionH>
            <wp:positionV relativeFrom="paragraph">
              <wp:posOffset>2169</wp:posOffset>
            </wp:positionV>
            <wp:extent cx="6300000" cy="2217830"/>
            <wp:effectExtent l="0" t="0" r="5715" b="0"/>
            <wp:wrapTopAndBottom/>
            <wp:docPr id="724983449" name="Picture 1" descr="P214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83449" name="Picture 1" descr="P2142#y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300000" cy="2217830"/>
                    </a:xfrm>
                    <a:prstGeom prst="rect">
                      <a:avLst/>
                    </a:prstGeom>
                  </pic:spPr>
                </pic:pic>
              </a:graphicData>
            </a:graphic>
          </wp:anchor>
        </w:drawing>
      </w:r>
    </w:p>
    <w:p w14:paraId="010E3D4F" w14:textId="68A12DE6" w:rsidR="002422E0" w:rsidRDefault="002422E0" w:rsidP="009F419F">
      <w:pPr>
        <w:pStyle w:val="Heading4"/>
      </w:pPr>
      <w:r>
        <w:t xml:space="preserve">Costs included in the </w:t>
      </w:r>
      <w:r w:rsidRPr="00E943C4">
        <w:rPr>
          <w:i/>
        </w:rPr>
        <w:t>Critical</w:t>
      </w:r>
      <w:r>
        <w:t xml:space="preserve"> </w:t>
      </w:r>
      <w:r w:rsidR="007E0409">
        <w:t xml:space="preserve">NHCDC </w:t>
      </w:r>
      <w:r>
        <w:t>Cost Centre Group</w:t>
      </w:r>
    </w:p>
    <w:p w14:paraId="24523903" w14:textId="2A4C0DCE" w:rsidR="00F42138" w:rsidRPr="006E2B84" w:rsidRDefault="00F42138" w:rsidP="00F42138">
      <w:r w:rsidRPr="006E2B84">
        <w:t xml:space="preserve">The critical care </w:t>
      </w:r>
      <w:r>
        <w:t xml:space="preserve">focused review </w:t>
      </w:r>
      <w:r w:rsidRPr="006E2B84">
        <w:t xml:space="preserve">aimed at understanding the resources consumed by patients admitted into the different critical care departments, and identifying how these were allocated to individual patients, and which costs were reported against the </w:t>
      </w:r>
      <w:r w:rsidRPr="00EC0C63">
        <w:rPr>
          <w:i/>
        </w:rPr>
        <w:t>Critical</w:t>
      </w:r>
      <w:r w:rsidRPr="006E2B84">
        <w:t xml:space="preserve"> </w:t>
      </w:r>
      <w:r w:rsidR="00C639A5">
        <w:t xml:space="preserve">NHCDC </w:t>
      </w:r>
      <w:r w:rsidRPr="006E2B84">
        <w:t xml:space="preserve">Cost Centre Group within NHCDC reporting. </w:t>
      </w:r>
    </w:p>
    <w:p w14:paraId="0161F6FE" w14:textId="14DB9A8B" w:rsidR="00F42138" w:rsidRPr="006E2B84" w:rsidRDefault="00F42138" w:rsidP="00F42138">
      <w:r w:rsidRPr="006E2B84">
        <w:lastRenderedPageBreak/>
        <w:t xml:space="preserve">In general, </w:t>
      </w:r>
      <w:r w:rsidR="00B33D4A">
        <w:t>Queensland</w:t>
      </w:r>
      <w:r w:rsidRPr="006E2B84">
        <w:t xml:space="preserve"> includes the following costs in the </w:t>
      </w:r>
      <w:r w:rsidRPr="00EC0C63">
        <w:rPr>
          <w:i/>
        </w:rPr>
        <w:t>Critical</w:t>
      </w:r>
      <w:r>
        <w:t xml:space="preserve"> </w:t>
      </w:r>
      <w:r w:rsidR="00C639A5">
        <w:t xml:space="preserve">NHCDC </w:t>
      </w:r>
      <w:r w:rsidRPr="006E2B84">
        <w:t>Cost Centre Group:</w:t>
      </w:r>
    </w:p>
    <w:p w14:paraId="264D2C04" w14:textId="77777777" w:rsidR="00F42138" w:rsidRPr="006E2B84" w:rsidRDefault="00F42138" w:rsidP="00F42138">
      <w:pPr>
        <w:pStyle w:val="ListParagraph"/>
        <w:numPr>
          <w:ilvl w:val="0"/>
          <w:numId w:val="16"/>
        </w:numPr>
      </w:pPr>
      <w:r w:rsidRPr="006E2B84">
        <w:t xml:space="preserve">the staffing costs for nurses, medical (only for intensivists operating in ICUs), admin staff allocated to the wards, </w:t>
      </w:r>
    </w:p>
    <w:p w14:paraId="799E62B4" w14:textId="567021CC" w:rsidR="00F42138" w:rsidRPr="006E2B84" w:rsidRDefault="00F42138" w:rsidP="00F42138">
      <w:pPr>
        <w:pStyle w:val="ListParagraph"/>
        <w:numPr>
          <w:ilvl w:val="0"/>
          <w:numId w:val="16"/>
        </w:numPr>
      </w:pPr>
      <w:r w:rsidRPr="006E2B84">
        <w:t>imprest drugs, medical consumables, hotel costs</w:t>
      </w:r>
      <w:r w:rsidR="004E4B55">
        <w:t>,</w:t>
      </w:r>
      <w:r w:rsidRPr="006E2B84">
        <w:t xml:space="preserve"> and overheads. </w:t>
      </w:r>
    </w:p>
    <w:p w14:paraId="4C3D8325" w14:textId="3A15B198" w:rsidR="00F42138" w:rsidRPr="006E2B84" w:rsidRDefault="00F42138" w:rsidP="00F42138">
      <w:r w:rsidRPr="006E2B84">
        <w:t xml:space="preserve">The resources consumed by patients whilst in critical care departments that are allocated to the patient but reported under a different </w:t>
      </w:r>
      <w:r w:rsidR="00C639A5">
        <w:t xml:space="preserve">NHCDC </w:t>
      </w:r>
      <w:r w:rsidRPr="006E2B84">
        <w:t xml:space="preserve">Cost Centre Group </w:t>
      </w:r>
      <w:r w:rsidR="00FE6488">
        <w:t xml:space="preserve">(e.g. not </w:t>
      </w:r>
      <w:r w:rsidR="00FE6488" w:rsidRPr="00AD1F32">
        <w:rPr>
          <w:i/>
          <w:iCs/>
        </w:rPr>
        <w:t>Critical</w:t>
      </w:r>
      <w:r w:rsidR="00FE6488">
        <w:t xml:space="preserve">) </w:t>
      </w:r>
      <w:r w:rsidRPr="006E2B84">
        <w:t xml:space="preserve">include pathology, imaging, drugs, allied health and other medical costs. </w:t>
      </w:r>
    </w:p>
    <w:p w14:paraId="6EDD0C50" w14:textId="35DBAA97" w:rsidR="00F42138" w:rsidRPr="000D3209" w:rsidRDefault="00F42138" w:rsidP="00F42138">
      <w:r w:rsidRPr="000D3209">
        <w:t xml:space="preserve">The analysis of NHCDC critical care costs has focused on the </w:t>
      </w:r>
      <w:r>
        <w:t xml:space="preserve">AICU </w:t>
      </w:r>
      <w:r w:rsidRPr="000D3209">
        <w:t xml:space="preserve">and </w:t>
      </w:r>
      <w:r>
        <w:t xml:space="preserve">PICU </w:t>
      </w:r>
      <w:r w:rsidRPr="000D3209">
        <w:t>reported costs, as corresponding ICU hours were reported for these episodes. Other critical care costs (such as CCU, NICU</w:t>
      </w:r>
      <w:r w:rsidR="00915FE1">
        <w:t>,</w:t>
      </w:r>
      <w:r w:rsidRPr="000D3209">
        <w:t xml:space="preserve"> etc</w:t>
      </w:r>
      <w:r w:rsidR="00915FE1">
        <w:t>.</w:t>
      </w:r>
      <w:r w:rsidRPr="000D3209">
        <w:t xml:space="preserve">) cannot meaningfully be compared as </w:t>
      </w:r>
      <w:r>
        <w:t xml:space="preserve">there is a mismatch in the way that </w:t>
      </w:r>
      <w:r w:rsidRPr="000D3209">
        <w:t xml:space="preserve">critical care hours </w:t>
      </w:r>
      <w:r>
        <w:t xml:space="preserve">and costs </w:t>
      </w:r>
      <w:r w:rsidRPr="000D3209">
        <w:t xml:space="preserve">for these episodes are reported.  </w:t>
      </w:r>
    </w:p>
    <w:p w14:paraId="312E4C27" w14:textId="472C29BD" w:rsidR="00F42138" w:rsidRPr="006E5F26" w:rsidRDefault="00F42138" w:rsidP="00F42138">
      <w:r w:rsidRPr="002E613F">
        <w:t xml:space="preserve">An </w:t>
      </w:r>
      <w:r w:rsidRPr="006E5F26">
        <w:t xml:space="preserve">analysis into the Level 3 ICU Costs Per Hour – defined as </w:t>
      </w:r>
      <w:r w:rsidRPr="006E5F26">
        <w:rPr>
          <w:i/>
        </w:rPr>
        <w:t>Aicu</w:t>
      </w:r>
      <w:r w:rsidRPr="006E5F26">
        <w:t xml:space="preserve"> + </w:t>
      </w:r>
      <w:r w:rsidRPr="006E5F26">
        <w:rPr>
          <w:i/>
        </w:rPr>
        <w:t>Paedicu</w:t>
      </w:r>
      <w:r w:rsidRPr="006E5F26">
        <w:t xml:space="preserve"> costs, divided by </w:t>
      </w:r>
      <w:r w:rsidR="008577E5" w:rsidRPr="00EB20D0">
        <w:rPr>
          <w:i/>
          <w:iCs/>
        </w:rPr>
        <w:t>Level</w:t>
      </w:r>
      <w:r w:rsidR="008577E5">
        <w:rPr>
          <w:i/>
          <w:iCs/>
        </w:rPr>
        <w:t> </w:t>
      </w:r>
      <w:r w:rsidRPr="00EB20D0">
        <w:rPr>
          <w:i/>
          <w:iCs/>
        </w:rPr>
        <w:t>3 ICU Hours</w:t>
      </w:r>
      <w:r w:rsidRPr="006E5F26">
        <w:t>, shows the following:</w:t>
      </w:r>
    </w:p>
    <w:p w14:paraId="582C4E01" w14:textId="7CD04F07" w:rsidR="00F42138" w:rsidRPr="006E5F26" w:rsidRDefault="00F42138" w:rsidP="00F42138">
      <w:pPr>
        <w:pStyle w:val="ListParagraph"/>
        <w:numPr>
          <w:ilvl w:val="0"/>
          <w:numId w:val="15"/>
        </w:numPr>
      </w:pPr>
      <w:r w:rsidRPr="006E5F26">
        <w:t xml:space="preserve">The </w:t>
      </w:r>
      <w:r w:rsidR="00B33D4A">
        <w:t>Queensland</w:t>
      </w:r>
      <w:r w:rsidRPr="006E5F26">
        <w:t xml:space="preserve"> </w:t>
      </w:r>
      <w:r>
        <w:t>a</w:t>
      </w:r>
      <w:r w:rsidRPr="006E5F26">
        <w:t>verage L</w:t>
      </w:r>
      <w:r>
        <w:t xml:space="preserve">evel </w:t>
      </w:r>
      <w:r w:rsidRPr="006E5F26">
        <w:t xml:space="preserve">3 ICU Cost Per Hour is $205.42. </w:t>
      </w:r>
    </w:p>
    <w:p w14:paraId="36B97466" w14:textId="41F2D1FE" w:rsidR="00F42138" w:rsidRPr="006E5F26" w:rsidRDefault="00F42138" w:rsidP="00F42138">
      <w:pPr>
        <w:pStyle w:val="ListParagraph"/>
        <w:numPr>
          <w:ilvl w:val="0"/>
          <w:numId w:val="15"/>
        </w:numPr>
      </w:pPr>
      <w:r>
        <w:t>RBWH</w:t>
      </w:r>
      <w:r w:rsidRPr="006E5F26">
        <w:t xml:space="preserve"> average L</w:t>
      </w:r>
      <w:r>
        <w:t xml:space="preserve">evel </w:t>
      </w:r>
      <w:r w:rsidRPr="006E5F26">
        <w:t xml:space="preserve">3 ICU </w:t>
      </w:r>
      <w:r w:rsidR="000275A4">
        <w:t>C</w:t>
      </w:r>
      <w:r w:rsidRPr="006E5F26">
        <w:t xml:space="preserve">ost </w:t>
      </w:r>
      <w:r w:rsidR="000275A4">
        <w:t>P</w:t>
      </w:r>
      <w:r w:rsidRPr="006E5F26">
        <w:t xml:space="preserve">er </w:t>
      </w:r>
      <w:r w:rsidR="000275A4">
        <w:t>H</w:t>
      </w:r>
      <w:r w:rsidRPr="006E5F26">
        <w:t>our is $145.07 (30% lower than the state average).</w:t>
      </w:r>
    </w:p>
    <w:p w14:paraId="03B34673" w14:textId="67EA213D" w:rsidR="00F42138" w:rsidRPr="006E5F26" w:rsidRDefault="00F42138" w:rsidP="00F42138">
      <w:pPr>
        <w:pStyle w:val="ListParagraph"/>
        <w:numPr>
          <w:ilvl w:val="0"/>
          <w:numId w:val="15"/>
        </w:numPr>
      </w:pPr>
      <w:r w:rsidRPr="006E5F26">
        <w:t>Caboolture Hospital’s average L</w:t>
      </w:r>
      <w:r>
        <w:t xml:space="preserve">evel </w:t>
      </w:r>
      <w:r w:rsidRPr="006E5F26">
        <w:t xml:space="preserve">3 ICU </w:t>
      </w:r>
      <w:r w:rsidR="000275A4">
        <w:t>C</w:t>
      </w:r>
      <w:r w:rsidRPr="006E5F26">
        <w:t xml:space="preserve">ost </w:t>
      </w:r>
      <w:r w:rsidR="000275A4">
        <w:t>P</w:t>
      </w:r>
      <w:r w:rsidRPr="006E5F26">
        <w:t xml:space="preserve">er </w:t>
      </w:r>
      <w:r w:rsidR="000275A4">
        <w:t>H</w:t>
      </w:r>
      <w:r w:rsidRPr="006E5F26">
        <w:t>our is $416.68 (103% higher than the state average)</w:t>
      </w:r>
    </w:p>
    <w:p w14:paraId="0FA251A4" w14:textId="05C44BD1" w:rsidR="00F42138" w:rsidRPr="006E5F26" w:rsidRDefault="00F42138" w:rsidP="00F42138">
      <w:pPr>
        <w:pStyle w:val="ListParagraph"/>
        <w:numPr>
          <w:ilvl w:val="0"/>
          <w:numId w:val="15"/>
        </w:numPr>
      </w:pPr>
      <w:r w:rsidRPr="006E5F26">
        <w:t>Bundaberg Base Hospital’s L</w:t>
      </w:r>
      <w:r>
        <w:t xml:space="preserve">evel </w:t>
      </w:r>
      <w:r w:rsidRPr="006E5F26">
        <w:t xml:space="preserve">3 ICU </w:t>
      </w:r>
      <w:r w:rsidR="000275A4">
        <w:t>C</w:t>
      </w:r>
      <w:r w:rsidRPr="006E5F26">
        <w:t xml:space="preserve">ost </w:t>
      </w:r>
      <w:r w:rsidR="000275A4">
        <w:t>P</w:t>
      </w:r>
      <w:r w:rsidRPr="006E5F26">
        <w:t xml:space="preserve">er </w:t>
      </w:r>
      <w:r w:rsidR="000275A4">
        <w:t>H</w:t>
      </w:r>
      <w:r w:rsidRPr="006E5F26">
        <w:t xml:space="preserve">our is $134.39 (35% lower than the state average). However, it should be noted that under this measure, the hospital’s nursing costs were costed to the </w:t>
      </w:r>
      <w:r w:rsidRPr="006E5F26">
        <w:rPr>
          <w:i/>
          <w:iCs/>
        </w:rPr>
        <w:t xml:space="preserve">Gencritcare </w:t>
      </w:r>
      <w:r w:rsidRPr="006E5F26">
        <w:t>cost centre and these costs would not have been included in this measure. Adjusting for this, the average (total cost per ICU hour) would be $337.41</w:t>
      </w:r>
      <w:r w:rsidR="00284C31">
        <w:t xml:space="preserve">, </w:t>
      </w:r>
      <w:r w:rsidRPr="006E5F26">
        <w:t>64% higher than the state average.</w:t>
      </w:r>
    </w:p>
    <w:p w14:paraId="428FAD60" w14:textId="31CC185D" w:rsidR="002422E0" w:rsidRDefault="00F42138" w:rsidP="002422E0">
      <w:r w:rsidRPr="00EB20D0">
        <w:rPr>
          <w:i/>
          <w:iCs/>
        </w:rPr>
        <w:t xml:space="preserve">Level 3 ICU </w:t>
      </w:r>
      <w:r w:rsidR="00AB4EC0">
        <w:rPr>
          <w:i/>
          <w:iCs/>
        </w:rPr>
        <w:t>H</w:t>
      </w:r>
      <w:r w:rsidRPr="00EB20D0">
        <w:rPr>
          <w:i/>
          <w:iCs/>
        </w:rPr>
        <w:t>ours</w:t>
      </w:r>
      <w:r w:rsidRPr="00D57E68">
        <w:t xml:space="preserve"> include ICU hours at non-Level 3 ICU facilities across the state</w:t>
      </w:r>
      <w:r>
        <w:t>.</w:t>
      </w:r>
    </w:p>
    <w:p w14:paraId="6EDB954A" w14:textId="01666A9D" w:rsidR="00F42138" w:rsidRDefault="000C3427" w:rsidP="00AD1F32">
      <w:pPr>
        <w:pStyle w:val="Caption"/>
        <w:keepNext/>
      </w:pPr>
      <w:r>
        <w:lastRenderedPageBreak/>
        <w:t xml:space="preserve">Figure </w:t>
      </w:r>
      <w:r w:rsidR="00BD5B5E">
        <w:fldChar w:fldCharType="begin"/>
      </w:r>
      <w:r w:rsidR="00BD5B5E">
        <w:instrText xml:space="preserve"> SEQ Figure \* ARABIC </w:instrText>
      </w:r>
      <w:r w:rsidR="00BD5B5E">
        <w:fldChar w:fldCharType="separate"/>
      </w:r>
      <w:r w:rsidR="00CE6F96">
        <w:rPr>
          <w:noProof/>
        </w:rPr>
        <w:t>28</w:t>
      </w:r>
      <w:r w:rsidR="00BD5B5E">
        <w:fldChar w:fldCharType="end"/>
      </w:r>
      <w:r>
        <w:t xml:space="preserve">: </w:t>
      </w:r>
      <w:r w:rsidRPr="00E26682">
        <w:t>Average Cost per Level 3 ICU Hour in Adult and Paediatric ICU</w:t>
      </w:r>
      <w:r w:rsidR="00205B51">
        <w:t xml:space="preserve"> - Queensland</w:t>
      </w:r>
      <w:r w:rsidR="00EF26CE">
        <w:rPr>
          <w:noProof/>
        </w:rPr>
        <mc:AlternateContent>
          <mc:Choice Requires="wps">
            <w:drawing>
              <wp:anchor distT="45720" distB="45720" distL="114300" distR="114300" simplePos="0" relativeHeight="251658252" behindDoc="0" locked="0" layoutInCell="1" allowOverlap="1" wp14:anchorId="13DAA1A0" wp14:editId="21218397">
                <wp:simplePos x="0" y="0"/>
                <wp:positionH relativeFrom="margin">
                  <wp:posOffset>0</wp:posOffset>
                </wp:positionH>
                <wp:positionV relativeFrom="paragraph">
                  <wp:posOffset>2236025</wp:posOffset>
                </wp:positionV>
                <wp:extent cx="5715000" cy="1447800"/>
                <wp:effectExtent l="0" t="0" r="0" b="0"/>
                <wp:wrapTopAndBottom/>
                <wp:docPr id="2122024932" name="Text Box 2" descr="P2156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7432B0E0" w14:textId="77777777" w:rsidR="000C3427" w:rsidRPr="000C4108" w:rsidRDefault="000C3427" w:rsidP="000C3427">
                            <w:pPr>
                              <w:pStyle w:val="Tablebulletpoint"/>
                              <w:numPr>
                                <w:ilvl w:val="0"/>
                                <w:numId w:val="0"/>
                              </w:numPr>
                              <w:spacing w:after="120"/>
                              <w:contextualSpacing w:val="0"/>
                              <w:rPr>
                                <w:color w:val="FFFFFF" w:themeColor="background1"/>
                              </w:rPr>
                            </w:pPr>
                            <w:r w:rsidRPr="00411B4C">
                              <w:rPr>
                                <w:rFonts w:eastAsiaTheme="minorEastAsia" w:cstheme="minorBidi"/>
                                <w:b/>
                                <w:color w:val="FFFFFF" w:themeColor="background1"/>
                              </w:rPr>
                              <w:t>Critical Care – Average Cost Per Hour Insights</w:t>
                            </w:r>
                          </w:p>
                          <w:p w14:paraId="61BCF824" w14:textId="3D95CFB3" w:rsidR="00EF26CE" w:rsidRPr="00EF26CE" w:rsidRDefault="00EF26CE" w:rsidP="00EF26CE">
                            <w:pPr>
                              <w:pStyle w:val="Tablebulletpoint"/>
                              <w:rPr>
                                <w:color w:val="FFFFFF" w:themeColor="background1"/>
                              </w:rPr>
                            </w:pPr>
                            <w:r w:rsidRPr="00EF26CE">
                              <w:rPr>
                                <w:color w:val="FFFFFF" w:themeColor="background1"/>
                              </w:rPr>
                              <w:t xml:space="preserve">RBWH reported </w:t>
                            </w:r>
                            <w:r w:rsidR="001E671F" w:rsidRPr="001E671F">
                              <w:rPr>
                                <w:iCs/>
                                <w:color w:val="FFFFFF" w:themeColor="background1"/>
                              </w:rPr>
                              <w:t>SCN</w:t>
                            </w:r>
                            <w:r>
                              <w:rPr>
                                <w:i/>
                                <w:color w:val="FFFFFF" w:themeColor="background1"/>
                              </w:rPr>
                              <w:t xml:space="preserve"> </w:t>
                            </w:r>
                            <w:r w:rsidRPr="00EF26CE">
                              <w:rPr>
                                <w:color w:val="FFFFFF" w:themeColor="background1"/>
                              </w:rPr>
                              <w:t xml:space="preserve">costs under the </w:t>
                            </w:r>
                            <w:r w:rsidR="00293F36" w:rsidRPr="00980960">
                              <w:rPr>
                                <w:i/>
                                <w:iCs/>
                                <w:color w:val="FFFFFF" w:themeColor="background1"/>
                              </w:rPr>
                              <w:t>Scnicu</w:t>
                            </w:r>
                            <w:r w:rsidRPr="00EF26CE">
                              <w:rPr>
                                <w:color w:val="FFFFFF" w:themeColor="background1"/>
                              </w:rPr>
                              <w:t xml:space="preserve"> </w:t>
                            </w:r>
                            <w:r w:rsidR="0097786D">
                              <w:rPr>
                                <w:color w:val="FFFFFF" w:themeColor="background1"/>
                              </w:rPr>
                              <w:t xml:space="preserve">NHCDC </w:t>
                            </w:r>
                            <w:r w:rsidRPr="00EF26CE">
                              <w:rPr>
                                <w:color w:val="FFFFFF" w:themeColor="background1"/>
                              </w:rPr>
                              <w:t>Cost Centre.</w:t>
                            </w:r>
                          </w:p>
                          <w:p w14:paraId="29886A2D" w14:textId="24A660AF" w:rsidR="00EF26CE" w:rsidRPr="00EF26CE" w:rsidRDefault="00BF7B4F" w:rsidP="00EF26CE">
                            <w:pPr>
                              <w:pStyle w:val="Tablebulletpoint"/>
                              <w:rPr>
                                <w:color w:val="FFFFFF" w:themeColor="background1"/>
                              </w:rPr>
                            </w:pPr>
                            <w:r w:rsidRPr="00EF26CE">
                              <w:rPr>
                                <w:color w:val="FFFFFF" w:themeColor="background1"/>
                              </w:rPr>
                              <w:t xml:space="preserve">More widely, </w:t>
                            </w:r>
                            <w:r w:rsidR="00B33D4A">
                              <w:rPr>
                                <w:color w:val="FFFFFF" w:themeColor="background1"/>
                              </w:rPr>
                              <w:t>Queensland</w:t>
                            </w:r>
                            <w:r w:rsidRPr="00EF26CE">
                              <w:rPr>
                                <w:color w:val="FFFFFF" w:themeColor="background1"/>
                              </w:rPr>
                              <w:t xml:space="preserve"> reported NICU hours in </w:t>
                            </w:r>
                            <w:r w:rsidRPr="00EF26CE">
                              <w:rPr>
                                <w:i/>
                                <w:iCs/>
                                <w:color w:val="FFFFFF" w:themeColor="background1"/>
                              </w:rPr>
                              <w:t>Level 3 ICU Hours</w:t>
                            </w:r>
                            <w:r w:rsidRPr="00EF26CE">
                              <w:rPr>
                                <w:color w:val="FFFFFF" w:themeColor="background1"/>
                              </w:rPr>
                              <w:t xml:space="preserve">, but not </w:t>
                            </w:r>
                            <w:r w:rsidR="001E671F">
                              <w:rPr>
                                <w:color w:val="FFFFFF" w:themeColor="background1"/>
                              </w:rPr>
                              <w:t>SCN</w:t>
                            </w:r>
                            <w:r w:rsidR="00EF26CE" w:rsidRPr="00EF26CE">
                              <w:rPr>
                                <w:color w:val="FFFFFF" w:themeColor="background1"/>
                              </w:rPr>
                              <w:t xml:space="preserve"> Hours. </w:t>
                            </w:r>
                          </w:p>
                          <w:p w14:paraId="715E05CE" w14:textId="16CB871A" w:rsidR="000C3427" w:rsidRPr="00EF26CE" w:rsidRDefault="00EF26CE" w:rsidP="00EF26CE">
                            <w:pPr>
                              <w:pStyle w:val="Tablebulletpoint"/>
                              <w:rPr>
                                <w:color w:val="FFFFFF" w:themeColor="background1"/>
                              </w:rPr>
                            </w:pPr>
                            <w:r w:rsidRPr="00EF26CE">
                              <w:rPr>
                                <w:color w:val="FFFFFF" w:themeColor="background1"/>
                              </w:rPr>
                              <w:t xml:space="preserve">CCU is reported under </w:t>
                            </w:r>
                            <w:r w:rsidRPr="0079192C">
                              <w:rPr>
                                <w:i/>
                                <w:color w:val="FFFFFF" w:themeColor="background1"/>
                              </w:rPr>
                              <w:t>Clinical</w:t>
                            </w:r>
                            <w:r w:rsidRPr="00EF26CE">
                              <w:rPr>
                                <w:color w:val="FFFFFF" w:themeColor="background1"/>
                              </w:rPr>
                              <w:t xml:space="preserve"> (Cardiology), not </w:t>
                            </w:r>
                            <w:r w:rsidRPr="0079192C">
                              <w:rPr>
                                <w:i/>
                                <w:color w:val="FFFFFF" w:themeColor="background1"/>
                              </w:rPr>
                              <w:t>Critical</w:t>
                            </w:r>
                            <w:r w:rsidRPr="00EF26CE">
                              <w:rPr>
                                <w:color w:val="FFFFFF" w:themeColor="background1"/>
                              </w:rPr>
                              <w:t xml:space="preserve"> </w:t>
                            </w:r>
                            <w:r w:rsidR="0079192C">
                              <w:rPr>
                                <w:color w:val="FFFFFF" w:themeColor="background1"/>
                              </w:rPr>
                              <w:t>NHCDC Cost Centre Group</w:t>
                            </w:r>
                            <w:r w:rsidR="00980960">
                              <w:rPr>
                                <w:color w:val="FFFFFF" w:themeColor="background1"/>
                              </w:rPr>
                              <w:t>.</w:t>
                            </w:r>
                          </w:p>
                        </w:txbxContent>
                      </wps:txbx>
                      <wps:bodyPr rot="0" vert="horz" wrap="square" lIns="180000" tIns="180000" rIns="18000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13DAA1A0" id="_x0000_s1220" type="#_x0000_t202" alt="P2156TB26#y1" style="position:absolute;margin-left:0;margin-top:176.05pt;width:450pt;height:114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" fillcolor="#343a5e [2405]" stroked="f" strokeweight="1pt">
                <v:textbox style="mso-fit-shape-to-text:t" inset="5mm,5mm,5mm,5mm">
                  <w:txbxContent>
                    <w:p w14:paraId="7432B0E0" w14:textId="77777777" w:rsidR="000C3427" w:rsidRPr="000C4108" w:rsidRDefault="000C3427" w:rsidP="000C3427">
                      <w:pPr>
                        <w:pStyle w:val="Tablebulletpoint"/>
                        <w:numPr>
                          <w:ilvl w:val="0"/>
                          <w:numId w:val="0"/>
                        </w:numPr>
                        <w:spacing w:after="120"/>
                        <w:contextualSpacing w:val="0"/>
                        <w:rPr>
                          <w:color w:val="FFFFFF" w:themeColor="background1"/>
                        </w:rPr>
                      </w:pPr>
                      <w:r w:rsidRPr="00411B4C">
                        <w:rPr>
                          <w:rFonts w:eastAsiaTheme="minorEastAsia" w:cstheme="minorBidi"/>
                          <w:b/>
                          <w:color w:val="FFFFFF" w:themeColor="background1"/>
                        </w:rPr>
                        <w:t>Critical Care – Average Cost Per Hour Insights</w:t>
                      </w:r>
                    </w:p>
                    <w:p w14:paraId="61BCF824" w14:textId="3D95CFB3" w:rsidR="00EF26CE" w:rsidRPr="00EF26CE" w:rsidRDefault="00EF26CE" w:rsidP="00EF26CE">
                      <w:pPr>
                        <w:pStyle w:val="Tablebulletpoint"/>
                        <w:rPr>
                          <w:color w:val="FFFFFF" w:themeColor="background1"/>
                        </w:rPr>
                      </w:pPr>
                      <w:r w:rsidRPr="00EF26CE">
                        <w:rPr>
                          <w:color w:val="FFFFFF" w:themeColor="background1"/>
                        </w:rPr>
                        <w:t xml:space="preserve">RBWH reported </w:t>
                      </w:r>
                      <w:r w:rsidR="001E671F" w:rsidRPr="001E671F">
                        <w:rPr>
                          <w:iCs/>
                          <w:color w:val="FFFFFF" w:themeColor="background1"/>
                        </w:rPr>
                        <w:t>SCN</w:t>
                      </w:r>
                      <w:r>
                        <w:rPr>
                          <w:i/>
                          <w:color w:val="FFFFFF" w:themeColor="background1"/>
                        </w:rPr>
                        <w:t xml:space="preserve"> </w:t>
                      </w:r>
                      <w:r w:rsidRPr="00EF26CE">
                        <w:rPr>
                          <w:color w:val="FFFFFF" w:themeColor="background1"/>
                        </w:rPr>
                        <w:t xml:space="preserve">costs under the </w:t>
                      </w:r>
                      <w:r w:rsidR="00293F36" w:rsidRPr="00980960">
                        <w:rPr>
                          <w:i/>
                          <w:iCs/>
                          <w:color w:val="FFFFFF" w:themeColor="background1"/>
                        </w:rPr>
                        <w:t>Scnicu</w:t>
                      </w:r>
                      <w:r w:rsidRPr="00EF26CE">
                        <w:rPr>
                          <w:color w:val="FFFFFF" w:themeColor="background1"/>
                        </w:rPr>
                        <w:t xml:space="preserve"> </w:t>
                      </w:r>
                      <w:r w:rsidR="0097786D">
                        <w:rPr>
                          <w:color w:val="FFFFFF" w:themeColor="background1"/>
                        </w:rPr>
                        <w:t xml:space="preserve">NHCDC </w:t>
                      </w:r>
                      <w:r w:rsidRPr="00EF26CE">
                        <w:rPr>
                          <w:color w:val="FFFFFF" w:themeColor="background1"/>
                        </w:rPr>
                        <w:t>Cost Centre.</w:t>
                      </w:r>
                    </w:p>
                    <w:p w14:paraId="29886A2D" w14:textId="24A660AF" w:rsidR="00EF26CE" w:rsidRPr="00EF26CE" w:rsidRDefault="00BF7B4F" w:rsidP="00EF26CE">
                      <w:pPr>
                        <w:pStyle w:val="Tablebulletpoint"/>
                        <w:rPr>
                          <w:color w:val="FFFFFF" w:themeColor="background1"/>
                        </w:rPr>
                      </w:pPr>
                      <w:r w:rsidRPr="00EF26CE">
                        <w:rPr>
                          <w:color w:val="FFFFFF" w:themeColor="background1"/>
                        </w:rPr>
                        <w:t xml:space="preserve">More widely, </w:t>
                      </w:r>
                      <w:r w:rsidR="00B33D4A">
                        <w:rPr>
                          <w:color w:val="FFFFFF" w:themeColor="background1"/>
                        </w:rPr>
                        <w:t>Queensland</w:t>
                      </w:r>
                      <w:r w:rsidRPr="00EF26CE">
                        <w:rPr>
                          <w:color w:val="FFFFFF" w:themeColor="background1"/>
                        </w:rPr>
                        <w:t xml:space="preserve"> reported NICU hours in </w:t>
                      </w:r>
                      <w:r w:rsidRPr="00EF26CE">
                        <w:rPr>
                          <w:i/>
                          <w:iCs/>
                          <w:color w:val="FFFFFF" w:themeColor="background1"/>
                        </w:rPr>
                        <w:t>Level 3 ICU Hours</w:t>
                      </w:r>
                      <w:r w:rsidRPr="00EF26CE">
                        <w:rPr>
                          <w:color w:val="FFFFFF" w:themeColor="background1"/>
                        </w:rPr>
                        <w:t xml:space="preserve">, but not </w:t>
                      </w:r>
                      <w:r w:rsidR="001E671F">
                        <w:rPr>
                          <w:color w:val="FFFFFF" w:themeColor="background1"/>
                        </w:rPr>
                        <w:t>SCN</w:t>
                      </w:r>
                      <w:r w:rsidR="00EF26CE" w:rsidRPr="00EF26CE">
                        <w:rPr>
                          <w:color w:val="FFFFFF" w:themeColor="background1"/>
                        </w:rPr>
                        <w:t xml:space="preserve"> Hours. </w:t>
                      </w:r>
                    </w:p>
                    <w:p w14:paraId="715E05CE" w14:textId="16CB871A" w:rsidR="000C3427" w:rsidRPr="00EF26CE" w:rsidRDefault="00EF26CE" w:rsidP="00EF26CE">
                      <w:pPr>
                        <w:pStyle w:val="Tablebulletpoint"/>
                        <w:rPr>
                          <w:color w:val="FFFFFF" w:themeColor="background1"/>
                        </w:rPr>
                      </w:pPr>
                      <w:r w:rsidRPr="00EF26CE">
                        <w:rPr>
                          <w:color w:val="FFFFFF" w:themeColor="background1"/>
                        </w:rPr>
                        <w:t xml:space="preserve">CCU is reported under </w:t>
                      </w:r>
                      <w:r w:rsidRPr="0079192C">
                        <w:rPr>
                          <w:i/>
                          <w:color w:val="FFFFFF" w:themeColor="background1"/>
                        </w:rPr>
                        <w:t>Clinical</w:t>
                      </w:r>
                      <w:r w:rsidRPr="00EF26CE">
                        <w:rPr>
                          <w:color w:val="FFFFFF" w:themeColor="background1"/>
                        </w:rPr>
                        <w:t xml:space="preserve"> (Cardiology), not </w:t>
                      </w:r>
                      <w:r w:rsidRPr="0079192C">
                        <w:rPr>
                          <w:i/>
                          <w:color w:val="FFFFFF" w:themeColor="background1"/>
                        </w:rPr>
                        <w:t>Critical</w:t>
                      </w:r>
                      <w:r w:rsidRPr="00EF26CE">
                        <w:rPr>
                          <w:color w:val="FFFFFF" w:themeColor="background1"/>
                        </w:rPr>
                        <w:t xml:space="preserve"> </w:t>
                      </w:r>
                      <w:r w:rsidR="0079192C">
                        <w:rPr>
                          <w:color w:val="FFFFFF" w:themeColor="background1"/>
                        </w:rPr>
                        <w:t>NHCDC Cost Centre Group</w:t>
                      </w:r>
                      <w:r w:rsidR="00980960">
                        <w:rPr>
                          <w:color w:val="FFFFFF" w:themeColor="background1"/>
                        </w:rPr>
                        <w:t>.</w:t>
                      </w:r>
                    </w:p>
                  </w:txbxContent>
                </v:textbox>
                <w10:wrap type="topAndBottom" anchorx="margin"/>
              </v:shape>
            </w:pict>
          </mc:Fallback>
        </mc:AlternateContent>
      </w:r>
      <w:r w:rsidR="00332476" w:rsidRPr="00332476">
        <w:rPr>
          <w:noProof/>
        </w:rPr>
        <w:drawing>
          <wp:anchor distT="0" distB="0" distL="114300" distR="114300" simplePos="0" relativeHeight="251658272" behindDoc="0" locked="0" layoutInCell="1" allowOverlap="1" wp14:anchorId="7DB509F2" wp14:editId="4AA5B694">
            <wp:simplePos x="0" y="0"/>
            <wp:positionH relativeFrom="margin">
              <wp:align>center</wp:align>
            </wp:positionH>
            <wp:positionV relativeFrom="paragraph">
              <wp:posOffset>4504</wp:posOffset>
            </wp:positionV>
            <wp:extent cx="6660000" cy="2037250"/>
            <wp:effectExtent l="0" t="0" r="7620" b="1270"/>
            <wp:wrapTopAndBottom/>
            <wp:docPr id="1279584199" name="Picture 1" descr="P215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84199" name="Picture 1" descr="P2156#y1"/>
                    <pic:cNvPicPr/>
                  </pic:nvPicPr>
                  <pic:blipFill>
                    <a:blip r:embed="rId87">
                      <a:extLst>
                        <a:ext uri="{28A0092B-C50C-407E-A947-70E740481C1C}">
                          <a14:useLocalDpi xmlns:a14="http://schemas.microsoft.com/office/drawing/2010/main" val="0"/>
                        </a:ext>
                      </a:extLst>
                    </a:blip>
                    <a:stretch>
                      <a:fillRect/>
                    </a:stretch>
                  </pic:blipFill>
                  <pic:spPr>
                    <a:xfrm>
                      <a:off x="0" y="0"/>
                      <a:ext cx="6660000" cy="2037250"/>
                    </a:xfrm>
                    <a:prstGeom prst="rect">
                      <a:avLst/>
                    </a:prstGeom>
                  </pic:spPr>
                </pic:pic>
              </a:graphicData>
            </a:graphic>
            <wp14:sizeRelH relativeFrom="margin">
              <wp14:pctWidth>0</wp14:pctWidth>
            </wp14:sizeRelH>
            <wp14:sizeRelV relativeFrom="margin">
              <wp14:pctHeight>0</wp14:pctHeight>
            </wp14:sizeRelV>
          </wp:anchor>
        </w:drawing>
      </w:r>
    </w:p>
    <w:p w14:paraId="56842E41" w14:textId="376BE5E0" w:rsidR="00F42138" w:rsidRPr="00AD1F32" w:rsidRDefault="00F42138" w:rsidP="009F419F">
      <w:pPr>
        <w:pStyle w:val="Heading4"/>
        <w:rPr>
          <w:color w:val="484B5D" w:themeColor="accent3"/>
        </w:rPr>
      </w:pPr>
      <w:r w:rsidRPr="00AD1F32">
        <w:rPr>
          <w:color w:val="484B5D" w:themeColor="accent3"/>
        </w:rPr>
        <w:t>ICU Cost Allocation Methodologies</w:t>
      </w:r>
    </w:p>
    <w:p w14:paraId="095E8960" w14:textId="2D2B5BA8" w:rsidR="0041629D" w:rsidRDefault="0041629D" w:rsidP="0041629D">
      <w:pPr>
        <w:sectPr w:rsidR="0041629D" w:rsidSect="009B0D5E">
          <w:headerReference w:type="even" r:id="rId88"/>
          <w:headerReference w:type="default" r:id="rId89"/>
          <w:footnotePr>
            <w:pos w:val="beneathText"/>
          </w:footnotePr>
          <w:endnotePr>
            <w:numFmt w:val="decimal"/>
          </w:endnotePr>
          <w:pgSz w:w="11906" w:h="16838" w:code="9"/>
          <w:pgMar w:top="1440" w:right="1440" w:bottom="1440" w:left="1440" w:header="720" w:footer="720" w:gutter="0"/>
          <w:cols w:space="720"/>
          <w:docGrid w:linePitch="360"/>
        </w:sectPr>
      </w:pPr>
      <w:r w:rsidRPr="004A6730">
        <w:t xml:space="preserve">The tables below show details of the types of expenditure incurred by each ICU site, the allocation methodologies used, and the ultimate </w:t>
      </w:r>
      <w:r w:rsidRPr="00EC0C63">
        <w:rPr>
          <w:i/>
        </w:rPr>
        <w:t>C</w:t>
      </w:r>
      <w:r w:rsidR="00EB37DF" w:rsidRPr="00EC0C63">
        <w:rPr>
          <w:i/>
        </w:rPr>
        <w:t>ritical</w:t>
      </w:r>
      <w:r w:rsidR="00EB37DF">
        <w:t xml:space="preserve"> </w:t>
      </w:r>
      <w:r w:rsidR="007E0409">
        <w:t xml:space="preserve">NHCDC </w:t>
      </w:r>
      <w:r w:rsidRPr="008E5976">
        <w:t xml:space="preserve">Cost Centre Group </w:t>
      </w:r>
      <w:r>
        <w:t xml:space="preserve">to which </w:t>
      </w:r>
      <w:r w:rsidRPr="008E5976">
        <w:t>these expenditure types map.</w:t>
      </w:r>
    </w:p>
    <w:p w14:paraId="5D052DAF" w14:textId="55D988C0" w:rsidR="000C125D" w:rsidRDefault="00915FE1" w:rsidP="000C125D">
      <w:pPr>
        <w:pStyle w:val="Caption"/>
        <w:keepNext/>
      </w:pPr>
      <w:r>
        <w:lastRenderedPageBreak/>
        <w:t>Table</w:t>
      </w:r>
      <w:r w:rsidR="001461E9">
        <w:t xml:space="preserve"> </w:t>
      </w:r>
      <w:r>
        <w:fldChar w:fldCharType="begin"/>
      </w:r>
      <w:r>
        <w:instrText xml:space="preserve"> SEQ Table \* ARABIC </w:instrText>
      </w:r>
      <w:r>
        <w:fldChar w:fldCharType="separate"/>
      </w:r>
      <w:r w:rsidR="00CE6F96">
        <w:rPr>
          <w:noProof/>
        </w:rPr>
        <w:t>20</w:t>
      </w:r>
      <w:r>
        <w:fldChar w:fldCharType="end"/>
      </w:r>
      <w:r>
        <w:t>:</w:t>
      </w:r>
      <w:r w:rsidR="001461E9">
        <w:t xml:space="preserve"> </w:t>
      </w:r>
      <w:r w:rsidR="008F0C53">
        <w:t>RBWH</w:t>
      </w:r>
      <w:r w:rsidR="001461E9">
        <w:t xml:space="preserve"> Cost Allocation Methodologies</w:t>
      </w:r>
    </w:p>
    <w:tbl>
      <w:tblPr>
        <w:tblStyle w:val="TableGrid"/>
        <w:tblpPr w:leftFromText="180" w:rightFromText="180" w:vertAnchor="text"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243F63" w14:paraId="5AC5A130" w14:textId="77777777">
        <w:tc>
          <w:tcPr>
            <w:tcW w:w="1134" w:type="dxa"/>
            <w:shd w:val="clear" w:color="auto" w:fill="EFF0F7" w:themeFill="accent4" w:themeFillTint="33"/>
            <w:vAlign w:val="center"/>
          </w:tcPr>
          <w:p w14:paraId="5CB9F95B" w14:textId="31166E0E" w:rsidR="00D32060" w:rsidRPr="00243F63" w:rsidRDefault="00243F63">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659FFE2F" w14:textId="0FC48B0C" w:rsidR="00D32060" w:rsidRDefault="00D32060">
            <w:r>
              <w:t>Via patient level feeder system</w:t>
            </w:r>
          </w:p>
        </w:tc>
        <w:tc>
          <w:tcPr>
            <w:tcW w:w="1134" w:type="dxa"/>
            <w:shd w:val="clear" w:color="auto" w:fill="EFF0F7" w:themeFill="accent4" w:themeFillTint="33"/>
            <w:vAlign w:val="center"/>
          </w:tcPr>
          <w:p w14:paraId="45E74104" w14:textId="1ECFDAAB" w:rsidR="00D32060" w:rsidRPr="00243F63" w:rsidRDefault="00243F63">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53B61E87" w14:textId="5EE7517B" w:rsidR="00D32060" w:rsidRDefault="00D32060">
            <w:r>
              <w:t>Via weighted RVU, to ICU patients</w:t>
            </w:r>
          </w:p>
        </w:tc>
      </w:tr>
      <w:tr w:rsidR="00243F63" w14:paraId="0790A410" w14:textId="77777777">
        <w:tc>
          <w:tcPr>
            <w:tcW w:w="1134" w:type="dxa"/>
            <w:shd w:val="clear" w:color="auto" w:fill="EFF0F7" w:themeFill="accent4" w:themeFillTint="33"/>
            <w:vAlign w:val="center"/>
          </w:tcPr>
          <w:p w14:paraId="6AC58667" w14:textId="415C11F8" w:rsidR="00D32060" w:rsidRDefault="00243F63">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36C200B3" w14:textId="5009A135" w:rsidR="00D32060" w:rsidRDefault="00D32060">
            <w:r>
              <w:t>Using a standard RVU, to ICU patients</w:t>
            </w:r>
          </w:p>
        </w:tc>
        <w:tc>
          <w:tcPr>
            <w:tcW w:w="1134" w:type="dxa"/>
            <w:shd w:val="clear" w:color="auto" w:fill="EFF0F7" w:themeFill="accent4" w:themeFillTint="33"/>
            <w:vAlign w:val="center"/>
          </w:tcPr>
          <w:p w14:paraId="4BA1A06E" w14:textId="48CE2108" w:rsidR="00D32060" w:rsidRPr="00243F63" w:rsidRDefault="00243F63">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129467CB" w14:textId="5D50F286" w:rsidR="00D32060" w:rsidRDefault="00D32060">
            <w:r>
              <w:t>Across ICU / non-ICU patients</w:t>
            </w:r>
          </w:p>
        </w:tc>
      </w:tr>
    </w:tbl>
    <w:p w14:paraId="58F6573B" w14:textId="77777777" w:rsidR="00D32060" w:rsidRDefault="00D32060" w:rsidP="00D32060"/>
    <w:p w14:paraId="28A9B133" w14:textId="77777777" w:rsidR="00915FE1" w:rsidRDefault="00915FE1" w:rsidP="00915FE1"/>
    <w:p w14:paraId="3EB12EC4" w14:textId="77777777" w:rsidR="00915FE1" w:rsidRDefault="00915FE1" w:rsidP="00915FE1"/>
    <w:p w14:paraId="6C9580F7" w14:textId="77777777" w:rsidR="00915FE1" w:rsidRPr="00915FE1" w:rsidRDefault="00915FE1" w:rsidP="00915FE1"/>
    <w:tbl>
      <w:tblPr>
        <w:tblStyle w:val="ScyneTable"/>
        <w:tblW w:w="4993" w:type="pct"/>
        <w:tblInd w:w="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1812"/>
        <w:gridCol w:w="5246"/>
        <w:gridCol w:w="4365"/>
        <w:gridCol w:w="1012"/>
        <w:gridCol w:w="1503"/>
      </w:tblGrid>
      <w:tr w:rsidR="003964D6" w:rsidRPr="00F0724D" w14:paraId="3E033F9A" w14:textId="77777777" w:rsidTr="00EC0C63">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650"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3F4853CD" w14:textId="77777777" w:rsidR="00EF26CE" w:rsidRPr="00F0724D" w:rsidRDefault="00EF26CE" w:rsidP="00810693">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t>Resources Consumed</w:t>
            </w:r>
          </w:p>
        </w:tc>
        <w:tc>
          <w:tcPr>
            <w:tcW w:w="188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54C3C12E" w14:textId="77777777" w:rsidR="00EF26CE" w:rsidRPr="00F0724D" w:rsidRDefault="00EF26CE" w:rsidP="00810693">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566"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74D6D627" w14:textId="77777777" w:rsidR="00EF26CE" w:rsidRPr="00F0724D" w:rsidRDefault="00EF26CE" w:rsidP="00810693">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70E28B34" w14:textId="0540C94F" w:rsidR="00EF26CE" w:rsidRPr="00F0724D" w:rsidRDefault="00EF26CE" w:rsidP="00810693">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C25D2F">
              <w:rPr>
                <w:rFonts w:ascii="Avenir Next LT Pro Demi" w:hAnsi="Avenir Next LT Pro Demi"/>
                <w:b w:val="0"/>
                <w:bCs/>
                <w:sz w:val="20"/>
              </w:rPr>
              <w:t xml:space="preserve">Critical </w:t>
            </w:r>
            <w:r w:rsidRPr="00F0724D">
              <w:rPr>
                <w:rFonts w:ascii="Avenir Next LT Pro Demi" w:hAnsi="Avenir Next LT Pro Demi"/>
                <w:b w:val="0"/>
                <w:bCs/>
                <w:sz w:val="20"/>
              </w:rPr>
              <w:t>Cost Centre Group</w:t>
            </w:r>
          </w:p>
        </w:tc>
      </w:tr>
      <w:tr w:rsidR="00034380" w:rsidRPr="00F0724D" w14:paraId="7DDDF1DE"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1DABDE93" w14:textId="73681199" w:rsidR="001461E9" w:rsidRPr="00F0724D" w:rsidRDefault="00D623B5" w:rsidP="001461E9">
            <w:r>
              <w:t xml:space="preserve">Nursing </w:t>
            </w:r>
            <w:r w:rsidR="001461E9" w:rsidRPr="00EB20D0">
              <w:t>S&amp;W</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BBE2F28" w14:textId="2326B03E" w:rsidR="001461E9" w:rsidRPr="00EB20D0" w:rsidRDefault="001461E9" w:rsidP="001461E9">
            <w:pPr>
              <w:tabs>
                <w:tab w:val="clear" w:pos="5309"/>
              </w:tabs>
              <w:spacing w:line="240" w:lineRule="auto"/>
              <w:cnfStyle w:val="000000000000" w:firstRow="0" w:lastRow="0" w:firstColumn="0" w:lastColumn="0" w:oddVBand="0" w:evenVBand="0" w:oddHBand="0" w:evenHBand="0" w:firstRowFirstColumn="0" w:firstRowLastColumn="0" w:lastRowFirstColumn="0" w:lastRowLastColumn="0"/>
            </w:pPr>
            <w:r w:rsidRPr="00EB20D0">
              <w:t xml:space="preserve">ICU comprises 163 </w:t>
            </w:r>
            <w:r w:rsidR="0045271A">
              <w:t>FTEs</w:t>
            </w:r>
            <w:r w:rsidRPr="00EB20D0">
              <w:t xml:space="preserve"> (121 of which are </w:t>
            </w:r>
            <w:r w:rsidR="00F00AC4">
              <w:t>RNs</w:t>
            </w:r>
            <w:r w:rsidR="00031C8E">
              <w:t>)</w:t>
            </w:r>
            <w:r w:rsidRPr="00EB20D0">
              <w:t>. There is no agency, casual usage or behavioural specialling requirements.</w:t>
            </w:r>
          </w:p>
          <w:p w14:paraId="658668E5" w14:textId="49113CF7" w:rsidR="001461E9" w:rsidRPr="00F0724D" w:rsidRDefault="001461E9" w:rsidP="001461E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color w:val="44546A" w:themeColor="text2"/>
              </w:rPr>
            </w:pPr>
            <w:r w:rsidRPr="00EB20D0">
              <w:t>NICU includes approximately 9</w:t>
            </w:r>
            <w:r w:rsidR="00980960">
              <w:t>4</w:t>
            </w:r>
            <w:r w:rsidRPr="00EB20D0">
              <w:t xml:space="preserve"> nursing FTE and small components of agency staff. </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202A388" w14:textId="569D4034" w:rsidR="001461E9" w:rsidRPr="00EB20D0" w:rsidRDefault="001461E9" w:rsidP="001461E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EB20D0">
              <w:t xml:space="preserve">Allocation of nursing costs are based on their ICU / hours with a </w:t>
            </w:r>
            <w:r w:rsidR="00D85878">
              <w:t>RVU</w:t>
            </w:r>
            <w:r w:rsidR="007D0462">
              <w:t xml:space="preserve"> </w:t>
            </w:r>
            <w:r w:rsidRPr="00EB20D0">
              <w:t>for each bed type, and also whether patients have received specialised services (ventilation hours, ECMO, dialysis</w:t>
            </w:r>
            <w:r w:rsidR="005F0ECA">
              <w:t>)</w:t>
            </w:r>
            <w:r w:rsidRPr="00EB20D0">
              <w:t xml:space="preserve">. </w:t>
            </w:r>
            <w:r w:rsidR="0065654C">
              <w:t>Homer Queensland Interface (</w:t>
            </w:r>
            <w:r w:rsidRPr="00EB20D0">
              <w:t>HQI</w:t>
            </w:r>
            <w:r w:rsidR="0065654C">
              <w:t>)</w:t>
            </w:r>
            <w:r w:rsidRPr="00EB20D0">
              <w:t xml:space="preserve"> is the</w:t>
            </w:r>
            <w:r w:rsidR="00831393">
              <w:t xml:space="preserve"> feeder</w:t>
            </w:r>
            <w:r w:rsidRPr="00EB20D0">
              <w:t xml:space="preserve"> system</w:t>
            </w:r>
            <w:r w:rsidR="00831393">
              <w:t xml:space="preserve"> used.</w:t>
            </w:r>
            <w:r w:rsidRPr="00EB20D0">
              <w:t xml:space="preserve"> This enables variable nursing reflecting different nursing ratios ranging from 1:1 </w:t>
            </w:r>
            <w:r w:rsidR="00FD4AD9">
              <w:t>(ICU)</w:t>
            </w:r>
            <w:r w:rsidRPr="00EB20D0">
              <w:t xml:space="preserve"> to </w:t>
            </w:r>
            <w:r w:rsidR="00FB7DD9">
              <w:t>2:</w:t>
            </w:r>
            <w:r w:rsidRPr="00EB20D0">
              <w:t>1</w:t>
            </w:r>
            <w:r w:rsidR="00FB7DD9">
              <w:t>.</w:t>
            </w:r>
          </w:p>
          <w:p w14:paraId="7A487FA7" w14:textId="69B4FC54" w:rsidR="001461E9" w:rsidRPr="00EB20D0" w:rsidRDefault="001461E9" w:rsidP="001461E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EB20D0">
              <w:t xml:space="preserve">Patients who receive specialised services receive an additional uplift </w:t>
            </w:r>
            <w:r w:rsidR="00380E77">
              <w:t>that</w:t>
            </w:r>
            <w:r w:rsidR="00380E77" w:rsidRPr="00EB20D0">
              <w:t xml:space="preserve"> </w:t>
            </w:r>
            <w:r w:rsidRPr="00EB20D0">
              <w:t>has been derived through consultation with the ICU team. This information is derived from Metavision system which is entered at point of care.</w:t>
            </w:r>
          </w:p>
          <w:p w14:paraId="7072FB92" w14:textId="73CFC0D0"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 xml:space="preserve">NICU patients receive a standard RVU based on their NICU hours. Patients in </w:t>
            </w:r>
            <w:r w:rsidR="001E671F">
              <w:t>SCN</w:t>
            </w:r>
            <w:r w:rsidRPr="00EB20D0">
              <w:t xml:space="preserve"> also receive a standard daily RVU with a lower weighting than NICU.</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629FCD7" w14:textId="3804E975"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3D56DB2"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EB20D0">
              <w:t>Critical</w:t>
            </w:r>
          </w:p>
        </w:tc>
      </w:tr>
      <w:tr w:rsidR="00034380" w:rsidRPr="00F0724D" w14:paraId="54688505"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694D84B" w14:textId="7A78050D" w:rsidR="001461E9" w:rsidRPr="00F0724D" w:rsidRDefault="00D623B5" w:rsidP="001461E9">
            <w:r>
              <w:lastRenderedPageBreak/>
              <w:t xml:space="preserve">Allied Health </w:t>
            </w:r>
            <w:r w:rsidR="001461E9" w:rsidRPr="00EB20D0">
              <w:t>S&amp;W</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DB5F2EA" w14:textId="04E3C97B" w:rsidR="001461E9" w:rsidRPr="00EB20D0" w:rsidRDefault="00C517F6" w:rsidP="001461E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t>One</w:t>
            </w:r>
            <w:r w:rsidR="001461E9" w:rsidRPr="00EB20D0">
              <w:t xml:space="preserve"> FTE pharmacist across NICU and ICU, additional assistance provided on a referral basis, with associated costs allocation to Allied Health cost centres. </w:t>
            </w:r>
          </w:p>
          <w:p w14:paraId="573A9ED2" w14:textId="3220C1C2"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EEBB581" w14:textId="3457EBF8"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Ward/profession specific RVUs are allocated to all patients discharged from wards.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CEFF80B" w14:textId="77777777" w:rsidR="001461E9" w:rsidRPr="00EB20D0" w:rsidRDefault="001461E9" w:rsidP="001461E9">
            <w:pPr>
              <w:tabs>
                <w:tab w:val="clear" w:pos="5309"/>
                <w:tab w:val="left" w:pos="3840"/>
              </w:tabs>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p>
          <w:p w14:paraId="339F0030" w14:textId="5D0B92D0" w:rsidR="001461E9" w:rsidRPr="00C93B69" w:rsidRDefault="001461E9" w:rsidP="001461E9">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5D701AF"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EB20D0">
              <w:t>Allied</w:t>
            </w:r>
          </w:p>
        </w:tc>
      </w:tr>
      <w:tr w:rsidR="00034380" w:rsidRPr="00F0724D" w14:paraId="6C8512E2"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8C3E0C4" w14:textId="6966C845" w:rsidR="001461E9" w:rsidRPr="00F0724D" w:rsidRDefault="00D623B5" w:rsidP="001461E9">
            <w:r>
              <w:t xml:space="preserve">Other </w:t>
            </w:r>
            <w:r w:rsidR="001461E9" w:rsidRPr="00EB20D0">
              <w:t>S&amp;W</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D9291C7" w14:textId="79B4DC1A"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Ward Clerk expense</w:t>
            </w:r>
            <w:r w:rsidR="004E5BFF">
              <w:t>.</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AEF3937" w14:textId="3295E2A0"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EB20D0">
              <w:t xml:space="preserve">Allocated based on </w:t>
            </w:r>
            <w:r w:rsidR="00A069EC">
              <w:t>beddays and ward movements – e.g., admission, discharge, transfer</w:t>
            </w:r>
            <w:r w:rsidR="00E31C44">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672B61D"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b/>
                <w:bCs/>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9C16D25"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Critical</w:t>
            </w:r>
          </w:p>
        </w:tc>
      </w:tr>
      <w:tr w:rsidR="00034380" w:rsidRPr="00F0724D" w14:paraId="23E631E7"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8325E43" w14:textId="271DE558" w:rsidR="001461E9" w:rsidRPr="00F0724D" w:rsidRDefault="00D623B5" w:rsidP="001461E9">
            <w:r>
              <w:t xml:space="preserve">Medical </w:t>
            </w:r>
            <w:r w:rsidR="001461E9" w:rsidRPr="00EB20D0">
              <w:t>S&amp;W (&amp; VMO)</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1C7E7C4" w14:textId="4A0CC881" w:rsidR="001461E9" w:rsidRDefault="00A069EC" w:rsidP="001461E9">
            <w:pPr>
              <w:cnfStyle w:val="000000000000" w:firstRow="0" w:lastRow="0" w:firstColumn="0" w:lastColumn="0" w:oddVBand="0" w:evenVBand="0" w:oddHBand="0" w:evenHBand="0" w:firstRowFirstColumn="0" w:firstRowLastColumn="0" w:lastRowFirstColumn="0" w:lastRowLastColumn="0"/>
            </w:pPr>
            <w:r>
              <w:t xml:space="preserve">ICU: </w:t>
            </w:r>
            <w:r w:rsidR="001461E9" w:rsidRPr="00EB20D0">
              <w:t>12 specialists</w:t>
            </w:r>
            <w:r w:rsidR="006F6428">
              <w:t>,</w:t>
            </w:r>
            <w:r w:rsidR="00DE0692">
              <w:t xml:space="preserve"> </w:t>
            </w:r>
            <w:r w:rsidR="001461E9" w:rsidRPr="00EB20D0">
              <w:t>34 registrars</w:t>
            </w:r>
            <w:r w:rsidR="006F6428">
              <w:t>,</w:t>
            </w:r>
            <w:r w:rsidR="00DE0692">
              <w:t xml:space="preserve"> 0.</w:t>
            </w:r>
            <w:r w:rsidR="006F6428">
              <w:t>6</w:t>
            </w:r>
            <w:r w:rsidR="001461E9" w:rsidRPr="00EB20D0">
              <w:t>6 FTE locums</w:t>
            </w:r>
          </w:p>
          <w:p w14:paraId="4F571B69" w14:textId="7C238511" w:rsidR="001461E9" w:rsidRPr="00F0724D" w:rsidRDefault="006F6428" w:rsidP="001461E9">
            <w:pPr>
              <w:cnfStyle w:val="000000000000" w:firstRow="0" w:lastRow="0" w:firstColumn="0" w:lastColumn="0" w:oddVBand="0" w:evenVBand="0" w:oddHBand="0" w:evenHBand="0" w:firstRowFirstColumn="0" w:firstRowLastColumn="0" w:lastRowFirstColumn="0" w:lastRowLastColumn="0"/>
            </w:pPr>
            <w:r>
              <w:t>NICU: 7.62 specialists, 9.19 fellows, 8.49 registrars, 2 senior house officers</w:t>
            </w:r>
            <w:r w:rsidR="004E5BFF">
              <w:t>.</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CBD9F46" w14:textId="07A3C1AE"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Allocation of medical costs with RVU weighted for ward code, patients will also receive a share of their medical costs under admitted doctor.</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19405D0"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59AAA65" w14:textId="044A0B0F" w:rsidR="00E31C44" w:rsidRDefault="001461E9" w:rsidP="001461E9">
            <w:pPr>
              <w:jc w:val="center"/>
              <w:cnfStyle w:val="000000000000" w:firstRow="0" w:lastRow="0" w:firstColumn="0" w:lastColumn="0" w:oddVBand="0" w:evenVBand="0" w:oddHBand="0" w:evenHBand="0" w:firstRowFirstColumn="0" w:firstRowLastColumn="0" w:lastRowFirstColumn="0" w:lastRowLastColumn="0"/>
            </w:pPr>
            <w:r w:rsidRPr="00EB20D0">
              <w:t xml:space="preserve">Critical </w:t>
            </w:r>
            <w:r w:rsidR="00B94B53">
              <w:t>(intensivist / neonatologist costs)</w:t>
            </w:r>
            <w:r w:rsidR="00E31C44">
              <w:t xml:space="preserve"> </w:t>
            </w:r>
          </w:p>
          <w:p w14:paraId="06AFDE0C" w14:textId="2796F84C"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EB20D0">
              <w:t>Clinical</w:t>
            </w:r>
            <w:r w:rsidR="00B94B53">
              <w:t xml:space="preserve"> (admitting doctor costs)</w:t>
            </w:r>
          </w:p>
        </w:tc>
      </w:tr>
      <w:tr w:rsidR="00034380" w:rsidRPr="00F0724D" w14:paraId="5C54315C"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1151F98" w14:textId="1EB24333" w:rsidR="001461E9" w:rsidRPr="00F0724D" w:rsidRDefault="001461E9" w:rsidP="001461E9">
            <w:r w:rsidRPr="00EB20D0">
              <w:t>Consumables</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959BED1" w14:textId="2CB1F1E3"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Specific gases (e.g.</w:t>
            </w:r>
            <w:r w:rsidR="00FD4A73">
              <w:t>,</w:t>
            </w:r>
            <w:r w:rsidRPr="00EB20D0">
              <w:t xml:space="preserve"> Nitric Oxide), and medical supplies, </w:t>
            </w:r>
            <w:r w:rsidR="00843FAD" w:rsidRPr="00843FAD">
              <w:rPr>
                <w:i/>
                <w:iCs/>
              </w:rPr>
              <w:t>G</w:t>
            </w:r>
            <w:r w:rsidRPr="00843FAD">
              <w:rPr>
                <w:i/>
                <w:iCs/>
              </w:rPr>
              <w:t xml:space="preserve">oods &amp; </w:t>
            </w:r>
            <w:r w:rsidR="00843FAD" w:rsidRPr="00843FAD">
              <w:rPr>
                <w:i/>
                <w:iCs/>
              </w:rPr>
              <w:t>S</w:t>
            </w:r>
            <w:r w:rsidRPr="00843FAD">
              <w:rPr>
                <w:i/>
                <w:iCs/>
              </w:rPr>
              <w:t>ervices</w:t>
            </w:r>
            <w:r w:rsidRPr="00EB20D0">
              <w:t xml:space="preserve"> expenses including lines, neuromonitoring and cardiac support devices.</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587A577" w14:textId="2A6CC643"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Allocated based on ICU hours</w:t>
            </w:r>
            <w:r w:rsidR="004E5BFF">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FE376B6" w14:textId="77777777" w:rsidR="001461E9" w:rsidRPr="001D7F2E"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4DEB9A"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EB20D0">
              <w:t>Critical</w:t>
            </w:r>
          </w:p>
        </w:tc>
      </w:tr>
      <w:tr w:rsidR="00034380" w:rsidRPr="00F0724D" w14:paraId="4736FF37"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4F67C07" w14:textId="77777777" w:rsidR="001461E9" w:rsidRPr="00F0724D" w:rsidRDefault="001461E9" w:rsidP="001461E9">
            <w:r w:rsidRPr="00EB20D0">
              <w:t>Imaging</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F00D7B6" w14:textId="0330A498"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Imaging provided by Queensland DoH. HQI is the system used to capture for inpatient imaging.</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E60194F" w14:textId="36E4EA91"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 xml:space="preserve">Allocated </w:t>
            </w:r>
            <w:r w:rsidR="00C369F7">
              <w:t xml:space="preserve">to the patient </w:t>
            </w:r>
            <w:r w:rsidRPr="00EB20D0">
              <w:t>based on time based RVUs for each imaging service.</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7B7F4BE" w14:textId="77777777" w:rsidR="001461E9" w:rsidRPr="001D7F2E"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EB20D0">
              <w:rPr>
                <w:rFonts w:ascii="Arial" w:hAnsi="Arial" w:cs="Arial" w:hint="eastAsia"/>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734FF67"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Imaging</w:t>
            </w:r>
          </w:p>
        </w:tc>
      </w:tr>
      <w:tr w:rsidR="00034380" w:rsidRPr="00F0724D" w14:paraId="39F1A1C5"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3E9B0EE" w14:textId="77777777" w:rsidR="001461E9" w:rsidRPr="00F0724D" w:rsidRDefault="001461E9" w:rsidP="001461E9">
            <w:r w:rsidRPr="00EB20D0">
              <w:t>Pathology</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7356D08" w14:textId="2E750578"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AusLabs for Pathology run by Queensland DoH.</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7A4AC31" w14:textId="0ACC5901"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 xml:space="preserve">Costs that come through are the unit charges that apply from the pathology department, based on the unit price per test, specific to location/facility. </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9911CDF" w14:textId="77777777" w:rsidR="001461E9" w:rsidRPr="00EB20D0" w:rsidRDefault="001461E9" w:rsidP="001461E9">
            <w:pPr>
              <w:tabs>
                <w:tab w:val="clear" w:pos="5309"/>
                <w:tab w:val="left" w:pos="3840"/>
              </w:tabs>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EB20D0">
              <w:rPr>
                <w:rFonts w:ascii="Arial" w:hAnsi="Arial" w:cs="Arial" w:hint="eastAsia"/>
                <w:sz w:val="32"/>
                <w:szCs w:val="32"/>
              </w:rPr>
              <w:t>●</w:t>
            </w:r>
          </w:p>
          <w:p w14:paraId="436E96F0" w14:textId="7B9D3898" w:rsidR="001461E9" w:rsidRPr="001D7F2E"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4A14571"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EB20D0">
              <w:t>Pathology</w:t>
            </w:r>
          </w:p>
        </w:tc>
      </w:tr>
      <w:tr w:rsidR="00034380" w:rsidRPr="00F0724D" w14:paraId="0374D63F"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5D7D25E" w14:textId="77777777" w:rsidR="001461E9" w:rsidRPr="00F0724D" w:rsidRDefault="001461E9" w:rsidP="001461E9">
            <w:r w:rsidRPr="00EB20D0">
              <w:lastRenderedPageBreak/>
              <w:t>Pharmacy</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AC5F52F" w14:textId="369FA1FB"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 xml:space="preserve">In ICU an electronic pharmacy system is in place and dispensed drugs are held in a </w:t>
            </w:r>
            <w:r w:rsidR="00B65B7A">
              <w:t>p</w:t>
            </w:r>
            <w:r w:rsidR="00B65B7A" w:rsidRPr="00EB20D0">
              <w:t xml:space="preserve">harmacy </w:t>
            </w:r>
            <w:r w:rsidRPr="00EB20D0">
              <w:t>cost centre, with imprest drugs costs sitting in ICU cost centre.</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417CF25" w14:textId="1A28A1AA" w:rsidR="001461E9" w:rsidRPr="00EB20D0" w:rsidRDefault="001461E9" w:rsidP="001461E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EB20D0">
              <w:t xml:space="preserve">Dispensed drugs are allocated at the patient level from a feeder system, with unlinked costs </w:t>
            </w:r>
            <w:r w:rsidR="00B2612D">
              <w:t>unable</w:t>
            </w:r>
            <w:r w:rsidRPr="00EB20D0">
              <w:t xml:space="preserve"> to </w:t>
            </w:r>
            <w:r w:rsidR="00B2612D">
              <w:t>be submitted in the NHCDC as there is no corresponding submitted AB</w:t>
            </w:r>
            <w:r w:rsidR="00E31C44">
              <w:t>F</w:t>
            </w:r>
            <w:r w:rsidR="00B2612D">
              <w:t xml:space="preserve"> </w:t>
            </w:r>
            <w:r w:rsidR="00E31C44">
              <w:t>a</w:t>
            </w:r>
            <w:r w:rsidR="00B2612D">
              <w:t xml:space="preserve">ctivity record </w:t>
            </w:r>
            <w:r w:rsidR="00925F6B">
              <w:t>with which to match</w:t>
            </w:r>
            <w:r w:rsidRPr="00EB20D0">
              <w:t xml:space="preserve">. </w:t>
            </w:r>
          </w:p>
          <w:p w14:paraId="60728A0B" w14:textId="7BC37021" w:rsidR="001461E9" w:rsidRPr="00EB20D0" w:rsidRDefault="001461E9" w:rsidP="001461E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EB20D0">
              <w:t>Imprest drugs are spread to all ICU patients with a higher imprest loading for invasive ventilation</w:t>
            </w:r>
            <w:r w:rsidR="00752519">
              <w:t>,</w:t>
            </w:r>
            <w:r w:rsidRPr="00EB20D0">
              <w:t xml:space="preserve"> dialysis, </w:t>
            </w:r>
            <w:r w:rsidR="00925F6B">
              <w:t>and burns</w:t>
            </w:r>
            <w:r w:rsidRPr="00EB20D0">
              <w:t>.</w:t>
            </w:r>
          </w:p>
          <w:p w14:paraId="480C5C29" w14:textId="0089DE0A"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363B064" w14:textId="3B73B812" w:rsidR="001461E9" w:rsidRPr="00EB20D0" w:rsidRDefault="001461E9" w:rsidP="001461E9">
            <w:pPr>
              <w:tabs>
                <w:tab w:val="clear" w:pos="5309"/>
                <w:tab w:val="left" w:pos="3840"/>
              </w:tabs>
              <w:spacing w:line="240" w:lineRule="auto"/>
              <w:jc w:val="center"/>
              <w:cnfStyle w:val="000000000000" w:firstRow="0" w:lastRow="0" w:firstColumn="0" w:lastColumn="0" w:oddVBand="0" w:evenVBand="0" w:oddHBand="0" w:evenHBand="0" w:firstRowFirstColumn="0" w:firstRowLastColumn="0" w:lastRowFirstColumn="0" w:lastRowLastColumn="0"/>
              <w:rPr>
                <w:rFonts w:cs="Cambria Math"/>
              </w:rPr>
            </w:pPr>
            <w:r w:rsidRPr="00EB20D0">
              <w:rPr>
                <w:rFonts w:ascii="Cambria Math" w:hAnsi="Cambria Math" w:cs="Cambria Math"/>
              </w:rPr>
              <w:t>◑</w:t>
            </w:r>
            <w:r w:rsidR="00942946">
              <w:rPr>
                <w:rFonts w:ascii="Cambria Math" w:hAnsi="Cambria Math" w:cs="Cambria Math"/>
              </w:rPr>
              <w:t xml:space="preserve"> / </w:t>
            </w:r>
            <w:r w:rsidR="00942946" w:rsidRPr="00D1695C">
              <w:rPr>
                <w:rFonts w:ascii="Cambria Math" w:hAnsi="Cambria Math" w:cs="Cambria Math" w:hint="eastAsia"/>
              </w:rPr>
              <w:t>●</w:t>
            </w:r>
          </w:p>
          <w:p w14:paraId="1D385BD3" w14:textId="182C37C1" w:rsidR="001461E9" w:rsidRPr="00C93B69" w:rsidRDefault="001461E9" w:rsidP="001461E9">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BDDC6B1" w14:textId="77777777" w:rsidR="001461E9" w:rsidRPr="00EB20D0" w:rsidRDefault="001461E9" w:rsidP="000C125D">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rsidRPr="00EB20D0">
              <w:t>Critical (imprest)</w:t>
            </w:r>
          </w:p>
          <w:p w14:paraId="162779B5" w14:textId="4269F331" w:rsidR="001461E9" w:rsidRPr="002F4E2C" w:rsidRDefault="001461E9" w:rsidP="002F4E2C">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rsidRPr="00EB20D0">
              <w:t>Pharmacy (dispensed)</w:t>
            </w:r>
          </w:p>
        </w:tc>
      </w:tr>
      <w:tr w:rsidR="00034380" w:rsidRPr="00F0724D" w14:paraId="1F13BF9E"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44BD8EC" w14:textId="77777777" w:rsidR="001461E9" w:rsidRPr="00F0724D" w:rsidRDefault="001461E9" w:rsidP="001461E9">
            <w:r w:rsidRPr="00EB20D0">
              <w:t>Hotel</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942D2AB" w14:textId="6851197D"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pPr>
            <w:r w:rsidRPr="00EB20D0">
              <w:t>Food services, cleaning and linen sit in ICU cost centre.</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398D5DD" w14:textId="15B21533" w:rsidR="001461E9" w:rsidRPr="00F0724D" w:rsidRDefault="001461E9" w:rsidP="001461E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Allocated based on Occupied bed days (or part thereof for food).</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9518721" w14:textId="77777777"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44FFBD" w14:textId="3B2762F1" w:rsidR="001461E9" w:rsidRPr="00F0724D" w:rsidRDefault="001461E9" w:rsidP="001461E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EB20D0">
              <w:t>Critical</w:t>
            </w:r>
          </w:p>
        </w:tc>
      </w:tr>
      <w:tr w:rsidR="00034380" w:rsidRPr="00F0724D" w14:paraId="2DAB2B01" w14:textId="77777777" w:rsidTr="00EC0C63">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6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3AACE97" w14:textId="77777777" w:rsidR="001461E9" w:rsidRPr="001461E9" w:rsidRDefault="001461E9" w:rsidP="001461E9">
            <w:pPr>
              <w:rPr>
                <w:b w:val="0"/>
                <w:bCs/>
              </w:rPr>
            </w:pPr>
            <w:r w:rsidRPr="001461E9">
              <w:rPr>
                <w:b w:val="0"/>
                <w:bCs/>
              </w:rPr>
              <w:t>Overheads</w:t>
            </w:r>
          </w:p>
        </w:tc>
        <w:tc>
          <w:tcPr>
            <w:tcW w:w="188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AC4478D" w14:textId="2C808495" w:rsidR="001461E9" w:rsidRPr="001461E9" w:rsidRDefault="001461E9" w:rsidP="001461E9">
            <w:pPr>
              <w:cnfStyle w:val="010000000000" w:firstRow="0" w:lastRow="1" w:firstColumn="0" w:lastColumn="0" w:oddVBand="0" w:evenVBand="0" w:oddHBand="0" w:evenHBand="0" w:firstRowFirstColumn="0" w:firstRowLastColumn="0" w:lastRowFirstColumn="0" w:lastRowLastColumn="0"/>
              <w:rPr>
                <w:b w:val="0"/>
                <w:bCs/>
              </w:rPr>
            </w:pPr>
            <w:r w:rsidRPr="001461E9">
              <w:rPr>
                <w:b w:val="0"/>
                <w:bCs/>
              </w:rPr>
              <w:t xml:space="preserve">RBWH has centralised patient services including Ward Clerks, Biomedical Technicians. </w:t>
            </w:r>
          </w:p>
        </w:tc>
        <w:tc>
          <w:tcPr>
            <w:tcW w:w="156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6F9DE1D" w14:textId="080FB1C3" w:rsidR="001461E9" w:rsidRPr="001461E9" w:rsidRDefault="001461E9" w:rsidP="001461E9">
            <w:pP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461E9">
              <w:rPr>
                <w:b w:val="0"/>
                <w:bCs/>
              </w:rPr>
              <w:t>These are treated as an overhead. Allocated based on total expenditure. Biomedical costs are allocated to the facility but no</w:t>
            </w:r>
            <w:r w:rsidR="00825565">
              <w:rPr>
                <w:b w:val="0"/>
                <w:bCs/>
              </w:rPr>
              <w:t>t</w:t>
            </w:r>
            <w:r w:rsidRPr="001461E9">
              <w:rPr>
                <w:b w:val="0"/>
                <w:bCs/>
              </w:rPr>
              <w:t xml:space="preserve"> the cost centre, so there is no specific allocation to ICU for ICU-specific equipment maintenance (e.g.</w:t>
            </w:r>
            <w:r w:rsidR="00FD4A73">
              <w:rPr>
                <w:b w:val="0"/>
                <w:bCs/>
              </w:rPr>
              <w:t>,</w:t>
            </w:r>
            <w:r w:rsidRPr="001461E9">
              <w:rPr>
                <w:b w:val="0"/>
                <w:bCs/>
              </w:rPr>
              <w:t xml:space="preserve"> ventilators).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ACADBF9" w14:textId="77777777" w:rsidR="001461E9" w:rsidRPr="001461E9" w:rsidRDefault="001461E9" w:rsidP="001461E9">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461E9">
              <w:rPr>
                <w:rFonts w:ascii="Cambria Math" w:hAnsi="Cambria Math" w:cs="Cambria Math"/>
                <w:b w:val="0"/>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365A657" w14:textId="77777777" w:rsidR="001461E9" w:rsidRPr="001461E9" w:rsidRDefault="001461E9" w:rsidP="001461E9">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461E9">
              <w:rPr>
                <w:b w:val="0"/>
                <w:bCs/>
              </w:rPr>
              <w:t>Critical</w:t>
            </w:r>
          </w:p>
        </w:tc>
      </w:tr>
    </w:tbl>
    <w:p w14:paraId="6FEED90C" w14:textId="77777777" w:rsidR="002323F8" w:rsidRDefault="002323F8" w:rsidP="002323F8"/>
    <w:p w14:paraId="65392C99" w14:textId="303A3AC4" w:rsidR="0065119C" w:rsidRDefault="0065119C" w:rsidP="0065119C">
      <w:pPr>
        <w:pStyle w:val="Caption"/>
        <w:keepNext/>
      </w:pPr>
      <w:r>
        <w:t xml:space="preserve">Table </w:t>
      </w:r>
      <w:r>
        <w:fldChar w:fldCharType="begin"/>
      </w:r>
      <w:r>
        <w:instrText xml:space="preserve"> SEQ Table \* ARABIC </w:instrText>
      </w:r>
      <w:r>
        <w:fldChar w:fldCharType="separate"/>
      </w:r>
      <w:r w:rsidR="00CE6F96">
        <w:rPr>
          <w:noProof/>
        </w:rPr>
        <w:t>21</w:t>
      </w:r>
      <w:r>
        <w:fldChar w:fldCharType="end"/>
      </w:r>
      <w:r>
        <w:t>: Bundaberg Base</w:t>
      </w:r>
      <w:r w:rsidRPr="008B2D13">
        <w:t xml:space="preserve"> Hospital Cost Allocation Methodologies</w:t>
      </w:r>
    </w:p>
    <w:tbl>
      <w:tblPr>
        <w:tblStyle w:val="TableGrid"/>
        <w:tblpPr w:leftFromText="180" w:rightFromText="180" w:vertAnchor="text"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3C2AE1" w14:paraId="07EDB739" w14:textId="77777777">
        <w:tc>
          <w:tcPr>
            <w:tcW w:w="1134" w:type="dxa"/>
            <w:shd w:val="clear" w:color="auto" w:fill="EFF0F7" w:themeFill="accent4" w:themeFillTint="33"/>
            <w:vAlign w:val="center"/>
          </w:tcPr>
          <w:p w14:paraId="5EDCCC9C" w14:textId="77777777" w:rsidR="003C2AE1" w:rsidRPr="00243F63" w:rsidRDefault="003C2AE1">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57A25D8E" w14:textId="77777777" w:rsidR="003C2AE1" w:rsidRDefault="003C2AE1">
            <w:r>
              <w:t>Via patient level feeder system</w:t>
            </w:r>
          </w:p>
        </w:tc>
        <w:tc>
          <w:tcPr>
            <w:tcW w:w="1134" w:type="dxa"/>
            <w:shd w:val="clear" w:color="auto" w:fill="EFF0F7" w:themeFill="accent4" w:themeFillTint="33"/>
            <w:vAlign w:val="center"/>
          </w:tcPr>
          <w:p w14:paraId="0AEBE51C" w14:textId="77777777" w:rsidR="003C2AE1" w:rsidRPr="00243F63" w:rsidRDefault="003C2AE1">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16C11274" w14:textId="77777777" w:rsidR="003C2AE1" w:rsidRDefault="003C2AE1">
            <w:r>
              <w:t>Via weighted RVU, to ICU patients</w:t>
            </w:r>
          </w:p>
        </w:tc>
      </w:tr>
      <w:tr w:rsidR="003C2AE1" w14:paraId="66C915CE" w14:textId="77777777">
        <w:tc>
          <w:tcPr>
            <w:tcW w:w="1134" w:type="dxa"/>
            <w:shd w:val="clear" w:color="auto" w:fill="EFF0F7" w:themeFill="accent4" w:themeFillTint="33"/>
            <w:vAlign w:val="center"/>
          </w:tcPr>
          <w:p w14:paraId="459AB955" w14:textId="77777777" w:rsidR="003C2AE1" w:rsidRDefault="003C2AE1">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5BC4D17C" w14:textId="77777777" w:rsidR="003C2AE1" w:rsidRDefault="003C2AE1">
            <w:r>
              <w:t>Using a standard RVU, to ICU patients</w:t>
            </w:r>
          </w:p>
        </w:tc>
        <w:tc>
          <w:tcPr>
            <w:tcW w:w="1134" w:type="dxa"/>
            <w:shd w:val="clear" w:color="auto" w:fill="EFF0F7" w:themeFill="accent4" w:themeFillTint="33"/>
            <w:vAlign w:val="center"/>
          </w:tcPr>
          <w:p w14:paraId="28A5798F" w14:textId="77777777" w:rsidR="003C2AE1" w:rsidRPr="00243F63" w:rsidRDefault="003C2AE1">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6F3531EC" w14:textId="77777777" w:rsidR="003C2AE1" w:rsidRDefault="003C2AE1">
            <w:r>
              <w:t>Across ICU / non-ICU patients</w:t>
            </w:r>
          </w:p>
        </w:tc>
      </w:tr>
    </w:tbl>
    <w:p w14:paraId="22BE1FD7" w14:textId="77777777" w:rsidR="003C2AE1" w:rsidRDefault="003C2AE1" w:rsidP="003C2AE1"/>
    <w:p w14:paraId="72962578" w14:textId="77777777" w:rsidR="003C2AE1" w:rsidRPr="003C2AE1" w:rsidRDefault="003C2AE1" w:rsidP="003C2AE1"/>
    <w:tbl>
      <w:tblPr>
        <w:tblStyle w:val="ScyneTable"/>
        <w:tblW w:w="4986" w:type="pct"/>
        <w:tblInd w:w="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49"/>
        <w:gridCol w:w="3903"/>
        <w:gridCol w:w="5156"/>
        <w:gridCol w:w="1011"/>
        <w:gridCol w:w="1500"/>
      </w:tblGrid>
      <w:tr w:rsidR="002323F8" w:rsidRPr="00F0724D" w14:paraId="0B0BB71C" w14:textId="77777777" w:rsidTr="0065119C">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7C639582" w14:textId="77777777" w:rsidR="002323F8" w:rsidRPr="00F0724D" w:rsidRDefault="002323F8">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lastRenderedPageBreak/>
              <w:t>Resources Consumed</w:t>
            </w:r>
          </w:p>
        </w:tc>
        <w:tc>
          <w:tcPr>
            <w:tcW w:w="140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136BA3A0" w14:textId="77777777" w:rsidR="002323F8" w:rsidRPr="00F0724D" w:rsidRDefault="002323F8">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85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2370ED4B" w14:textId="77777777" w:rsidR="002323F8" w:rsidRPr="00F0724D" w:rsidRDefault="002323F8">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3E4C2A9E" w14:textId="77777777" w:rsidR="002323F8" w:rsidRPr="00F0724D" w:rsidRDefault="002323F8">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Pr>
                <w:rFonts w:ascii="Avenir Next LT Pro Demi" w:hAnsi="Avenir Next LT Pro Demi"/>
                <w:b w:val="0"/>
                <w:bCs/>
                <w:sz w:val="20"/>
              </w:rPr>
              <w:t xml:space="preserve">Critical </w:t>
            </w:r>
            <w:r w:rsidRPr="00F0724D">
              <w:rPr>
                <w:rFonts w:ascii="Avenir Next LT Pro Demi" w:hAnsi="Avenir Next LT Pro Demi"/>
                <w:b w:val="0"/>
                <w:bCs/>
                <w:sz w:val="20"/>
              </w:rPr>
              <w:t>Cost Centre Group</w:t>
            </w:r>
          </w:p>
        </w:tc>
      </w:tr>
      <w:tr w:rsidR="002323F8" w:rsidRPr="00F0724D" w14:paraId="54F38469"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5B7C5A21" w14:textId="40F4387C" w:rsidR="002323F8" w:rsidRPr="0074004F" w:rsidRDefault="00D623B5">
            <w:pPr>
              <w:rPr>
                <w:rFonts w:asciiTheme="minorHAnsi" w:hAnsiTheme="minorHAnsi"/>
              </w:rPr>
            </w:pPr>
            <w:r>
              <w:rPr>
                <w:rFonts w:asciiTheme="minorHAnsi" w:hAnsiTheme="minorHAnsi"/>
              </w:rPr>
              <w:t xml:space="preserve">Nursing </w:t>
            </w:r>
            <w:r w:rsidR="002323F8" w:rsidRPr="0074004F">
              <w:rPr>
                <w:rFonts w:asciiTheme="minorHAnsi" w:hAnsiTheme="minorHAnsi"/>
              </w:rPr>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DC300B8" w14:textId="2C16D82A" w:rsidR="002323F8" w:rsidRPr="0074004F" w:rsidRDefault="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44546A" w:themeColor="text2"/>
              </w:rPr>
            </w:pPr>
            <w:r w:rsidRPr="0074004F">
              <w:rPr>
                <w:rFonts w:asciiTheme="minorHAnsi" w:hAnsiTheme="minorHAnsi"/>
                <w:color w:val="44546A" w:themeColor="text2"/>
              </w:rPr>
              <w:t xml:space="preserve">ICU includes </w:t>
            </w:r>
            <w:r w:rsidR="001620B0">
              <w:rPr>
                <w:rFonts w:asciiTheme="minorHAnsi" w:hAnsiTheme="minorHAnsi"/>
                <w:color w:val="44546A" w:themeColor="text2"/>
              </w:rPr>
              <w:t xml:space="preserve">approximately </w:t>
            </w:r>
            <w:r w:rsidRPr="0074004F">
              <w:rPr>
                <w:rFonts w:asciiTheme="minorHAnsi" w:hAnsiTheme="minorHAnsi"/>
                <w:color w:val="44546A" w:themeColor="text2"/>
              </w:rPr>
              <w:t>31 nursing FTE across a range of grades</w:t>
            </w:r>
            <w:r w:rsidR="00027929">
              <w:rPr>
                <w:rFonts w:asciiTheme="minorHAnsi" w:hAnsiTheme="minorHAnsi"/>
                <w:color w:val="44546A" w:themeColor="text2"/>
              </w:rPr>
              <w:t xml:space="preserve">: </w:t>
            </w:r>
            <w:r w:rsidRPr="0074004F">
              <w:rPr>
                <w:rFonts w:asciiTheme="minorHAnsi" w:hAnsiTheme="minorHAnsi"/>
                <w:color w:val="44546A" w:themeColor="text2"/>
              </w:rPr>
              <w:t>AIN equipment officer, RNs, CNs plus one Nurse Unit Manager and Clinical Nurse Consultant</w:t>
            </w:r>
            <w:r w:rsidR="004E5BFF">
              <w:rPr>
                <w:rFonts w:asciiTheme="minorHAnsi" w:hAnsiTheme="minorHAnsi"/>
                <w:color w:val="44546A" w:themeColor="text2"/>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CD64796" w14:textId="4D6DAE8D" w:rsidR="0074004F" w:rsidRPr="0074004F" w:rsidRDefault="0074004F" w:rsidP="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Data from the Trendcare nursing acuity system is used to derive RVUs with following assumptions applied: 2 h</w:t>
            </w:r>
            <w:r w:rsidR="001620B0">
              <w:rPr>
                <w:rFonts w:asciiTheme="minorHAnsi" w:hAnsiTheme="minorHAnsi"/>
              </w:rPr>
              <w:t>our</w:t>
            </w:r>
            <w:r w:rsidRPr="0074004F">
              <w:rPr>
                <w:rFonts w:asciiTheme="minorHAnsi" w:hAnsiTheme="minorHAnsi"/>
              </w:rPr>
              <w:t xml:space="preserve">s for admission, 90 </w:t>
            </w:r>
            <w:r w:rsidR="00BA3787">
              <w:rPr>
                <w:rFonts w:asciiTheme="minorHAnsi" w:hAnsiTheme="minorHAnsi"/>
              </w:rPr>
              <w:t>minutes</w:t>
            </w:r>
            <w:r w:rsidRPr="0074004F">
              <w:rPr>
                <w:rFonts w:asciiTheme="minorHAnsi" w:hAnsiTheme="minorHAnsi"/>
              </w:rPr>
              <w:t xml:space="preserve"> for discharge, 2 h</w:t>
            </w:r>
            <w:r w:rsidR="001620B0">
              <w:rPr>
                <w:rFonts w:asciiTheme="minorHAnsi" w:hAnsiTheme="minorHAnsi"/>
              </w:rPr>
              <w:t>ou</w:t>
            </w:r>
            <w:r w:rsidRPr="0074004F">
              <w:rPr>
                <w:rFonts w:asciiTheme="minorHAnsi" w:hAnsiTheme="minorHAnsi"/>
              </w:rPr>
              <w:t>rs for a transfer, plus ratio-based care.</w:t>
            </w:r>
          </w:p>
          <w:p w14:paraId="3385027C" w14:textId="47508CB2" w:rsidR="0074004F" w:rsidRPr="0074004F" w:rsidRDefault="0074004F" w:rsidP="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Uplifts are applied for penalty loading</w:t>
            </w:r>
            <w:r>
              <w:rPr>
                <w:rFonts w:asciiTheme="minorHAnsi" w:hAnsiTheme="minorHAnsi"/>
              </w:rPr>
              <w:t xml:space="preserve"> –</w:t>
            </w:r>
            <w:r w:rsidRPr="0074004F">
              <w:rPr>
                <w:rFonts w:asciiTheme="minorHAnsi" w:hAnsiTheme="minorHAnsi"/>
              </w:rPr>
              <w:t xml:space="preserve"> e.g.</w:t>
            </w:r>
            <w:r>
              <w:rPr>
                <w:rFonts w:asciiTheme="minorHAnsi" w:hAnsiTheme="minorHAnsi"/>
              </w:rPr>
              <w:t>,</w:t>
            </w:r>
            <w:r w:rsidRPr="0074004F">
              <w:rPr>
                <w:rFonts w:asciiTheme="minorHAnsi" w:hAnsiTheme="minorHAnsi"/>
              </w:rPr>
              <w:t xml:space="preserve"> 1 for day shift, 1.125 for evening, 1.2 for night.</w:t>
            </w:r>
          </w:p>
          <w:p w14:paraId="228E99D3" w14:textId="6C7B3E28" w:rsidR="002323F8" w:rsidRPr="0074004F" w:rsidRDefault="0074004F" w:rsidP="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RVUs are updated every year following clinical consultation.</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3B00B05"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3A390B7"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Critical</w:t>
            </w:r>
          </w:p>
        </w:tc>
      </w:tr>
      <w:tr w:rsidR="002323F8" w:rsidRPr="00F0724D" w14:paraId="421F5E34"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D2B985F" w14:textId="7427CCE1" w:rsidR="002323F8" w:rsidRPr="0074004F" w:rsidRDefault="00D623B5">
            <w:pPr>
              <w:rPr>
                <w:rFonts w:asciiTheme="minorHAnsi" w:hAnsiTheme="minorHAnsi"/>
              </w:rPr>
            </w:pPr>
            <w:r>
              <w:rPr>
                <w:rFonts w:asciiTheme="minorHAnsi" w:hAnsiTheme="minorHAnsi"/>
              </w:rPr>
              <w:t xml:space="preserve">Allied Health </w:t>
            </w:r>
            <w:r w:rsidR="002323F8" w:rsidRPr="0074004F">
              <w:rPr>
                <w:rFonts w:asciiTheme="minorHAnsi" w:hAnsiTheme="minorHAnsi"/>
              </w:rPr>
              <w:t>S&amp;W</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5B65ABD" w14:textId="330A98B8"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There is a dedicated part of an FTE for pharmacy and other Allied Health specialties are on a referral basis.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FC3F473" w14:textId="4763975C"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 xml:space="preserve">Allied health practitioners log activities on PI5 system, based on </w:t>
            </w:r>
            <w:r w:rsidR="002323F8" w:rsidRPr="0074004F">
              <w:rPr>
                <w:rFonts w:asciiTheme="minorHAnsi" w:hAnsiTheme="minorHAnsi"/>
              </w:rPr>
              <w:t>profession</w:t>
            </w:r>
            <w:r w:rsidRPr="0074004F">
              <w:rPr>
                <w:rFonts w:asciiTheme="minorHAnsi" w:hAnsiTheme="minorHAnsi"/>
              </w:rPr>
              <w:t>. Where they have an allocation to each ward, this is</w:t>
            </w:r>
            <w:r w:rsidR="002323F8" w:rsidRPr="0074004F">
              <w:rPr>
                <w:rFonts w:asciiTheme="minorHAnsi" w:hAnsiTheme="minorHAnsi"/>
              </w:rPr>
              <w:t xml:space="preserve"> allocated to </w:t>
            </w:r>
            <w:r w:rsidRPr="0074004F">
              <w:rPr>
                <w:rFonts w:asciiTheme="minorHAnsi" w:hAnsiTheme="minorHAnsi"/>
              </w:rPr>
              <w:t>a bed day product for ICU and these costs will go to ICU</w:t>
            </w:r>
            <w:r w:rsidR="002323F8" w:rsidRPr="0074004F">
              <w:rPr>
                <w:rFonts w:asciiTheme="minorHAnsi" w:hAnsiTheme="minorHAnsi"/>
              </w:rPr>
              <w:t xml:space="preserve"> patients </w:t>
            </w:r>
            <w:r w:rsidRPr="0074004F">
              <w:rPr>
                <w:rFonts w:asciiTheme="minorHAnsi" w:hAnsiTheme="minorHAnsi"/>
              </w:rPr>
              <w:t xml:space="preserve">in the </w:t>
            </w:r>
            <w:r w:rsidR="00A80656" w:rsidRPr="00AD1F32">
              <w:rPr>
                <w:rFonts w:asciiTheme="minorHAnsi" w:hAnsiTheme="minorHAnsi"/>
                <w:i/>
                <w:iCs/>
              </w:rPr>
              <w:t>Allied</w:t>
            </w:r>
            <w:r w:rsidR="00A80656">
              <w:rPr>
                <w:rFonts w:asciiTheme="minorHAnsi" w:hAnsiTheme="minorHAnsi"/>
              </w:rPr>
              <w:t xml:space="preserve"> </w:t>
            </w:r>
            <w:r w:rsidR="003C5724">
              <w:rPr>
                <w:rFonts w:asciiTheme="minorHAnsi" w:hAnsiTheme="minorHAnsi"/>
              </w:rPr>
              <w:t>NHCDC Cost Centre.</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B85E047" w14:textId="77777777" w:rsidR="002323F8" w:rsidRPr="0074004F" w:rsidRDefault="002323F8" w:rsidP="0074004F">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14:paraId="69F9F169" w14:textId="77777777" w:rsidR="002323F8" w:rsidRPr="0074004F" w:rsidRDefault="002323F8">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Math"/>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4AF3F62"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Allied</w:t>
            </w:r>
          </w:p>
        </w:tc>
      </w:tr>
      <w:tr w:rsidR="002323F8" w:rsidRPr="00F0724D" w14:paraId="324ED1EF"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86DD54B" w14:textId="35EBB9CB" w:rsidR="002323F8" w:rsidRPr="0074004F" w:rsidRDefault="00D623B5">
            <w:pPr>
              <w:rPr>
                <w:rFonts w:asciiTheme="minorHAnsi" w:hAnsiTheme="minorHAnsi"/>
              </w:rPr>
            </w:pPr>
            <w:r>
              <w:rPr>
                <w:rFonts w:asciiTheme="minorHAnsi" w:hAnsiTheme="minorHAnsi"/>
              </w:rPr>
              <w:t xml:space="preserve">Other </w:t>
            </w:r>
            <w:r w:rsidR="002323F8" w:rsidRPr="0074004F">
              <w:rPr>
                <w:rFonts w:asciiTheme="minorHAnsi" w:hAnsiTheme="minorHAnsi"/>
              </w:rPr>
              <w:t xml:space="preserve">S&amp;W </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89C875F" w14:textId="71DCE0AD"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1 ward clerk.</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8021B48" w14:textId="069400DC"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 xml:space="preserve">These costs are </w:t>
            </w:r>
            <w:r w:rsidRPr="00B54383">
              <w:rPr>
                <w:rFonts w:asciiTheme="minorHAnsi" w:hAnsiTheme="minorHAnsi"/>
              </w:rPr>
              <w:t>allocated to a specific Department</w:t>
            </w:r>
            <w:r w:rsidRPr="0074004F" w:rsidDel="00EF7E55">
              <w:rPr>
                <w:rFonts w:asciiTheme="minorHAnsi" w:hAnsiTheme="minorHAnsi"/>
              </w:rPr>
              <w:t xml:space="preserve"> </w:t>
            </w:r>
            <w:r w:rsidRPr="0074004F">
              <w:rPr>
                <w:rFonts w:asciiTheme="minorHAnsi" w:hAnsiTheme="minorHAnsi"/>
              </w:rPr>
              <w:t>and applied to the patient based on a weighting derived from the nursing RVU.</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3DD75D8"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1FEAD65"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Critical</w:t>
            </w:r>
          </w:p>
        </w:tc>
      </w:tr>
      <w:tr w:rsidR="002323F8" w:rsidRPr="00F0724D" w14:paraId="475C3D54"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4D89A4A" w14:textId="03CE3077" w:rsidR="002323F8" w:rsidRPr="0074004F" w:rsidRDefault="00D623B5">
            <w:pPr>
              <w:rPr>
                <w:rFonts w:asciiTheme="minorHAnsi" w:hAnsiTheme="minorHAnsi"/>
              </w:rPr>
            </w:pPr>
            <w:r>
              <w:rPr>
                <w:rFonts w:asciiTheme="minorHAnsi" w:hAnsiTheme="minorHAnsi"/>
              </w:rPr>
              <w:t xml:space="preserve">Medical </w:t>
            </w:r>
            <w:r w:rsidR="002323F8" w:rsidRPr="0074004F">
              <w:rPr>
                <w:rFonts w:asciiTheme="minorHAnsi" w:hAnsiTheme="minorHAnsi"/>
              </w:rPr>
              <w:t>S&amp;W (&amp; VMO)</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9529D86" w14:textId="508E26CA"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 xml:space="preserve">The medical establishment comprises </w:t>
            </w:r>
            <w:r w:rsidR="001620B0">
              <w:rPr>
                <w:rFonts w:asciiTheme="minorHAnsi" w:hAnsiTheme="minorHAnsi"/>
              </w:rPr>
              <w:t xml:space="preserve">approximately </w:t>
            </w:r>
            <w:r w:rsidRPr="0074004F">
              <w:rPr>
                <w:rFonts w:asciiTheme="minorHAnsi" w:hAnsiTheme="minorHAnsi"/>
              </w:rPr>
              <w:t>13 FTE: 3.7 FTE senior medical staff (including locums), 1.79 RMO (shared with anaesthetics</w:t>
            </w:r>
            <w:r w:rsidR="00041158">
              <w:rPr>
                <w:rFonts w:asciiTheme="minorHAnsi" w:hAnsiTheme="minorHAnsi"/>
              </w:rPr>
              <w:t>)</w:t>
            </w:r>
            <w:r>
              <w:rPr>
                <w:rFonts w:asciiTheme="minorHAnsi" w:hAnsiTheme="minorHAnsi"/>
              </w:rPr>
              <w:t>,</w:t>
            </w:r>
            <w:r w:rsidRPr="0074004F">
              <w:rPr>
                <w:rFonts w:asciiTheme="minorHAnsi" w:hAnsiTheme="minorHAnsi"/>
              </w:rPr>
              <w:t xml:space="preserve"> and 7 FTE Registrars</w:t>
            </w:r>
            <w:r w:rsidR="001620B0">
              <w:rPr>
                <w:rFonts w:asciiTheme="minorHAnsi" w:hAnsiTheme="minorHAnsi"/>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5492583" w14:textId="77777777" w:rsidR="003E6FC3" w:rsidRPr="003E6FC3" w:rsidRDefault="003E6FC3" w:rsidP="003E6FC3">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E6FC3">
              <w:rPr>
                <w:rFonts w:asciiTheme="minorHAnsi" w:hAnsiTheme="minorHAnsi"/>
              </w:rPr>
              <w:t>The following assumptions are applied to allocate medical S&amp;W across ICU: 60 mins to each patient for admission / transfer out; 60 mins for discharge plus</w:t>
            </w:r>
          </w:p>
          <w:p w14:paraId="6171F904" w14:textId="20EC8A21" w:rsidR="002323F8" w:rsidRPr="0074004F" w:rsidRDefault="003E6FC3">
            <w:pP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3E6FC3">
              <w:rPr>
                <w:rFonts w:asciiTheme="minorHAnsi" w:hAnsiTheme="minorHAnsi"/>
              </w:rPr>
              <w:t>4 hrs per ICU bed day</w:t>
            </w:r>
            <w:r w:rsidR="00041158">
              <w:rPr>
                <w:rFonts w:asciiTheme="minorHAnsi" w:hAnsiTheme="minorHAnsi"/>
              </w:rP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C6AF866"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EC85B1C" w14:textId="11936A02" w:rsidR="002323F8" w:rsidRPr="0074004F" w:rsidRDefault="0074004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Critical / Clinical</w:t>
            </w:r>
          </w:p>
        </w:tc>
      </w:tr>
      <w:tr w:rsidR="002323F8" w:rsidRPr="00F0724D" w14:paraId="1975C23A"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8A99888" w14:textId="77777777" w:rsidR="002323F8" w:rsidRPr="0074004F" w:rsidRDefault="002323F8">
            <w:pPr>
              <w:rPr>
                <w:rFonts w:asciiTheme="minorHAnsi" w:hAnsiTheme="minorHAnsi"/>
              </w:rPr>
            </w:pPr>
            <w:r w:rsidRPr="0074004F">
              <w:rPr>
                <w:rFonts w:asciiTheme="minorHAnsi" w:hAnsiTheme="minorHAnsi"/>
              </w:rPr>
              <w:t>Consumables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D4D6B27" w14:textId="33B24158"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Includes</w:t>
            </w:r>
            <w:r w:rsidR="002323F8" w:rsidRPr="0074004F">
              <w:rPr>
                <w:rFonts w:asciiTheme="minorHAnsi" w:hAnsiTheme="minorHAnsi"/>
              </w:rPr>
              <w:t xml:space="preserve"> medical supplies, </w:t>
            </w:r>
            <w:r w:rsidRPr="0074004F">
              <w:rPr>
                <w:rFonts w:asciiTheme="minorHAnsi" w:hAnsiTheme="minorHAnsi"/>
              </w:rPr>
              <w:t>goods &amp; services</w:t>
            </w:r>
            <w:r w:rsidR="002323F8" w:rsidRPr="0074004F">
              <w:rPr>
                <w:rFonts w:asciiTheme="minorHAnsi" w:hAnsiTheme="minorHAnsi"/>
              </w:rPr>
              <w:t xml:space="preserve"> expenses including lines, </w:t>
            </w:r>
            <w:r w:rsidR="002323F8" w:rsidRPr="0074004F">
              <w:rPr>
                <w:rFonts w:asciiTheme="minorHAnsi" w:hAnsiTheme="minorHAnsi"/>
              </w:rPr>
              <w:lastRenderedPageBreak/>
              <w:t>neuromonitoring and cardiac support devices.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E149786" w14:textId="0105E395"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lastRenderedPageBreak/>
              <w:t xml:space="preserve">These costs are </w:t>
            </w:r>
            <w:r w:rsidRPr="00B54383">
              <w:rPr>
                <w:rFonts w:asciiTheme="minorHAnsi" w:hAnsiTheme="minorHAnsi"/>
              </w:rPr>
              <w:t>allocated to a specific Department</w:t>
            </w:r>
            <w:r w:rsidRPr="0074004F" w:rsidDel="00EF7E55">
              <w:rPr>
                <w:rFonts w:asciiTheme="minorHAnsi" w:hAnsiTheme="minorHAnsi"/>
              </w:rPr>
              <w:t xml:space="preserve"> </w:t>
            </w:r>
            <w:r w:rsidRPr="0074004F">
              <w:rPr>
                <w:rFonts w:asciiTheme="minorHAnsi" w:hAnsiTheme="minorHAnsi"/>
              </w:rPr>
              <w:t>and applied to the patient based on a weighting derived from the nursing RVU.</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705E025" w14:textId="77777777" w:rsidR="002323F8" w:rsidRPr="001D7F2E"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774DE02"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Critical</w:t>
            </w:r>
          </w:p>
        </w:tc>
      </w:tr>
      <w:tr w:rsidR="002323F8" w:rsidRPr="00F0724D" w14:paraId="58B21CF6"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5A8FA32" w14:textId="77777777" w:rsidR="002323F8" w:rsidRPr="0074004F" w:rsidRDefault="002323F8">
            <w:pPr>
              <w:rPr>
                <w:rFonts w:asciiTheme="minorHAnsi" w:hAnsiTheme="minorHAnsi"/>
              </w:rPr>
            </w:pPr>
            <w:r w:rsidRPr="0074004F">
              <w:rPr>
                <w:rFonts w:asciiTheme="minorHAnsi" w:hAnsiTheme="minorHAnsi"/>
              </w:rPr>
              <w:t>Imaging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E9322CF" w14:textId="431A86CA"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Provided by Bundaberg Hospital</w:t>
            </w:r>
            <w:r w:rsidR="004B51B1">
              <w:rPr>
                <w:rFonts w:asciiTheme="minorHAnsi" w:hAnsiTheme="minorHAnsi"/>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DAB4672" w14:textId="66A4609B" w:rsidR="002323F8" w:rsidRPr="0074004F" w:rsidRDefault="0037398A">
            <w:pP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37398A">
              <w:rPr>
                <w:rFonts w:asciiTheme="minorHAnsi" w:hAnsiTheme="minorHAnsi"/>
              </w:rPr>
              <w:t>Based on time based RVUs for each imaging test, and each imaging test is linked back to the patient using patient level feeder data.</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EBA8F28"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sz w:val="32"/>
                <w:szCs w:val="32"/>
              </w:rPr>
            </w:pPr>
            <w:r w:rsidRPr="00EB20D0">
              <w:rPr>
                <w:rFonts w:ascii="Arial" w:hAnsi="Arial" w:cs="Arial" w:hint="eastAsia"/>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612C23B" w14:textId="77777777" w:rsidR="002323F8" w:rsidRPr="0074004F" w:rsidRDefault="002323F8" w:rsidP="002F4E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Imaging</w:t>
            </w:r>
          </w:p>
        </w:tc>
      </w:tr>
      <w:tr w:rsidR="002323F8" w:rsidRPr="00F0724D" w14:paraId="74364FFB"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40DE6CE" w14:textId="77777777" w:rsidR="002323F8" w:rsidRPr="0074004F" w:rsidRDefault="002323F8">
            <w:pPr>
              <w:rPr>
                <w:rFonts w:asciiTheme="minorHAnsi" w:hAnsiTheme="minorHAnsi"/>
              </w:rPr>
            </w:pPr>
            <w:r w:rsidRPr="0074004F">
              <w:rPr>
                <w:rFonts w:asciiTheme="minorHAnsi" w:hAnsiTheme="minorHAnsi"/>
              </w:rPr>
              <w:t>Pathology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45C33B7" w14:textId="1BDEEC51" w:rsidR="002323F8" w:rsidRPr="0074004F" w:rsidRDefault="002323F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 xml:space="preserve">AusLabs for Pathology run by Queensland </w:t>
            </w:r>
            <w:r w:rsidR="0074004F" w:rsidRPr="0074004F">
              <w:rPr>
                <w:rFonts w:asciiTheme="minorHAnsi" w:hAnsiTheme="minorHAnsi"/>
              </w:rPr>
              <w:t>Health</w:t>
            </w:r>
            <w:r w:rsidRPr="0074004F">
              <w:rPr>
                <w:rFonts w:asciiTheme="minorHAnsi" w:hAnsiTheme="minorHAnsi"/>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CA70051" w14:textId="613A2874" w:rsidR="0074004F" w:rsidRPr="0074004F" w:rsidRDefault="0074004F" w:rsidP="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Reclassed to Pathology cost area</w:t>
            </w:r>
            <w:r w:rsidR="00091297">
              <w:rPr>
                <w:rFonts w:asciiTheme="minorHAnsi" w:hAnsiTheme="minorHAnsi"/>
              </w:rPr>
              <w:t>.</w:t>
            </w:r>
          </w:p>
          <w:p w14:paraId="4038ED3D" w14:textId="1DC3ECEF" w:rsidR="002323F8" w:rsidRPr="0074004F" w:rsidRDefault="002323F8">
            <w:pP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Costs that come through are the unit charges that apply from the pathology department, based on the unit price per test, specific to location</w:t>
            </w:r>
            <w:r w:rsidR="0074004F" w:rsidRPr="0074004F">
              <w:rPr>
                <w:rFonts w:asciiTheme="minorHAnsi" w:hAnsiTheme="minorHAnsi"/>
              </w:rPr>
              <w:t xml:space="preserve"> / </w:t>
            </w:r>
            <w:r w:rsidRPr="0074004F">
              <w:rPr>
                <w:rFonts w:asciiTheme="minorHAnsi" w:hAnsiTheme="minorHAnsi"/>
              </w:rPr>
              <w:t xml:space="preserve">facility. </w:t>
            </w:r>
            <w:r w:rsidR="0074004F" w:rsidRPr="0074004F">
              <w:rPr>
                <w:rFonts w:asciiTheme="minorHAnsi" w:hAnsiTheme="minorHAnsi"/>
              </w:rPr>
              <w:t>Cost recovery model.</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2F21D5E" w14:textId="77777777" w:rsidR="002323F8" w:rsidRPr="0074004F" w:rsidRDefault="002323F8" w:rsidP="0074004F">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EB20D0">
              <w:rPr>
                <w:rFonts w:ascii="Arial" w:hAnsi="Arial" w:cs="Arial" w:hint="eastAsia"/>
                <w:sz w:val="32"/>
                <w:szCs w:val="32"/>
              </w:rPr>
              <w:t>●</w:t>
            </w:r>
          </w:p>
          <w:p w14:paraId="7D5D81AD"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sz w:val="32"/>
                <w:szCs w:val="32"/>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744C496" w14:textId="77777777" w:rsidR="002323F8" w:rsidRPr="0074004F" w:rsidRDefault="002323F8" w:rsidP="002F4E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Pathology</w:t>
            </w:r>
          </w:p>
        </w:tc>
      </w:tr>
      <w:tr w:rsidR="002323F8" w:rsidRPr="00F0724D" w14:paraId="07CE8749"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2A757CD" w14:textId="77777777" w:rsidR="002323F8" w:rsidRPr="0074004F" w:rsidRDefault="002323F8">
            <w:pPr>
              <w:rPr>
                <w:rFonts w:asciiTheme="minorHAnsi" w:hAnsiTheme="minorHAnsi"/>
              </w:rPr>
            </w:pPr>
            <w:r w:rsidRPr="0074004F">
              <w:rPr>
                <w:rFonts w:asciiTheme="minorHAnsi" w:hAnsiTheme="minorHAnsi"/>
              </w:rPr>
              <w:t>Pharmacy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A0ED5AD" w14:textId="77777777" w:rsidR="0074004F" w:rsidRPr="0074004F" w:rsidRDefault="002323F8" w:rsidP="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 xml:space="preserve">In ICU an electronic pharmacy system is in place </w:t>
            </w:r>
            <w:r w:rsidR="0074004F" w:rsidRPr="0074004F">
              <w:rPr>
                <w:rFonts w:asciiTheme="minorHAnsi" w:hAnsiTheme="minorHAnsi"/>
              </w:rPr>
              <w:t xml:space="preserve">(iPharmacy) </w:t>
            </w:r>
            <w:r w:rsidRPr="0074004F">
              <w:rPr>
                <w:rFonts w:asciiTheme="minorHAnsi" w:hAnsiTheme="minorHAnsi"/>
              </w:rPr>
              <w:t>and dispensed drugs are held in a pharmacy cost centre</w:t>
            </w:r>
            <w:r w:rsidR="0074004F" w:rsidRPr="0074004F">
              <w:rPr>
                <w:rFonts w:asciiTheme="minorHAnsi" w:hAnsiTheme="minorHAnsi"/>
              </w:rPr>
              <w:t>.</w:t>
            </w:r>
          </w:p>
          <w:p w14:paraId="48E04AFC" w14:textId="7B35CD38" w:rsidR="002323F8" w:rsidRPr="0074004F" w:rsidRDefault="002323F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6284344" w14:textId="691C18F3" w:rsidR="0074004F" w:rsidRPr="0074004F" w:rsidRDefault="0074004F" w:rsidP="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 xml:space="preserve">Dispensed drugs are allocated at the patient level from a feeder system, with unlinked costs costed to unable to be submitted in the NHCDC as there is no corresponding submitted ABF </w:t>
            </w:r>
            <w:r w:rsidR="00B80259">
              <w:rPr>
                <w:rFonts w:asciiTheme="minorHAnsi" w:hAnsiTheme="minorHAnsi"/>
              </w:rPr>
              <w:t>a</w:t>
            </w:r>
            <w:r w:rsidRPr="0074004F">
              <w:rPr>
                <w:rFonts w:asciiTheme="minorHAnsi" w:hAnsiTheme="minorHAnsi"/>
              </w:rPr>
              <w:t>ctivity record to match to.</w:t>
            </w:r>
            <w:r w:rsidRPr="0074004F">
              <w:rPr>
                <w:rFonts w:asciiTheme="minorHAnsi" w:hAnsiTheme="minorHAnsi" w:cs="Segoe UI"/>
                <w:color w:val="484B5D"/>
                <w:sz w:val="18"/>
                <w:szCs w:val="18"/>
              </w:rPr>
              <w:t xml:space="preserve"> </w:t>
            </w:r>
            <w:r w:rsidRPr="0074004F">
              <w:rPr>
                <w:rFonts w:asciiTheme="minorHAnsi" w:hAnsiTheme="minorHAnsi"/>
              </w:rPr>
              <w:t>Imprest drugs are spread to all ICU patients.</w:t>
            </w:r>
          </w:p>
          <w:p w14:paraId="18F0AE76" w14:textId="51A92D04"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 xml:space="preserve"> </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461A322" w14:textId="77777777" w:rsidR="002323F8" w:rsidRPr="0074004F" w:rsidRDefault="002323F8" w:rsidP="0074004F">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Math"/>
              </w:rPr>
            </w:pPr>
            <w:r w:rsidRPr="00EB20D0">
              <w:rPr>
                <w:rFonts w:ascii="Arial" w:hAnsi="Arial" w:cs="Arial" w:hint="eastAsia"/>
                <w:sz w:val="32"/>
                <w:szCs w:val="32"/>
              </w:rPr>
              <w:t>●</w:t>
            </w:r>
            <w:r w:rsidRPr="0074004F">
              <w:rPr>
                <w:rFonts w:asciiTheme="minorHAnsi" w:hAnsiTheme="minorHAnsi" w:cs="Arial"/>
                <w:sz w:val="32"/>
                <w:szCs w:val="32"/>
              </w:rPr>
              <w:t xml:space="preserve"> / </w:t>
            </w:r>
            <w:r w:rsidRPr="00EB20D0">
              <w:rPr>
                <w:rFonts w:ascii="Cambria Math" w:hAnsi="Cambria Math" w:cs="Cambria Math"/>
              </w:rPr>
              <w:t>◑</w:t>
            </w:r>
          </w:p>
          <w:p w14:paraId="10BC3E06" w14:textId="77777777" w:rsidR="002323F8" w:rsidRPr="0074004F" w:rsidRDefault="002323F8">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4A1D2E" w14:textId="77777777" w:rsidR="0074004F" w:rsidRDefault="0074004F" w:rsidP="002F4E2C">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Pharmacy</w:t>
            </w:r>
          </w:p>
          <w:p w14:paraId="64A026AC" w14:textId="266111CF" w:rsidR="001620B0" w:rsidRPr="0074004F" w:rsidRDefault="001620B0" w:rsidP="002F4E2C">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(dispensed)</w:t>
            </w:r>
          </w:p>
          <w:p w14:paraId="7E4A69EC" w14:textId="777CD192" w:rsidR="002323F8" w:rsidRPr="0074004F" w:rsidRDefault="002323F8" w:rsidP="00B54383">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 xml:space="preserve">Critical </w:t>
            </w:r>
            <w:r w:rsidR="001620B0">
              <w:rPr>
                <w:rFonts w:asciiTheme="minorHAnsi" w:hAnsiTheme="minorHAnsi"/>
              </w:rPr>
              <w:t>(</w:t>
            </w:r>
            <w:r w:rsidRPr="0074004F">
              <w:rPr>
                <w:rFonts w:asciiTheme="minorHAnsi" w:hAnsiTheme="minorHAnsi"/>
              </w:rPr>
              <w:t>imprest)</w:t>
            </w:r>
          </w:p>
        </w:tc>
      </w:tr>
      <w:tr w:rsidR="002323F8" w:rsidRPr="00F0724D" w14:paraId="2B2A9DA0" w14:textId="77777777" w:rsidTr="0065119C">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928BB70" w14:textId="77777777" w:rsidR="002323F8" w:rsidRPr="0074004F" w:rsidRDefault="002323F8">
            <w:pPr>
              <w:rPr>
                <w:rFonts w:asciiTheme="minorHAnsi" w:hAnsiTheme="minorHAnsi"/>
              </w:rPr>
            </w:pPr>
            <w:r w:rsidRPr="0074004F">
              <w:rPr>
                <w:rFonts w:asciiTheme="minorHAnsi" w:hAnsiTheme="minorHAnsi"/>
              </w:rPr>
              <w:t>Hotel</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AAB68D7" w14:textId="3BD02491"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Includes linen, cleaning. The majority of food costs remain centrally.</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2A0848C" w14:textId="77777777" w:rsidR="0074004F" w:rsidRPr="0074004F" w:rsidRDefault="0074004F" w:rsidP="0074004F">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4004F">
              <w:rPr>
                <w:rFonts w:asciiTheme="minorHAnsi" w:hAnsiTheme="minorHAnsi"/>
              </w:rPr>
              <w:t>Catering, cleaning are classified as direct costs.</w:t>
            </w:r>
          </w:p>
          <w:p w14:paraId="2CE1DFF1" w14:textId="40740439" w:rsidR="002323F8" w:rsidRPr="0074004F" w:rsidRDefault="0074004F">
            <w:pP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Catering – have a service builder in PPM based on a daily charge per day for cleaning, food and security. If they were admitted at night this charge is modified</w:t>
            </w:r>
            <w:r w:rsidR="00D04198">
              <w:rPr>
                <w:rFonts w:asciiTheme="minorHAnsi" w:hAnsiTheme="minorHAnsi"/>
              </w:rPr>
              <w:t xml:space="preserve"> to account for lower catering costs</w:t>
            </w:r>
            <w:r w:rsidRPr="0074004F">
              <w:rPr>
                <w:rFonts w:asciiTheme="minorHAnsi" w:hAnsiTheme="minorHAnsi"/>
              </w:rP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058E03D"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EB20D0">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C9F6D23" w14:textId="77777777" w:rsidR="002323F8" w:rsidRPr="0074004F" w:rsidRDefault="002323F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rPr>
            </w:pPr>
            <w:r w:rsidRPr="0074004F">
              <w:rPr>
                <w:rFonts w:asciiTheme="minorHAnsi" w:hAnsiTheme="minorHAnsi"/>
              </w:rPr>
              <w:t>Critical</w:t>
            </w:r>
          </w:p>
        </w:tc>
      </w:tr>
      <w:tr w:rsidR="002323F8" w:rsidRPr="00F0724D" w14:paraId="16781608" w14:textId="77777777" w:rsidTr="0065119C">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CEDC8A9" w14:textId="77777777" w:rsidR="002323F8" w:rsidRPr="0074004F" w:rsidRDefault="002323F8">
            <w:pPr>
              <w:rPr>
                <w:rFonts w:asciiTheme="minorHAnsi" w:hAnsiTheme="minorHAnsi"/>
                <w:b w:val="0"/>
              </w:rPr>
            </w:pPr>
            <w:r w:rsidRPr="0074004F">
              <w:rPr>
                <w:rFonts w:asciiTheme="minorHAnsi" w:hAnsiTheme="minorHAnsi"/>
                <w:b w:val="0"/>
              </w:rPr>
              <w:t>Overheads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937C473" w14:textId="7D280321" w:rsidR="002323F8" w:rsidRPr="0074004F" w:rsidRDefault="0074004F">
            <w:pPr>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sidRPr="0074004F">
              <w:rPr>
                <w:rFonts w:asciiTheme="minorHAnsi" w:hAnsiTheme="minorHAnsi"/>
                <w:b w:val="0"/>
              </w:rPr>
              <w:t xml:space="preserve">Corporate overheads at Bundaberg </w:t>
            </w:r>
            <w:r w:rsidR="00965E7B">
              <w:rPr>
                <w:rFonts w:asciiTheme="minorHAnsi" w:hAnsiTheme="minorHAnsi"/>
                <w:b w:val="0"/>
              </w:rPr>
              <w:t>Base</w:t>
            </w:r>
            <w:r w:rsidR="00965E7B" w:rsidRPr="0074004F">
              <w:rPr>
                <w:rFonts w:asciiTheme="minorHAnsi" w:hAnsiTheme="minorHAnsi"/>
                <w:b w:val="0"/>
              </w:rPr>
              <w:t xml:space="preserve"> </w:t>
            </w:r>
            <w:r w:rsidRPr="0074004F">
              <w:rPr>
                <w:rFonts w:asciiTheme="minorHAnsi" w:hAnsiTheme="minorHAnsi"/>
                <w:b w:val="0"/>
              </w:rPr>
              <w:t>Hospital</w:t>
            </w:r>
            <w:r w:rsidR="004B51B1">
              <w:rPr>
                <w:rFonts w:asciiTheme="minorHAnsi" w:hAnsiTheme="minorHAnsi"/>
                <w:b w:val="0"/>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B784D71" w14:textId="7291A5A0" w:rsidR="002323F8" w:rsidRPr="0074004F" w:rsidRDefault="0074004F">
            <w:pPr>
              <w:cnfStyle w:val="010000000000" w:firstRow="0" w:lastRow="1" w:firstColumn="0" w:lastColumn="0" w:oddVBand="0" w:evenVBand="0" w:oddHBand="0" w:evenHBand="0" w:firstRowFirstColumn="0" w:firstRowLastColumn="0" w:lastRowFirstColumn="0" w:lastRowLastColumn="0"/>
              <w:rPr>
                <w:rFonts w:asciiTheme="minorHAnsi" w:hAnsiTheme="minorHAnsi" w:cs="Segoe UI Symbol"/>
                <w:b w:val="0"/>
              </w:rPr>
            </w:pPr>
            <w:r w:rsidRPr="0074004F">
              <w:rPr>
                <w:rFonts w:asciiTheme="minorHAnsi" w:hAnsiTheme="minorHAnsi"/>
                <w:b w:val="0"/>
              </w:rPr>
              <w:t>Use a variety of overhead allocation statistics to allocate these costs (e.g.</w:t>
            </w:r>
            <w:r w:rsidR="00903E55">
              <w:rPr>
                <w:rFonts w:asciiTheme="minorHAnsi" w:hAnsiTheme="minorHAnsi"/>
                <w:b w:val="0"/>
              </w:rPr>
              <w:t>,</w:t>
            </w:r>
            <w:r w:rsidRPr="0074004F">
              <w:rPr>
                <w:rFonts w:asciiTheme="minorHAnsi" w:hAnsiTheme="minorHAnsi"/>
                <w:b w:val="0"/>
              </w:rPr>
              <w:t xml:space="preserve"> </w:t>
            </w:r>
            <w:r w:rsidR="00903E55">
              <w:rPr>
                <w:rFonts w:asciiTheme="minorHAnsi" w:hAnsiTheme="minorHAnsi"/>
                <w:b w:val="0"/>
              </w:rPr>
              <w:t>LOS</w:t>
            </w:r>
            <w:r w:rsidRPr="0074004F">
              <w:rPr>
                <w:rFonts w:asciiTheme="minorHAnsi" w:hAnsiTheme="minorHAnsi"/>
                <w:b w:val="0"/>
              </w:rP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13F9D79" w14:textId="77777777" w:rsidR="002323F8" w:rsidRPr="0074004F" w:rsidRDefault="002323F8">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Segoe UI Symbol"/>
                <w:b w:val="0"/>
              </w:rPr>
            </w:pPr>
            <w:r w:rsidRPr="001461E9">
              <w:rPr>
                <w:rFonts w:ascii="Cambria Math" w:hAnsi="Cambria Math" w:cs="Cambria Math"/>
                <w:b w:val="0"/>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089185B" w14:textId="77777777" w:rsidR="002323F8" w:rsidRPr="0074004F" w:rsidRDefault="002323F8">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Segoe UI Symbol"/>
                <w:b w:val="0"/>
              </w:rPr>
            </w:pPr>
            <w:r w:rsidRPr="0074004F">
              <w:rPr>
                <w:rFonts w:asciiTheme="minorHAnsi" w:hAnsiTheme="minorHAnsi"/>
                <w:b w:val="0"/>
              </w:rPr>
              <w:t>Critical</w:t>
            </w:r>
          </w:p>
        </w:tc>
      </w:tr>
    </w:tbl>
    <w:p w14:paraId="68CBA1FC" w14:textId="7A067354" w:rsidR="004812B9" w:rsidRDefault="00915FE1" w:rsidP="00AD1F32">
      <w:pPr>
        <w:tabs>
          <w:tab w:val="clear" w:pos="5309"/>
        </w:tabs>
        <w:spacing w:line="279" w:lineRule="auto"/>
      </w:pPr>
      <w:r>
        <w:lastRenderedPageBreak/>
        <w:t>Table</w:t>
      </w:r>
      <w:r w:rsidR="004812B9">
        <w:t xml:space="preserve"> </w:t>
      </w:r>
      <w:r>
        <w:fldChar w:fldCharType="begin"/>
      </w:r>
      <w:r>
        <w:instrText xml:space="preserve"> SEQ Table \* ARABIC </w:instrText>
      </w:r>
      <w:r>
        <w:fldChar w:fldCharType="separate"/>
      </w:r>
      <w:r w:rsidR="00CE6F96">
        <w:rPr>
          <w:noProof/>
        </w:rPr>
        <w:t>22</w:t>
      </w:r>
      <w:r>
        <w:fldChar w:fldCharType="end"/>
      </w:r>
      <w:r>
        <w:t>:</w:t>
      </w:r>
      <w:r w:rsidR="004812B9">
        <w:t xml:space="preserve"> Caboolture Hospital Cost Allocation Methodologies</w:t>
      </w:r>
    </w:p>
    <w:tbl>
      <w:tblPr>
        <w:tblStyle w:val="TableGrid"/>
        <w:tblpPr w:leftFromText="180" w:rightFromText="180" w:vertAnchor="text" w:tblpY="139"/>
        <w:tblW w:w="14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2388"/>
        <w:gridCol w:w="4777"/>
        <w:gridCol w:w="2388"/>
        <w:gridCol w:w="4777"/>
      </w:tblGrid>
      <w:tr w:rsidR="00E40B76" w14:paraId="08F84DB7" w14:textId="77777777" w:rsidTr="00EC0C63">
        <w:trPr>
          <w:trHeight w:val="174"/>
        </w:trPr>
        <w:tc>
          <w:tcPr>
            <w:tcW w:w="2388" w:type="dxa"/>
            <w:shd w:val="clear" w:color="auto" w:fill="EFF0F7" w:themeFill="accent4" w:themeFillTint="33"/>
            <w:vAlign w:val="center"/>
          </w:tcPr>
          <w:p w14:paraId="34C2BEF8" w14:textId="77777777" w:rsidR="00E40B76" w:rsidRPr="00243F63" w:rsidRDefault="00E40B76">
            <w:pPr>
              <w:jc w:val="center"/>
              <w:rPr>
                <w:sz w:val="40"/>
                <w:szCs w:val="40"/>
              </w:rPr>
            </w:pPr>
            <w:r w:rsidRPr="00243F63">
              <w:rPr>
                <w:rFonts w:ascii="Arial" w:hAnsi="Arial" w:cs="Arial"/>
                <w:sz w:val="40"/>
                <w:szCs w:val="40"/>
              </w:rPr>
              <w:t>●</w:t>
            </w:r>
          </w:p>
        </w:tc>
        <w:tc>
          <w:tcPr>
            <w:tcW w:w="4777" w:type="dxa"/>
            <w:shd w:val="clear" w:color="auto" w:fill="EFF0F7" w:themeFill="accent4" w:themeFillTint="33"/>
            <w:vAlign w:val="center"/>
          </w:tcPr>
          <w:p w14:paraId="2E24F567" w14:textId="77777777" w:rsidR="00E40B76" w:rsidRDefault="00E40B76">
            <w:r>
              <w:t>Via patient level feeder system</w:t>
            </w:r>
          </w:p>
        </w:tc>
        <w:tc>
          <w:tcPr>
            <w:tcW w:w="2388" w:type="dxa"/>
            <w:shd w:val="clear" w:color="auto" w:fill="EFF0F7" w:themeFill="accent4" w:themeFillTint="33"/>
            <w:vAlign w:val="center"/>
          </w:tcPr>
          <w:p w14:paraId="5AE74AEE" w14:textId="77777777" w:rsidR="00E40B76" w:rsidRPr="00243F63" w:rsidRDefault="00E40B76">
            <w:pPr>
              <w:jc w:val="center"/>
              <w:rPr>
                <w:sz w:val="24"/>
                <w:szCs w:val="24"/>
              </w:rPr>
            </w:pPr>
            <w:r w:rsidRPr="00243F63">
              <w:rPr>
                <w:rFonts w:ascii="Cambria Math" w:hAnsi="Cambria Math" w:cs="Cambria Math"/>
                <w:sz w:val="24"/>
                <w:szCs w:val="24"/>
              </w:rPr>
              <w:t>◕</w:t>
            </w:r>
          </w:p>
        </w:tc>
        <w:tc>
          <w:tcPr>
            <w:tcW w:w="4777" w:type="dxa"/>
            <w:shd w:val="clear" w:color="auto" w:fill="EFF0F7" w:themeFill="accent4" w:themeFillTint="33"/>
            <w:vAlign w:val="center"/>
          </w:tcPr>
          <w:p w14:paraId="7632767B" w14:textId="77777777" w:rsidR="00E40B76" w:rsidRDefault="00E40B76">
            <w:r>
              <w:t>Via weighted RVU, to ICU patients</w:t>
            </w:r>
          </w:p>
        </w:tc>
      </w:tr>
      <w:tr w:rsidR="00E40B76" w14:paraId="12A265DF" w14:textId="77777777" w:rsidTr="00EC0C63">
        <w:trPr>
          <w:trHeight w:val="26"/>
        </w:trPr>
        <w:tc>
          <w:tcPr>
            <w:tcW w:w="2388" w:type="dxa"/>
            <w:shd w:val="clear" w:color="auto" w:fill="EFF0F7" w:themeFill="accent4" w:themeFillTint="33"/>
            <w:vAlign w:val="center"/>
          </w:tcPr>
          <w:p w14:paraId="38CA10DD" w14:textId="77777777" w:rsidR="00E40B76" w:rsidRDefault="00E40B76">
            <w:pPr>
              <w:jc w:val="center"/>
            </w:pPr>
            <w:r w:rsidRPr="00243F63">
              <w:rPr>
                <w:rFonts w:ascii="Cambria Math" w:hAnsi="Cambria Math" w:cs="Cambria Math"/>
                <w:sz w:val="24"/>
                <w:szCs w:val="24"/>
              </w:rPr>
              <w:t>◑</w:t>
            </w:r>
          </w:p>
        </w:tc>
        <w:tc>
          <w:tcPr>
            <w:tcW w:w="4777" w:type="dxa"/>
            <w:shd w:val="clear" w:color="auto" w:fill="EFF0F7" w:themeFill="accent4" w:themeFillTint="33"/>
            <w:vAlign w:val="center"/>
          </w:tcPr>
          <w:p w14:paraId="3AF5CEA5" w14:textId="77777777" w:rsidR="00E40B76" w:rsidRDefault="00E40B76">
            <w:r>
              <w:t>Using a standard RVU, to ICU patients</w:t>
            </w:r>
          </w:p>
        </w:tc>
        <w:tc>
          <w:tcPr>
            <w:tcW w:w="2388" w:type="dxa"/>
            <w:shd w:val="clear" w:color="auto" w:fill="EFF0F7" w:themeFill="accent4" w:themeFillTint="33"/>
            <w:vAlign w:val="center"/>
          </w:tcPr>
          <w:p w14:paraId="03055A0D" w14:textId="77777777" w:rsidR="00E40B76" w:rsidRPr="00243F63" w:rsidRDefault="00E40B76">
            <w:pPr>
              <w:jc w:val="center"/>
              <w:rPr>
                <w:sz w:val="24"/>
                <w:szCs w:val="24"/>
              </w:rPr>
            </w:pPr>
            <w:r w:rsidRPr="00243F63">
              <w:rPr>
                <w:rFonts w:ascii="Cambria Math" w:hAnsi="Cambria Math" w:cs="Cambria Math"/>
                <w:sz w:val="24"/>
                <w:szCs w:val="24"/>
              </w:rPr>
              <w:t>◔</w:t>
            </w:r>
          </w:p>
        </w:tc>
        <w:tc>
          <w:tcPr>
            <w:tcW w:w="4777" w:type="dxa"/>
            <w:shd w:val="clear" w:color="auto" w:fill="EFF0F7" w:themeFill="accent4" w:themeFillTint="33"/>
            <w:vAlign w:val="center"/>
          </w:tcPr>
          <w:p w14:paraId="7F5C4A7C" w14:textId="77777777" w:rsidR="00E40B76" w:rsidRDefault="00E40B76">
            <w:r>
              <w:t>Across ICU / non-ICU patients</w:t>
            </w:r>
          </w:p>
        </w:tc>
      </w:tr>
    </w:tbl>
    <w:p w14:paraId="6F074DB2" w14:textId="77777777" w:rsidR="00915FE1" w:rsidRPr="00915FE1" w:rsidRDefault="00915FE1" w:rsidP="00915FE1"/>
    <w:tbl>
      <w:tblPr>
        <w:tblStyle w:val="ScyneTable"/>
        <w:tblW w:w="4979" w:type="pct"/>
        <w:tblInd w:w="5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47"/>
        <w:gridCol w:w="5116"/>
        <w:gridCol w:w="3929"/>
        <w:gridCol w:w="1009"/>
        <w:gridCol w:w="1498"/>
      </w:tblGrid>
      <w:tr w:rsidR="003964D6" w:rsidRPr="00F0724D" w14:paraId="22A546A1" w14:textId="77777777" w:rsidTr="00EC0C63">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4821EDF7" w14:textId="77777777" w:rsidR="001461E9" w:rsidRPr="00F0724D" w:rsidRDefault="001461E9" w:rsidP="00810693">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t>Resources Consumed</w:t>
            </w:r>
          </w:p>
        </w:tc>
        <w:tc>
          <w:tcPr>
            <w:tcW w:w="1840"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58B30627" w14:textId="77777777" w:rsidR="001461E9" w:rsidRPr="00F0724D" w:rsidRDefault="001461E9" w:rsidP="00810693">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413"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66FFF5CF" w14:textId="77777777" w:rsidR="001461E9" w:rsidRPr="00F0724D" w:rsidRDefault="001461E9" w:rsidP="00810693">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485F8C5" w14:textId="14BE9831" w:rsidR="001461E9" w:rsidRPr="00F0724D" w:rsidRDefault="001461E9" w:rsidP="00810693">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6E0F24">
              <w:rPr>
                <w:rFonts w:ascii="Avenir Next LT Pro Demi" w:hAnsi="Avenir Next LT Pro Demi"/>
                <w:b w:val="0"/>
                <w:bCs/>
                <w:sz w:val="20"/>
              </w:rPr>
              <w:t>Critical</w:t>
            </w:r>
            <w:r w:rsidRPr="00F0724D">
              <w:rPr>
                <w:rFonts w:ascii="Avenir Next LT Pro Demi" w:hAnsi="Avenir Next LT Pro Demi"/>
                <w:b w:val="0"/>
                <w:bCs/>
                <w:sz w:val="20"/>
              </w:rPr>
              <w:t xml:space="preserve"> Cost Centre Group</w:t>
            </w:r>
          </w:p>
        </w:tc>
      </w:tr>
      <w:tr w:rsidR="00034380" w:rsidRPr="00F0724D" w14:paraId="3DC76566"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399356A5" w14:textId="37A0A762" w:rsidR="004812B9" w:rsidRPr="00F0724D" w:rsidRDefault="00D623B5" w:rsidP="004812B9">
            <w:r>
              <w:t xml:space="preserve">Nursing </w:t>
            </w:r>
            <w:r w:rsidR="004812B9">
              <w:t>S&amp;W</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059DCA2" w14:textId="525BD309" w:rsidR="004812B9" w:rsidRPr="00F0724D" w:rsidRDefault="004812B9" w:rsidP="004812B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color w:val="44546A" w:themeColor="text2"/>
              </w:rPr>
            </w:pPr>
            <w:r w:rsidRPr="005D3164">
              <w:rPr>
                <w:color w:val="44546A" w:themeColor="text2"/>
              </w:rPr>
              <w:t xml:space="preserve">Nursing FTE totalled </w:t>
            </w:r>
            <w:r>
              <w:rPr>
                <w:color w:val="44546A" w:themeColor="text2"/>
              </w:rPr>
              <w:t xml:space="preserve">approximately </w:t>
            </w:r>
            <w:r w:rsidRPr="005D3164">
              <w:rPr>
                <w:color w:val="44546A" w:themeColor="text2"/>
              </w:rPr>
              <w:t>35 FTE and included NUM, CNC, Outreach Nurse, Stores Nurse, Clinical Nurse</w:t>
            </w:r>
            <w:r w:rsidR="00FD4A73">
              <w:rPr>
                <w:color w:val="44546A" w:themeColor="text2"/>
              </w:rPr>
              <w:t>,</w:t>
            </w:r>
            <w:r w:rsidRPr="005D3164">
              <w:rPr>
                <w:color w:val="44546A" w:themeColor="text2"/>
              </w:rPr>
              <w:t xml:space="preserve"> and </w:t>
            </w:r>
            <w:r>
              <w:rPr>
                <w:color w:val="44546A" w:themeColor="text2"/>
              </w:rPr>
              <w:t>RNs</w:t>
            </w:r>
            <w:r w:rsidRPr="005D3164">
              <w:rPr>
                <w:color w:val="44546A" w:themeColor="text2"/>
              </w:rPr>
              <w:t>.</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A438CDA" w14:textId="1DA694D7"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t>As per RBWH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C7F6B00"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pPr>
            <w:r w:rsidRPr="000B1B7C">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F38B6BD"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t>Critical</w:t>
            </w:r>
          </w:p>
        </w:tc>
      </w:tr>
      <w:tr w:rsidR="00034380" w:rsidRPr="00F0724D" w14:paraId="16223A32"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589D3E5" w14:textId="29422EAC" w:rsidR="004812B9" w:rsidRPr="00F0724D" w:rsidRDefault="00D623B5" w:rsidP="004812B9">
            <w:r>
              <w:t xml:space="preserve">Allied Health </w:t>
            </w:r>
            <w:r w:rsidR="004812B9">
              <w:t>S&amp;W</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156FCAD" w14:textId="09507BCB"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t>There is a dedicated 0.5 FTE for pharmacy and other Allied Health specialties are on a referral basis.</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1284713" w14:textId="5F5C3DC2"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0374C03" w14:textId="77777777" w:rsidR="004812B9" w:rsidRPr="00C93B69" w:rsidRDefault="004812B9" w:rsidP="004812B9">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4B15B5">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46BC99B"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t>Allied</w:t>
            </w:r>
          </w:p>
        </w:tc>
      </w:tr>
      <w:tr w:rsidR="00034380" w:rsidRPr="00F0724D" w14:paraId="35C58F1C"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A1F4DD5" w14:textId="6B054EAE" w:rsidR="004812B9" w:rsidRPr="00F0724D" w:rsidRDefault="00D623B5" w:rsidP="004812B9">
            <w:r>
              <w:t xml:space="preserve">Other </w:t>
            </w:r>
            <w:r w:rsidR="004812B9">
              <w:t>S&amp;W</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DF9AAA9" w14:textId="6548991C"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rsidRPr="000B112A">
              <w:t>Ward clerk position</w:t>
            </w:r>
            <w:r w:rsidR="004B51B1">
              <w:t>.</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E14FDC5" w14:textId="5E34CD91"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6584962"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b/>
                <w:bCs/>
              </w:rPr>
            </w:pPr>
            <w:r w:rsidRPr="0007687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403EDC5"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Critical</w:t>
            </w:r>
          </w:p>
        </w:tc>
      </w:tr>
      <w:tr w:rsidR="00034380" w:rsidRPr="00F0724D" w14:paraId="7987B933"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70FF844" w14:textId="45A84D04" w:rsidR="004812B9" w:rsidRPr="00F0724D" w:rsidRDefault="00434617" w:rsidP="004812B9">
            <w:r>
              <w:t xml:space="preserve">Medical </w:t>
            </w:r>
            <w:r w:rsidR="004812B9">
              <w:t>S&amp;W (&amp; VMO)</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AB43367" w14:textId="6F442A3B"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rsidRPr="00B11F60">
              <w:t>Includes 12 FTE, of which 6 staff were intensivists.</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E24C312" w14:textId="31CDDEB2"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35C5C69"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07687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951FDF1" w14:textId="6449E2E0"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t>Critical / Clinical</w:t>
            </w:r>
          </w:p>
        </w:tc>
      </w:tr>
      <w:tr w:rsidR="00034380" w:rsidRPr="00F0724D" w14:paraId="47997899"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6D8D1A3" w14:textId="77777777" w:rsidR="004812B9" w:rsidRPr="00F0724D" w:rsidRDefault="004812B9" w:rsidP="004812B9">
            <w:r>
              <w:t>Consumables</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6EF3AA6" w14:textId="26077813"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t>M</w:t>
            </w:r>
            <w:r w:rsidRPr="00F442CD">
              <w:t xml:space="preserve">edical supplies, </w:t>
            </w:r>
            <w:r w:rsidR="00843FAD" w:rsidRPr="00843FAD">
              <w:rPr>
                <w:i/>
                <w:iCs/>
              </w:rPr>
              <w:t>G</w:t>
            </w:r>
            <w:r w:rsidRPr="00843FAD">
              <w:rPr>
                <w:i/>
                <w:iCs/>
              </w:rPr>
              <w:t xml:space="preserve">oods &amp; </w:t>
            </w:r>
            <w:r w:rsidR="00843FAD">
              <w:rPr>
                <w:i/>
                <w:iCs/>
              </w:rPr>
              <w:t>Se</w:t>
            </w:r>
            <w:r w:rsidRPr="00843FAD">
              <w:rPr>
                <w:i/>
                <w:iCs/>
              </w:rPr>
              <w:t>rvices</w:t>
            </w:r>
            <w:r w:rsidRPr="00F442CD">
              <w:t xml:space="preserve"> expenses including lines, neuromonitoring and cardiac support devices.</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2A9C361" w14:textId="35C4D62A"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5B92840" w14:textId="77777777" w:rsidR="004812B9" w:rsidRPr="001D7F2E"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07687F">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B49C1B8"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t>Critical</w:t>
            </w:r>
          </w:p>
        </w:tc>
      </w:tr>
      <w:tr w:rsidR="00034380" w:rsidRPr="00F0724D" w14:paraId="472266FD"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5B46DBB" w14:textId="77777777" w:rsidR="004812B9" w:rsidRPr="00F0724D" w:rsidRDefault="004812B9" w:rsidP="004812B9">
            <w:r>
              <w:t>Imaging</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5E28B34" w14:textId="1E78FAA6"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t xml:space="preserve">Radiology provided by iMed. Patient level feeder files are provided. </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F0335C9" w14:textId="4F625921"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9334F70" w14:textId="77777777" w:rsidR="004812B9" w:rsidRPr="001D7F2E"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006B5F">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07B596C"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Imaging</w:t>
            </w:r>
          </w:p>
        </w:tc>
      </w:tr>
      <w:tr w:rsidR="00034380" w:rsidRPr="00F0724D" w14:paraId="39BCA446" w14:textId="77777777" w:rsidTr="00EC0C63">
        <w:trPr>
          <w:trHeight w:val="13"/>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DD5E156" w14:textId="77777777" w:rsidR="004812B9" w:rsidRPr="00F0724D" w:rsidRDefault="004812B9" w:rsidP="004812B9">
            <w:r>
              <w:t>Pathology</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1326985" w14:textId="6F2E7B99"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rsidRPr="00081737">
              <w:t xml:space="preserve">Pharmacy services delivered </w:t>
            </w:r>
            <w:r>
              <w:t>by hospital</w:t>
            </w:r>
            <w:r w:rsidR="004B51B1">
              <w:t>.</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60705E1" w14:textId="34DCC6FE"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DF7C932" w14:textId="3D355DD3" w:rsidR="004812B9" w:rsidRPr="001D7F2E" w:rsidRDefault="004812B9" w:rsidP="00EC0C63">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006B5F">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5EE804B"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t>Pathology</w:t>
            </w:r>
          </w:p>
        </w:tc>
      </w:tr>
      <w:tr w:rsidR="00034380" w:rsidRPr="00F0724D" w14:paraId="25683D43"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4F6E1E8" w14:textId="77777777" w:rsidR="004812B9" w:rsidRPr="00F0724D" w:rsidRDefault="004812B9" w:rsidP="004812B9">
            <w:r>
              <w:lastRenderedPageBreak/>
              <w:t>Pharmacy</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E4537E7" w14:textId="300C9EA2"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rsidRPr="00081737">
              <w:t xml:space="preserve">Pharmacy services delivered </w:t>
            </w:r>
            <w:r>
              <w:t>by hospital</w:t>
            </w:r>
            <w:r w:rsidR="004B51B1">
              <w:t>.</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D29FBE7" w14:textId="245BECA1"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EB1C494" w14:textId="77777777" w:rsidR="004812B9" w:rsidRDefault="004812B9" w:rsidP="004812B9">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006B5F">
              <w:rPr>
                <w:rFonts w:ascii="Arial" w:hAnsi="Arial" w:cs="Arial"/>
                <w:sz w:val="32"/>
                <w:szCs w:val="32"/>
              </w:rPr>
              <w:t>●</w:t>
            </w:r>
            <w:r>
              <w:rPr>
                <w:rFonts w:ascii="Arial" w:hAnsi="Arial" w:cs="Arial"/>
                <w:sz w:val="32"/>
                <w:szCs w:val="32"/>
              </w:rPr>
              <w:t xml:space="preserve"> / </w:t>
            </w:r>
            <w:r w:rsidRPr="000B1B7C">
              <w:rPr>
                <w:rFonts w:ascii="Cambria Math" w:hAnsi="Cambria Math" w:cs="Cambria Math"/>
              </w:rPr>
              <w:t>◑</w:t>
            </w:r>
          </w:p>
          <w:p w14:paraId="74CF3EAC" w14:textId="77777777" w:rsidR="004812B9" w:rsidRPr="00C93B69" w:rsidRDefault="004812B9" w:rsidP="004812B9">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2445175" w14:textId="77777777" w:rsidR="004812B9" w:rsidRDefault="004812B9" w:rsidP="003C28DB">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t>Pharmacy</w:t>
            </w:r>
          </w:p>
          <w:p w14:paraId="373DC077" w14:textId="3AD814B6" w:rsidR="001C11F3" w:rsidRDefault="001C11F3" w:rsidP="003C28DB">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t>(dispensed)</w:t>
            </w:r>
          </w:p>
          <w:p w14:paraId="70C735CF" w14:textId="07C8D10E"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 xml:space="preserve">Critical </w:t>
            </w:r>
            <w:r w:rsidR="001C11F3">
              <w:t>(</w:t>
            </w:r>
            <w:r>
              <w:t>imprest)</w:t>
            </w:r>
          </w:p>
        </w:tc>
      </w:tr>
      <w:tr w:rsidR="00034380" w:rsidRPr="00F0724D" w14:paraId="543B485E" w14:textId="77777777" w:rsidTr="00EC0C63">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B02FEF2" w14:textId="77777777" w:rsidR="004812B9" w:rsidRPr="00F0724D" w:rsidRDefault="004812B9" w:rsidP="004812B9">
            <w:r>
              <w:t>Hotel</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CFB47F5" w14:textId="16ED6826"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pPr>
            <w:r w:rsidRPr="00343C0B">
              <w:t>Cl</w:t>
            </w:r>
            <w:r>
              <w:t>e</w:t>
            </w:r>
            <w:r w:rsidRPr="00343C0B">
              <w:t xml:space="preserve">aning, linen and food services delivered </w:t>
            </w:r>
            <w:r>
              <w:t>by Caboolture Hospital</w:t>
            </w:r>
            <w:r w:rsidRPr="00343C0B">
              <w:t>.</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F0444C4" w14:textId="0C3D5A73" w:rsidR="004812B9" w:rsidRPr="00F0724D" w:rsidRDefault="004812B9" w:rsidP="004812B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9871DE">
              <w:t xml:space="preserve">As per </w:t>
            </w:r>
            <w:r>
              <w:t>RBWH</w:t>
            </w:r>
            <w:r w:rsidRPr="009871DE">
              <w:t xml:space="preserve">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1CEE6FA"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B15B5">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97FBB25" w14:textId="77777777" w:rsidR="004812B9" w:rsidRPr="00F0724D" w:rsidRDefault="004812B9" w:rsidP="004812B9">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Critical</w:t>
            </w:r>
          </w:p>
        </w:tc>
      </w:tr>
      <w:tr w:rsidR="00034380" w:rsidRPr="00F0724D" w14:paraId="70D5E8EF" w14:textId="77777777" w:rsidTr="00EC0C63">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1541465" w14:textId="77777777" w:rsidR="004812B9" w:rsidRPr="004812B9" w:rsidRDefault="004812B9" w:rsidP="004812B9">
            <w:pPr>
              <w:rPr>
                <w:b w:val="0"/>
                <w:bCs/>
              </w:rPr>
            </w:pPr>
            <w:r w:rsidRPr="004812B9">
              <w:rPr>
                <w:b w:val="0"/>
                <w:bCs/>
              </w:rPr>
              <w:t>Overheads</w:t>
            </w:r>
          </w:p>
        </w:tc>
        <w:tc>
          <w:tcPr>
            <w:tcW w:w="184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9F1CCB" w14:textId="4536D90E" w:rsidR="004812B9" w:rsidRPr="004812B9" w:rsidRDefault="004812B9" w:rsidP="004812B9">
            <w:pPr>
              <w:cnfStyle w:val="010000000000" w:firstRow="0" w:lastRow="1" w:firstColumn="0" w:lastColumn="0" w:oddVBand="0" w:evenVBand="0" w:oddHBand="0" w:evenHBand="0" w:firstRowFirstColumn="0" w:firstRowLastColumn="0" w:lastRowFirstColumn="0" w:lastRowLastColumn="0"/>
              <w:rPr>
                <w:b w:val="0"/>
                <w:bCs/>
              </w:rPr>
            </w:pPr>
            <w:r w:rsidRPr="004812B9">
              <w:rPr>
                <w:b w:val="0"/>
                <w:bCs/>
              </w:rPr>
              <w:t xml:space="preserve">Caboolture Hospital has centralised patient services including Ward Clerks, Biomedical Technicians. </w:t>
            </w:r>
          </w:p>
        </w:tc>
        <w:tc>
          <w:tcPr>
            <w:tcW w:w="14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02050C5" w14:textId="65EF13D6" w:rsidR="004812B9" w:rsidRPr="004812B9" w:rsidRDefault="004812B9" w:rsidP="004812B9">
            <w:pP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4812B9">
              <w:rPr>
                <w:b w:val="0"/>
                <w:bCs/>
              </w:rPr>
              <w:t>As per RBWH allocation methodology</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2C75D50" w14:textId="77777777" w:rsidR="004812B9" w:rsidRPr="004812B9" w:rsidRDefault="004812B9" w:rsidP="004812B9">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4812B9">
              <w:rPr>
                <w:rFonts w:ascii="Cambria Math" w:hAnsi="Cambria Math" w:cs="Cambria Math"/>
                <w:b w:val="0"/>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55389B0" w14:textId="77777777" w:rsidR="004812B9" w:rsidRPr="004812B9" w:rsidRDefault="004812B9" w:rsidP="004812B9">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4812B9">
              <w:rPr>
                <w:b w:val="0"/>
                <w:bCs/>
              </w:rPr>
              <w:t>Critical</w:t>
            </w:r>
          </w:p>
        </w:tc>
      </w:tr>
    </w:tbl>
    <w:p w14:paraId="084EB6D5" w14:textId="707E9102" w:rsidR="009B0D5E" w:rsidRDefault="009B0D5E" w:rsidP="00F42138">
      <w:pPr>
        <w:rPr>
          <w:color w:val="44546A" w:themeColor="text2"/>
        </w:rPr>
        <w:sectPr w:rsidR="009B0D5E" w:rsidSect="00EF26CE">
          <w:footnotePr>
            <w:pos w:val="beneathText"/>
          </w:footnotePr>
          <w:endnotePr>
            <w:numFmt w:val="decimal"/>
          </w:endnotePr>
          <w:pgSz w:w="16838" w:h="11906" w:orient="landscape" w:code="9"/>
          <w:pgMar w:top="1440" w:right="1440" w:bottom="1440" w:left="1440" w:header="720" w:footer="720" w:gutter="0"/>
          <w:cols w:space="720"/>
          <w:docGrid w:linePitch="360"/>
        </w:sectPr>
      </w:pPr>
    </w:p>
    <w:p w14:paraId="1F64B214" w14:textId="322112CC" w:rsidR="00BC7670" w:rsidRPr="00917932" w:rsidRDefault="00BC7670" w:rsidP="00BC7670">
      <w:pPr>
        <w:rPr>
          <w:i/>
          <w:iCs/>
        </w:rPr>
      </w:pPr>
      <w:r w:rsidRPr="00A3050B">
        <w:lastRenderedPageBreak/>
        <w:t xml:space="preserve">The chart below shows the composition of costs within the </w:t>
      </w:r>
      <w:r w:rsidRPr="00EC0C63">
        <w:rPr>
          <w:i/>
        </w:rPr>
        <w:t>Critical</w:t>
      </w:r>
      <w:r w:rsidRPr="00A3050B">
        <w:t xml:space="preserve"> </w:t>
      </w:r>
      <w:r w:rsidR="00C639A5">
        <w:t xml:space="preserve">NHCDC </w:t>
      </w:r>
      <w:r w:rsidRPr="00A3050B">
        <w:t>Cost Centre Group:</w:t>
      </w:r>
      <w:r w:rsidRPr="00A3050B">
        <w:rPr>
          <w:i/>
          <w:iCs/>
        </w:rPr>
        <w:t> </w:t>
      </w:r>
    </w:p>
    <w:p w14:paraId="75106654" w14:textId="435D2B63" w:rsidR="00BC7670" w:rsidRPr="00917932" w:rsidRDefault="00BC7670" w:rsidP="00CD718C">
      <w:pPr>
        <w:pStyle w:val="ListParagraph"/>
        <w:numPr>
          <w:ilvl w:val="0"/>
          <w:numId w:val="53"/>
        </w:numPr>
      </w:pPr>
      <w:r>
        <w:t>RBWH</w:t>
      </w:r>
      <w:r w:rsidRPr="00917932">
        <w:t xml:space="preserve">, Caboolture Hospital and Bundaberg Hospital </w:t>
      </w:r>
      <w:r w:rsidRPr="00917932">
        <w:rPr>
          <w:i/>
          <w:iCs/>
        </w:rPr>
        <w:t>Critical</w:t>
      </w:r>
      <w:r w:rsidRPr="00917932">
        <w:t xml:space="preserve"> costs totalled $112 million, $15 million and $12 million </w:t>
      </w:r>
      <w:r>
        <w:t xml:space="preserve">respectively </w:t>
      </w:r>
      <w:r w:rsidRPr="00917932">
        <w:t xml:space="preserve">of </w:t>
      </w:r>
      <w:r w:rsidR="00B33D4A">
        <w:t>Queensland</w:t>
      </w:r>
      <w:r w:rsidRPr="00917932">
        <w:t xml:space="preserve">’s $756 million costs in the </w:t>
      </w:r>
      <w:r w:rsidRPr="00B54383">
        <w:rPr>
          <w:i/>
          <w:iCs/>
        </w:rPr>
        <w:t>Critical</w:t>
      </w:r>
      <w:r w:rsidRPr="00917932">
        <w:t xml:space="preserve"> </w:t>
      </w:r>
      <w:r w:rsidR="00C639A5">
        <w:t xml:space="preserve">NHCDC </w:t>
      </w:r>
      <w:r w:rsidRPr="00917932">
        <w:t>Cost Centre Group</w:t>
      </w:r>
      <w:r w:rsidRPr="00917932">
        <w:rPr>
          <w:rFonts w:ascii="Arial" w:hAnsi="Arial" w:cs="Arial"/>
        </w:rPr>
        <w:t> </w:t>
      </w:r>
      <w:r w:rsidRPr="00917932">
        <w:t xml:space="preserve"> </w:t>
      </w:r>
    </w:p>
    <w:p w14:paraId="1132A625" w14:textId="3E08AF72" w:rsidR="00BC7670" w:rsidRPr="00917932" w:rsidRDefault="004474F5" w:rsidP="00CD718C">
      <w:pPr>
        <w:pStyle w:val="ListParagraph"/>
        <w:numPr>
          <w:ilvl w:val="0"/>
          <w:numId w:val="53"/>
        </w:numPr>
      </w:pPr>
      <w:r>
        <w:rPr>
          <w:i/>
          <w:iCs/>
        </w:rPr>
        <w:t>S&amp;W</w:t>
      </w:r>
      <w:r w:rsidR="00BC7670" w:rsidRPr="00917932">
        <w:t xml:space="preserve"> (Medical, Nursing, Allied Health and Other) comprises </w:t>
      </w:r>
      <w:r w:rsidR="001C11F3">
        <w:t xml:space="preserve">approximately </w:t>
      </w:r>
      <w:r w:rsidR="00BC7670" w:rsidRPr="00917932">
        <w:t>85% of the cost centre (statewide)</w:t>
      </w:r>
      <w:r w:rsidR="00BC7670">
        <w:t>. Staffing is the dominant cost driver.</w:t>
      </w:r>
    </w:p>
    <w:p w14:paraId="5F1C9635" w14:textId="77777777" w:rsidR="00BC7670" w:rsidRPr="00A336B2" w:rsidRDefault="00BC7670" w:rsidP="00CD718C">
      <w:pPr>
        <w:pStyle w:val="ListParagraph"/>
        <w:numPr>
          <w:ilvl w:val="0"/>
          <w:numId w:val="53"/>
        </w:numPr>
      </w:pPr>
      <w:r>
        <w:t>RBWH</w:t>
      </w:r>
      <w:r w:rsidRPr="00917932">
        <w:t xml:space="preserve">’s nursing costs were in line with the statewide average for nursing costs </w:t>
      </w:r>
      <w:r>
        <w:t>with a</w:t>
      </w:r>
      <w:r w:rsidRPr="00917932">
        <w:t xml:space="preserve"> </w:t>
      </w:r>
      <w:r w:rsidRPr="00A336B2">
        <w:t xml:space="preserve">slightly </w:t>
      </w:r>
      <w:r w:rsidRPr="007062E1">
        <w:t xml:space="preserve">lower </w:t>
      </w:r>
      <w:r w:rsidRPr="00A336B2">
        <w:t xml:space="preserve">proportion of medical costs (20.3% versus 21.7%) within </w:t>
      </w:r>
      <w:r w:rsidRPr="00A336B2">
        <w:rPr>
          <w:i/>
          <w:iCs/>
        </w:rPr>
        <w:t>Critical</w:t>
      </w:r>
      <w:r w:rsidRPr="00A336B2">
        <w:t xml:space="preserve"> than the state average.  </w:t>
      </w:r>
    </w:p>
    <w:p w14:paraId="14C719FC" w14:textId="1BA6DAEC" w:rsidR="007E3532" w:rsidRDefault="00980A4C" w:rsidP="00BD5B5E">
      <w:pPr>
        <w:sectPr w:rsidR="007E3532" w:rsidSect="00E73F4E">
          <w:footnotePr>
            <w:pos w:val="beneathText"/>
          </w:footnotePr>
          <w:endnotePr>
            <w:numFmt w:val="decimal"/>
          </w:endnotePr>
          <w:pgSz w:w="11906" w:h="16838" w:code="9"/>
          <w:pgMar w:top="1440" w:right="1440" w:bottom="1440" w:left="1440" w:header="720" w:footer="720" w:gutter="0"/>
          <w:cols w:space="720"/>
          <w:docGrid w:linePitch="360"/>
        </w:sectPr>
      </w:pPr>
      <w:r w:rsidRPr="00037C11">
        <w:rPr>
          <w:noProof/>
        </w:rPr>
        <w:drawing>
          <wp:anchor distT="0" distB="0" distL="114300" distR="114300" simplePos="0" relativeHeight="251658273" behindDoc="0" locked="0" layoutInCell="1" allowOverlap="1" wp14:anchorId="699289FF" wp14:editId="6B2962C1">
            <wp:simplePos x="0" y="0"/>
            <wp:positionH relativeFrom="margin">
              <wp:align>center</wp:align>
            </wp:positionH>
            <wp:positionV relativeFrom="paragraph">
              <wp:posOffset>1314028</wp:posOffset>
            </wp:positionV>
            <wp:extent cx="6450965" cy="2990215"/>
            <wp:effectExtent l="0" t="0" r="6985" b="635"/>
            <wp:wrapTopAndBottom/>
            <wp:docPr id="296316943" name="Picture 1" descr="P242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16943" name="Picture 1" descr="P2427#y1"/>
                    <pic:cNvPicPr/>
                  </pic:nvPicPr>
                  <pic:blipFill>
                    <a:blip r:embed="rId90">
                      <a:extLst>
                        <a:ext uri="{28A0092B-C50C-407E-A947-70E740481C1C}">
                          <a14:useLocalDpi xmlns:a14="http://schemas.microsoft.com/office/drawing/2010/main" val="0"/>
                        </a:ext>
                      </a:extLst>
                    </a:blip>
                    <a:stretch>
                      <a:fillRect/>
                    </a:stretch>
                  </pic:blipFill>
                  <pic:spPr>
                    <a:xfrm>
                      <a:off x="0" y="0"/>
                      <a:ext cx="6450965" cy="2990215"/>
                    </a:xfrm>
                    <a:prstGeom prst="rect">
                      <a:avLst/>
                    </a:prstGeom>
                  </pic:spPr>
                </pic:pic>
              </a:graphicData>
            </a:graphic>
            <wp14:sizeRelH relativeFrom="margin">
              <wp14:pctWidth>0</wp14:pctWidth>
            </wp14:sizeRelH>
            <wp14:sizeRelV relativeFrom="margin">
              <wp14:pctHeight>0</wp14:pctHeight>
            </wp14:sizeRelV>
          </wp:anchor>
        </w:drawing>
      </w:r>
      <w:r w:rsidR="007E3532">
        <w:rPr>
          <w:noProof/>
        </w:rPr>
        <mc:AlternateContent>
          <mc:Choice Requires="wps">
            <w:drawing>
              <wp:anchor distT="0" distB="0" distL="114300" distR="114300" simplePos="0" relativeHeight="251658257" behindDoc="0" locked="0" layoutInCell="1" allowOverlap="1" wp14:anchorId="2BB44565" wp14:editId="793CB437">
                <wp:simplePos x="0" y="0"/>
                <wp:positionH relativeFrom="column">
                  <wp:posOffset>-271550</wp:posOffset>
                </wp:positionH>
                <wp:positionV relativeFrom="paragraph">
                  <wp:posOffset>1118249</wp:posOffset>
                </wp:positionV>
                <wp:extent cx="6659880" cy="190500"/>
                <wp:effectExtent l="0" t="0" r="7620" b="0"/>
                <wp:wrapTopAndBottom/>
                <wp:docPr id="1079268858" name="Text Box 1" descr="P2427TB31#y1"/>
                <wp:cNvGraphicFramePr/>
                <a:graphic xmlns:a="http://schemas.openxmlformats.org/drawingml/2006/main">
                  <a:graphicData uri="http://schemas.microsoft.com/office/word/2010/wordprocessingShape">
                    <wps:wsp>
                      <wps:cNvSpPr txBox="1"/>
                      <wps:spPr>
                        <a:xfrm>
                          <a:off x="0" y="0"/>
                          <a:ext cx="6659880" cy="190500"/>
                        </a:xfrm>
                        <a:prstGeom prst="rect">
                          <a:avLst/>
                        </a:prstGeom>
                        <a:solidFill>
                          <a:prstClr val="white"/>
                        </a:solidFill>
                        <a:ln>
                          <a:noFill/>
                        </a:ln>
                      </wps:spPr>
                      <wps:txbx>
                        <w:txbxContent>
                          <w:p w14:paraId="39F6AEDA" w14:textId="6D749B9C" w:rsidR="00BD5B5E" w:rsidRPr="00B96B8A" w:rsidRDefault="00BD5B5E" w:rsidP="00EC0C63">
                            <w:pPr>
                              <w:pStyle w:val="Caption"/>
                              <w:rPr>
                                <w:noProof/>
                                <w:color w:val="484B5D" w:themeColor="accent3"/>
                                <w:sz w:val="20"/>
                                <w:szCs w:val="20"/>
                              </w:rPr>
                            </w:pPr>
                            <w:r>
                              <w:t xml:space="preserve">Figure </w:t>
                            </w:r>
                            <w:r>
                              <w:fldChar w:fldCharType="begin"/>
                            </w:r>
                            <w:r>
                              <w:instrText xml:space="preserve"> SEQ Figure \* ARABIC </w:instrText>
                            </w:r>
                            <w:r>
                              <w:fldChar w:fldCharType="separate"/>
                            </w:r>
                            <w:r w:rsidR="00CE6F96">
                              <w:rPr>
                                <w:noProof/>
                              </w:rPr>
                              <w:t>29</w:t>
                            </w:r>
                            <w:r>
                              <w:fldChar w:fldCharType="end"/>
                            </w:r>
                            <w:r w:rsidRPr="00AC5052">
                              <w:t>: Total Critical Costs at NHCDC line item level</w:t>
                            </w:r>
                            <w:r w:rsidR="003B4068">
                              <w:t xml:space="preserve"> - Queensland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B44565" id="Text Box 1" o:spid="_x0000_s1221" type="#_x0000_t202" alt="P2427TB31#y1" style="position:absolute;margin-left:-21.4pt;margin-top:88.05pt;width:524.4pt;height:1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" stroked="f">
                <v:textbox inset="0,0,0,0">
                  <w:txbxContent>
                    <w:p w14:paraId="39F6AEDA" w14:textId="6D749B9C" w:rsidR="00BD5B5E" w:rsidRPr="00B96B8A" w:rsidRDefault="00BD5B5E" w:rsidP="00EC0C63">
                      <w:pPr>
                        <w:pStyle w:val="Caption"/>
                        <w:rPr>
                          <w:noProof/>
                          <w:color w:val="484B5D" w:themeColor="accent3"/>
                          <w:sz w:val="20"/>
                          <w:szCs w:val="20"/>
                        </w:rPr>
                      </w:pPr>
                      <w:r>
                        <w:t xml:space="preserve">Figure </w:t>
                      </w:r>
                      <w:r>
                        <w:fldChar w:fldCharType="begin"/>
                      </w:r>
                      <w:r>
                        <w:instrText xml:space="preserve"> SEQ Figure \* ARABIC </w:instrText>
                      </w:r>
                      <w:r>
                        <w:fldChar w:fldCharType="separate"/>
                      </w:r>
                      <w:r w:rsidR="00CE6F96">
                        <w:rPr>
                          <w:noProof/>
                        </w:rPr>
                        <w:t>29</w:t>
                      </w:r>
                      <w:r>
                        <w:fldChar w:fldCharType="end"/>
                      </w:r>
                      <w:r w:rsidRPr="00AC5052">
                        <w:t>: Total Critical Costs at NHCDC line item level</w:t>
                      </w:r>
                      <w:r w:rsidR="003B4068">
                        <w:t xml:space="preserve"> - Queensland</w:t>
                      </w:r>
                    </w:p>
                  </w:txbxContent>
                </v:textbox>
                <w10:wrap type="topAndBottom"/>
              </v:shape>
            </w:pict>
          </mc:Fallback>
        </mc:AlternateContent>
      </w:r>
      <w:r w:rsidR="00BC7670">
        <w:t xml:space="preserve">Both Bundaberg and Caboolture Hospital had a significantly higher proportion of medical staff (32.6% and 29% versus statewide average of 21.7%) offset by a lower proportion of nursing staff (47.2% and 43.7% versus statewide average of 51.7%). </w:t>
      </w:r>
      <w:r w:rsidR="00BC7670" w:rsidRPr="008A054F">
        <w:t>This suggests these hospitals</w:t>
      </w:r>
      <w:r w:rsidR="00BC7670">
        <w:t xml:space="preserve"> with smaller ICU departments</w:t>
      </w:r>
      <w:r w:rsidR="00BC7670" w:rsidRPr="008A054F">
        <w:t xml:space="preserve"> may rely</w:t>
      </w:r>
      <w:r w:rsidR="00BC7670">
        <w:t xml:space="preserve"> </w:t>
      </w:r>
      <w:r w:rsidR="00BC7670" w:rsidRPr="008A054F">
        <w:t xml:space="preserve">more heavily on medical staff, possibly due to service models or staffing </w:t>
      </w:r>
      <w:r w:rsidR="00EF1895">
        <w:t>structures</w:t>
      </w:r>
      <w:r w:rsidR="00BC7670">
        <w:t>.</w:t>
      </w:r>
    </w:p>
    <w:p w14:paraId="7F5D7C8B" w14:textId="362106C9" w:rsidR="004C6DCC" w:rsidRDefault="000102A2" w:rsidP="00BD5B5E">
      <w:pPr>
        <w:sectPr w:rsidR="004C6DCC" w:rsidSect="007E3532">
          <w:footnotePr>
            <w:pos w:val="beneathText"/>
          </w:footnotePr>
          <w:endnotePr>
            <w:numFmt w:val="decimal"/>
          </w:endnotePr>
          <w:type w:val="continuous"/>
          <w:pgSz w:w="11906" w:h="16838" w:code="9"/>
          <w:pgMar w:top="1440" w:right="1440" w:bottom="1440" w:left="1440" w:header="720" w:footer="720" w:gutter="0"/>
          <w:cols w:space="720"/>
          <w:docGrid w:linePitch="360"/>
        </w:sectPr>
      </w:pPr>
      <w:r>
        <w:rPr>
          <w:noProof/>
        </w:rPr>
        <w:lastRenderedPageBreak/>
        <mc:AlternateContent>
          <mc:Choice Requires="wps">
            <w:drawing>
              <wp:inline distT="0" distB="0" distL="0" distR="0" wp14:anchorId="321C293E" wp14:editId="36519157">
                <wp:extent cx="5715000" cy="1447800"/>
                <wp:effectExtent l="0" t="0" r="0" b="4445"/>
                <wp:docPr id="341701972" name="Text Box 2" descr="P2428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DBFE6F0" w14:textId="77777777" w:rsidR="000102A2" w:rsidRPr="000C4108" w:rsidRDefault="000102A2" w:rsidP="000102A2">
                            <w:pPr>
                              <w:pStyle w:val="Tablebulletpoint"/>
                              <w:numPr>
                                <w:ilvl w:val="0"/>
                                <w:numId w:val="0"/>
                              </w:numPr>
                              <w:spacing w:after="120"/>
                              <w:contextualSpacing w:val="0"/>
                              <w:rPr>
                                <w:color w:val="FFFFFF" w:themeColor="background1"/>
                              </w:rPr>
                            </w:pPr>
                            <w:r w:rsidRPr="00FD6FDF">
                              <w:rPr>
                                <w:b/>
                                <w:bCs/>
                                <w:color w:val="FFFFFF" w:themeColor="background1"/>
                              </w:rPr>
                              <w:t>Critical Care Comparability cost insight</w:t>
                            </w:r>
                            <w:r w:rsidRPr="00411B4C">
                              <w:rPr>
                                <w:rFonts w:eastAsiaTheme="minorEastAsia" w:cstheme="minorBidi"/>
                                <w:b/>
                                <w:color w:val="FFFFFF" w:themeColor="background1"/>
                              </w:rPr>
                              <w:t>s</w:t>
                            </w:r>
                          </w:p>
                          <w:p w14:paraId="5D658FE7" w14:textId="2B96093C" w:rsidR="00C8190A" w:rsidRPr="00C8190A" w:rsidRDefault="00E943C4" w:rsidP="00C8190A">
                            <w:pPr>
                              <w:pStyle w:val="Tablebulletpoint"/>
                              <w:rPr>
                                <w:color w:val="FFFFFF" w:themeColor="background1"/>
                              </w:rPr>
                            </w:pPr>
                            <w:r>
                              <w:rPr>
                                <w:color w:val="FFFFFF" w:themeColor="background1"/>
                              </w:rPr>
                              <w:t>All 3</w:t>
                            </w:r>
                            <w:r w:rsidR="00C8190A" w:rsidRPr="00C8190A">
                              <w:rPr>
                                <w:color w:val="FFFFFF" w:themeColor="background1"/>
                              </w:rPr>
                              <w:t xml:space="preserve"> </w:t>
                            </w:r>
                            <w:r w:rsidR="007039F9">
                              <w:rPr>
                                <w:color w:val="FFFFFF" w:themeColor="background1"/>
                              </w:rPr>
                              <w:t xml:space="preserve">of </w:t>
                            </w:r>
                            <w:r w:rsidR="00B33D4A">
                              <w:rPr>
                                <w:color w:val="FFFFFF" w:themeColor="background1"/>
                              </w:rPr>
                              <w:t>Queensland</w:t>
                            </w:r>
                            <w:r w:rsidR="007039F9">
                              <w:rPr>
                                <w:color w:val="FFFFFF" w:themeColor="background1"/>
                              </w:rPr>
                              <w:t>’s</w:t>
                            </w:r>
                            <w:r w:rsidR="00C8190A" w:rsidRPr="00C8190A">
                              <w:rPr>
                                <w:color w:val="FFFFFF" w:themeColor="background1"/>
                              </w:rPr>
                              <w:t xml:space="preserve"> sites use a combination of ICU hours and feeder data from the nursing roster system to allocate costs to patients admitted in critical care departments. This enables a more accurate cost allocation methodology as it reflects the nursing costs for patients with higher care needs.</w:t>
                            </w:r>
                          </w:p>
                          <w:p w14:paraId="1C4E7061" w14:textId="4934AF0B" w:rsidR="00C8190A" w:rsidRPr="00C8190A" w:rsidRDefault="00E943C4" w:rsidP="00C8190A">
                            <w:pPr>
                              <w:pStyle w:val="Tablebulletpoint"/>
                              <w:rPr>
                                <w:color w:val="FFFFFF" w:themeColor="background1"/>
                              </w:rPr>
                            </w:pPr>
                            <w:r>
                              <w:rPr>
                                <w:color w:val="FFFFFF" w:themeColor="background1"/>
                              </w:rPr>
                              <w:t>All</w:t>
                            </w:r>
                            <w:r w:rsidR="00EF1895">
                              <w:rPr>
                                <w:color w:val="FFFFFF" w:themeColor="background1"/>
                              </w:rPr>
                              <w:t xml:space="preserve"> 3</w:t>
                            </w:r>
                            <w:r w:rsidR="00C8190A" w:rsidRPr="00C8190A">
                              <w:rPr>
                                <w:color w:val="FFFFFF" w:themeColor="background1"/>
                              </w:rPr>
                              <w:t xml:space="preserve"> sites had dedicated allied health support but these costs were allocated to the </w:t>
                            </w:r>
                            <w:r w:rsidR="007039F9" w:rsidRPr="00AB61AF">
                              <w:rPr>
                                <w:i/>
                                <w:iCs/>
                                <w:color w:val="FFFFFF" w:themeColor="background1"/>
                              </w:rPr>
                              <w:t>A</w:t>
                            </w:r>
                            <w:r w:rsidR="00C8190A" w:rsidRPr="00AB61AF">
                              <w:rPr>
                                <w:i/>
                                <w:iCs/>
                                <w:color w:val="FFFFFF" w:themeColor="background1"/>
                              </w:rPr>
                              <w:t>llied</w:t>
                            </w:r>
                            <w:r w:rsidR="00C8190A" w:rsidRPr="00C8190A">
                              <w:rPr>
                                <w:color w:val="FFFFFF" w:themeColor="background1"/>
                              </w:rPr>
                              <w:t xml:space="preserve"> </w:t>
                            </w:r>
                            <w:r w:rsidR="00633805">
                              <w:rPr>
                                <w:color w:val="FFFFFF" w:themeColor="background1"/>
                              </w:rPr>
                              <w:t>NHCDC Cost Centre Group</w:t>
                            </w:r>
                            <w:r w:rsidR="00C8190A" w:rsidRPr="00C8190A">
                              <w:rPr>
                                <w:color w:val="FFFFFF" w:themeColor="background1"/>
                              </w:rPr>
                              <w:t xml:space="preserve">, not </w:t>
                            </w:r>
                            <w:r w:rsidR="007039F9" w:rsidRPr="00AD1F32">
                              <w:rPr>
                                <w:i/>
                                <w:iCs/>
                                <w:color w:val="FFFFFF" w:themeColor="background1"/>
                              </w:rPr>
                              <w:t>C</w:t>
                            </w:r>
                            <w:r w:rsidR="00C8190A" w:rsidRPr="00AD1F32">
                              <w:rPr>
                                <w:i/>
                                <w:iCs/>
                                <w:color w:val="FFFFFF" w:themeColor="background1"/>
                              </w:rPr>
                              <w:t>ritical</w:t>
                            </w:r>
                            <w:r w:rsidR="00C8190A" w:rsidRPr="00C8190A">
                              <w:rPr>
                                <w:color w:val="FFFFFF" w:themeColor="background1"/>
                              </w:rPr>
                              <w:t>.</w:t>
                            </w:r>
                            <w:r w:rsidR="00633805">
                              <w:rPr>
                                <w:color w:val="FFFFFF" w:themeColor="background1"/>
                              </w:rPr>
                              <w:t xml:space="preserve"> </w:t>
                            </w:r>
                            <w:r w:rsidR="0019306E">
                              <w:rPr>
                                <w:color w:val="FFFFFF" w:themeColor="background1"/>
                              </w:rPr>
                              <w:t>Queensland’s treatment is in line with other jurisdictions.</w:t>
                            </w:r>
                            <w:r w:rsidR="00A209FF">
                              <w:rPr>
                                <w:color w:val="FFFFFF" w:themeColor="background1"/>
                              </w:rPr>
                              <w:t xml:space="preserve"> </w:t>
                            </w:r>
                          </w:p>
                          <w:p w14:paraId="1FA0AB71" w14:textId="00AA05FD" w:rsidR="00237061" w:rsidRPr="00C8190A" w:rsidRDefault="00C8190A" w:rsidP="00CB0933">
                            <w:pPr>
                              <w:pStyle w:val="Tablebulletpoint"/>
                              <w:rPr>
                                <w:color w:val="FFFFFF" w:themeColor="background1"/>
                              </w:rPr>
                            </w:pPr>
                            <w:r w:rsidRPr="00237061">
                              <w:rPr>
                                <w:color w:val="FFFFFF" w:themeColor="background1"/>
                              </w:rPr>
                              <w:t xml:space="preserve">Pharmacy, pathology and imaging costs are sitting in the </w:t>
                            </w:r>
                            <w:r w:rsidR="00A209FF" w:rsidRPr="00A209FF">
                              <w:rPr>
                                <w:i/>
                                <w:iCs/>
                                <w:color w:val="FFFFFF" w:themeColor="background1"/>
                              </w:rPr>
                              <w:t>P</w:t>
                            </w:r>
                            <w:r w:rsidR="00A209FF" w:rsidRPr="00A209FF" w:rsidDel="00237061">
                              <w:rPr>
                                <w:i/>
                                <w:iCs/>
                                <w:color w:val="FFFFFF" w:themeColor="background1"/>
                              </w:rPr>
                              <w:t>h</w:t>
                            </w:r>
                            <w:r w:rsidR="00A209FF" w:rsidRPr="00A209FF">
                              <w:rPr>
                                <w:i/>
                                <w:iCs/>
                                <w:color w:val="FFFFFF" w:themeColor="background1"/>
                              </w:rPr>
                              <w:t>armacy</w:t>
                            </w:r>
                            <w:r w:rsidRPr="00AD1F32">
                              <w:rPr>
                                <w:i/>
                                <w:iCs/>
                                <w:color w:val="FFFFFF" w:themeColor="background1"/>
                              </w:rPr>
                              <w:t xml:space="preserve">, </w:t>
                            </w:r>
                            <w:r w:rsidR="00237061" w:rsidRPr="00AD1F32">
                              <w:rPr>
                                <w:i/>
                                <w:iCs/>
                                <w:color w:val="FFFFFF" w:themeColor="background1"/>
                              </w:rPr>
                              <w:t>P</w:t>
                            </w:r>
                            <w:r w:rsidRPr="00AD1F32">
                              <w:rPr>
                                <w:i/>
                                <w:iCs/>
                                <w:color w:val="FFFFFF" w:themeColor="background1"/>
                              </w:rPr>
                              <w:t>athology</w:t>
                            </w:r>
                            <w:r w:rsidRPr="00237061">
                              <w:rPr>
                                <w:color w:val="FFFFFF" w:themeColor="background1"/>
                              </w:rPr>
                              <w:t xml:space="preserve"> and </w:t>
                            </w:r>
                            <w:r w:rsidR="00237061" w:rsidRPr="00AD1F32">
                              <w:rPr>
                                <w:i/>
                                <w:iCs/>
                                <w:color w:val="FFFFFF" w:themeColor="background1"/>
                              </w:rPr>
                              <w:t>I</w:t>
                            </w:r>
                            <w:r w:rsidRPr="00AD1F32">
                              <w:rPr>
                                <w:i/>
                                <w:iCs/>
                                <w:color w:val="FFFFFF" w:themeColor="background1"/>
                              </w:rPr>
                              <w:t>maging</w:t>
                            </w:r>
                            <w:r w:rsidRPr="00237061">
                              <w:rPr>
                                <w:color w:val="FFFFFF" w:themeColor="background1"/>
                              </w:rPr>
                              <w:t xml:space="preserve"> </w:t>
                            </w:r>
                            <w:r w:rsidR="00237061" w:rsidRPr="00237061">
                              <w:rPr>
                                <w:color w:val="FFFFFF" w:themeColor="background1"/>
                              </w:rPr>
                              <w:t>NHCDC Cost Centre Groups</w:t>
                            </w:r>
                            <w:r w:rsidRPr="00237061">
                              <w:rPr>
                                <w:color w:val="FFFFFF" w:themeColor="background1"/>
                              </w:rPr>
                              <w:t xml:space="preserve"> respectively, not </w:t>
                            </w:r>
                            <w:r w:rsidR="007039F9" w:rsidRPr="00237061">
                              <w:rPr>
                                <w:i/>
                                <w:iCs/>
                                <w:color w:val="FFFFFF" w:themeColor="background1"/>
                              </w:rPr>
                              <w:t>C</w:t>
                            </w:r>
                            <w:r w:rsidRPr="00237061">
                              <w:rPr>
                                <w:i/>
                                <w:iCs/>
                                <w:color w:val="FFFFFF" w:themeColor="background1"/>
                              </w:rPr>
                              <w:t>ritical</w:t>
                            </w:r>
                            <w:r w:rsidRPr="00237061">
                              <w:rPr>
                                <w:color w:val="FFFFFF" w:themeColor="background1"/>
                              </w:rPr>
                              <w:t xml:space="preserve">. </w:t>
                            </w:r>
                            <w:r w:rsidR="00237061" w:rsidRPr="00237061">
                              <w:rPr>
                                <w:color w:val="FFFFFF" w:themeColor="background1"/>
                              </w:rPr>
                              <w:t>Queensland’s treatment is in line with other jurisdictions</w:t>
                            </w:r>
                            <w:r w:rsidR="00237061">
                              <w:rPr>
                                <w:color w:val="FFFFFF" w:themeColor="background1"/>
                              </w:rPr>
                              <w:t>.</w:t>
                            </w:r>
                          </w:p>
                          <w:p w14:paraId="33969EFF" w14:textId="1C4D95D6" w:rsidR="00C8190A" w:rsidRPr="00237061" w:rsidRDefault="00C8190A" w:rsidP="00CB0933">
                            <w:pPr>
                              <w:pStyle w:val="Tablebulletpoint"/>
                              <w:rPr>
                                <w:color w:val="FFFFFF" w:themeColor="background1"/>
                              </w:rPr>
                            </w:pPr>
                            <w:r w:rsidRPr="00237061">
                              <w:rPr>
                                <w:color w:val="FFFFFF" w:themeColor="background1"/>
                              </w:rPr>
                              <w:t xml:space="preserve">Queensland has specific feeder data for ECMO, highly specialised burns patients, so there is a differentiation in how </w:t>
                            </w:r>
                            <w:r w:rsidR="00EF1895" w:rsidRPr="00237061">
                              <w:rPr>
                                <w:color w:val="FFFFFF" w:themeColor="background1"/>
                              </w:rPr>
                              <w:t>these patients</w:t>
                            </w:r>
                            <w:r w:rsidRPr="00237061">
                              <w:rPr>
                                <w:color w:val="FFFFFF" w:themeColor="background1"/>
                              </w:rPr>
                              <w:t xml:space="preserve"> are costed to account for higher level nursing care and consumables. </w:t>
                            </w:r>
                          </w:p>
                          <w:p w14:paraId="026A4E19" w14:textId="24E8783A" w:rsidR="00B114EC" w:rsidRPr="00B114EC" w:rsidRDefault="00C8190A" w:rsidP="00B114EC">
                            <w:pPr>
                              <w:pStyle w:val="Tablebulletpoint"/>
                              <w:rPr>
                                <w:color w:val="FFFFFF" w:themeColor="background1"/>
                              </w:rPr>
                            </w:pPr>
                            <w:r w:rsidRPr="00C8190A">
                              <w:rPr>
                                <w:color w:val="FFFFFF" w:themeColor="background1"/>
                              </w:rPr>
                              <w:t>At Royal Brisbane Hospital</w:t>
                            </w:r>
                            <w:r w:rsidR="00B114EC" w:rsidRPr="00B114EC">
                              <w:rPr>
                                <w:color w:val="FFFFFF" w:themeColor="background1"/>
                              </w:rPr>
                              <w:t xml:space="preserve"> and Caboolture Hospital, patients are admitted to ICU under the admitting clinical care team, not the intensivist. As a result, they receive double allocations of medical costs. This may driver higher </w:t>
                            </w:r>
                            <w:r w:rsidR="00403578">
                              <w:rPr>
                                <w:color w:val="FFFFFF" w:themeColor="background1"/>
                              </w:rPr>
                              <w:t>M</w:t>
                            </w:r>
                            <w:r w:rsidR="00B114EC" w:rsidRPr="00B114EC">
                              <w:rPr>
                                <w:color w:val="FFFFFF" w:themeColor="background1"/>
                              </w:rPr>
                              <w:t xml:space="preserve">edical </w:t>
                            </w:r>
                            <w:r w:rsidR="00B114EC" w:rsidRPr="00AD1F32">
                              <w:rPr>
                                <w:i/>
                                <w:iCs/>
                                <w:color w:val="FFFFFF" w:themeColor="background1"/>
                              </w:rPr>
                              <w:t>S&amp;W</w:t>
                            </w:r>
                            <w:r w:rsidR="00B114EC" w:rsidRPr="00B114EC">
                              <w:rPr>
                                <w:color w:val="FFFFFF" w:themeColor="background1"/>
                              </w:rPr>
                              <w:t xml:space="preserve"> costs than a patient under a hospital where the care model is to admit to ICU under the intensivist (as is the case in Bundaberg</w:t>
                            </w:r>
                            <w:r w:rsidR="000A5C30">
                              <w:rPr>
                                <w:color w:val="FFFFFF" w:themeColor="background1"/>
                              </w:rPr>
                              <w:t xml:space="preserve"> Base</w:t>
                            </w:r>
                            <w:r w:rsidR="00B114EC" w:rsidRPr="00B114EC">
                              <w:rPr>
                                <w:color w:val="FFFFFF" w:themeColor="background1"/>
                              </w:rPr>
                              <w:t xml:space="preserve"> Hospital).</w:t>
                            </w:r>
                          </w:p>
                          <w:p w14:paraId="1005E64B" w14:textId="6FCCF56E" w:rsidR="000102A2" w:rsidRPr="00B114EC" w:rsidRDefault="00B114EC" w:rsidP="00B114EC">
                            <w:pPr>
                              <w:pStyle w:val="Tablebulletpoint"/>
                              <w:rPr>
                                <w:color w:val="FFFFFF" w:themeColor="background1"/>
                              </w:rPr>
                            </w:pPr>
                            <w:r w:rsidRPr="00B114EC">
                              <w:rPr>
                                <w:color w:val="FFFFFF" w:themeColor="background1"/>
                              </w:rPr>
                              <w:t xml:space="preserve">All sites reported that ICU staff perform activities outside of the ICU unit or not delivering care to ICU patients, including MET calls, anaesthetics cover, outreach to other wards. These costs are spread to ICU patients, potentially overstating their </w:t>
                            </w:r>
                            <w:r w:rsidR="005369D0">
                              <w:rPr>
                                <w:color w:val="FFFFFF" w:themeColor="background1"/>
                              </w:rPr>
                              <w:t>M</w:t>
                            </w:r>
                            <w:r w:rsidRPr="00B114EC">
                              <w:rPr>
                                <w:color w:val="FFFFFF" w:themeColor="background1"/>
                              </w:rPr>
                              <w:t>edical</w:t>
                            </w:r>
                            <w:r w:rsidR="00F732D1">
                              <w:rPr>
                                <w:color w:val="FFFFFF" w:themeColor="background1"/>
                              </w:rPr>
                              <w:t xml:space="preserve"> </w:t>
                            </w:r>
                            <w:r w:rsidR="00C8190A" w:rsidRPr="00C8190A">
                              <w:rPr>
                                <w:color w:val="FFFFFF" w:themeColor="background1"/>
                              </w:rPr>
                              <w:t>/</w:t>
                            </w:r>
                            <w:r w:rsidR="00F732D1">
                              <w:rPr>
                                <w:color w:val="FFFFFF" w:themeColor="background1"/>
                              </w:rPr>
                              <w:t xml:space="preserve"> </w:t>
                            </w:r>
                            <w:r w:rsidR="005369D0">
                              <w:rPr>
                                <w:color w:val="FFFFFF" w:themeColor="background1"/>
                              </w:rPr>
                              <w:t>N</w:t>
                            </w:r>
                            <w:r w:rsidRPr="00B114EC">
                              <w:rPr>
                                <w:color w:val="FFFFFF" w:themeColor="background1"/>
                              </w:rPr>
                              <w:t xml:space="preserve">ursing </w:t>
                            </w:r>
                            <w:r w:rsidRPr="00AB61AF">
                              <w:rPr>
                                <w:i/>
                                <w:iCs/>
                                <w:color w:val="FFFFFF" w:themeColor="background1"/>
                              </w:rPr>
                              <w:t>S&amp;W</w:t>
                            </w:r>
                            <w:r w:rsidRPr="00B114EC">
                              <w:rPr>
                                <w:color w:val="FFFFFF" w:themeColor="background1"/>
                              </w:rPr>
                              <w:t xml:space="preserve"> costs. Further work is ongoing to capture clinician time on these activities</w:t>
                            </w:r>
                            <w:r w:rsidR="000102A2" w:rsidRPr="00B114EC">
                              <w:rPr>
                                <w:color w:val="FFFFFF" w:themeColor="background1"/>
                              </w:rPr>
                              <w:t>.</w:t>
                            </w:r>
                          </w:p>
                        </w:txbxContent>
                      </wps:txbx>
                      <wps:bodyPr rot="0" vert="horz" wrap="square" lIns="180000" tIns="180000" rIns="180000" bIns="180000" anchor="t" anchorCtr="0">
                        <a:spAutoFit/>
                      </wps:bodyPr>
                    </wps:wsp>
                  </a:graphicData>
                </a:graphic>
              </wp:inline>
            </w:drawing>
          </mc:Choice>
          <mc:Fallback>
            <w:pict>
              <v:shape w14:anchorId="321C293E" id="_x0000_s1222" type="#_x0000_t202" alt="P2428TB9#y1" style="width:450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" fillcolor="#343a5e [2405]" stroked="f" strokeweight="1pt">
                <v:textbox style="mso-fit-shape-to-text:t" inset="5mm,5mm,5mm,5mm">
                  <w:txbxContent>
                    <w:p w14:paraId="4DBFE6F0" w14:textId="77777777" w:rsidR="000102A2" w:rsidRPr="000C4108" w:rsidRDefault="000102A2" w:rsidP="000102A2">
                      <w:pPr>
                        <w:pStyle w:val="Tablebulletpoint"/>
                        <w:numPr>
                          <w:ilvl w:val="0"/>
                          <w:numId w:val="0"/>
                        </w:numPr>
                        <w:spacing w:after="120"/>
                        <w:contextualSpacing w:val="0"/>
                        <w:rPr>
                          <w:color w:val="FFFFFF" w:themeColor="background1"/>
                        </w:rPr>
                      </w:pPr>
                      <w:r w:rsidRPr="00FD6FDF">
                        <w:rPr>
                          <w:b/>
                          <w:bCs/>
                          <w:color w:val="FFFFFF" w:themeColor="background1"/>
                        </w:rPr>
                        <w:t>Critical Care Comparability cost insight</w:t>
                      </w:r>
                      <w:r w:rsidRPr="00411B4C">
                        <w:rPr>
                          <w:rFonts w:eastAsiaTheme="minorEastAsia" w:cstheme="minorBidi"/>
                          <w:b/>
                          <w:color w:val="FFFFFF" w:themeColor="background1"/>
                        </w:rPr>
                        <w:t>s</w:t>
                      </w:r>
                    </w:p>
                    <w:p w14:paraId="5D658FE7" w14:textId="2B96093C" w:rsidR="00C8190A" w:rsidRPr="00C8190A" w:rsidRDefault="00E943C4" w:rsidP="00C8190A">
                      <w:pPr>
                        <w:pStyle w:val="Tablebulletpoint"/>
                        <w:rPr>
                          <w:color w:val="FFFFFF" w:themeColor="background1"/>
                        </w:rPr>
                      </w:pPr>
                      <w:r>
                        <w:rPr>
                          <w:color w:val="FFFFFF" w:themeColor="background1"/>
                        </w:rPr>
                        <w:t>All 3</w:t>
                      </w:r>
                      <w:r w:rsidR="00C8190A" w:rsidRPr="00C8190A">
                        <w:rPr>
                          <w:color w:val="FFFFFF" w:themeColor="background1"/>
                        </w:rPr>
                        <w:t xml:space="preserve"> </w:t>
                      </w:r>
                      <w:r w:rsidR="007039F9">
                        <w:rPr>
                          <w:color w:val="FFFFFF" w:themeColor="background1"/>
                        </w:rPr>
                        <w:t xml:space="preserve">of </w:t>
                      </w:r>
                      <w:r w:rsidR="00B33D4A">
                        <w:rPr>
                          <w:color w:val="FFFFFF" w:themeColor="background1"/>
                        </w:rPr>
                        <w:t>Queensland</w:t>
                      </w:r>
                      <w:r w:rsidR="007039F9">
                        <w:rPr>
                          <w:color w:val="FFFFFF" w:themeColor="background1"/>
                        </w:rPr>
                        <w:t>’s</w:t>
                      </w:r>
                      <w:r w:rsidR="00C8190A" w:rsidRPr="00C8190A">
                        <w:rPr>
                          <w:color w:val="FFFFFF" w:themeColor="background1"/>
                        </w:rPr>
                        <w:t xml:space="preserve"> sites use a combination of ICU hours and feeder data from the nursing roster system to allocate costs to patients admitted in critical care departments. This enables a more accurate cost allocation methodology as it reflects the nursing costs for patients with higher care needs.</w:t>
                      </w:r>
                    </w:p>
                    <w:p w14:paraId="1C4E7061" w14:textId="4934AF0B" w:rsidR="00C8190A" w:rsidRPr="00C8190A" w:rsidRDefault="00E943C4" w:rsidP="00C8190A">
                      <w:pPr>
                        <w:pStyle w:val="Tablebulletpoint"/>
                        <w:rPr>
                          <w:color w:val="FFFFFF" w:themeColor="background1"/>
                        </w:rPr>
                      </w:pPr>
                      <w:r>
                        <w:rPr>
                          <w:color w:val="FFFFFF" w:themeColor="background1"/>
                        </w:rPr>
                        <w:t>All</w:t>
                      </w:r>
                      <w:r w:rsidR="00EF1895">
                        <w:rPr>
                          <w:color w:val="FFFFFF" w:themeColor="background1"/>
                        </w:rPr>
                        <w:t xml:space="preserve"> 3</w:t>
                      </w:r>
                      <w:r w:rsidR="00C8190A" w:rsidRPr="00C8190A">
                        <w:rPr>
                          <w:color w:val="FFFFFF" w:themeColor="background1"/>
                        </w:rPr>
                        <w:t xml:space="preserve"> sites had dedicated allied health support but these costs were allocated to the </w:t>
                      </w:r>
                      <w:r w:rsidR="007039F9" w:rsidRPr="00AB61AF">
                        <w:rPr>
                          <w:i/>
                          <w:iCs/>
                          <w:color w:val="FFFFFF" w:themeColor="background1"/>
                        </w:rPr>
                        <w:t>A</w:t>
                      </w:r>
                      <w:r w:rsidR="00C8190A" w:rsidRPr="00AB61AF">
                        <w:rPr>
                          <w:i/>
                          <w:iCs/>
                          <w:color w:val="FFFFFF" w:themeColor="background1"/>
                        </w:rPr>
                        <w:t>llied</w:t>
                      </w:r>
                      <w:r w:rsidR="00C8190A" w:rsidRPr="00C8190A">
                        <w:rPr>
                          <w:color w:val="FFFFFF" w:themeColor="background1"/>
                        </w:rPr>
                        <w:t xml:space="preserve"> </w:t>
                      </w:r>
                      <w:r w:rsidR="00633805">
                        <w:rPr>
                          <w:color w:val="FFFFFF" w:themeColor="background1"/>
                        </w:rPr>
                        <w:t>NHCDC Cost Centre Group</w:t>
                      </w:r>
                      <w:r w:rsidR="00C8190A" w:rsidRPr="00C8190A">
                        <w:rPr>
                          <w:color w:val="FFFFFF" w:themeColor="background1"/>
                        </w:rPr>
                        <w:t xml:space="preserve">, not </w:t>
                      </w:r>
                      <w:r w:rsidR="007039F9" w:rsidRPr="00AD1F32">
                        <w:rPr>
                          <w:i/>
                          <w:iCs/>
                          <w:color w:val="FFFFFF" w:themeColor="background1"/>
                        </w:rPr>
                        <w:t>C</w:t>
                      </w:r>
                      <w:r w:rsidR="00C8190A" w:rsidRPr="00AD1F32">
                        <w:rPr>
                          <w:i/>
                          <w:iCs/>
                          <w:color w:val="FFFFFF" w:themeColor="background1"/>
                        </w:rPr>
                        <w:t>ritical</w:t>
                      </w:r>
                      <w:r w:rsidR="00C8190A" w:rsidRPr="00C8190A">
                        <w:rPr>
                          <w:color w:val="FFFFFF" w:themeColor="background1"/>
                        </w:rPr>
                        <w:t>.</w:t>
                      </w:r>
                      <w:r w:rsidR="00633805">
                        <w:rPr>
                          <w:color w:val="FFFFFF" w:themeColor="background1"/>
                        </w:rPr>
                        <w:t xml:space="preserve"> </w:t>
                      </w:r>
                      <w:r w:rsidR="0019306E">
                        <w:rPr>
                          <w:color w:val="FFFFFF" w:themeColor="background1"/>
                        </w:rPr>
                        <w:t>Queensland’s treatment is in line with other jurisdictions.</w:t>
                      </w:r>
                      <w:r w:rsidR="00A209FF">
                        <w:rPr>
                          <w:color w:val="FFFFFF" w:themeColor="background1"/>
                        </w:rPr>
                        <w:t xml:space="preserve"> </w:t>
                      </w:r>
                    </w:p>
                    <w:p w14:paraId="1FA0AB71" w14:textId="00AA05FD" w:rsidR="00237061" w:rsidRPr="00C8190A" w:rsidRDefault="00C8190A" w:rsidP="00CB0933">
                      <w:pPr>
                        <w:pStyle w:val="Tablebulletpoint"/>
                        <w:rPr>
                          <w:color w:val="FFFFFF" w:themeColor="background1"/>
                        </w:rPr>
                      </w:pPr>
                      <w:r w:rsidRPr="00237061">
                        <w:rPr>
                          <w:color w:val="FFFFFF" w:themeColor="background1"/>
                        </w:rPr>
                        <w:t xml:space="preserve">Pharmacy, pathology and imaging costs are sitting in the </w:t>
                      </w:r>
                      <w:r w:rsidR="00A209FF" w:rsidRPr="00A209FF">
                        <w:rPr>
                          <w:i/>
                          <w:iCs/>
                          <w:color w:val="FFFFFF" w:themeColor="background1"/>
                        </w:rPr>
                        <w:t>P</w:t>
                      </w:r>
                      <w:r w:rsidR="00A209FF" w:rsidRPr="00A209FF" w:rsidDel="00237061">
                        <w:rPr>
                          <w:i/>
                          <w:iCs/>
                          <w:color w:val="FFFFFF" w:themeColor="background1"/>
                        </w:rPr>
                        <w:t>h</w:t>
                      </w:r>
                      <w:r w:rsidR="00A209FF" w:rsidRPr="00A209FF">
                        <w:rPr>
                          <w:i/>
                          <w:iCs/>
                          <w:color w:val="FFFFFF" w:themeColor="background1"/>
                        </w:rPr>
                        <w:t>armacy</w:t>
                      </w:r>
                      <w:r w:rsidRPr="00AD1F32">
                        <w:rPr>
                          <w:i/>
                          <w:iCs/>
                          <w:color w:val="FFFFFF" w:themeColor="background1"/>
                        </w:rPr>
                        <w:t xml:space="preserve">, </w:t>
                      </w:r>
                      <w:r w:rsidR="00237061" w:rsidRPr="00AD1F32">
                        <w:rPr>
                          <w:i/>
                          <w:iCs/>
                          <w:color w:val="FFFFFF" w:themeColor="background1"/>
                        </w:rPr>
                        <w:t>P</w:t>
                      </w:r>
                      <w:r w:rsidRPr="00AD1F32">
                        <w:rPr>
                          <w:i/>
                          <w:iCs/>
                          <w:color w:val="FFFFFF" w:themeColor="background1"/>
                        </w:rPr>
                        <w:t>athology</w:t>
                      </w:r>
                      <w:r w:rsidRPr="00237061">
                        <w:rPr>
                          <w:color w:val="FFFFFF" w:themeColor="background1"/>
                        </w:rPr>
                        <w:t xml:space="preserve"> and </w:t>
                      </w:r>
                      <w:r w:rsidR="00237061" w:rsidRPr="00AD1F32">
                        <w:rPr>
                          <w:i/>
                          <w:iCs/>
                          <w:color w:val="FFFFFF" w:themeColor="background1"/>
                        </w:rPr>
                        <w:t>I</w:t>
                      </w:r>
                      <w:r w:rsidRPr="00AD1F32">
                        <w:rPr>
                          <w:i/>
                          <w:iCs/>
                          <w:color w:val="FFFFFF" w:themeColor="background1"/>
                        </w:rPr>
                        <w:t>maging</w:t>
                      </w:r>
                      <w:r w:rsidRPr="00237061">
                        <w:rPr>
                          <w:color w:val="FFFFFF" w:themeColor="background1"/>
                        </w:rPr>
                        <w:t xml:space="preserve"> </w:t>
                      </w:r>
                      <w:r w:rsidR="00237061" w:rsidRPr="00237061">
                        <w:rPr>
                          <w:color w:val="FFFFFF" w:themeColor="background1"/>
                        </w:rPr>
                        <w:t>NHCDC Cost Centre Groups</w:t>
                      </w:r>
                      <w:r w:rsidRPr="00237061">
                        <w:rPr>
                          <w:color w:val="FFFFFF" w:themeColor="background1"/>
                        </w:rPr>
                        <w:t xml:space="preserve"> respectively, not </w:t>
                      </w:r>
                      <w:r w:rsidR="007039F9" w:rsidRPr="00237061">
                        <w:rPr>
                          <w:i/>
                          <w:iCs/>
                          <w:color w:val="FFFFFF" w:themeColor="background1"/>
                        </w:rPr>
                        <w:t>C</w:t>
                      </w:r>
                      <w:r w:rsidRPr="00237061">
                        <w:rPr>
                          <w:i/>
                          <w:iCs/>
                          <w:color w:val="FFFFFF" w:themeColor="background1"/>
                        </w:rPr>
                        <w:t>ritical</w:t>
                      </w:r>
                      <w:r w:rsidRPr="00237061">
                        <w:rPr>
                          <w:color w:val="FFFFFF" w:themeColor="background1"/>
                        </w:rPr>
                        <w:t xml:space="preserve">. </w:t>
                      </w:r>
                      <w:r w:rsidR="00237061" w:rsidRPr="00237061">
                        <w:rPr>
                          <w:color w:val="FFFFFF" w:themeColor="background1"/>
                        </w:rPr>
                        <w:t>Queensland’s treatment is in line with other jurisdictions</w:t>
                      </w:r>
                      <w:r w:rsidR="00237061">
                        <w:rPr>
                          <w:color w:val="FFFFFF" w:themeColor="background1"/>
                        </w:rPr>
                        <w:t>.</w:t>
                      </w:r>
                    </w:p>
                    <w:p w14:paraId="33969EFF" w14:textId="1C4D95D6" w:rsidR="00C8190A" w:rsidRPr="00237061" w:rsidRDefault="00C8190A" w:rsidP="00CB0933">
                      <w:pPr>
                        <w:pStyle w:val="Tablebulletpoint"/>
                        <w:rPr>
                          <w:color w:val="FFFFFF" w:themeColor="background1"/>
                        </w:rPr>
                      </w:pPr>
                      <w:r w:rsidRPr="00237061">
                        <w:rPr>
                          <w:color w:val="FFFFFF" w:themeColor="background1"/>
                        </w:rPr>
                        <w:t xml:space="preserve">Queensland has specific feeder data for ECMO, highly specialised burns patients, so there is a differentiation in how </w:t>
                      </w:r>
                      <w:r w:rsidR="00EF1895" w:rsidRPr="00237061">
                        <w:rPr>
                          <w:color w:val="FFFFFF" w:themeColor="background1"/>
                        </w:rPr>
                        <w:t>these patients</w:t>
                      </w:r>
                      <w:r w:rsidRPr="00237061">
                        <w:rPr>
                          <w:color w:val="FFFFFF" w:themeColor="background1"/>
                        </w:rPr>
                        <w:t xml:space="preserve"> are costed to account for higher level nursing care and consumables. </w:t>
                      </w:r>
                    </w:p>
                    <w:p w14:paraId="026A4E19" w14:textId="24E8783A" w:rsidR="00B114EC" w:rsidRPr="00B114EC" w:rsidRDefault="00C8190A" w:rsidP="00B114EC">
                      <w:pPr>
                        <w:pStyle w:val="Tablebulletpoint"/>
                        <w:rPr>
                          <w:color w:val="FFFFFF" w:themeColor="background1"/>
                        </w:rPr>
                      </w:pPr>
                      <w:r w:rsidRPr="00C8190A">
                        <w:rPr>
                          <w:color w:val="FFFFFF" w:themeColor="background1"/>
                        </w:rPr>
                        <w:t>At Royal Brisbane Hospital</w:t>
                      </w:r>
                      <w:r w:rsidR="00B114EC" w:rsidRPr="00B114EC">
                        <w:rPr>
                          <w:color w:val="FFFFFF" w:themeColor="background1"/>
                        </w:rPr>
                        <w:t xml:space="preserve"> and Caboolture Hospital, patients are admitted to ICU under the admitting clinical care team, not the intensivist. As a result, they receive double allocations of medical costs. This may driver higher </w:t>
                      </w:r>
                      <w:r w:rsidR="00403578">
                        <w:rPr>
                          <w:color w:val="FFFFFF" w:themeColor="background1"/>
                        </w:rPr>
                        <w:t>M</w:t>
                      </w:r>
                      <w:r w:rsidR="00B114EC" w:rsidRPr="00B114EC">
                        <w:rPr>
                          <w:color w:val="FFFFFF" w:themeColor="background1"/>
                        </w:rPr>
                        <w:t xml:space="preserve">edical </w:t>
                      </w:r>
                      <w:r w:rsidR="00B114EC" w:rsidRPr="00AD1F32">
                        <w:rPr>
                          <w:i/>
                          <w:iCs/>
                          <w:color w:val="FFFFFF" w:themeColor="background1"/>
                        </w:rPr>
                        <w:t>S&amp;W</w:t>
                      </w:r>
                      <w:r w:rsidR="00B114EC" w:rsidRPr="00B114EC">
                        <w:rPr>
                          <w:color w:val="FFFFFF" w:themeColor="background1"/>
                        </w:rPr>
                        <w:t xml:space="preserve"> costs than a patient under a hospital where the care model is to admit to ICU under the intensivist (as is the case in Bundaberg</w:t>
                      </w:r>
                      <w:r w:rsidR="000A5C30">
                        <w:rPr>
                          <w:color w:val="FFFFFF" w:themeColor="background1"/>
                        </w:rPr>
                        <w:t xml:space="preserve"> Base</w:t>
                      </w:r>
                      <w:r w:rsidR="00B114EC" w:rsidRPr="00B114EC">
                        <w:rPr>
                          <w:color w:val="FFFFFF" w:themeColor="background1"/>
                        </w:rPr>
                        <w:t xml:space="preserve"> Hospital).</w:t>
                      </w:r>
                    </w:p>
                    <w:p w14:paraId="1005E64B" w14:textId="6FCCF56E" w:rsidR="000102A2" w:rsidRPr="00B114EC" w:rsidRDefault="00B114EC" w:rsidP="00B114EC">
                      <w:pPr>
                        <w:pStyle w:val="Tablebulletpoint"/>
                        <w:rPr>
                          <w:color w:val="FFFFFF" w:themeColor="background1"/>
                        </w:rPr>
                      </w:pPr>
                      <w:r w:rsidRPr="00B114EC">
                        <w:rPr>
                          <w:color w:val="FFFFFF" w:themeColor="background1"/>
                        </w:rPr>
                        <w:t xml:space="preserve">All sites reported that ICU staff perform activities outside of the ICU unit or not delivering care to ICU patients, including MET calls, anaesthetics cover, outreach to other wards. These costs are spread to ICU patients, potentially overstating their </w:t>
                      </w:r>
                      <w:r w:rsidR="005369D0">
                        <w:rPr>
                          <w:color w:val="FFFFFF" w:themeColor="background1"/>
                        </w:rPr>
                        <w:t>M</w:t>
                      </w:r>
                      <w:r w:rsidRPr="00B114EC">
                        <w:rPr>
                          <w:color w:val="FFFFFF" w:themeColor="background1"/>
                        </w:rPr>
                        <w:t>edical</w:t>
                      </w:r>
                      <w:r w:rsidR="00F732D1">
                        <w:rPr>
                          <w:color w:val="FFFFFF" w:themeColor="background1"/>
                        </w:rPr>
                        <w:t xml:space="preserve"> </w:t>
                      </w:r>
                      <w:r w:rsidR="00C8190A" w:rsidRPr="00C8190A">
                        <w:rPr>
                          <w:color w:val="FFFFFF" w:themeColor="background1"/>
                        </w:rPr>
                        <w:t>/</w:t>
                      </w:r>
                      <w:r w:rsidR="00F732D1">
                        <w:rPr>
                          <w:color w:val="FFFFFF" w:themeColor="background1"/>
                        </w:rPr>
                        <w:t xml:space="preserve"> </w:t>
                      </w:r>
                      <w:r w:rsidR="005369D0">
                        <w:rPr>
                          <w:color w:val="FFFFFF" w:themeColor="background1"/>
                        </w:rPr>
                        <w:t>N</w:t>
                      </w:r>
                      <w:r w:rsidRPr="00B114EC">
                        <w:rPr>
                          <w:color w:val="FFFFFF" w:themeColor="background1"/>
                        </w:rPr>
                        <w:t xml:space="preserve">ursing </w:t>
                      </w:r>
                      <w:r w:rsidRPr="00AB61AF">
                        <w:rPr>
                          <w:i/>
                          <w:iCs/>
                          <w:color w:val="FFFFFF" w:themeColor="background1"/>
                        </w:rPr>
                        <w:t>S&amp;W</w:t>
                      </w:r>
                      <w:r w:rsidRPr="00B114EC">
                        <w:rPr>
                          <w:color w:val="FFFFFF" w:themeColor="background1"/>
                        </w:rPr>
                        <w:t xml:space="preserve"> costs. Further work is ongoing to capture clinician time on these activities</w:t>
                      </w:r>
                      <w:r w:rsidR="000102A2" w:rsidRPr="00B114EC">
                        <w:rPr>
                          <w:color w:val="FFFFFF" w:themeColor="background1"/>
                        </w:rPr>
                        <w:t>.</w:t>
                      </w:r>
                    </w:p>
                  </w:txbxContent>
                </v:textbox>
                <w10:anchorlock/>
              </v:shape>
            </w:pict>
          </mc:Fallback>
        </mc:AlternateContent>
      </w:r>
    </w:p>
    <w:p w14:paraId="3A75A147" w14:textId="69B13CFB" w:rsidR="00144DC9" w:rsidRDefault="00144DC9" w:rsidP="00DF482F">
      <w:pPr>
        <w:pStyle w:val="Heading2"/>
      </w:pPr>
      <w:r>
        <w:lastRenderedPageBreak/>
        <w:t>Western Australia</w:t>
      </w:r>
    </w:p>
    <w:p w14:paraId="3CFD5FD5" w14:textId="6C03FB1A" w:rsidR="008A6400" w:rsidRDefault="00033764" w:rsidP="008A6400">
      <w:pPr>
        <w:pStyle w:val="Heading3"/>
      </w:pPr>
      <w:r>
        <w:rPr>
          <w:noProof/>
        </w:rPr>
        <mc:AlternateContent>
          <mc:Choice Requires="wpg">
            <w:drawing>
              <wp:anchor distT="0" distB="0" distL="114300" distR="114300" simplePos="0" relativeHeight="251658309" behindDoc="1" locked="0" layoutInCell="1" allowOverlap="1" wp14:anchorId="18B276C3" wp14:editId="380129F3">
                <wp:simplePos x="0" y="0"/>
                <wp:positionH relativeFrom="margin">
                  <wp:align>right</wp:align>
                </wp:positionH>
                <wp:positionV relativeFrom="paragraph">
                  <wp:posOffset>86331</wp:posOffset>
                </wp:positionV>
                <wp:extent cx="3143250" cy="3203575"/>
                <wp:effectExtent l="0" t="0" r="0" b="0"/>
                <wp:wrapTight wrapText="bothSides">
                  <wp:wrapPolygon edited="0">
                    <wp:start x="0" y="0"/>
                    <wp:lineTo x="0" y="21450"/>
                    <wp:lineTo x="21469" y="21450"/>
                    <wp:lineTo x="21469" y="0"/>
                    <wp:lineTo x="0" y="0"/>
                  </wp:wrapPolygon>
                </wp:wrapTight>
                <wp:docPr id="2122206055" name="Group 1" descr="P243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0" cy="3203575"/>
                          <a:chOff x="190501" y="0"/>
                          <a:chExt cx="3143250" cy="3203575"/>
                        </a:xfrm>
                      </wpg:grpSpPr>
                      <wps:wsp>
                        <wps:cNvPr id="1471404069" name="Rectangle 3"/>
                        <wps:cNvSpPr/>
                        <wps:spPr>
                          <a:xfrm>
                            <a:off x="190501" y="0"/>
                            <a:ext cx="3143250" cy="3203575"/>
                          </a:xfrm>
                          <a:prstGeom prst="rect">
                            <a:avLst/>
                          </a:prstGeom>
                          <a:solidFill>
                            <a:srgbClr val="B4B5DB">
                              <a:lumMod val="40000"/>
                              <a:lumOff val="60000"/>
                            </a:srgbClr>
                          </a:solidFill>
                          <a:ln w="12700" cap="flat" cmpd="sng" algn="ctr">
                            <a:noFill/>
                            <a:prstDash val="solid"/>
                            <a:miter lim="800000"/>
                          </a:ln>
                          <a:effectLst/>
                        </wps:spPr>
                        <wps:bodyPr rtlCol="0" anchor="ctr"/>
                      </wps:wsp>
                      <wps:wsp>
                        <wps:cNvPr id="754369564" name="Text Placeholder 7"/>
                        <wps:cNvSpPr txBox="1">
                          <a:spLocks/>
                        </wps:cNvSpPr>
                        <wps:spPr>
                          <a:xfrm>
                            <a:off x="390525" y="1714500"/>
                            <a:ext cx="718185" cy="575310"/>
                          </a:xfrm>
                          <a:prstGeom prst="rect">
                            <a:avLst/>
                          </a:prstGeom>
                        </wps:spPr>
                        <wps:txbx>
                          <w:txbxContent>
                            <w:p w14:paraId="4D3B847B" w14:textId="64D608CB" w:rsidR="00033764" w:rsidRPr="001729F2" w:rsidRDefault="00033764" w:rsidP="00033764">
                              <w:pPr>
                                <w:spacing w:after="0" w:line="240" w:lineRule="auto"/>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6</w:t>
                              </w:r>
                            </w:p>
                          </w:txbxContent>
                        </wps:txbx>
                        <wps:bodyPr vert="horz" wrap="square" lIns="0" tIns="0" rIns="0" bIns="0" rtlCol="0" anchor="ctr" anchorCtr="0">
                          <a:noAutofit/>
                        </wps:bodyPr>
                      </wps:wsp>
                      <wps:wsp>
                        <wps:cNvPr id="1983553625" name="Google Shape;1492;p120"/>
                        <wps:cNvSpPr txBox="1">
                          <a:spLocks/>
                        </wps:cNvSpPr>
                        <wps:spPr>
                          <a:xfrm>
                            <a:off x="1419225" y="1762125"/>
                            <a:ext cx="1532890" cy="575310"/>
                          </a:xfrm>
                          <a:prstGeom prst="rect">
                            <a:avLst/>
                          </a:prstGeom>
                        </wps:spPr>
                        <wps:txbx>
                          <w:txbxContent>
                            <w:p w14:paraId="7F56328E" w14:textId="465971DF" w:rsidR="00033764" w:rsidRPr="001729F2" w:rsidRDefault="00033764" w:rsidP="00033764">
                              <w:pPr>
                                <w:spacing w:after="0" w:line="264" w:lineRule="auto"/>
                                <w:textAlignment w:val="baseline"/>
                                <w:rPr>
                                  <w:rFonts w:eastAsia="Times New Roman"/>
                                  <w:color w:val="484B5D"/>
                                  <w:kern w:val="24"/>
                                  <w:sz w:val="21"/>
                                  <w:szCs w:val="21"/>
                                </w:rPr>
                              </w:pPr>
                              <w:r w:rsidRPr="001729F2">
                                <w:rPr>
                                  <w:rFonts w:eastAsia="Times New Roman"/>
                                  <w:color w:val="484B5D"/>
                                  <w:kern w:val="24"/>
                                  <w:sz w:val="21"/>
                                  <w:szCs w:val="21"/>
                                </w:rPr>
                                <w:t>Health Services incl. PathWest</w:t>
                              </w:r>
                            </w:p>
                          </w:txbxContent>
                        </wps:txbx>
                        <wps:bodyPr vert="horz" wrap="square" lIns="0" tIns="0" rIns="0" bIns="0" rtlCol="0" anchor="ctr" anchorCtr="0">
                          <a:noAutofit/>
                        </wps:bodyPr>
                      </wps:wsp>
                      <wps:wsp>
                        <wps:cNvPr id="41351672" name="Text Placeholder 7"/>
                        <wps:cNvSpPr txBox="1">
                          <a:spLocks/>
                        </wps:cNvSpPr>
                        <wps:spPr>
                          <a:xfrm>
                            <a:off x="1171575" y="1190625"/>
                            <a:ext cx="1892935" cy="575310"/>
                          </a:xfrm>
                          <a:prstGeom prst="rect">
                            <a:avLst/>
                          </a:prstGeom>
                        </wps:spPr>
                        <wps:txbx>
                          <w:txbxContent>
                            <w:p w14:paraId="769DFCB3" w14:textId="1D2FA44E" w:rsidR="00033764" w:rsidRPr="001729F2" w:rsidRDefault="00033764" w:rsidP="00033764">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$8.17bn</w:t>
                              </w:r>
                            </w:p>
                          </w:txbxContent>
                        </wps:txbx>
                        <wps:bodyPr vert="horz" wrap="square" lIns="0" tIns="0" rIns="0" bIns="0" rtlCol="0" anchor="ctr" anchorCtr="0">
                          <a:noAutofit/>
                        </wps:bodyPr>
                      </wps:wsp>
                      <wps:wsp>
                        <wps:cNvPr id="900253739" name="Google Shape;1492;p120"/>
                        <wps:cNvSpPr txBox="1">
                          <a:spLocks/>
                        </wps:cNvSpPr>
                        <wps:spPr>
                          <a:xfrm>
                            <a:off x="390525" y="1190625"/>
                            <a:ext cx="1150078" cy="575924"/>
                          </a:xfrm>
                          <a:prstGeom prst="rect">
                            <a:avLst/>
                          </a:prstGeom>
                        </wps:spPr>
                        <wps:txbx>
                          <w:txbxContent>
                            <w:p w14:paraId="288C27EA" w14:textId="77777777" w:rsidR="00033764" w:rsidRPr="001729F2" w:rsidRDefault="00033764" w:rsidP="00033764">
                              <w:pPr>
                                <w:spacing w:after="0" w:line="264" w:lineRule="auto"/>
                                <w:rPr>
                                  <w:rFonts w:eastAsia="Times New Roman"/>
                                  <w:color w:val="484B5D"/>
                                  <w:kern w:val="24"/>
                                </w:rPr>
                              </w:pPr>
                              <w:r w:rsidRPr="001729F2">
                                <w:rPr>
                                  <w:rFonts w:eastAsia="Times New Roman"/>
                                  <w:color w:val="484B5D"/>
                                  <w:kern w:val="24"/>
                                </w:rPr>
                                <w:t>Total costs submitted to NHCDC</w:t>
                              </w:r>
                            </w:p>
                          </w:txbxContent>
                        </wps:txbx>
                        <wps:bodyPr vert="horz" wrap="square" lIns="0" tIns="0" rIns="0" bIns="0" rtlCol="0" anchor="ctr" anchorCtr="0">
                          <a:noAutofit/>
                        </wps:bodyPr>
                      </wps:wsp>
                      <wps:wsp>
                        <wps:cNvPr id="1733875090" name="Text Placeholder 7"/>
                        <wps:cNvSpPr txBox="1">
                          <a:spLocks/>
                        </wps:cNvSpPr>
                        <wps:spPr>
                          <a:xfrm>
                            <a:off x="390523" y="542926"/>
                            <a:ext cx="618490" cy="575945"/>
                          </a:xfrm>
                          <a:prstGeom prst="rect">
                            <a:avLst/>
                          </a:prstGeom>
                          <a:noFill/>
                        </wps:spPr>
                        <wps:txbx>
                          <w:txbxContent>
                            <w:p w14:paraId="7AE2D428" w14:textId="5E488267" w:rsidR="00033764" w:rsidRPr="001729F2" w:rsidRDefault="00033764" w:rsidP="00033764">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37</w:t>
                              </w:r>
                            </w:p>
                          </w:txbxContent>
                        </wps:txbx>
                        <wps:bodyPr vert="horz" wrap="none" lIns="0" tIns="0" rIns="0" bIns="0" rtlCol="0" anchor="b" anchorCtr="0">
                          <a:noAutofit/>
                        </wps:bodyPr>
                      </wps:wsp>
                      <wps:wsp>
                        <wps:cNvPr id="1762590452" name="Google Shape;1492;p120"/>
                        <wps:cNvSpPr txBox="1">
                          <a:spLocks/>
                        </wps:cNvSpPr>
                        <wps:spPr>
                          <a:xfrm>
                            <a:off x="1466850" y="628650"/>
                            <a:ext cx="1565275" cy="575310"/>
                          </a:xfrm>
                          <a:prstGeom prst="rect">
                            <a:avLst/>
                          </a:prstGeom>
                        </wps:spPr>
                        <wps:txbx>
                          <w:txbxContent>
                            <w:p w14:paraId="5DBF41BD" w14:textId="30E32E65" w:rsidR="00033764" w:rsidRPr="001729F2" w:rsidRDefault="003C3CCB" w:rsidP="00033764">
                              <w:pPr>
                                <w:spacing w:after="0" w:line="264" w:lineRule="auto"/>
                                <w:rPr>
                                  <w:rFonts w:eastAsia="Times New Roman"/>
                                  <w:color w:val="484B5D"/>
                                  <w:kern w:val="24"/>
                                  <w:sz w:val="21"/>
                                  <w:szCs w:val="21"/>
                                </w:rPr>
                              </w:pPr>
                              <w:r>
                                <w:rPr>
                                  <w:rFonts w:eastAsia="Times New Roman"/>
                                  <w:color w:val="484B5D"/>
                                  <w:kern w:val="24"/>
                                  <w:sz w:val="21"/>
                                  <w:szCs w:val="21"/>
                                </w:rPr>
                                <w:t>Facilit</w:t>
                              </w:r>
                              <w:r w:rsidR="000B7939">
                                <w:rPr>
                                  <w:rFonts w:eastAsia="Times New Roman"/>
                                  <w:color w:val="484B5D"/>
                                  <w:kern w:val="24"/>
                                  <w:sz w:val="21"/>
                                  <w:szCs w:val="21"/>
                                </w:rPr>
                                <w:t xml:space="preserve">ies submitting data to the </w:t>
                              </w:r>
                              <w:r w:rsidR="00033764">
                                <w:rPr>
                                  <w:rFonts w:eastAsia="Times New Roman"/>
                                  <w:color w:val="484B5D"/>
                                  <w:kern w:val="24"/>
                                  <w:sz w:val="21"/>
                                  <w:szCs w:val="21"/>
                                </w:rPr>
                                <w:t xml:space="preserve">NHCDC in </w:t>
                              </w:r>
                              <w:r w:rsidR="00D738B2">
                                <w:rPr>
                                  <w:rFonts w:eastAsia="Times New Roman"/>
                                  <w:color w:val="484B5D"/>
                                  <w:kern w:val="24"/>
                                  <w:sz w:val="21"/>
                                  <w:szCs w:val="21"/>
                                </w:rPr>
                                <w:t>2023-24</w:t>
                              </w:r>
                            </w:p>
                          </w:txbxContent>
                        </wps:txbx>
                        <wps:bodyPr vert="horz" lIns="0" tIns="0" rIns="0" bIns="0" rtlCol="0" anchor="ctr" anchorCtr="0">
                          <a:noAutofit/>
                        </wps:bodyPr>
                      </wps:wsp>
                      <wps:wsp>
                        <wps:cNvPr id="1501788535" name="Text Placeholder 7"/>
                        <wps:cNvSpPr txBox="1">
                          <a:spLocks/>
                        </wps:cNvSpPr>
                        <wps:spPr>
                          <a:xfrm>
                            <a:off x="1181100" y="2333625"/>
                            <a:ext cx="1884045" cy="575310"/>
                          </a:xfrm>
                          <a:prstGeom prst="rect">
                            <a:avLst/>
                          </a:prstGeom>
                        </wps:spPr>
                        <wps:txbx>
                          <w:txbxContent>
                            <w:p w14:paraId="66B7D7A6" w14:textId="42FF5036" w:rsidR="00033764" w:rsidRPr="001729F2" w:rsidRDefault="00033764" w:rsidP="00033764">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1729F2">
                                <w:rPr>
                                  <w:rFonts w:ascii="Avenir Next LT Pro Demi" w:eastAsia="Avenir Next LT Pro Regular" w:hAnsi="Avenir Next LT Pro Demi" w:cs="Avenir Next LT Pro Regular"/>
                                  <w:color w:val="44546A"/>
                                  <w:spacing w:val="-30"/>
                                  <w:kern w:val="24"/>
                                  <w:sz w:val="72"/>
                                  <w:szCs w:val="72"/>
                                </w:rPr>
                                <w:t>$7,764</w:t>
                              </w:r>
                            </w:p>
                          </w:txbxContent>
                        </wps:txbx>
                        <wps:bodyPr vert="horz" lIns="0" tIns="0" rIns="0" bIns="0" rtlCol="0" anchor="ctr" anchorCtr="0">
                          <a:noAutofit/>
                        </wps:bodyPr>
                      </wps:wsp>
                      <wps:wsp>
                        <wps:cNvPr id="1630501778" name="Google Shape;1492;p120"/>
                        <wps:cNvSpPr txBox="1">
                          <a:spLocks/>
                        </wps:cNvSpPr>
                        <wps:spPr>
                          <a:xfrm>
                            <a:off x="390525" y="2333625"/>
                            <a:ext cx="1150078" cy="575924"/>
                          </a:xfrm>
                          <a:prstGeom prst="rect">
                            <a:avLst/>
                          </a:prstGeom>
                        </wps:spPr>
                        <wps:txbx>
                          <w:txbxContent>
                            <w:p w14:paraId="5B787279" w14:textId="77777777" w:rsidR="00033764" w:rsidRPr="001729F2" w:rsidRDefault="00033764" w:rsidP="00033764">
                              <w:pPr>
                                <w:spacing w:after="0" w:line="264" w:lineRule="auto"/>
                                <w:rPr>
                                  <w:rFonts w:eastAsia="Times New Roman"/>
                                  <w:color w:val="484B5D"/>
                                  <w:kern w:val="24"/>
                                </w:rPr>
                              </w:pPr>
                              <w:r w:rsidRPr="001729F2">
                                <w:rPr>
                                  <w:rFonts w:eastAsia="Times New Roman"/>
                                  <w:color w:val="484B5D"/>
                                  <w:kern w:val="24"/>
                                </w:rPr>
                                <w:t>Average cost per GWAU (excl. Community MH)</w:t>
                              </w:r>
                            </w:p>
                          </w:txbxContent>
                        </wps:txbx>
                        <wps:bodyPr vert="horz" wrap="square" lIns="0" tIns="0" rIns="0" bIns="0" rtlCol="0" anchor="ctr" anchorCtr="0">
                          <a:noAutofit/>
                        </wps:bodyPr>
                      </wps:wsp>
                      <wps:wsp>
                        <wps:cNvPr id="1672714210" name="TextBox 21"/>
                        <wps:cNvSpPr txBox="1"/>
                        <wps:spPr>
                          <a:xfrm>
                            <a:off x="390525" y="276225"/>
                            <a:ext cx="2529840" cy="351155"/>
                          </a:xfrm>
                          <a:prstGeom prst="rect">
                            <a:avLst/>
                          </a:prstGeom>
                          <a:noFill/>
                        </wps:spPr>
                        <wps:txbx>
                          <w:txbxContent>
                            <w:p w14:paraId="5C417F92" w14:textId="34929615" w:rsidR="00033764" w:rsidRPr="001729F2" w:rsidRDefault="00033764" w:rsidP="00033764">
                              <w:pPr>
                                <w:rPr>
                                  <w:rFonts w:eastAsia="Times New Roman"/>
                                  <w:i/>
                                  <w:iCs/>
                                  <w:color w:val="464E7E"/>
                                  <w:kern w:val="24"/>
                                  <w:sz w:val="28"/>
                                  <w:szCs w:val="28"/>
                                </w:rPr>
                              </w:pPr>
                              <w:r w:rsidRPr="001729F2">
                                <w:rPr>
                                  <w:rFonts w:eastAsia="Times New Roman"/>
                                  <w:i/>
                                  <w:iCs/>
                                  <w:color w:val="464E7E"/>
                                  <w:kern w:val="24"/>
                                  <w:sz w:val="28"/>
                                  <w:szCs w:val="28"/>
                                </w:rPr>
                                <w:t>At a glance: W</w:t>
                              </w:r>
                              <w:r w:rsidR="004F4511">
                                <w:rPr>
                                  <w:rFonts w:eastAsia="Times New Roman"/>
                                  <w:i/>
                                  <w:iCs/>
                                  <w:color w:val="464E7E"/>
                                  <w:kern w:val="24"/>
                                  <w:sz w:val="28"/>
                                  <w:szCs w:val="28"/>
                                </w:rPr>
                                <w:t>A</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18B276C3" id="_x0000_s1223" alt="P2430#y1" style="position:absolute;left:0;text-align:left;margin-left:196.3pt;margin-top:6.8pt;width:247.5pt;height:252.25pt;z-index:-251658171;mso-position-horizontal:right;mso-position-horizontal-relative:margin;mso-position-vertical-relative:text;mso-width-relative:margin;mso-height-relative:margin" coordorigin="1905" coordsize="31432,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">
                <v:rect id="Rectangle 3" o:spid="_x0000_s1224" style="position:absolute;left:1905;width:31432;height:3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" fillcolor="#e1e1f1" stroked="f" strokeweight="1pt"/>
                <v:shape id="Text Placeholder 7" o:spid="_x0000_s1225" type="#_x0000_t202" style="position:absolute;left:3905;top:17145;width:7182;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" filled="f" stroked="f">
                  <v:textbox inset="0,0,0,0">
                    <w:txbxContent>
                      <w:p w14:paraId="4D3B847B" w14:textId="64D608CB" w:rsidR="00033764" w:rsidRPr="001729F2" w:rsidRDefault="00033764" w:rsidP="00033764">
                        <w:pPr>
                          <w:spacing w:after="0" w:line="240" w:lineRule="auto"/>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6</w:t>
                        </w:r>
                      </w:p>
                    </w:txbxContent>
                  </v:textbox>
                </v:shape>
                <v:shape id="Google Shape;1492;p120" o:spid="_x0000_s1226" type="#_x0000_t202" style="position:absolute;left:14192;top:17621;width:15329;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" filled="f" stroked="f">
                  <v:textbox inset="0,0,0,0">
                    <w:txbxContent>
                      <w:p w14:paraId="7F56328E" w14:textId="465971DF" w:rsidR="00033764" w:rsidRPr="001729F2" w:rsidRDefault="00033764" w:rsidP="00033764">
                        <w:pPr>
                          <w:spacing w:after="0" w:line="264" w:lineRule="auto"/>
                          <w:textAlignment w:val="baseline"/>
                          <w:rPr>
                            <w:rFonts w:eastAsia="Times New Roman"/>
                            <w:color w:val="484B5D"/>
                            <w:kern w:val="24"/>
                            <w:sz w:val="21"/>
                            <w:szCs w:val="21"/>
                          </w:rPr>
                        </w:pPr>
                        <w:r w:rsidRPr="001729F2">
                          <w:rPr>
                            <w:rFonts w:eastAsia="Times New Roman"/>
                            <w:color w:val="484B5D"/>
                            <w:kern w:val="24"/>
                            <w:sz w:val="21"/>
                            <w:szCs w:val="21"/>
                          </w:rPr>
                          <w:t>Health Services incl. PathWest</w:t>
                        </w:r>
                      </w:p>
                    </w:txbxContent>
                  </v:textbox>
                </v:shape>
                <v:shape id="Text Placeholder 7" o:spid="_x0000_s1227" type="#_x0000_t202" style="position:absolute;left:11715;top:11906;width:1893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" filled="f" stroked="f">
                  <v:textbox inset="0,0,0,0">
                    <w:txbxContent>
                      <w:p w14:paraId="769DFCB3" w14:textId="1D2FA44E" w:rsidR="00033764" w:rsidRPr="001729F2" w:rsidRDefault="00033764" w:rsidP="00033764">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$8.17bn</w:t>
                        </w:r>
                      </w:p>
                    </w:txbxContent>
                  </v:textbox>
                </v:shape>
                <v:shape id="Google Shape;1492;p120" o:spid="_x0000_s1228" type="#_x0000_t202" style="position:absolute;left:3905;top:1190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" filled="f" stroked="f">
                  <v:textbox inset="0,0,0,0">
                    <w:txbxContent>
                      <w:p w14:paraId="288C27EA" w14:textId="77777777" w:rsidR="00033764" w:rsidRPr="001729F2" w:rsidRDefault="00033764" w:rsidP="00033764">
                        <w:pPr>
                          <w:spacing w:after="0" w:line="264" w:lineRule="auto"/>
                          <w:rPr>
                            <w:rFonts w:eastAsia="Times New Roman"/>
                            <w:color w:val="484B5D"/>
                            <w:kern w:val="24"/>
                          </w:rPr>
                        </w:pPr>
                        <w:r w:rsidRPr="001729F2">
                          <w:rPr>
                            <w:rFonts w:eastAsia="Times New Roman"/>
                            <w:color w:val="484B5D"/>
                            <w:kern w:val="24"/>
                          </w:rPr>
                          <w:t>Total costs submitted to NHCDC</w:t>
                        </w:r>
                      </w:p>
                    </w:txbxContent>
                  </v:textbox>
                </v:shape>
                <v:shape id="Text Placeholder 7" o:spid="_x0000_s1229" type="#_x0000_t202" style="position:absolute;left:3905;top:5429;width:6185;height:575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" filled="f" stroked="f">
                  <v:textbox inset="0,0,0,0">
                    <w:txbxContent>
                      <w:p w14:paraId="7AE2D428" w14:textId="5E488267" w:rsidR="00033764" w:rsidRPr="001729F2" w:rsidRDefault="00033764" w:rsidP="00033764">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37</w:t>
                        </w:r>
                      </w:p>
                    </w:txbxContent>
                  </v:textbox>
                </v:shape>
                <v:shape id="Google Shape;1492;p120" o:spid="_x0000_s1230" type="#_x0000_t202" style="position:absolute;left:14668;top:6286;width:15653;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" filled="f" stroked="f">
                  <v:textbox inset="0,0,0,0">
                    <w:txbxContent>
                      <w:p w14:paraId="5DBF41BD" w14:textId="30E32E65" w:rsidR="00033764" w:rsidRPr="001729F2" w:rsidRDefault="003C3CCB" w:rsidP="00033764">
                        <w:pPr>
                          <w:spacing w:after="0" w:line="264" w:lineRule="auto"/>
                          <w:rPr>
                            <w:rFonts w:eastAsia="Times New Roman"/>
                            <w:color w:val="484B5D"/>
                            <w:kern w:val="24"/>
                            <w:sz w:val="21"/>
                            <w:szCs w:val="21"/>
                          </w:rPr>
                        </w:pPr>
                        <w:r>
                          <w:rPr>
                            <w:rFonts w:eastAsia="Times New Roman"/>
                            <w:color w:val="484B5D"/>
                            <w:kern w:val="24"/>
                            <w:sz w:val="21"/>
                            <w:szCs w:val="21"/>
                          </w:rPr>
                          <w:t>Facilit</w:t>
                        </w:r>
                        <w:r w:rsidR="000B7939">
                          <w:rPr>
                            <w:rFonts w:eastAsia="Times New Roman"/>
                            <w:color w:val="484B5D"/>
                            <w:kern w:val="24"/>
                            <w:sz w:val="21"/>
                            <w:szCs w:val="21"/>
                          </w:rPr>
                          <w:t xml:space="preserve">ies submitting data to the </w:t>
                        </w:r>
                        <w:r w:rsidR="00033764">
                          <w:rPr>
                            <w:rFonts w:eastAsia="Times New Roman"/>
                            <w:color w:val="484B5D"/>
                            <w:kern w:val="24"/>
                            <w:sz w:val="21"/>
                            <w:szCs w:val="21"/>
                          </w:rPr>
                          <w:t xml:space="preserve">NHCDC in </w:t>
                        </w:r>
                        <w:r w:rsidR="00D738B2">
                          <w:rPr>
                            <w:rFonts w:eastAsia="Times New Roman"/>
                            <w:color w:val="484B5D"/>
                            <w:kern w:val="24"/>
                            <w:sz w:val="21"/>
                            <w:szCs w:val="21"/>
                          </w:rPr>
                          <w:t>2023-24</w:t>
                        </w:r>
                      </w:p>
                    </w:txbxContent>
                  </v:textbox>
                </v:shape>
                <v:shape id="Text Placeholder 7" o:spid="_x0000_s1231" type="#_x0000_t202" style="position:absolute;left:11811;top:23336;width:1884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" filled="f" stroked="f">
                  <v:textbox inset="0,0,0,0">
                    <w:txbxContent>
                      <w:p w14:paraId="66B7D7A6" w14:textId="42FF5036" w:rsidR="00033764" w:rsidRPr="001729F2" w:rsidRDefault="00033764" w:rsidP="00033764">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1729F2">
                          <w:rPr>
                            <w:rFonts w:ascii="Avenir Next LT Pro Demi" w:eastAsia="Avenir Next LT Pro Regular" w:hAnsi="Avenir Next LT Pro Demi" w:cs="Avenir Next LT Pro Regular"/>
                            <w:color w:val="44546A"/>
                            <w:spacing w:val="-30"/>
                            <w:kern w:val="24"/>
                            <w:sz w:val="72"/>
                            <w:szCs w:val="72"/>
                          </w:rPr>
                          <w:t>$7,764</w:t>
                        </w:r>
                      </w:p>
                    </w:txbxContent>
                  </v:textbox>
                </v:shape>
                <v:shape id="Google Shape;1492;p120" o:spid="_x0000_s1232" type="#_x0000_t202" style="position:absolute;left:3905;top:2333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" filled="f" stroked="f">
                  <v:textbox inset="0,0,0,0">
                    <w:txbxContent>
                      <w:p w14:paraId="5B787279" w14:textId="77777777" w:rsidR="00033764" w:rsidRPr="001729F2" w:rsidRDefault="00033764" w:rsidP="00033764">
                        <w:pPr>
                          <w:spacing w:after="0" w:line="264" w:lineRule="auto"/>
                          <w:rPr>
                            <w:rFonts w:eastAsia="Times New Roman"/>
                            <w:color w:val="484B5D"/>
                            <w:kern w:val="24"/>
                          </w:rPr>
                        </w:pPr>
                        <w:r w:rsidRPr="001729F2">
                          <w:rPr>
                            <w:rFonts w:eastAsia="Times New Roman"/>
                            <w:color w:val="484B5D"/>
                            <w:kern w:val="24"/>
                          </w:rPr>
                          <w:t>Average cost per GWAU (excl. Community MH)</w:t>
                        </w:r>
                      </w:p>
                    </w:txbxContent>
                  </v:textbox>
                </v:shape>
                <v:shape id="TextBox 21" o:spid="_x0000_s1233" type="#_x0000_t202" style="position:absolute;left:3905;top:2762;width:25298;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" filled="f" stroked="f">
                  <v:textbox style="mso-fit-shape-to-text:t" inset="0,0,0,0">
                    <w:txbxContent>
                      <w:p w14:paraId="5C417F92" w14:textId="34929615" w:rsidR="00033764" w:rsidRPr="001729F2" w:rsidRDefault="00033764" w:rsidP="00033764">
                        <w:pPr>
                          <w:rPr>
                            <w:rFonts w:eastAsia="Times New Roman"/>
                            <w:i/>
                            <w:iCs/>
                            <w:color w:val="464E7E"/>
                            <w:kern w:val="24"/>
                            <w:sz w:val="28"/>
                            <w:szCs w:val="28"/>
                          </w:rPr>
                        </w:pPr>
                        <w:r w:rsidRPr="001729F2">
                          <w:rPr>
                            <w:rFonts w:eastAsia="Times New Roman"/>
                            <w:i/>
                            <w:iCs/>
                            <w:color w:val="464E7E"/>
                            <w:kern w:val="24"/>
                            <w:sz w:val="28"/>
                            <w:szCs w:val="28"/>
                          </w:rPr>
                          <w:t>At a glance: W</w:t>
                        </w:r>
                        <w:r w:rsidR="004F4511">
                          <w:rPr>
                            <w:rFonts w:eastAsia="Times New Roman"/>
                            <w:i/>
                            <w:iCs/>
                            <w:color w:val="464E7E"/>
                            <w:kern w:val="24"/>
                            <w:sz w:val="28"/>
                            <w:szCs w:val="28"/>
                          </w:rPr>
                          <w:t>A</w:t>
                        </w:r>
                      </w:p>
                    </w:txbxContent>
                  </v:textbox>
                </v:shape>
                <w10:wrap type="tight" anchorx="margin"/>
              </v:group>
            </w:pict>
          </mc:Fallback>
        </mc:AlternateContent>
      </w:r>
      <w:r w:rsidR="008A6400">
        <w:t>State-wide costed NHCDC 2023-24 submission</w:t>
      </w:r>
    </w:p>
    <w:p w14:paraId="288F012F" w14:textId="77777777" w:rsidR="005379CE" w:rsidRPr="0046606B" w:rsidRDefault="005379CE" w:rsidP="005379CE">
      <w:r w:rsidRPr="0046606B">
        <w:t xml:space="preserve">Western Australia (WA) submits costed activity for </w:t>
      </w:r>
      <w:r>
        <w:t>6</w:t>
      </w:r>
      <w:r w:rsidRPr="0046606B">
        <w:t xml:space="preserve"> Health Service Providers (HSPs) </w:t>
      </w:r>
      <w:r>
        <w:t>including PathWest</w:t>
      </w:r>
      <w:r w:rsidRPr="0046606B">
        <w:t xml:space="preserve"> as part of the NHCDC. </w:t>
      </w:r>
    </w:p>
    <w:p w14:paraId="112D2F42" w14:textId="00A2B5A9" w:rsidR="005379CE" w:rsidRPr="0046606B" w:rsidRDefault="005379CE" w:rsidP="005379CE">
      <w:r w:rsidRPr="0046606B">
        <w:t xml:space="preserve">Total costs submitted by WA in 2023-24 were </w:t>
      </w:r>
      <w:r w:rsidRPr="0046606B">
        <w:rPr>
          <w:b/>
        </w:rPr>
        <w:t>$8.17 billion</w:t>
      </w:r>
      <w:r w:rsidRPr="0046606B">
        <w:t xml:space="preserve"> and </w:t>
      </w:r>
      <w:r w:rsidR="001B467A">
        <w:rPr>
          <w:b/>
          <w:bCs/>
        </w:rPr>
        <w:t>4.50</w:t>
      </w:r>
      <w:r w:rsidRPr="0046606B">
        <w:rPr>
          <w:b/>
        </w:rPr>
        <w:t xml:space="preserve"> million</w:t>
      </w:r>
      <w:r w:rsidRPr="0046606B">
        <w:t xml:space="preserve"> episodes.</w:t>
      </w:r>
      <w:r w:rsidR="00CE6F96">
        <w:rPr>
          <w:rFonts w:ascii="ZWAdobeF" w:hAnsi="ZWAdobeF" w:cs="ZWAdobeF"/>
          <w:color w:val="auto"/>
          <w:sz w:val="2"/>
          <w:szCs w:val="2"/>
        </w:rPr>
        <w:t>20F</w:t>
      </w:r>
      <w:r w:rsidRPr="0046606B">
        <w:rPr>
          <w:rStyle w:val="FootnoteReference"/>
          <w:color w:val="44546A" w:themeColor="text2"/>
        </w:rPr>
        <w:footnoteReference w:id="22"/>
      </w:r>
    </w:p>
    <w:p w14:paraId="0D7ABFE3" w14:textId="0F3E9CBE" w:rsidR="005379CE" w:rsidRPr="0046606B" w:rsidRDefault="008E1600" w:rsidP="005379CE">
      <w:r>
        <w:rPr>
          <w:color w:val="44546A" w:themeColor="text2"/>
        </w:rPr>
        <w:t xml:space="preserve">The same </w:t>
      </w:r>
      <w:r w:rsidR="001579AC">
        <w:rPr>
          <w:color w:val="44546A" w:themeColor="text2"/>
        </w:rPr>
        <w:t xml:space="preserve">scope of </w:t>
      </w:r>
      <w:r>
        <w:rPr>
          <w:color w:val="44546A" w:themeColor="text2"/>
        </w:rPr>
        <w:t xml:space="preserve">activity that was applied in the Cost Driver analysis has </w:t>
      </w:r>
      <w:r w:rsidR="001579AC">
        <w:rPr>
          <w:color w:val="44546A" w:themeColor="text2"/>
        </w:rPr>
        <w:t xml:space="preserve">also </w:t>
      </w:r>
      <w:r>
        <w:rPr>
          <w:color w:val="44546A" w:themeColor="text2"/>
        </w:rPr>
        <w:t xml:space="preserve">been applied in this section. </w:t>
      </w:r>
      <w:r w:rsidR="005379CE" w:rsidRPr="0046606B">
        <w:t xml:space="preserve">Costs for ABF hospitals </w:t>
      </w:r>
      <w:r>
        <w:t xml:space="preserve">and selected activity streams </w:t>
      </w:r>
      <w:r w:rsidR="005379CE" w:rsidRPr="0046606B">
        <w:t>in WA</w:t>
      </w:r>
      <w:r w:rsidR="005379CE" w:rsidRPr="0046606B">
        <w:rPr>
          <w:color w:val="auto"/>
        </w:rPr>
        <w:t xml:space="preserve"> </w:t>
      </w:r>
      <w:r w:rsidR="005379CE" w:rsidRPr="0046606B">
        <w:t xml:space="preserve">in 2023-24 were </w:t>
      </w:r>
      <w:r w:rsidR="005379CE" w:rsidRPr="0046606B">
        <w:rPr>
          <w:b/>
        </w:rPr>
        <w:t>$7.05 billion</w:t>
      </w:r>
      <w:r w:rsidR="005379CE" w:rsidRPr="0046606B">
        <w:rPr>
          <w:rStyle w:val="CommentReference"/>
        </w:rPr>
        <w:t>.</w:t>
      </w:r>
      <w:r w:rsidR="005379CE" w:rsidRPr="0046606B">
        <w:t xml:space="preserve"> WA is the fourth largest contributor to the NHCDC nationally.</w:t>
      </w:r>
    </w:p>
    <w:p w14:paraId="392010D3" w14:textId="751D0DA6" w:rsidR="005379CE" w:rsidRPr="0046606B" w:rsidRDefault="005379CE" w:rsidP="005379CE">
      <w:r w:rsidRPr="0046606B">
        <w:t xml:space="preserve">The total number of costed ABF hospital episodes in 2023-24 was </w:t>
      </w:r>
      <w:r w:rsidRPr="0046606B">
        <w:rPr>
          <w:b/>
        </w:rPr>
        <w:t>4.21 million</w:t>
      </w:r>
      <w:r w:rsidRPr="0046606B">
        <w:t xml:space="preserve">, </w:t>
      </w:r>
      <w:r w:rsidR="003F634D">
        <w:t xml:space="preserve">representing </w:t>
      </w:r>
      <w:r w:rsidRPr="0046606B">
        <w:t xml:space="preserve">a growth of </w:t>
      </w:r>
      <w:r w:rsidRPr="0046606B">
        <w:rPr>
          <w:b/>
        </w:rPr>
        <w:t>6.6%</w:t>
      </w:r>
      <w:r w:rsidRPr="0046606B">
        <w:t xml:space="preserve"> since 2022-23. WA ABF hospital episodes make up </w:t>
      </w:r>
      <w:r w:rsidRPr="0046606B">
        <w:rPr>
          <w:b/>
          <w:bCs/>
        </w:rPr>
        <w:t>9.7% of national ABF episodes for 2023-24.</w:t>
      </w:r>
    </w:p>
    <w:p w14:paraId="1E3252AF" w14:textId="7D1FBFC6" w:rsidR="005379CE" w:rsidRPr="0046606B" w:rsidRDefault="005379CE" w:rsidP="005379CE">
      <w:r w:rsidRPr="0046606B">
        <w:t xml:space="preserve">WA delivered </w:t>
      </w:r>
      <w:r w:rsidRPr="0046606B">
        <w:rPr>
          <w:b/>
        </w:rPr>
        <w:t xml:space="preserve">0.91 million </w:t>
      </w:r>
      <w:r w:rsidRPr="0046606B">
        <w:t>GWAU</w:t>
      </w:r>
      <w:r w:rsidR="003F634D">
        <w:t xml:space="preserve"> in 2023-24</w:t>
      </w:r>
      <w:r w:rsidR="00CE6F96">
        <w:rPr>
          <w:rFonts w:ascii="ZWAdobeF" w:hAnsi="ZWAdobeF" w:cs="ZWAdobeF"/>
          <w:color w:val="auto"/>
          <w:sz w:val="2"/>
          <w:szCs w:val="2"/>
        </w:rPr>
        <w:t>21F</w:t>
      </w:r>
      <w:r w:rsidRPr="0046606B">
        <w:rPr>
          <w:rStyle w:val="FootnoteReference"/>
          <w:color w:val="44546A" w:themeColor="text2"/>
        </w:rPr>
        <w:footnoteReference w:id="23"/>
      </w:r>
      <w:r w:rsidRPr="0046606B">
        <w:t xml:space="preserve">, </w:t>
      </w:r>
      <w:r>
        <w:t xml:space="preserve">representing 8.8% of weighted activity nationally, with </w:t>
      </w:r>
      <w:r w:rsidRPr="0046606B">
        <w:t xml:space="preserve">a growth of </w:t>
      </w:r>
      <w:r w:rsidRPr="0046606B">
        <w:rPr>
          <w:b/>
        </w:rPr>
        <w:t>5.7%</w:t>
      </w:r>
      <w:r w:rsidRPr="0046606B">
        <w:t xml:space="preserve"> since 2022-23. </w:t>
      </w:r>
    </w:p>
    <w:p w14:paraId="0B9AC9DC" w14:textId="77777777" w:rsidR="005379CE" w:rsidRPr="0046606B" w:rsidRDefault="005379CE" w:rsidP="005379CE">
      <w:r w:rsidRPr="0046606B">
        <w:t xml:space="preserve">The average cost per GWAU in WA was </w:t>
      </w:r>
      <w:r w:rsidRPr="0046606B">
        <w:rPr>
          <w:b/>
        </w:rPr>
        <w:t xml:space="preserve">$7,764 </w:t>
      </w:r>
      <w:r w:rsidRPr="0046606B">
        <w:t xml:space="preserve">in </w:t>
      </w:r>
      <w:r w:rsidRPr="0046606B">
        <w:rPr>
          <w:bCs/>
        </w:rPr>
        <w:t>2023</w:t>
      </w:r>
      <w:r w:rsidRPr="0046606B">
        <w:t xml:space="preserve">-24, representing growth of </w:t>
      </w:r>
      <w:r w:rsidRPr="0046606B">
        <w:rPr>
          <w:b/>
        </w:rPr>
        <w:t>2.2%</w:t>
      </w:r>
      <w:r w:rsidRPr="0046606B">
        <w:t xml:space="preserve"> since 2022-23.</w:t>
      </w:r>
    </w:p>
    <w:p w14:paraId="4C3EBEEF" w14:textId="77777777" w:rsidR="005379CE" w:rsidRPr="0046606B" w:rsidRDefault="005379CE" w:rsidP="005379CE">
      <w:r w:rsidRPr="0046606B">
        <w:t xml:space="preserve">Overall, WA has had notable growth in episodes (6.6%) and a slightly lower GWAU growth (5.7%) indicating a slightly lower patient complexity. </w:t>
      </w:r>
    </w:p>
    <w:p w14:paraId="1E2FB1A4" w14:textId="460D15A7" w:rsidR="005379CE" w:rsidRPr="0046606B" w:rsidRDefault="005379CE" w:rsidP="005379CE">
      <w:r w:rsidRPr="0046606B">
        <w:t>In addition to the above changes, cost growth per GWAU in the range of 3-4% is expected in the context of an inflationary environment and year-on-year EBA wage rises for healthcare workers. WA’s average cost per GWAU growth of 2.2% is lower than this, which may indicate a level of cost containment in 2023-24.</w:t>
      </w:r>
      <w:r w:rsidRPr="004958FA">
        <w:t xml:space="preserve"> </w:t>
      </w:r>
      <w:r w:rsidRPr="0046606B">
        <w:t xml:space="preserve">As a result of an inquiry into patient safety during 2021-22, WA committed to adopting statewide nursing ratios and an increase to other frontline workforce roles. This </w:t>
      </w:r>
      <w:r w:rsidRPr="0046606B">
        <w:lastRenderedPageBreak/>
        <w:t>commenced in the Perth Children’s Hospital in early 2023-24 and has continued to be rolled out statewide during 2023-24 and 2024-25. This is expected to result in increased workforce FTE and costs.</w:t>
      </w:r>
      <w:r w:rsidR="00CE6F96">
        <w:rPr>
          <w:rFonts w:ascii="ZWAdobeF" w:hAnsi="ZWAdobeF" w:cs="ZWAdobeF"/>
          <w:color w:val="auto"/>
          <w:sz w:val="2"/>
          <w:szCs w:val="2"/>
        </w:rPr>
        <w:t>22F</w:t>
      </w:r>
      <w:r w:rsidRPr="0046606B">
        <w:rPr>
          <w:rStyle w:val="FootnoteReference"/>
          <w:color w:val="44546A" w:themeColor="text2"/>
        </w:rPr>
        <w:footnoteReference w:id="24"/>
      </w:r>
    </w:p>
    <w:p w14:paraId="1801BAFF" w14:textId="6E3F8C71" w:rsidR="00903330" w:rsidRDefault="005379CE" w:rsidP="005A4119">
      <w:pPr>
        <w:pStyle w:val="Heading3"/>
      </w:pPr>
      <w:r>
        <w:t xml:space="preserve">Cost </w:t>
      </w:r>
      <w:r w:rsidR="00EF7DDE">
        <w:t>D</w:t>
      </w:r>
      <w:r>
        <w:t>river analysis by activity stream</w:t>
      </w:r>
    </w:p>
    <w:p w14:paraId="2EA2F534" w14:textId="77777777" w:rsidR="00BE47F2" w:rsidRPr="0046606B" w:rsidRDefault="00BE47F2" w:rsidP="00033764">
      <w:pPr>
        <w:rPr>
          <w:color w:val="44546A" w:themeColor="text2"/>
        </w:rPr>
      </w:pPr>
      <w:r w:rsidRPr="0046606B">
        <w:t xml:space="preserve">Analysis was undertaken on the NHCDC 2023-24 submission to understand how submitted activity and cost have changed since 2022-23 and whether any drivers of change could be identified. This analysis considered a subset of the submitted cost data, focusing on 5 key activity streams: </w:t>
      </w:r>
    </w:p>
    <w:p w14:paraId="3CA588A8" w14:textId="77777777" w:rsidR="00BE47F2" w:rsidRPr="0046606B" w:rsidRDefault="00BE47F2" w:rsidP="00CD718C">
      <w:pPr>
        <w:pStyle w:val="ListParagraph"/>
        <w:numPr>
          <w:ilvl w:val="0"/>
          <w:numId w:val="31"/>
        </w:numPr>
        <w:rPr>
          <w:color w:val="44546A" w:themeColor="text2"/>
        </w:rPr>
      </w:pPr>
      <w:r w:rsidRPr="0046606B">
        <w:t>Admitted acute,</w:t>
      </w:r>
    </w:p>
    <w:p w14:paraId="35787AC9" w14:textId="77777777" w:rsidR="00BE47F2" w:rsidRPr="0046606B" w:rsidRDefault="00BE47F2" w:rsidP="00CD718C">
      <w:pPr>
        <w:pStyle w:val="ListParagraph"/>
        <w:numPr>
          <w:ilvl w:val="0"/>
          <w:numId w:val="31"/>
        </w:numPr>
        <w:rPr>
          <w:color w:val="44546A" w:themeColor="text2"/>
        </w:rPr>
      </w:pPr>
      <w:r w:rsidRPr="0046606B">
        <w:t xml:space="preserve">Non-admitted care, </w:t>
      </w:r>
    </w:p>
    <w:p w14:paraId="6A0B3E1E" w14:textId="77777777" w:rsidR="00BE47F2" w:rsidRPr="0046606B" w:rsidRDefault="00BE47F2" w:rsidP="00CD718C">
      <w:pPr>
        <w:pStyle w:val="ListParagraph"/>
        <w:numPr>
          <w:ilvl w:val="0"/>
          <w:numId w:val="31"/>
        </w:numPr>
        <w:rPr>
          <w:color w:val="44546A" w:themeColor="text2"/>
        </w:rPr>
      </w:pPr>
      <w:r w:rsidRPr="0046606B">
        <w:t>Subacute and non-acute care,</w:t>
      </w:r>
    </w:p>
    <w:p w14:paraId="4C5B0194" w14:textId="195CBF45" w:rsidR="00BE47F2" w:rsidRPr="0046606B" w:rsidRDefault="005E5D7C" w:rsidP="00CD718C">
      <w:pPr>
        <w:pStyle w:val="ListParagraph"/>
        <w:numPr>
          <w:ilvl w:val="0"/>
          <w:numId w:val="31"/>
        </w:numPr>
        <w:rPr>
          <w:color w:val="44546A" w:themeColor="text2"/>
        </w:rPr>
      </w:pPr>
      <w:r>
        <w:t>ED</w:t>
      </w:r>
      <w:r w:rsidR="00BE47F2" w:rsidRPr="0046606B">
        <w:t xml:space="preserve"> care and, </w:t>
      </w:r>
    </w:p>
    <w:p w14:paraId="5A586E32" w14:textId="77777777" w:rsidR="00BE47F2" w:rsidRPr="0046606B" w:rsidRDefault="00BE47F2" w:rsidP="00CD718C">
      <w:pPr>
        <w:pStyle w:val="ListParagraph"/>
        <w:numPr>
          <w:ilvl w:val="0"/>
          <w:numId w:val="31"/>
        </w:numPr>
        <w:rPr>
          <w:color w:val="44546A" w:themeColor="text2"/>
        </w:rPr>
      </w:pPr>
      <w:r w:rsidRPr="0046606B">
        <w:t xml:space="preserve">Mental health care (with mental health split by admitted and community). </w:t>
      </w:r>
    </w:p>
    <w:p w14:paraId="7EB4A6A4" w14:textId="1769DE03" w:rsidR="00683ED7" w:rsidRDefault="00BE47F2" w:rsidP="00BE47F2">
      <w:pPr>
        <w:rPr>
          <w:color w:val="44546A" w:themeColor="text2"/>
        </w:rPr>
      </w:pPr>
      <w:r w:rsidRPr="0046606B">
        <w:rPr>
          <w:color w:val="44546A" w:themeColor="text2"/>
        </w:rPr>
        <w:t xml:space="preserve">A summary of the activity and costs across all streams except community mental health is presented in the sections below. In this analysis, GWAU was used as a standardised activity unit, accounting for the relative complexity and resource intensity associated with treating patients. Furthermore, the results below are related to activity and cost submitted for </w:t>
      </w:r>
      <w:r w:rsidRPr="0046606B">
        <w:rPr>
          <w:b/>
          <w:color w:val="44546A" w:themeColor="text2"/>
        </w:rPr>
        <w:t>ABF hospitals only</w:t>
      </w:r>
      <w:r w:rsidRPr="0046606B">
        <w:rPr>
          <w:color w:val="44546A" w:themeColor="text2"/>
        </w:rPr>
        <w:t xml:space="preserve"> unless stated otherwise.</w:t>
      </w:r>
    </w:p>
    <w:p w14:paraId="146C6BFB" w14:textId="77777777" w:rsidR="00683ED7" w:rsidRDefault="00683ED7" w:rsidP="00BE47F2">
      <w:pPr>
        <w:rPr>
          <w:color w:val="44546A" w:themeColor="text2"/>
        </w:rPr>
      </w:pPr>
    </w:p>
    <w:p w14:paraId="21CCE502" w14:textId="49812360" w:rsidR="00BE47F2" w:rsidRDefault="005F7240" w:rsidP="00EC0C63">
      <w:pPr>
        <w:pStyle w:val="Caption"/>
        <w:keepNext/>
      </w:pPr>
      <w:r>
        <w:rPr>
          <w:noProof/>
        </w:rPr>
        <w:lastRenderedPageBreak/>
        <mc:AlternateContent>
          <mc:Choice Requires="wpg">
            <w:drawing>
              <wp:anchor distT="0" distB="0" distL="114300" distR="114300" simplePos="0" relativeHeight="251658310" behindDoc="0" locked="0" layoutInCell="1" allowOverlap="1" wp14:anchorId="5C2ECC57" wp14:editId="1FB31064">
                <wp:simplePos x="0" y="0"/>
                <wp:positionH relativeFrom="column">
                  <wp:posOffset>2459990</wp:posOffset>
                </wp:positionH>
                <wp:positionV relativeFrom="paragraph">
                  <wp:posOffset>200660</wp:posOffset>
                </wp:positionV>
                <wp:extent cx="1259840" cy="770255"/>
                <wp:effectExtent l="0" t="0" r="16510" b="10795"/>
                <wp:wrapTopAndBottom/>
                <wp:docPr id="698890288" name="Group 9" descr="P24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55"/>
                          <a:chOff x="0" y="0"/>
                          <a:chExt cx="1260224" cy="770314"/>
                        </a:xfrm>
                      </wpg:grpSpPr>
                      <wps:wsp>
                        <wps:cNvPr id="1356225139" name="TextBox 5"/>
                        <wps:cNvSpPr txBox="1"/>
                        <wps:spPr>
                          <a:xfrm>
                            <a:off x="0" y="413417"/>
                            <a:ext cx="1260224" cy="356897"/>
                          </a:xfrm>
                          <a:prstGeom prst="rect">
                            <a:avLst/>
                          </a:prstGeom>
                          <a:noFill/>
                          <a:ln>
                            <a:noFill/>
                          </a:ln>
                        </wps:spPr>
                        <wps:txbx>
                          <w:txbxContent>
                            <w:p w14:paraId="7128A3BD" w14:textId="3E29AF3D" w:rsidR="00B74A12" w:rsidRPr="001729F2" w:rsidRDefault="003A4AE3" w:rsidP="00B74A1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007F4CF2" w:rsidRPr="001729F2">
                                <w:rPr>
                                  <w:rFonts w:asciiTheme="minorHAnsi"/>
                                  <w:b/>
                                  <w:bCs/>
                                  <w:color w:val="404040" w:themeColor="text1" w:themeTint="BF"/>
                                  <w:kern w:val="24"/>
                                </w:rPr>
                                <w:t>-24 GWAU</w:t>
                              </w:r>
                            </w:p>
                            <w:p w14:paraId="3F1E740F" w14:textId="77777777" w:rsidR="00B74A12" w:rsidRPr="001729F2" w:rsidRDefault="00B74A12" w:rsidP="00B74A12">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pic:pic xmlns:pic="http://schemas.openxmlformats.org/drawingml/2006/picture">
                        <pic:nvPicPr>
                          <pic:cNvPr id="1267194357" name="Graphic 7" descr="Scales of justice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428894" y="0"/>
                            <a:ext cx="402590" cy="393065"/>
                          </a:xfrm>
                          <a:prstGeom prst="rect">
                            <a:avLst/>
                          </a:prstGeom>
                        </pic:spPr>
                      </pic:pic>
                    </wpg:wgp>
                  </a:graphicData>
                </a:graphic>
              </wp:anchor>
            </w:drawing>
          </mc:Choice>
          <mc:Fallback>
            <w:pict>
              <v:group w14:anchorId="5C2ECC57" id="_x0000_s1234" alt="P2448#y1" style="position:absolute;margin-left:193.7pt;margin-top:15.8pt;width:99.2pt;height:60.65pt;z-index:251658310;mso-position-horizontal-relative:text;mso-position-vertical-relative:text" coordsize="12602,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">
                <v:shape id="TextBox 5" o:spid="_x0000_s1235" type="#_x0000_t202" style="position:absolute;top:4134;width:12602;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" filled="f" stroked="f">
                  <v:textbox style="mso-fit-shape-to-text:t" inset="0,0,0,0">
                    <w:txbxContent>
                      <w:p w14:paraId="7128A3BD" w14:textId="3E29AF3D" w:rsidR="00B74A12" w:rsidRPr="001729F2" w:rsidRDefault="003A4AE3" w:rsidP="00B74A1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007F4CF2" w:rsidRPr="001729F2">
                          <w:rPr>
                            <w:rFonts w:asciiTheme="minorHAnsi"/>
                            <w:b/>
                            <w:bCs/>
                            <w:color w:val="404040" w:themeColor="text1" w:themeTint="BF"/>
                            <w:kern w:val="24"/>
                          </w:rPr>
                          <w:t>-24 GWAU</w:t>
                        </w:r>
                      </w:p>
                      <w:p w14:paraId="3F1E740F" w14:textId="77777777" w:rsidR="00B74A12" w:rsidRPr="001729F2" w:rsidRDefault="00B74A12" w:rsidP="00B74A12">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v:shape id="Graphic 7" o:spid="_x0000_s1236" type="#_x0000_t75" alt="Scales of justice with solid fill" style="position:absolute;left:4288;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">
                  <v:imagedata r:id="rId38" o:title="Scales of justice with solid fill"/>
                </v:shape>
                <w10:wrap type="topAndBottom"/>
              </v:group>
            </w:pict>
          </mc:Fallback>
        </mc:AlternateContent>
      </w:r>
      <w:r>
        <w:rPr>
          <w:noProof/>
        </w:rPr>
        <mc:AlternateContent>
          <mc:Choice Requires="wpg">
            <w:drawing>
              <wp:anchor distT="0" distB="0" distL="114300" distR="114300" simplePos="0" relativeHeight="251658311" behindDoc="0" locked="0" layoutInCell="1" allowOverlap="1" wp14:anchorId="48DA98E0" wp14:editId="3388A040">
                <wp:simplePos x="0" y="0"/>
                <wp:positionH relativeFrom="column">
                  <wp:posOffset>4231640</wp:posOffset>
                </wp:positionH>
                <wp:positionV relativeFrom="paragraph">
                  <wp:posOffset>200660</wp:posOffset>
                </wp:positionV>
                <wp:extent cx="1259840" cy="770255"/>
                <wp:effectExtent l="0" t="0" r="16510" b="10795"/>
                <wp:wrapTopAndBottom/>
                <wp:docPr id="478054260" name="Group 8" descr="P2448#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55"/>
                          <a:chOff x="0" y="0"/>
                          <a:chExt cx="1260000" cy="770314"/>
                        </a:xfrm>
                      </wpg:grpSpPr>
                      <pic:pic xmlns:pic="http://schemas.openxmlformats.org/drawingml/2006/picture">
                        <pic:nvPicPr>
                          <pic:cNvPr id="2092925700" name="Graphic 2" descr="Dollar outline"/>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429167" y="0"/>
                            <a:ext cx="402590" cy="393065"/>
                          </a:xfrm>
                          <a:prstGeom prst="rect">
                            <a:avLst/>
                          </a:prstGeom>
                        </pic:spPr>
                      </pic:pic>
                      <wps:wsp>
                        <wps:cNvPr id="687385751" name="TextBox 6"/>
                        <wps:cNvSpPr txBox="1"/>
                        <wps:spPr>
                          <a:xfrm>
                            <a:off x="0" y="413417"/>
                            <a:ext cx="1260000" cy="356897"/>
                          </a:xfrm>
                          <a:prstGeom prst="rect">
                            <a:avLst/>
                          </a:prstGeom>
                          <a:noFill/>
                          <a:ln>
                            <a:noFill/>
                          </a:ln>
                        </wps:spPr>
                        <wps:txbx>
                          <w:txbxContent>
                            <w:p w14:paraId="436F9636" w14:textId="633279ED" w:rsidR="00B74A12" w:rsidRPr="001729F2" w:rsidRDefault="003A4AE3" w:rsidP="00B74A1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007F4CF2" w:rsidRPr="001729F2">
                                <w:rPr>
                                  <w:rFonts w:asciiTheme="minorHAnsi"/>
                                  <w:b/>
                                  <w:bCs/>
                                  <w:color w:val="404040" w:themeColor="text1" w:themeTint="BF"/>
                                  <w:kern w:val="24"/>
                                </w:rPr>
                                <w:t>-24 costs</w:t>
                              </w:r>
                            </w:p>
                            <w:p w14:paraId="2AE269EA" w14:textId="77777777" w:rsidR="00B74A12" w:rsidRPr="001729F2" w:rsidRDefault="00B74A12" w:rsidP="00B74A12">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48DA98E0" id="_x0000_s1237" alt="P2448#y2" style="position:absolute;margin-left:333.2pt;margin-top:15.8pt;width:99.2pt;height:60.65pt;z-index:251658311;mso-position-horizontal-relative:text;mso-position-vertical-relative:text" coordsize="12600,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">
                <v:shape id="Graphic 2" o:spid="_x0000_s1238" type="#_x0000_t75" alt="Dollar outline" style="position:absolute;left:4291;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">
                  <v:imagedata r:id="rId35" o:title="Dollar outline"/>
                </v:shape>
                <v:shape id="TextBox 6" o:spid="_x0000_s1239" type="#_x0000_t202" style="position:absolute;top:4134;width:1260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" filled="f" stroked="f">
                  <v:textbox style="mso-fit-shape-to-text:t" inset="0,0,0,0">
                    <w:txbxContent>
                      <w:p w14:paraId="436F9636" w14:textId="633279ED" w:rsidR="00B74A12" w:rsidRPr="001729F2" w:rsidRDefault="003A4AE3" w:rsidP="00B74A1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w:t>
                        </w:r>
                        <w:r w:rsidR="007F4CF2" w:rsidRPr="001729F2">
                          <w:rPr>
                            <w:rFonts w:asciiTheme="minorHAnsi"/>
                            <w:b/>
                            <w:bCs/>
                            <w:color w:val="404040" w:themeColor="text1" w:themeTint="BF"/>
                            <w:kern w:val="24"/>
                          </w:rPr>
                          <w:t>-24 costs</w:t>
                        </w:r>
                      </w:p>
                      <w:p w14:paraId="2AE269EA" w14:textId="77777777" w:rsidR="00B74A12" w:rsidRPr="001729F2" w:rsidRDefault="00B74A12" w:rsidP="00B74A12">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w10:wrap type="topAndBottom"/>
              </v:group>
            </w:pict>
          </mc:Fallback>
        </mc:AlternateContent>
      </w:r>
      <w:r w:rsidR="00B74A12">
        <w:rPr>
          <w:noProof/>
        </w:rPr>
        <mc:AlternateContent>
          <mc:Choice Requires="wpg">
            <w:drawing>
              <wp:anchor distT="0" distB="0" distL="114300" distR="114300" simplePos="0" relativeHeight="251658312" behindDoc="0" locked="0" layoutInCell="1" allowOverlap="1" wp14:anchorId="3C160244" wp14:editId="1B787B83">
                <wp:simplePos x="0" y="0"/>
                <wp:positionH relativeFrom="column">
                  <wp:posOffset>688340</wp:posOffset>
                </wp:positionH>
                <wp:positionV relativeFrom="paragraph">
                  <wp:posOffset>276225</wp:posOffset>
                </wp:positionV>
                <wp:extent cx="1259840" cy="762000"/>
                <wp:effectExtent l="0" t="0" r="16510" b="0"/>
                <wp:wrapTopAndBottom/>
                <wp:docPr id="1585907766" name="Group 10" descr="P2448#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62000"/>
                          <a:chOff x="0" y="0"/>
                          <a:chExt cx="1262597" cy="762192"/>
                        </a:xfrm>
                      </wpg:grpSpPr>
                      <pic:pic xmlns:pic="http://schemas.openxmlformats.org/drawingml/2006/picture">
                        <pic:nvPicPr>
                          <pic:cNvPr id="782954843" name="Graphic 3" descr="Inpatient outline"/>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430242" y="0"/>
                            <a:ext cx="402590" cy="393065"/>
                          </a:xfrm>
                          <a:prstGeom prst="rect">
                            <a:avLst/>
                          </a:prstGeom>
                        </pic:spPr>
                      </pic:pic>
                      <wps:wsp>
                        <wps:cNvPr id="1486196782" name="TextBox 4"/>
                        <wps:cNvSpPr txBox="1"/>
                        <wps:spPr>
                          <a:xfrm>
                            <a:off x="0" y="405232"/>
                            <a:ext cx="1262597" cy="356960"/>
                          </a:xfrm>
                          <a:prstGeom prst="rect">
                            <a:avLst/>
                          </a:prstGeom>
                          <a:noFill/>
                          <a:ln>
                            <a:noFill/>
                          </a:ln>
                        </wps:spPr>
                        <wps:txbx>
                          <w:txbxContent>
                            <w:p w14:paraId="294C3AEE" w14:textId="5B12A1FD" w:rsidR="00B74A12" w:rsidRPr="001729F2" w:rsidRDefault="00652596" w:rsidP="00B74A1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26634B" w:rsidRPr="001729F2">
                                <w:rPr>
                                  <w:rFonts w:asciiTheme="minorHAnsi"/>
                                  <w:b/>
                                  <w:bCs/>
                                  <w:color w:val="404040" w:themeColor="text1" w:themeTint="BF"/>
                                  <w:kern w:val="24"/>
                                </w:rPr>
                                <w:t>23</w:t>
                              </w:r>
                              <w:r w:rsidR="007F4CF2" w:rsidRPr="001729F2">
                                <w:rPr>
                                  <w:rFonts w:asciiTheme="minorHAnsi"/>
                                  <w:b/>
                                  <w:bCs/>
                                  <w:color w:val="404040" w:themeColor="text1" w:themeTint="BF"/>
                                  <w:kern w:val="24"/>
                                </w:rPr>
                                <w:t>-24 Episodes</w:t>
                              </w:r>
                            </w:p>
                            <w:p w14:paraId="6C7D8DAE" w14:textId="77777777" w:rsidR="00B74A12" w:rsidRPr="001729F2" w:rsidRDefault="00B74A12" w:rsidP="00B74A12">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3C160244" id="_x0000_s1240" alt="P2448#y3" style="position:absolute;margin-left:54.2pt;margin-top:21.75pt;width:99.2pt;height:60pt;z-index:251658312;mso-position-horizontal-relative:text;mso-position-vertical-relative:text" coordsize="12625,76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">
                <v:shape id="Graphic 3" o:spid="_x0000_s1241" type="#_x0000_t75" alt="Inpatient outline" style="position:absolute;left:4302;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">
                  <v:imagedata r:id="rId41" o:title="Inpatient outline"/>
                </v:shape>
                <v:shape id="TextBox 4" o:spid="_x0000_s1242" type="#_x0000_t202" style="position:absolute;top:4052;width:12625;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" filled="f" stroked="f">
                  <v:textbox style="mso-fit-shape-to-text:t" inset="0,0,0,0">
                    <w:txbxContent>
                      <w:p w14:paraId="294C3AEE" w14:textId="5B12A1FD" w:rsidR="00B74A12" w:rsidRPr="001729F2" w:rsidRDefault="00652596" w:rsidP="00B74A12">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26634B" w:rsidRPr="001729F2">
                          <w:rPr>
                            <w:rFonts w:asciiTheme="minorHAnsi"/>
                            <w:b/>
                            <w:bCs/>
                            <w:color w:val="404040" w:themeColor="text1" w:themeTint="BF"/>
                            <w:kern w:val="24"/>
                          </w:rPr>
                          <w:t>23</w:t>
                        </w:r>
                        <w:r w:rsidR="007F4CF2" w:rsidRPr="001729F2">
                          <w:rPr>
                            <w:rFonts w:asciiTheme="minorHAnsi"/>
                            <w:b/>
                            <w:bCs/>
                            <w:color w:val="404040" w:themeColor="text1" w:themeTint="BF"/>
                            <w:kern w:val="24"/>
                          </w:rPr>
                          <w:t>-24 Episodes</w:t>
                        </w:r>
                      </w:p>
                      <w:p w14:paraId="6C7D8DAE" w14:textId="77777777" w:rsidR="00B74A12" w:rsidRPr="001729F2" w:rsidRDefault="00B74A12" w:rsidP="00B74A12">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w10:wrap type="topAndBottom"/>
              </v:group>
            </w:pict>
          </mc:Fallback>
        </mc:AlternateContent>
      </w:r>
      <w:r>
        <w:t xml:space="preserve">Figure </w:t>
      </w:r>
      <w:r w:rsidR="00BD5B5E">
        <w:fldChar w:fldCharType="begin"/>
      </w:r>
      <w:r w:rsidR="00BD5B5E">
        <w:instrText xml:space="preserve"> SEQ Figure \* ARABIC </w:instrText>
      </w:r>
      <w:r w:rsidR="00BD5B5E">
        <w:fldChar w:fldCharType="separate"/>
      </w:r>
      <w:r w:rsidR="00CE6F96">
        <w:rPr>
          <w:noProof/>
        </w:rPr>
        <w:t>30</w:t>
      </w:r>
      <w:r w:rsidR="00BD5B5E">
        <w:fldChar w:fldCharType="end"/>
      </w:r>
      <w:r>
        <w:t xml:space="preserve">: </w:t>
      </w:r>
      <w:r w:rsidRPr="00C36EB8">
        <w:t>Growth in activity, GWAU and total cost for WA 2023-24</w:t>
      </w:r>
    </w:p>
    <w:p w14:paraId="593116F3" w14:textId="0525B147" w:rsidR="00BE47F2" w:rsidRDefault="00F60D7D" w:rsidP="00BE47F2">
      <w:pPr>
        <w:rPr>
          <w:color w:val="44546A" w:themeColor="text2"/>
        </w:rPr>
      </w:pPr>
      <w:r w:rsidRPr="00FC5F18">
        <w:rPr>
          <w:noProof/>
          <w:color w:val="44546A" w:themeColor="text2"/>
          <w:sz w:val="24"/>
          <w:szCs w:val="24"/>
        </w:rPr>
        <w:drawing>
          <wp:inline distT="0" distB="0" distL="0" distR="0" wp14:anchorId="2DEA134F" wp14:editId="7866E263">
            <wp:extent cx="5731510" cy="3348000"/>
            <wp:effectExtent l="0" t="0" r="2540" b="5080"/>
            <wp:docPr id="716148837" name="Chart 1" descr="P2449#yIS1">
              <a:extLst xmlns:a="http://schemas.openxmlformats.org/drawingml/2006/main">
                <a:ext uri="{FF2B5EF4-FFF2-40B4-BE49-F238E27FC236}">
                  <a16:creationId xmlns:a16="http://schemas.microsoft.com/office/drawing/2014/main" id="{616B8BBF-D650-3F96-ECA2-B0B25D32C5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EB13E35" w14:textId="59527A71" w:rsidR="00BE47F2" w:rsidRDefault="00E50F1E" w:rsidP="00EC0C63">
      <w:pPr>
        <w:pStyle w:val="Caption"/>
        <w:keepLines/>
      </w:pPr>
      <w:r w:rsidRPr="00A816EE">
        <w:rPr>
          <w:noProof/>
        </w:rPr>
        <mc:AlternateContent>
          <mc:Choice Requires="wpg">
            <w:drawing>
              <wp:anchor distT="0" distB="0" distL="114300" distR="114300" simplePos="0" relativeHeight="251658313" behindDoc="0" locked="0" layoutInCell="1" allowOverlap="1" wp14:anchorId="2A3EF157" wp14:editId="78271645">
                <wp:simplePos x="0" y="0"/>
                <wp:positionH relativeFrom="column">
                  <wp:posOffset>4498340</wp:posOffset>
                </wp:positionH>
                <wp:positionV relativeFrom="paragraph">
                  <wp:posOffset>130546</wp:posOffset>
                </wp:positionV>
                <wp:extent cx="1845310" cy="591185"/>
                <wp:effectExtent l="0" t="0" r="0" b="0"/>
                <wp:wrapNone/>
                <wp:docPr id="243306678" name="Group 2" descr="P24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45310" cy="591185"/>
                          <a:chOff x="5633546" y="0"/>
                          <a:chExt cx="1846025" cy="591297"/>
                        </a:xfrm>
                      </wpg:grpSpPr>
                      <wps:wsp>
                        <wps:cNvPr id="1472227146" name="TextBox 16"/>
                        <wps:cNvSpPr txBox="1"/>
                        <wps:spPr>
                          <a:xfrm>
                            <a:off x="5633546" y="321393"/>
                            <a:ext cx="1846025" cy="269904"/>
                          </a:xfrm>
                          <a:prstGeom prst="rect">
                            <a:avLst/>
                          </a:prstGeom>
                          <a:noFill/>
                          <a:ln>
                            <a:noFill/>
                          </a:ln>
                        </wps:spPr>
                        <wps:txbx>
                          <w:txbxContent>
                            <w:p w14:paraId="2A621716" w14:textId="77777777" w:rsidR="005A4119" w:rsidRPr="001729F2" w:rsidRDefault="005A4119" w:rsidP="005A4119">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 xml:space="preserve">Average cost per GWAU </w:t>
                              </w:r>
                            </w:p>
                          </w:txbxContent>
                        </wps:txbx>
                        <wps:bodyPr wrap="square" rtlCol="0">
                          <a:spAutoFit/>
                        </wps:bodyPr>
                      </wps:wsp>
                      <pic:pic xmlns:pic="http://schemas.openxmlformats.org/drawingml/2006/picture">
                        <pic:nvPicPr>
                          <pic:cNvPr id="643359765" name="Graphic 18" descr="Upward trend with solid fill"/>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6355061" y="0"/>
                            <a:ext cx="403200" cy="403200"/>
                          </a:xfrm>
                          <a:prstGeom prst="rect">
                            <a:avLst/>
                          </a:prstGeom>
                        </pic:spPr>
                      </pic:pic>
                    </wpg:wgp>
                  </a:graphicData>
                </a:graphic>
                <wp14:sizeRelH relativeFrom="margin">
                  <wp14:pctWidth>0</wp14:pctWidth>
                </wp14:sizeRelH>
              </wp:anchor>
            </w:drawing>
          </mc:Choice>
          <mc:Fallback>
            <w:pict>
              <v:group w14:anchorId="2A3EF157" id="_x0000_s1243" alt="P2450#y1" style="position:absolute;margin-left:354.2pt;margin-top:10.3pt;width:145.3pt;height:46.55pt;z-index:251658313;mso-position-horizontal-relative:text;mso-position-vertical-relative:text;mso-width-relative:margin" coordorigin="56335" coordsize="18460,59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">
                <v:shape id="TextBox 16" o:spid="_x0000_s1244" type="#_x0000_t202" style="position:absolute;left:56335;top:3213;width:1846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" filled="f" stroked="f">
                  <v:textbox style="mso-fit-shape-to-text:t">
                    <w:txbxContent>
                      <w:p w14:paraId="2A621716" w14:textId="77777777" w:rsidR="005A4119" w:rsidRPr="001729F2" w:rsidRDefault="005A4119" w:rsidP="005A4119">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 xml:space="preserve">Average cost per GWAU </w:t>
                        </w:r>
                      </w:p>
                    </w:txbxContent>
                  </v:textbox>
                </v:shape>
                <v:shape id="Graphic 18" o:spid="_x0000_s1245" type="#_x0000_t75" alt="Upward trend with solid fill" style="position:absolute;left:63550;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">
                  <v:imagedata r:id="rId45" o:title="Upward trend with solid fill"/>
                </v:shape>
              </v:group>
            </w:pict>
          </mc:Fallback>
        </mc:AlternateContent>
      </w:r>
      <w:r w:rsidR="00B836D6">
        <w:t xml:space="preserve">Figure </w:t>
      </w:r>
      <w:r w:rsidR="00BD5B5E">
        <w:fldChar w:fldCharType="begin"/>
      </w:r>
      <w:r w:rsidR="00BD5B5E">
        <w:instrText xml:space="preserve"> SEQ Figure \* ARABIC </w:instrText>
      </w:r>
      <w:r w:rsidR="00BD5B5E">
        <w:fldChar w:fldCharType="separate"/>
      </w:r>
      <w:r w:rsidR="00CE6F96">
        <w:rPr>
          <w:noProof/>
        </w:rPr>
        <w:t>31</w:t>
      </w:r>
      <w:r w:rsidR="00BD5B5E">
        <w:fldChar w:fldCharType="end"/>
      </w:r>
      <w:r w:rsidR="00B836D6">
        <w:t>: Average cost per GWAU</w:t>
      </w:r>
      <w:r w:rsidR="00D412FE">
        <w:t xml:space="preserve"> - WA</w:t>
      </w:r>
    </w:p>
    <w:p w14:paraId="6E67EAE7" w14:textId="5E15CB13" w:rsidR="005F7240" w:rsidRDefault="005A4119" w:rsidP="00EC0C63">
      <w:pPr>
        <w:keepLines/>
        <w:rPr>
          <w:color w:val="44546A" w:themeColor="text2"/>
        </w:rPr>
      </w:pPr>
      <w:r w:rsidRPr="00A816EE">
        <w:rPr>
          <w:noProof/>
        </w:rPr>
        <mc:AlternateContent>
          <mc:Choice Requires="wpg">
            <w:drawing>
              <wp:anchor distT="0" distB="0" distL="114300" distR="114300" simplePos="0" relativeHeight="251658314" behindDoc="0" locked="0" layoutInCell="1" allowOverlap="1" wp14:anchorId="0FE15B1B" wp14:editId="47E08627">
                <wp:simplePos x="0" y="0"/>
                <wp:positionH relativeFrom="column">
                  <wp:posOffset>1186180</wp:posOffset>
                </wp:positionH>
                <wp:positionV relativeFrom="paragraph">
                  <wp:posOffset>-152400</wp:posOffset>
                </wp:positionV>
                <wp:extent cx="1650365" cy="590550"/>
                <wp:effectExtent l="0" t="0" r="0" b="0"/>
                <wp:wrapNone/>
                <wp:docPr id="192612081" name="Group 1" descr="P24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50365" cy="590550"/>
                          <a:chOff x="1081330" y="9968"/>
                          <a:chExt cx="1650365" cy="590744"/>
                        </a:xfrm>
                      </wpg:grpSpPr>
                      <pic:pic xmlns:pic="http://schemas.openxmlformats.org/drawingml/2006/picture">
                        <pic:nvPicPr>
                          <pic:cNvPr id="1546842895" name="Graphic 5" descr="Hospital outline"/>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1704951" y="9968"/>
                            <a:ext cx="403200" cy="393504"/>
                          </a:xfrm>
                          <a:prstGeom prst="rect">
                            <a:avLst/>
                          </a:prstGeom>
                        </pic:spPr>
                      </pic:pic>
                      <wps:wsp>
                        <wps:cNvPr id="824583966" name="TextBox 6"/>
                        <wps:cNvSpPr txBox="1"/>
                        <wps:spPr>
                          <a:xfrm>
                            <a:off x="1081330" y="330837"/>
                            <a:ext cx="1650365" cy="269875"/>
                          </a:xfrm>
                          <a:prstGeom prst="rect">
                            <a:avLst/>
                          </a:prstGeom>
                          <a:noFill/>
                          <a:ln>
                            <a:noFill/>
                          </a:ln>
                        </wps:spPr>
                        <wps:txbx>
                          <w:txbxContent>
                            <w:p w14:paraId="66998174" w14:textId="77777777" w:rsidR="005A4119" w:rsidRPr="001729F2" w:rsidRDefault="005A4119" w:rsidP="005A4119">
                              <w:pPr>
                                <w:spacing w:after="0"/>
                                <w:rPr>
                                  <w:rFonts w:asciiTheme="minorHAnsi"/>
                                  <w:b/>
                                  <w:bCs/>
                                  <w:color w:val="404040" w:themeColor="text1" w:themeTint="BF"/>
                                  <w:kern w:val="24"/>
                                </w:rPr>
                              </w:pPr>
                              <w:r w:rsidRPr="001729F2">
                                <w:rPr>
                                  <w:rFonts w:asciiTheme="minorHAnsi"/>
                                  <w:b/>
                                  <w:bCs/>
                                  <w:color w:val="404040" w:themeColor="text1" w:themeTint="BF"/>
                                  <w:kern w:val="24"/>
                                </w:rPr>
                                <w:t>Average costs / GWAU</w:t>
                              </w:r>
                            </w:p>
                          </w:txbxContent>
                        </wps:txbx>
                        <wps:bodyPr wrap="square" rtlCol="0">
                          <a:spAutoFit/>
                        </wps:bodyPr>
                      </wps:wsp>
                    </wpg:wgp>
                  </a:graphicData>
                </a:graphic>
              </wp:anchor>
            </w:drawing>
          </mc:Choice>
          <mc:Fallback>
            <w:pict>
              <v:group w14:anchorId="0FE15B1B" id="_x0000_s1246" alt="P2451#y1" style="position:absolute;margin-left:93.4pt;margin-top:-12pt;width:129.95pt;height:46.5pt;z-index:251658314;mso-position-horizontal-relative:text;mso-position-vertical-relative:text" coordorigin="10813,99" coordsize="16503,59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">
                <v:shape id="Graphic 5" o:spid="_x0000_s1247" type="#_x0000_t75" alt="Hospital outline" style="position:absolute;left:17049;top:99;width:4032;height:3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">
                  <v:imagedata r:id="rId49" o:title="Hospital outline"/>
                </v:shape>
                <v:shape id="TextBox 6" o:spid="_x0000_s1248" type="#_x0000_t202" style="position:absolute;left:10813;top:3308;width:1650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" filled="f" stroked="f">
                  <v:textbox style="mso-fit-shape-to-text:t">
                    <w:txbxContent>
                      <w:p w14:paraId="66998174" w14:textId="77777777" w:rsidR="005A4119" w:rsidRPr="001729F2" w:rsidRDefault="005A4119" w:rsidP="005A4119">
                        <w:pPr>
                          <w:spacing w:after="0"/>
                          <w:rPr>
                            <w:rFonts w:asciiTheme="minorHAnsi"/>
                            <w:b/>
                            <w:bCs/>
                            <w:color w:val="404040" w:themeColor="text1" w:themeTint="BF"/>
                            <w:kern w:val="24"/>
                          </w:rPr>
                        </w:pPr>
                        <w:r w:rsidRPr="001729F2">
                          <w:rPr>
                            <w:rFonts w:asciiTheme="minorHAnsi"/>
                            <w:b/>
                            <w:bCs/>
                            <w:color w:val="404040" w:themeColor="text1" w:themeTint="BF"/>
                            <w:kern w:val="24"/>
                          </w:rPr>
                          <w:t>Average costs / GWAU</w:t>
                        </w:r>
                      </w:p>
                    </w:txbxContent>
                  </v:textbox>
                </v:shape>
              </v:group>
            </w:pict>
          </mc:Fallback>
        </mc:AlternateContent>
      </w:r>
    </w:p>
    <w:p w14:paraId="545F45C2" w14:textId="3041EA48" w:rsidR="00F303BA" w:rsidRDefault="0023066A" w:rsidP="00EC0C63">
      <w:pPr>
        <w:keepLines/>
        <w:rPr>
          <w:noProof/>
        </w:rPr>
      </w:pPr>
      <w:r>
        <w:rPr>
          <w:noProof/>
        </w:rPr>
        <mc:AlternateContent>
          <mc:Choice Requires="wpg">
            <w:drawing>
              <wp:anchor distT="0" distB="0" distL="114300" distR="114300" simplePos="0" relativeHeight="251658315" behindDoc="0" locked="0" layoutInCell="1" allowOverlap="1" wp14:anchorId="16A672D3" wp14:editId="0B876BD9">
                <wp:simplePos x="0" y="0"/>
                <wp:positionH relativeFrom="column">
                  <wp:posOffset>5086733</wp:posOffset>
                </wp:positionH>
                <wp:positionV relativeFrom="paragraph">
                  <wp:posOffset>427966</wp:posOffset>
                </wp:positionV>
                <wp:extent cx="971550" cy="1896110"/>
                <wp:effectExtent l="19050" t="0" r="0" b="8890"/>
                <wp:wrapNone/>
                <wp:docPr id="223426394" name="Group 5" descr="P245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1550" cy="1896110"/>
                          <a:chOff x="0" y="0"/>
                          <a:chExt cx="971550" cy="1896656"/>
                        </a:xfrm>
                      </wpg:grpSpPr>
                      <wpg:grpSp>
                        <wpg:cNvPr id="25753009" name="Group 2"/>
                        <wpg:cNvGrpSpPr/>
                        <wpg:grpSpPr>
                          <a:xfrm>
                            <a:off x="0" y="404037"/>
                            <a:ext cx="957138" cy="269875"/>
                            <a:chOff x="0" y="418672"/>
                            <a:chExt cx="957428" cy="269875"/>
                          </a:xfrm>
                        </wpg:grpSpPr>
                        <wps:wsp>
                          <wps:cNvPr id="992388394" name="TextBox 14"/>
                          <wps:cNvSpPr txBox="1"/>
                          <wps:spPr>
                            <a:xfrm>
                              <a:off x="320965" y="418672"/>
                              <a:ext cx="636463" cy="269875"/>
                            </a:xfrm>
                            <a:prstGeom prst="rect">
                              <a:avLst/>
                            </a:prstGeom>
                            <a:noFill/>
                          </wps:spPr>
                          <wps:txbx>
                            <w:txbxContent>
                              <w:p w14:paraId="257C2AAE" w14:textId="77777777"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3.6%</w:t>
                                </w:r>
                              </w:p>
                            </w:txbxContent>
                          </wps:txbx>
                          <wps:bodyPr wrap="square" rtlCol="0">
                            <a:spAutoFit/>
                          </wps:bodyPr>
                        </wps:wsp>
                        <wps:wsp>
                          <wps:cNvPr id="1229395411" name="Arrow: Right 1229395411"/>
                          <wps:cNvSpPr/>
                          <wps:spPr>
                            <a:xfrm rot="19343903">
                              <a:off x="0" y="453376"/>
                              <a:ext cx="240303"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764834746" name="Group 1"/>
                        <wpg:cNvGrpSpPr/>
                        <wpg:grpSpPr>
                          <a:xfrm>
                            <a:off x="23481" y="0"/>
                            <a:ext cx="872153" cy="269953"/>
                            <a:chOff x="21420" y="0"/>
                            <a:chExt cx="873124" cy="269953"/>
                          </a:xfrm>
                        </wpg:grpSpPr>
                        <wps:wsp>
                          <wps:cNvPr id="1619919957" name="TextBox 15"/>
                          <wps:cNvSpPr txBox="1"/>
                          <wps:spPr>
                            <a:xfrm>
                              <a:off x="258837" y="0"/>
                              <a:ext cx="635707" cy="269953"/>
                            </a:xfrm>
                            <a:prstGeom prst="rect">
                              <a:avLst/>
                            </a:prstGeom>
                            <a:noFill/>
                          </wps:spPr>
                          <wps:txbx>
                            <w:txbxContent>
                              <w:p w14:paraId="277E09E3" w14:textId="4D1CB466"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-11.</w:t>
                                </w:r>
                                <w:r w:rsidR="00B45E2D">
                                  <w:rPr>
                                    <w:rFonts w:asciiTheme="minorHAnsi"/>
                                    <w:color w:val="000000" w:themeColor="text1"/>
                                    <w:kern w:val="24"/>
                                  </w:rPr>
                                  <w:t>1</w:t>
                                </w:r>
                                <w:r w:rsidRPr="001729F2">
                                  <w:rPr>
                                    <w:rFonts w:asciiTheme="minorHAnsi"/>
                                    <w:color w:val="000000" w:themeColor="text1"/>
                                    <w:kern w:val="24"/>
                                  </w:rPr>
                                  <w:t>%</w:t>
                                </w:r>
                              </w:p>
                            </w:txbxContent>
                          </wps:txbx>
                          <wps:bodyPr wrap="square" rtlCol="0">
                            <a:spAutoFit/>
                          </wps:bodyPr>
                        </wps:wsp>
                        <wps:wsp>
                          <wps:cNvPr id="1662060309" name="Arrow: Right 1662060309"/>
                          <wps:cNvSpPr/>
                          <wps:spPr>
                            <a:xfrm rot="5400000">
                              <a:off x="-10325" y="34704"/>
                              <a:ext cx="240303" cy="176813"/>
                            </a:xfrm>
                            <a:prstGeom prst="rightArrow">
                              <a:avLst/>
                            </a:prstGeom>
                            <a:solidFill>
                              <a:srgbClr val="00B05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965949249" name="Group 3"/>
                        <wpg:cNvGrpSpPr/>
                        <wpg:grpSpPr>
                          <a:xfrm>
                            <a:off x="34113" y="1212111"/>
                            <a:ext cx="928735" cy="269875"/>
                            <a:chOff x="31744" y="1254452"/>
                            <a:chExt cx="929269" cy="269875"/>
                          </a:xfrm>
                        </wpg:grpSpPr>
                        <wps:wsp>
                          <wps:cNvPr id="1648742479" name="TextBox 12"/>
                          <wps:cNvSpPr txBox="1"/>
                          <wps:spPr>
                            <a:xfrm>
                              <a:off x="325648" y="1254452"/>
                              <a:ext cx="635365" cy="269875"/>
                            </a:xfrm>
                            <a:prstGeom prst="rect">
                              <a:avLst/>
                            </a:prstGeom>
                            <a:noFill/>
                          </wps:spPr>
                          <wps:txbx>
                            <w:txbxContent>
                              <w:p w14:paraId="294E178B" w14:textId="77777777"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5.2%</w:t>
                                </w:r>
                              </w:p>
                            </w:txbxContent>
                          </wps:txbx>
                          <wps:bodyPr wrap="square" rtlCol="0">
                            <a:spAutoFit/>
                          </wps:bodyPr>
                        </wps:wsp>
                        <wps:wsp>
                          <wps:cNvPr id="304209968" name="Arrow: Right 304209968"/>
                          <wps:cNvSpPr/>
                          <wps:spPr>
                            <a:xfrm rot="16200000">
                              <a:off x="-1" y="1289156"/>
                              <a:ext cx="240303"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9" name="Group 8">
                          <a:extLst>
                            <a:ext uri="{FF2B5EF4-FFF2-40B4-BE49-F238E27FC236}">
                              <a16:creationId xmlns:a16="http://schemas.microsoft.com/office/drawing/2014/main" id="{E6F44675-E011-4A17-75F4-545C1636EB1E}"/>
                            </a:ext>
                          </a:extLst>
                        </wpg:cNvPr>
                        <wpg:cNvGrpSpPr/>
                        <wpg:grpSpPr>
                          <a:xfrm>
                            <a:off x="0" y="1626781"/>
                            <a:ext cx="971550" cy="269875"/>
                            <a:chOff x="0" y="1698728"/>
                            <a:chExt cx="971742" cy="269875"/>
                          </a:xfrm>
                        </wpg:grpSpPr>
                        <wps:wsp>
                          <wps:cNvPr id="988874393" name="TextBox 4">
                            <a:extLst>
                              <a:ext uri="{FF2B5EF4-FFF2-40B4-BE49-F238E27FC236}">
                                <a16:creationId xmlns:a16="http://schemas.microsoft.com/office/drawing/2014/main" id="{85BFE981-44C8-14AC-EB82-375CFE8814DA}"/>
                              </a:ext>
                            </a:extLst>
                          </wps:cNvPr>
                          <wps:cNvSpPr txBox="1"/>
                          <wps:spPr>
                            <a:xfrm>
                              <a:off x="335472" y="1698728"/>
                              <a:ext cx="636270" cy="269875"/>
                            </a:xfrm>
                            <a:prstGeom prst="rect">
                              <a:avLst/>
                            </a:prstGeom>
                            <a:noFill/>
                          </wps:spPr>
                          <wps:txbx>
                            <w:txbxContent>
                              <w:p w14:paraId="33E9ED50" w14:textId="77777777"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2.5%</w:t>
                                </w:r>
                              </w:p>
                            </w:txbxContent>
                          </wps:txbx>
                          <wps:bodyPr wrap="square" rtlCol="0">
                            <a:spAutoFit/>
                          </wps:bodyPr>
                        </wps:wsp>
                        <wps:wsp>
                          <wps:cNvPr id="1811701280" name="Arrow: Right 1811701280">
                            <a:extLst>
                              <a:ext uri="{FF2B5EF4-FFF2-40B4-BE49-F238E27FC236}">
                                <a16:creationId xmlns:a16="http://schemas.microsoft.com/office/drawing/2014/main" id="{84773A42-AA6B-70A6-E0DC-CE265B4E5045}"/>
                              </a:ext>
                            </a:extLst>
                          </wps:cNvPr>
                          <wps:cNvSpPr/>
                          <wps:spPr>
                            <a:xfrm rot="19343903">
                              <a:off x="0" y="1733432"/>
                              <a:ext cx="240303" cy="176813"/>
                            </a:xfrm>
                            <a:prstGeom prst="rightArrow">
                              <a:avLst/>
                            </a:prstGeom>
                            <a:solidFill>
                              <a:srgbClr val="FF00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16A672D3" id="Group 5" o:spid="_x0000_s1249" alt="P2452#y2" style="position:absolute;margin-left:400.55pt;margin-top:33.7pt;width:76.5pt;height:149.3pt;z-index:251658315;mso-position-horizontal-relative:text;mso-position-vertical-relative:text" coordsize="9715,1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">
                <v:group id="_x0000_s1250" style="position:absolute;top:4040;width:9571;height:2699" coordorigin=",4186" coordsize="9574,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">
                  <v:shape id="TextBox 14" o:spid="_x0000_s1251" type="#_x0000_t202" style="position:absolute;left:3209;top:4186;width:636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" filled="f" stroked="f">
                    <v:textbox style="mso-fit-shape-to-text:t">
                      <w:txbxContent>
                        <w:p w14:paraId="257C2AAE" w14:textId="77777777"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3.6%</w:t>
                          </w:r>
                        </w:p>
                      </w:txbxContent>
                    </v:textbox>
                  </v:shape>
                  <v:shape id="Arrow: Right 1229395411" o:spid="_x0000_s1252" type="#_x0000_t13" style="position:absolute;top:4533;width:2403;height:1768;rotation:-24642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" adj="13653" fillcolor="red" stroked="f" strokeweight="1pt">
                    <v:fill opacity="26214f"/>
                  </v:shape>
                </v:group>
                <v:group id="_x0000_s1253" style="position:absolute;left:234;width:8722;height:2699" coordorigin="214" coordsize="873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">
                  <v:shape id="TextBox 15" o:spid="_x0000_s1254" type="#_x0000_t202" style="position:absolute;left:2588;width:635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" filled="f" stroked="f">
                    <v:textbox style="mso-fit-shape-to-text:t">
                      <w:txbxContent>
                        <w:p w14:paraId="277E09E3" w14:textId="4D1CB466"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-11.</w:t>
                          </w:r>
                          <w:r w:rsidR="00B45E2D">
                            <w:rPr>
                              <w:rFonts w:asciiTheme="minorHAnsi"/>
                              <w:color w:val="000000" w:themeColor="text1"/>
                              <w:kern w:val="24"/>
                            </w:rPr>
                            <w:t>1</w:t>
                          </w:r>
                          <w:r w:rsidRPr="001729F2">
                            <w:rPr>
                              <w:rFonts w:asciiTheme="minorHAnsi"/>
                              <w:color w:val="000000" w:themeColor="text1"/>
                              <w:kern w:val="24"/>
                            </w:rPr>
                            <w:t>%</w:t>
                          </w:r>
                        </w:p>
                      </w:txbxContent>
                    </v:textbox>
                  </v:shape>
                  <v:shape id="Arrow: Right 1662060309" o:spid="_x0000_s1255" type="#_x0000_t13" style="position:absolute;left:-104;top:347;width:2403;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" adj="13653" fillcolor="#00b050" stroked="f" strokeweight="1pt">
                    <v:fill opacity="26214f"/>
                  </v:shape>
                </v:group>
                <v:group id="_x0000_s1256" style="position:absolute;left:341;top:12121;width:9287;height:2698" coordorigin="317,12544" coordsize="9292,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">
                  <v:shape id="TextBox 12" o:spid="_x0000_s1257" type="#_x0000_t202" style="position:absolute;left:3256;top:12544;width:635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" filled="f" stroked="f">
                    <v:textbox style="mso-fit-shape-to-text:t">
                      <w:txbxContent>
                        <w:p w14:paraId="294E178B" w14:textId="77777777"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5.2%</w:t>
                          </w:r>
                        </w:p>
                      </w:txbxContent>
                    </v:textbox>
                  </v:shape>
                  <v:shape id="Arrow: Right 304209968" o:spid="_x0000_s1258" type="#_x0000_t13" style="position:absolute;left:-1;top:12892;width:2403;height:17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" adj="13653" fillcolor="red" stroked="f" strokeweight="1pt">
                    <v:fill opacity="26214f"/>
                  </v:shape>
                </v:group>
                <v:group id="_x0000_s1259" style="position:absolute;top:16267;width:9715;height:2699" coordorigin=",16987" coordsize="9717,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Box 4" o:spid="_x0000_s1260" type="#_x0000_t202" style="position:absolute;left:3354;top:16987;width:636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" filled="f" stroked="f">
                    <v:textbox style="mso-fit-shape-to-text:t">
                      <w:txbxContent>
                        <w:p w14:paraId="33E9ED50" w14:textId="77777777" w:rsidR="00165330" w:rsidRPr="001729F2" w:rsidRDefault="00165330" w:rsidP="00165330">
                          <w:pPr>
                            <w:spacing w:after="0"/>
                            <w:rPr>
                              <w:rFonts w:asciiTheme="minorHAnsi"/>
                              <w:color w:val="000000" w:themeColor="text1"/>
                              <w:kern w:val="24"/>
                            </w:rPr>
                          </w:pPr>
                          <w:r w:rsidRPr="001729F2">
                            <w:rPr>
                              <w:rFonts w:asciiTheme="minorHAnsi"/>
                              <w:color w:val="000000" w:themeColor="text1"/>
                              <w:kern w:val="24"/>
                            </w:rPr>
                            <w:t>2.5%</w:t>
                          </w:r>
                        </w:p>
                      </w:txbxContent>
                    </v:textbox>
                  </v:shape>
                  <v:shape id="Arrow: Right 1811701280" o:spid="_x0000_s1261" type="#_x0000_t13" style="position:absolute;top:17334;width:2403;height:1768;rotation:-24642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" adj="13653" fillcolor="red" stroked="f" strokeweight="1pt">
                    <v:fill opacity="26214f"/>
                  </v:shape>
                </v:group>
              </v:group>
            </w:pict>
          </mc:Fallback>
        </mc:AlternateContent>
      </w:r>
      <w:r w:rsidRPr="00B17078">
        <w:rPr>
          <w:noProof/>
        </w:rPr>
        <w:drawing>
          <wp:anchor distT="0" distB="0" distL="114300" distR="114300" simplePos="0" relativeHeight="251658253" behindDoc="0" locked="0" layoutInCell="1" allowOverlap="1" wp14:anchorId="0F7A9F09" wp14:editId="3191AFB0">
            <wp:simplePos x="0" y="0"/>
            <wp:positionH relativeFrom="column">
              <wp:posOffset>-222250</wp:posOffset>
            </wp:positionH>
            <wp:positionV relativeFrom="paragraph">
              <wp:posOffset>189230</wp:posOffset>
            </wp:positionV>
            <wp:extent cx="4763135" cy="2755265"/>
            <wp:effectExtent l="0" t="0" r="0" b="6985"/>
            <wp:wrapTopAndBottom/>
            <wp:docPr id="1840680031" name="Chart 1" descr="P2452#y1">
              <a:extLst xmlns:a="http://schemas.openxmlformats.org/drawingml/2006/main">
                <a:ext uri="{FF2B5EF4-FFF2-40B4-BE49-F238E27FC236}">
                  <a16:creationId xmlns:a16="http://schemas.microsoft.com/office/drawing/2014/main" id="{26ABC534-790B-89D8-850F-A39FD6D68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14:paraId="4E99D234" w14:textId="58E1A64C" w:rsidR="00021702" w:rsidRDefault="00021702" w:rsidP="007B18D0">
      <w:pPr>
        <w:pStyle w:val="Caption"/>
      </w:pPr>
      <w:r>
        <w:rPr>
          <w:noProof/>
        </w:rPr>
        <mc:AlternateContent>
          <mc:Choice Requires="wps">
            <w:drawing>
              <wp:anchor distT="45720" distB="45720" distL="114300" distR="114300" simplePos="0" relativeHeight="251658246" behindDoc="0" locked="0" layoutInCell="1" allowOverlap="1" wp14:anchorId="167BC6CE" wp14:editId="3194AFC2">
                <wp:simplePos x="0" y="0"/>
                <wp:positionH relativeFrom="margin">
                  <wp:posOffset>1214120</wp:posOffset>
                </wp:positionH>
                <wp:positionV relativeFrom="paragraph">
                  <wp:posOffset>1048858</wp:posOffset>
                </wp:positionV>
                <wp:extent cx="2955290" cy="1404620"/>
                <wp:effectExtent l="0" t="0" r="0" b="5715"/>
                <wp:wrapNone/>
                <wp:docPr id="1699414774" name="Text Box 2" descr="P2453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404620"/>
                        </a:xfrm>
                        <a:prstGeom prst="rect">
                          <a:avLst/>
                        </a:prstGeom>
                        <a:solidFill>
                          <a:srgbClr val="FFFFFF"/>
                        </a:solidFill>
                        <a:ln w="9525">
                          <a:noFill/>
                          <a:miter lim="800000"/>
                          <a:headEnd/>
                          <a:tailEnd/>
                        </a:ln>
                      </wps:spPr>
                      <wps:txbx>
                        <w:txbxContent>
                          <w:p w14:paraId="3BFA1783" w14:textId="0DA888D9" w:rsidR="00D27E96" w:rsidRPr="001729F2" w:rsidRDefault="00D27E96" w:rsidP="00B836D6">
                            <w:pPr>
                              <w:spacing w:after="0"/>
                              <w:rPr>
                                <w:sz w:val="18"/>
                                <w:szCs w:val="18"/>
                              </w:rPr>
                            </w:pPr>
                            <w:r w:rsidRPr="001729F2">
                              <w:rPr>
                                <w:sz w:val="18"/>
                                <w:szCs w:val="18"/>
                              </w:rPr>
                              <w:t>No Mental Health average cost per GWAU available.</w:t>
                            </w:r>
                            <w:r w:rsidR="00F303BA" w:rsidRPr="001729F2">
                              <w:rPr>
                                <w:sz w:val="18"/>
                                <w:szCs w:val="18"/>
                                <w:vertAlign w:val="superscript"/>
                              </w:rPr>
                              <w:t>†‡</w:t>
                            </w:r>
                          </w:p>
                        </w:txbxContent>
                      </wps:txbx>
                      <wps:bodyPr rot="0" vert="horz" wrap="square" lIns="36000" tIns="36000" rIns="36000" bIns="3600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67BC6CE" id="_x0000_s1262" type="#_x0000_t202" alt="P2453TB20#y1" style="position:absolute;margin-left:95.6pt;margin-top:82.6pt;width:232.7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" stroked="f">
                <v:textbox style="mso-fit-shape-to-text:t" inset="1mm,1mm,1mm,1mm">
                  <w:txbxContent>
                    <w:p w14:paraId="3BFA1783" w14:textId="0DA888D9" w:rsidR="00D27E96" w:rsidRPr="001729F2" w:rsidRDefault="00D27E96" w:rsidP="00B836D6">
                      <w:pPr>
                        <w:spacing w:after="0"/>
                        <w:rPr>
                          <w:sz w:val="18"/>
                          <w:szCs w:val="18"/>
                        </w:rPr>
                      </w:pPr>
                      <w:r w:rsidRPr="001729F2">
                        <w:rPr>
                          <w:sz w:val="18"/>
                          <w:szCs w:val="18"/>
                        </w:rPr>
                        <w:t>No Mental Health average cost per GWAU available.</w:t>
                      </w:r>
                      <w:r w:rsidR="00F303BA" w:rsidRPr="001729F2">
                        <w:rPr>
                          <w:sz w:val="18"/>
                          <w:szCs w:val="18"/>
                          <w:vertAlign w:val="superscript"/>
                        </w:rPr>
                        <w:t>†‡</w:t>
                      </w:r>
                    </w:p>
                  </w:txbxContent>
                </v:textbox>
                <w10:wrap anchorx="margin"/>
              </v:shape>
            </w:pict>
          </mc:Fallback>
        </mc:AlternateContent>
      </w:r>
      <w:r w:rsidR="0023066A">
        <w:rPr>
          <w:noProof/>
        </w:rPr>
        <w:t>^</w:t>
      </w:r>
      <w:r w:rsidRPr="00021702">
        <w:rPr>
          <w:noProof/>
        </w:rPr>
        <w:t>Community mental health GWAU was not available as it was not priced in 2023-24.</w:t>
      </w:r>
      <w:r w:rsidR="004D3ECB">
        <w:rPr>
          <w:noProof/>
        </w:rPr>
        <w:t xml:space="preserve"> </w:t>
      </w:r>
      <w:r w:rsidR="007B18D0" w:rsidRPr="007B18D0">
        <w:t>WA submitted admitted mental health at episode, not phase level and therefore cost per GWAU could not be calculated.</w:t>
      </w:r>
    </w:p>
    <w:p w14:paraId="4558D7D3" w14:textId="53C842D1" w:rsidR="00ED1ABB" w:rsidRDefault="000101BA" w:rsidP="003A4AE3">
      <w:r>
        <w:rPr>
          <w:color w:val="44546A" w:themeColor="text2"/>
        </w:rPr>
        <w:lastRenderedPageBreak/>
        <w:t>Key findings by stream include:</w:t>
      </w:r>
    </w:p>
    <w:p w14:paraId="703AB8AB" w14:textId="420BE221" w:rsidR="003A4AE3" w:rsidRDefault="003A4AE3" w:rsidP="003A4AE3">
      <w:pPr>
        <w:pStyle w:val="Caption"/>
        <w:keepNext/>
      </w:pPr>
      <w:r>
        <w:t xml:space="preserve">Table </w:t>
      </w:r>
      <w:r>
        <w:fldChar w:fldCharType="begin"/>
      </w:r>
      <w:r>
        <w:instrText xml:space="preserve"> SEQ Table \* ARABIC </w:instrText>
      </w:r>
      <w:r>
        <w:fldChar w:fldCharType="separate"/>
      </w:r>
      <w:r w:rsidR="00CE6F96">
        <w:rPr>
          <w:noProof/>
        </w:rPr>
        <w:t>23</w:t>
      </w:r>
      <w:r>
        <w:fldChar w:fldCharType="end"/>
      </w:r>
      <w:r>
        <w:t xml:space="preserve">: </w:t>
      </w:r>
      <w:r w:rsidR="00130A0B">
        <w:t>Key findings by stream in WA</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451"/>
        <w:gridCol w:w="7529"/>
      </w:tblGrid>
      <w:tr w:rsidR="007B18D0" w:rsidRPr="002C3BA4" w14:paraId="0AC4F699" w14:textId="77777777">
        <w:trPr>
          <w:cantSplit/>
          <w:trHeight w:val="2530"/>
        </w:trPr>
        <w:tc>
          <w:tcPr>
            <w:tcW w:w="1451" w:type="dxa"/>
            <w:shd w:val="clear" w:color="auto" w:fill="220054" w:themeFill="accent1"/>
            <w:vAlign w:val="center"/>
          </w:tcPr>
          <w:p w14:paraId="5B01ADE4" w14:textId="77777777" w:rsidR="007B18D0" w:rsidRPr="003B01D5" w:rsidRDefault="007B18D0">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Admitted acute</w:t>
            </w:r>
          </w:p>
        </w:tc>
        <w:tc>
          <w:tcPr>
            <w:tcW w:w="7529" w:type="dxa"/>
            <w:shd w:val="clear" w:color="auto" w:fill="D8D9E1" w:themeFill="accent3" w:themeFillTint="33"/>
          </w:tcPr>
          <w:p w14:paraId="3CAE24D6" w14:textId="5F4122DE" w:rsidR="00221253" w:rsidRPr="0046606B" w:rsidRDefault="00221253" w:rsidP="00221253">
            <w:pPr>
              <w:pStyle w:val="Tablebulletpoint"/>
              <w:rPr>
                <w:rFonts w:eastAsiaTheme="minorEastAsia"/>
                <w:lang w:eastAsia="ja-JP"/>
              </w:rPr>
            </w:pPr>
            <w:r w:rsidRPr="0046606B">
              <w:rPr>
                <w:rFonts w:eastAsiaTheme="minorEastAsia"/>
                <w:lang w:eastAsia="ja-JP"/>
              </w:rPr>
              <w:t xml:space="preserve">The admitted acute stream is the most resource intensive stream in a hospital. In 2023-24, there were over 642,000 costed acute episodes </w:t>
            </w:r>
            <w:r w:rsidR="00380E77">
              <w:rPr>
                <w:rFonts w:eastAsiaTheme="minorEastAsia"/>
                <w:lang w:eastAsia="ja-JP"/>
              </w:rPr>
              <w:t>increasing</w:t>
            </w:r>
            <w:r w:rsidRPr="0046606B">
              <w:rPr>
                <w:rFonts w:eastAsiaTheme="minorEastAsia"/>
                <w:lang w:eastAsia="ja-JP"/>
              </w:rPr>
              <w:t xml:space="preserve"> 5.5% from the prior year. The growth in GWAU of 4.3% was slightly lower, reflecting a slight reduction in the average casemix complexity between 2022-23 and 2023-24. </w:t>
            </w:r>
          </w:p>
          <w:p w14:paraId="7FC800B4" w14:textId="77777777" w:rsidR="00221253" w:rsidRPr="0046606B" w:rsidRDefault="00221253" w:rsidP="00221253">
            <w:pPr>
              <w:pStyle w:val="Tablebulletpoint"/>
              <w:rPr>
                <w:rFonts w:eastAsiaTheme="minorEastAsia"/>
                <w:lang w:eastAsia="ja-JP"/>
              </w:rPr>
            </w:pPr>
            <w:r w:rsidRPr="0046606B">
              <w:rPr>
                <w:rFonts w:eastAsiaTheme="minorEastAsia"/>
                <w:lang w:eastAsia="ja-JP"/>
              </w:rPr>
              <w:t>Admitted acute episodes made up 15.3% of total episodes across the streams analysed for 2023-24, but account for 63.5% of total costs with approximately $4.5 billion submitted. This was an increase of 6.9% compared to 2022-23.</w:t>
            </w:r>
          </w:p>
          <w:p w14:paraId="36CFE6DD" w14:textId="60E37E41" w:rsidR="00221253" w:rsidRPr="0046606B" w:rsidRDefault="00221253" w:rsidP="00221253">
            <w:pPr>
              <w:pStyle w:val="Tablebulletpoint"/>
              <w:rPr>
                <w:rFonts w:eastAsiaTheme="minorEastAsia"/>
                <w:lang w:eastAsia="ja-JP"/>
              </w:rPr>
            </w:pPr>
            <w:r w:rsidRPr="0046606B">
              <w:rPr>
                <w:rFonts w:eastAsiaTheme="minorEastAsia"/>
                <w:lang w:eastAsia="ja-JP"/>
              </w:rPr>
              <w:t>This resulted in an increase to the average cost per GWAU of 2.5% in 2023</w:t>
            </w:r>
            <w:r w:rsidR="00287B78">
              <w:rPr>
                <w:rFonts w:eastAsiaTheme="minorEastAsia"/>
                <w:lang w:eastAsia="ja-JP"/>
              </w:rPr>
              <w:noBreakHyphen/>
            </w:r>
            <w:r w:rsidRPr="0046606B">
              <w:rPr>
                <w:rFonts w:eastAsiaTheme="minorEastAsia"/>
                <w:lang w:eastAsia="ja-JP"/>
              </w:rPr>
              <w:t xml:space="preserve">24, </w:t>
            </w:r>
            <w:r w:rsidR="00380E77">
              <w:rPr>
                <w:rFonts w:eastAsiaTheme="minorEastAsia"/>
                <w:lang w:eastAsia="ja-JP"/>
              </w:rPr>
              <w:t>meaning</w:t>
            </w:r>
            <w:r w:rsidRPr="0046606B">
              <w:rPr>
                <w:rFonts w:eastAsiaTheme="minorEastAsia"/>
                <w:lang w:eastAsia="ja-JP"/>
              </w:rPr>
              <w:t xml:space="preserve"> that cost growth was relatively contained given expected inflationary increases from year-to-year. It was noted during the jurisdictional review meeting that increases in average cost per GWAU varied across WA HSPs due to several reasons:</w:t>
            </w:r>
          </w:p>
          <w:p w14:paraId="728EAF4F" w14:textId="126F7B21" w:rsidR="00221253" w:rsidRDefault="00221253" w:rsidP="006044E0">
            <w:pPr>
              <w:pStyle w:val="ListParagraph"/>
              <w:numPr>
                <w:ilvl w:val="1"/>
                <w:numId w:val="21"/>
              </w:numPr>
              <w:rPr>
                <w:rFonts w:eastAsiaTheme="minorEastAsia" w:cstheme="minorBidi"/>
                <w:color w:val="44546A" w:themeColor="text2"/>
                <w:lang w:eastAsia="ja-JP"/>
              </w:rPr>
            </w:pPr>
            <w:r w:rsidRPr="0046606B">
              <w:rPr>
                <w:rFonts w:eastAsiaTheme="minorEastAsia" w:cstheme="minorBidi"/>
                <w:color w:val="44546A" w:themeColor="text2"/>
                <w:lang w:eastAsia="ja-JP"/>
              </w:rPr>
              <w:t xml:space="preserve">Lower growth in the average cost per GWAU was observed in WA Country Health Service (-0.3% reduction in average cost per GWAU) </w:t>
            </w:r>
            <w:r w:rsidR="00380E77">
              <w:rPr>
                <w:rFonts w:eastAsiaTheme="minorEastAsia" w:cstheme="minorBidi"/>
                <w:color w:val="44546A" w:themeColor="text2"/>
                <w:lang w:eastAsia="ja-JP"/>
              </w:rPr>
              <w:t>reflecting</w:t>
            </w:r>
            <w:r w:rsidRPr="0046606B">
              <w:rPr>
                <w:rFonts w:eastAsiaTheme="minorEastAsia" w:cstheme="minorBidi"/>
                <w:color w:val="44546A" w:themeColor="text2"/>
                <w:lang w:eastAsia="ja-JP"/>
              </w:rPr>
              <w:t xml:space="preserve"> a reduction in agency staffing usage as they managed nursing ratios with available staff.</w:t>
            </w:r>
          </w:p>
          <w:p w14:paraId="7EF4A759" w14:textId="234A92E3" w:rsidR="007B18D0" w:rsidRPr="00221253" w:rsidRDefault="00221253" w:rsidP="006044E0">
            <w:pPr>
              <w:pStyle w:val="ListParagraph"/>
              <w:numPr>
                <w:ilvl w:val="1"/>
                <w:numId w:val="21"/>
              </w:numPr>
              <w:rPr>
                <w:rFonts w:eastAsiaTheme="minorEastAsia" w:cstheme="minorBidi"/>
                <w:color w:val="44546A" w:themeColor="text2"/>
                <w:lang w:eastAsia="ja-JP"/>
              </w:rPr>
            </w:pPr>
            <w:r w:rsidRPr="00221253">
              <w:rPr>
                <w:rFonts w:eastAsiaTheme="minorEastAsia"/>
                <w:lang w:eastAsia="ja-JP"/>
              </w:rPr>
              <w:t>Higher growth in the average cost per GWAU was observed for Child and Adolescent Health Service (CAHS) which had an 8.4% increase. This was understood to be driven by an increase in the workforce (and hence workforce costs) resulting from an inquiry into patient safety during 2023-24.</w:t>
            </w:r>
          </w:p>
        </w:tc>
      </w:tr>
      <w:tr w:rsidR="007B18D0" w:rsidRPr="002C3BA4" w14:paraId="37FA2AE0" w14:textId="77777777">
        <w:trPr>
          <w:cantSplit/>
          <w:trHeight w:val="2530"/>
        </w:trPr>
        <w:tc>
          <w:tcPr>
            <w:tcW w:w="1451" w:type="dxa"/>
            <w:shd w:val="clear" w:color="auto" w:fill="464E7E" w:themeFill="accent2"/>
            <w:vAlign w:val="center"/>
          </w:tcPr>
          <w:p w14:paraId="41350966" w14:textId="77777777" w:rsidR="007B18D0" w:rsidRPr="003B01D5" w:rsidRDefault="007B18D0">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Emergency Department</w:t>
            </w:r>
          </w:p>
        </w:tc>
        <w:tc>
          <w:tcPr>
            <w:tcW w:w="7529" w:type="dxa"/>
            <w:shd w:val="clear" w:color="auto" w:fill="D6D9E8" w:themeFill="accent2" w:themeFillTint="33"/>
          </w:tcPr>
          <w:p w14:paraId="442914D5" w14:textId="7E63F4C6" w:rsidR="00EF33DA" w:rsidRPr="0046606B" w:rsidRDefault="00EF33DA" w:rsidP="00EF33DA">
            <w:pPr>
              <w:pStyle w:val="Tablebulletpoint"/>
              <w:rPr>
                <w:rFonts w:eastAsiaTheme="minorEastAsia"/>
                <w:lang w:eastAsia="ja-JP"/>
              </w:rPr>
            </w:pPr>
            <w:r w:rsidRPr="0046606B">
              <w:rPr>
                <w:rFonts w:eastAsiaTheme="minorEastAsia"/>
                <w:lang w:eastAsia="ja-JP"/>
              </w:rPr>
              <w:t>The ED stream represented 18.7% of total episodes, with approximately 786,000 costed separations submitted for 2023-24, representing an increase of 3.3% compared to 2022-23. Growth in GWAU was slightly higher, increasing 4.4% compared to the previous year.</w:t>
            </w:r>
          </w:p>
          <w:p w14:paraId="771104B8" w14:textId="77777777" w:rsidR="00EF33DA" w:rsidRPr="0046606B" w:rsidRDefault="007B18D0" w:rsidP="00EF33DA">
            <w:pPr>
              <w:pStyle w:val="Tablebulletpoint"/>
              <w:rPr>
                <w:rFonts w:eastAsiaTheme="minorEastAsia"/>
                <w:lang w:eastAsia="ja-JP"/>
              </w:rPr>
            </w:pPr>
            <w:r w:rsidRPr="003B46EA">
              <w:rPr>
                <w:rFonts w:eastAsiaTheme="minorEastAsia"/>
                <w:lang w:eastAsia="ja-JP"/>
              </w:rPr>
              <w:t xml:space="preserve">The </w:t>
            </w:r>
            <w:r w:rsidR="00EF33DA" w:rsidRPr="0046606B">
              <w:rPr>
                <w:rFonts w:eastAsiaTheme="minorEastAsia"/>
                <w:lang w:eastAsia="ja-JP"/>
              </w:rPr>
              <w:t xml:space="preserve">cost to deliver ED services increased in 2023-24, with the </w:t>
            </w:r>
            <w:r w:rsidRPr="003B46EA">
              <w:rPr>
                <w:rFonts w:eastAsiaTheme="minorEastAsia"/>
                <w:lang w:eastAsia="ja-JP"/>
              </w:rPr>
              <w:t xml:space="preserve">average cost per GWAU for ED </w:t>
            </w:r>
            <w:r w:rsidR="00EF33DA" w:rsidRPr="0046606B">
              <w:rPr>
                <w:rFonts w:eastAsiaTheme="minorEastAsia"/>
                <w:lang w:eastAsia="ja-JP"/>
              </w:rPr>
              <w:t xml:space="preserve">increasing </w:t>
            </w:r>
            <w:r w:rsidRPr="003B46EA">
              <w:rPr>
                <w:rFonts w:eastAsiaTheme="minorEastAsia"/>
                <w:lang w:eastAsia="ja-JP"/>
              </w:rPr>
              <w:t xml:space="preserve">by </w:t>
            </w:r>
            <w:r w:rsidR="00EF33DA" w:rsidRPr="0046606B">
              <w:rPr>
                <w:rFonts w:eastAsiaTheme="minorEastAsia"/>
                <w:lang w:eastAsia="ja-JP"/>
              </w:rPr>
              <w:t>5.2%. Correspondingly, this</w:t>
            </w:r>
            <w:r w:rsidRPr="003B46EA">
              <w:rPr>
                <w:rFonts w:eastAsiaTheme="minorEastAsia"/>
                <w:lang w:eastAsia="ja-JP"/>
              </w:rPr>
              <w:t xml:space="preserve"> meant that total </w:t>
            </w:r>
            <w:r w:rsidR="00EF33DA" w:rsidRPr="0046606B">
              <w:rPr>
                <w:rFonts w:eastAsiaTheme="minorEastAsia"/>
                <w:lang w:eastAsia="ja-JP"/>
              </w:rPr>
              <w:t xml:space="preserve">submitted </w:t>
            </w:r>
            <w:r w:rsidRPr="003B46EA">
              <w:rPr>
                <w:rFonts w:eastAsiaTheme="minorEastAsia"/>
                <w:lang w:eastAsia="ja-JP"/>
              </w:rPr>
              <w:t xml:space="preserve">costs </w:t>
            </w:r>
            <w:r w:rsidR="00EF33DA" w:rsidRPr="0046606B">
              <w:rPr>
                <w:rFonts w:eastAsiaTheme="minorEastAsia"/>
                <w:lang w:eastAsia="ja-JP"/>
              </w:rPr>
              <w:t>increased</w:t>
            </w:r>
            <w:r w:rsidRPr="003B46EA">
              <w:rPr>
                <w:rFonts w:eastAsiaTheme="minorEastAsia"/>
                <w:lang w:eastAsia="ja-JP"/>
              </w:rPr>
              <w:t xml:space="preserve"> over and above the increase in activity volumes, </w:t>
            </w:r>
            <w:r w:rsidR="00EF33DA" w:rsidRPr="0046606B">
              <w:rPr>
                <w:rFonts w:eastAsiaTheme="minorEastAsia"/>
                <w:lang w:eastAsia="ja-JP"/>
              </w:rPr>
              <w:t xml:space="preserve">growing </w:t>
            </w:r>
            <w:r w:rsidRPr="003B46EA">
              <w:rPr>
                <w:rFonts w:eastAsiaTheme="minorEastAsia"/>
                <w:lang w:eastAsia="ja-JP"/>
              </w:rPr>
              <w:t xml:space="preserve">by </w:t>
            </w:r>
            <w:r w:rsidR="00EF33DA" w:rsidRPr="0046606B">
              <w:rPr>
                <w:rFonts w:eastAsiaTheme="minorEastAsia"/>
                <w:lang w:eastAsia="ja-JP"/>
              </w:rPr>
              <w:t>9.8</w:t>
            </w:r>
            <w:r w:rsidRPr="003B46EA">
              <w:rPr>
                <w:rFonts w:eastAsiaTheme="minorEastAsia"/>
                <w:lang w:eastAsia="ja-JP"/>
              </w:rPr>
              <w:t>% in 2023-24</w:t>
            </w:r>
            <w:r w:rsidR="00EF33DA" w:rsidRPr="0046606B">
              <w:rPr>
                <w:rFonts w:eastAsiaTheme="minorEastAsia"/>
                <w:lang w:eastAsia="ja-JP"/>
              </w:rPr>
              <w:t xml:space="preserve">. </w:t>
            </w:r>
          </w:p>
          <w:p w14:paraId="31E4F790" w14:textId="23A8EC23" w:rsidR="007B18D0" w:rsidRPr="003B46EA" w:rsidRDefault="00EF33DA">
            <w:pPr>
              <w:pStyle w:val="Tablebulletpoint"/>
              <w:rPr>
                <w:lang w:eastAsia="ja-JP"/>
              </w:rPr>
            </w:pPr>
            <w:r w:rsidRPr="0046606B">
              <w:rPr>
                <w:rFonts w:eastAsiaTheme="minorEastAsia"/>
                <w:lang w:eastAsia="ja-JP"/>
              </w:rPr>
              <w:t>As with admitted acute, a significant increase in the average cost per GWAU was observed for CAHS (17.7%).</w:t>
            </w:r>
            <w:r>
              <w:rPr>
                <w:rFonts w:eastAsiaTheme="minorEastAsia"/>
                <w:lang w:eastAsia="ja-JP"/>
              </w:rPr>
              <w:t xml:space="preserve"> </w:t>
            </w:r>
            <w:r w:rsidRPr="0046606B">
              <w:rPr>
                <w:rFonts w:eastAsiaTheme="minorEastAsia"/>
                <w:lang w:eastAsia="ja-JP"/>
              </w:rPr>
              <w:t>This was understood to be driven by an increase in the workforce (and hence workforce costs) resulting from an inquiry into patient safety during 2023-24. In addition to the increasing workforce costs, the increase in the average cost per GWAU was also partially due to reduced ED presentation</w:t>
            </w:r>
            <w:r>
              <w:rPr>
                <w:rFonts w:eastAsiaTheme="minorEastAsia"/>
                <w:lang w:eastAsia="ja-JP"/>
              </w:rPr>
              <w:t>. The reduced ED presentations</w:t>
            </w:r>
            <w:r w:rsidRPr="0046606B">
              <w:rPr>
                <w:rFonts w:eastAsiaTheme="minorEastAsia"/>
                <w:lang w:eastAsia="ja-JP"/>
              </w:rPr>
              <w:t xml:space="preserve"> wer</w:t>
            </w:r>
            <w:r w:rsidRPr="0046606B">
              <w:t>e</w:t>
            </w:r>
            <w:r w:rsidRPr="0046606B">
              <w:rPr>
                <w:rFonts w:eastAsiaTheme="minorEastAsia"/>
                <w:lang w:eastAsia="ja-JP"/>
              </w:rPr>
              <w:t xml:space="preserve"> thought to be due to activity being delivered in the other HSPs rather than through the specialised children’s health service</w:t>
            </w:r>
            <w:r w:rsidR="007B18D0" w:rsidRPr="003B46EA">
              <w:rPr>
                <w:rFonts w:eastAsiaTheme="minorEastAsia"/>
                <w:lang w:eastAsia="ja-JP"/>
              </w:rPr>
              <w:t>.</w:t>
            </w:r>
          </w:p>
        </w:tc>
      </w:tr>
      <w:tr w:rsidR="007B18D0" w:rsidRPr="002C3BA4" w14:paraId="68D100AE" w14:textId="77777777">
        <w:trPr>
          <w:cantSplit/>
          <w:trHeight w:val="2530"/>
        </w:trPr>
        <w:tc>
          <w:tcPr>
            <w:tcW w:w="1451" w:type="dxa"/>
            <w:shd w:val="clear" w:color="auto" w:fill="F7BE85" w:themeFill="accent5"/>
            <w:vAlign w:val="center"/>
          </w:tcPr>
          <w:p w14:paraId="134BABDE" w14:textId="77777777" w:rsidR="007B18D0" w:rsidRPr="002C3BA4" w:rsidRDefault="007B18D0">
            <w:pPr>
              <w:pStyle w:val="TableHeadingtext"/>
              <w:framePr w:hSpace="0" w:wrap="auto" w:vAnchor="margin" w:hAnchor="text" w:yAlign="inline"/>
              <w:jc w:val="center"/>
              <w:rPr>
                <w:rFonts w:asciiTheme="majorHAnsi" w:hAnsiTheme="majorHAnsi"/>
              </w:rPr>
            </w:pPr>
            <w:r>
              <w:rPr>
                <w:rFonts w:asciiTheme="majorHAnsi" w:hAnsiTheme="majorHAnsi"/>
              </w:rPr>
              <w:lastRenderedPageBreak/>
              <w:t>Non-admitted</w:t>
            </w:r>
          </w:p>
        </w:tc>
        <w:tc>
          <w:tcPr>
            <w:tcW w:w="7529" w:type="dxa"/>
            <w:shd w:val="clear" w:color="auto" w:fill="FDF1E6" w:themeFill="accent5" w:themeFillTint="33"/>
          </w:tcPr>
          <w:p w14:paraId="337874D2" w14:textId="77777777" w:rsidR="00B572DC" w:rsidRPr="0046606B" w:rsidRDefault="00B572DC" w:rsidP="00B572DC">
            <w:pPr>
              <w:pStyle w:val="Tablebulletpoint"/>
              <w:rPr>
                <w:rFonts w:eastAsiaTheme="minorEastAsia"/>
                <w:lang w:eastAsia="ja-JP"/>
              </w:rPr>
            </w:pPr>
            <w:r w:rsidRPr="0046606B">
              <w:rPr>
                <w:rFonts w:eastAsiaTheme="minorEastAsia"/>
                <w:lang w:eastAsia="ja-JP"/>
              </w:rPr>
              <w:t>The non-admitted stream makes up the largest proportion of submitted episodes, with 2.8 million service events in 2023-24. This was an increase of 7.8%. The volume of GWAU also increased over the same period, with a growth rate of 6.3%.</w:t>
            </w:r>
          </w:p>
          <w:p w14:paraId="2F267BD3" w14:textId="19BB5DA8" w:rsidR="00B572DC" w:rsidRPr="0046606B" w:rsidRDefault="00B572DC" w:rsidP="00B572DC">
            <w:pPr>
              <w:pStyle w:val="Tablebulletpoint"/>
              <w:rPr>
                <w:rFonts w:eastAsiaTheme="minorEastAsia"/>
                <w:lang w:eastAsia="ja-JP"/>
              </w:rPr>
            </w:pPr>
            <w:r w:rsidRPr="0046606B">
              <w:rPr>
                <w:rFonts w:eastAsiaTheme="minorEastAsia"/>
                <w:lang w:eastAsia="ja-JP"/>
              </w:rPr>
              <w:t xml:space="preserve">Total submitted </w:t>
            </w:r>
            <w:r w:rsidRPr="0046606B">
              <w:rPr>
                <w:rFonts w:eastAsiaTheme="minorEastAsia"/>
                <w:bCs/>
                <w:lang w:eastAsia="ja-JP"/>
              </w:rPr>
              <w:t>costs</w:t>
            </w:r>
            <w:r w:rsidRPr="0046606B">
              <w:rPr>
                <w:rFonts w:eastAsiaTheme="minorEastAsia"/>
                <w:lang w:eastAsia="ja-JP"/>
              </w:rPr>
              <w:t xml:space="preserve"> increased by 10.1% in 2023-24, corresponding to an increase in the average cost per GWAU of 3.6%</w:t>
            </w:r>
            <w:r w:rsidR="00380E77">
              <w:rPr>
                <w:rFonts w:eastAsiaTheme="minorEastAsia"/>
                <w:lang w:eastAsia="ja-JP"/>
              </w:rPr>
              <w:t xml:space="preserve">. This </w:t>
            </w:r>
            <w:r w:rsidRPr="0046606B">
              <w:rPr>
                <w:rFonts w:eastAsiaTheme="minorEastAsia"/>
                <w:lang w:eastAsia="ja-JP"/>
              </w:rPr>
              <w:t>was within an expected range given inflationary pressures year</w:t>
            </w:r>
            <w:r w:rsidR="007050E3">
              <w:rPr>
                <w:rFonts w:eastAsiaTheme="minorEastAsia"/>
                <w:lang w:eastAsia="ja-JP"/>
              </w:rPr>
              <w:t>-</w:t>
            </w:r>
            <w:r w:rsidRPr="0046606B">
              <w:rPr>
                <w:rFonts w:eastAsiaTheme="minorEastAsia"/>
                <w:lang w:eastAsia="ja-JP"/>
              </w:rPr>
              <w:t>on</w:t>
            </w:r>
            <w:r w:rsidR="007050E3">
              <w:rPr>
                <w:rFonts w:eastAsiaTheme="minorEastAsia"/>
                <w:lang w:eastAsia="ja-JP"/>
              </w:rPr>
              <w:t>-</w:t>
            </w:r>
            <w:r w:rsidRPr="0046606B">
              <w:rPr>
                <w:rFonts w:eastAsiaTheme="minorEastAsia"/>
                <w:lang w:eastAsia="ja-JP"/>
              </w:rPr>
              <w:t xml:space="preserve">year. </w:t>
            </w:r>
          </w:p>
          <w:p w14:paraId="46DEB4F5" w14:textId="05266C87" w:rsidR="007B18D0" w:rsidRPr="003B46EA" w:rsidRDefault="00B572DC">
            <w:pPr>
              <w:pStyle w:val="Tablebulletpoint"/>
              <w:rPr>
                <w:lang w:eastAsia="ja-JP"/>
              </w:rPr>
            </w:pPr>
            <w:r w:rsidRPr="0046606B">
              <w:rPr>
                <w:rFonts w:eastAsiaTheme="minorEastAsia"/>
                <w:lang w:eastAsia="ja-JP"/>
              </w:rPr>
              <w:t xml:space="preserve">It was also indicated in the WA jurisdictional meeting that refinements were made to the costing of non-admitted activity </w:t>
            </w:r>
            <w:r>
              <w:rPr>
                <w:rFonts w:eastAsiaTheme="minorEastAsia"/>
                <w:lang w:eastAsia="ja-JP"/>
              </w:rPr>
              <w:t>in 2023-24</w:t>
            </w:r>
            <w:r w:rsidRPr="0046606B">
              <w:rPr>
                <w:rFonts w:eastAsiaTheme="minorEastAsia"/>
                <w:lang w:eastAsia="ja-JP"/>
              </w:rPr>
              <w:t xml:space="preserve"> to include costs for ‘Did Not Attend’ (DNA) patients, following guidance from IHACPA. WA had previously allocated these costs to dummy records based on DNA service events and excluded them from reporting. After discussion with IHACPA, these costs were instead spread across all attended non-admitted patients which have contributed to the increase in average costs for the non-admitted stream.</w:t>
            </w:r>
          </w:p>
        </w:tc>
      </w:tr>
      <w:tr w:rsidR="007B18D0" w:rsidRPr="002C3BA4" w14:paraId="23B40758" w14:textId="77777777">
        <w:trPr>
          <w:cantSplit/>
          <w:trHeight w:val="2530"/>
        </w:trPr>
        <w:tc>
          <w:tcPr>
            <w:tcW w:w="1451" w:type="dxa"/>
            <w:shd w:val="clear" w:color="auto" w:fill="B4B5DB" w:themeFill="accent4"/>
            <w:vAlign w:val="center"/>
          </w:tcPr>
          <w:p w14:paraId="3513FFB5" w14:textId="77777777" w:rsidR="007B18D0" w:rsidRPr="00AD1F32" w:rsidRDefault="007B18D0">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t>Subacute</w:t>
            </w:r>
          </w:p>
        </w:tc>
        <w:tc>
          <w:tcPr>
            <w:tcW w:w="7529" w:type="dxa"/>
            <w:shd w:val="clear" w:color="auto" w:fill="EFF0F7" w:themeFill="accent4" w:themeFillTint="33"/>
          </w:tcPr>
          <w:p w14:paraId="2F5693DE" w14:textId="77777777" w:rsidR="0099274D" w:rsidRPr="0046606B" w:rsidRDefault="0099274D" w:rsidP="0099274D">
            <w:pPr>
              <w:pStyle w:val="Tablebulletpoint"/>
              <w:rPr>
                <w:rFonts w:eastAsiaTheme="minorEastAsia"/>
                <w:lang w:eastAsia="ja-JP"/>
              </w:rPr>
            </w:pPr>
            <w:r w:rsidRPr="0046606B">
              <w:rPr>
                <w:rFonts w:eastAsiaTheme="minorEastAsia"/>
                <w:lang w:eastAsia="ja-JP"/>
              </w:rPr>
              <w:t>The subacute stream is relatively small, with 13,300 episodes submitted for 2023</w:t>
            </w:r>
            <w:r w:rsidRPr="0046606B">
              <w:rPr>
                <w:rFonts w:eastAsiaTheme="minorEastAsia"/>
                <w:lang w:eastAsia="ja-JP"/>
              </w:rPr>
              <w:noBreakHyphen/>
              <w:t>24, making up only 0.3% of episodes. However, this represented an increase of 9.8% compared to the prior year, with an even more significant increase in GWAU of 23.4% in 2023-24. This reflects a higher average casemix complexity, which was thought to relate to an increase in maintenance care for patients awaiting placement in nursing homes.</w:t>
            </w:r>
          </w:p>
          <w:p w14:paraId="18AC43DC" w14:textId="2E1E2859" w:rsidR="007B18D0" w:rsidRPr="003B46EA" w:rsidRDefault="0099274D">
            <w:pPr>
              <w:pStyle w:val="Tablebulletpoint"/>
              <w:rPr>
                <w:lang w:eastAsia="ja-JP"/>
              </w:rPr>
            </w:pPr>
            <w:r w:rsidRPr="0046606B">
              <w:rPr>
                <w:rFonts w:eastAsiaTheme="minorEastAsia"/>
                <w:lang w:eastAsia="ja-JP"/>
              </w:rPr>
              <w:t xml:space="preserve">Total costs in subacute grew by 9.6%, </w:t>
            </w:r>
            <w:r w:rsidR="00380E77">
              <w:rPr>
                <w:rFonts w:eastAsiaTheme="minorEastAsia"/>
                <w:lang w:eastAsia="ja-JP"/>
              </w:rPr>
              <w:t>meaning</w:t>
            </w:r>
            <w:r w:rsidRPr="0046606B">
              <w:rPr>
                <w:rFonts w:eastAsiaTheme="minorEastAsia"/>
                <w:lang w:eastAsia="ja-JP"/>
              </w:rPr>
              <w:t xml:space="preserve"> that despite the significant increase in GWAU, the average cost per GWAU decreased by 11.</w:t>
            </w:r>
            <w:r w:rsidR="00DD0C28">
              <w:rPr>
                <w:rFonts w:eastAsiaTheme="minorEastAsia"/>
                <w:lang w:eastAsia="ja-JP"/>
              </w:rPr>
              <w:t>1</w:t>
            </w:r>
            <w:r w:rsidRPr="0046606B">
              <w:rPr>
                <w:rFonts w:eastAsiaTheme="minorEastAsia"/>
                <w:lang w:eastAsia="ja-JP"/>
              </w:rPr>
              <w:t>%.</w:t>
            </w:r>
          </w:p>
        </w:tc>
      </w:tr>
      <w:tr w:rsidR="007B18D0" w:rsidRPr="002C3BA4" w14:paraId="7878D479" w14:textId="77777777" w:rsidTr="00936B91">
        <w:trPr>
          <w:cantSplit/>
          <w:trHeight w:val="1543"/>
        </w:trPr>
        <w:tc>
          <w:tcPr>
            <w:tcW w:w="1451" w:type="dxa"/>
            <w:shd w:val="clear" w:color="auto" w:fill="80C0B0"/>
            <w:vAlign w:val="center"/>
          </w:tcPr>
          <w:p w14:paraId="75BA6B15" w14:textId="77777777" w:rsidR="00C534EE" w:rsidRPr="00AD1F32" w:rsidRDefault="007B18D0">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t>Admitted mental health</w:t>
            </w:r>
          </w:p>
          <w:p w14:paraId="4C8A8C31" w14:textId="3C17BD00" w:rsidR="007B18D0" w:rsidRPr="00AD1F32" w:rsidRDefault="00C534EE">
            <w:pPr>
              <w:pStyle w:val="TableHeadingtext"/>
              <w:framePr w:hSpace="0" w:wrap="auto" w:vAnchor="margin" w:hAnchor="text" w:yAlign="inline"/>
              <w:jc w:val="center"/>
              <w:rPr>
                <w:rFonts w:asciiTheme="minorHAnsi" w:hAnsiTheme="minorHAnsi"/>
                <w:b w:val="0"/>
                <w:i/>
                <w:color w:val="363845" w:themeColor="accent3" w:themeShade="BF"/>
              </w:rPr>
            </w:pPr>
            <w:r w:rsidRPr="00AD1F32">
              <w:rPr>
                <w:rFonts w:asciiTheme="minorHAnsi" w:hAnsiTheme="minorHAnsi"/>
                <w:b w:val="0"/>
                <w:bCs w:val="0"/>
                <w:i/>
                <w:iCs/>
                <w:color w:val="363845" w:themeColor="accent3" w:themeShade="BF"/>
              </w:rPr>
              <w:t>(episode-level only, not phase-level)</w:t>
            </w:r>
          </w:p>
        </w:tc>
        <w:tc>
          <w:tcPr>
            <w:tcW w:w="7529" w:type="dxa"/>
            <w:shd w:val="clear" w:color="auto" w:fill="BCDED5"/>
          </w:tcPr>
          <w:p w14:paraId="4916503F" w14:textId="1093613D" w:rsidR="00936B91" w:rsidRPr="0046606B" w:rsidRDefault="00936B91" w:rsidP="00936B91">
            <w:pPr>
              <w:pStyle w:val="Tablebulletpoint"/>
              <w:rPr>
                <w:rFonts w:eastAsiaTheme="minorEastAsia"/>
                <w:lang w:eastAsia="ja-JP"/>
              </w:rPr>
            </w:pPr>
            <w:r w:rsidRPr="0046606B">
              <w:rPr>
                <w:rFonts w:eastAsiaTheme="minorEastAsia"/>
                <w:lang w:eastAsia="ja-JP"/>
              </w:rPr>
              <w:t>WA only submitted episode level data for admitted mental health, with approximately 12,200 episodes submitted in 2023-24 across all facilities</w:t>
            </w:r>
            <w:r w:rsidR="00F63F62">
              <w:rPr>
                <w:rFonts w:eastAsiaTheme="minorEastAsia"/>
                <w:lang w:eastAsia="ja-JP"/>
              </w:rPr>
              <w:t xml:space="preserve"> (including non-ABF hospitals)</w:t>
            </w:r>
            <w:r w:rsidRPr="0046606B">
              <w:rPr>
                <w:rFonts w:eastAsiaTheme="minorEastAsia"/>
                <w:lang w:eastAsia="ja-JP"/>
              </w:rPr>
              <w:t>, representing a slight reduction of 1.9%. GWAU was not available for this stream as part of this analysis.</w:t>
            </w:r>
          </w:p>
          <w:p w14:paraId="464FA4FA" w14:textId="63140220" w:rsidR="007B18D0" w:rsidRPr="003B46EA" w:rsidRDefault="00936B91">
            <w:pPr>
              <w:pStyle w:val="Tablebulletpoint"/>
            </w:pPr>
            <w:r w:rsidRPr="0046606B">
              <w:rPr>
                <w:rFonts w:eastAsiaTheme="minorEastAsia"/>
                <w:lang w:eastAsia="ja-JP"/>
              </w:rPr>
              <w:t xml:space="preserve">The total submitted costs </w:t>
            </w:r>
            <w:r w:rsidR="00F63F62">
              <w:rPr>
                <w:rFonts w:eastAsiaTheme="minorEastAsia"/>
                <w:lang w:eastAsia="ja-JP"/>
              </w:rPr>
              <w:t xml:space="preserve">(all facilities including non-ABF) </w:t>
            </w:r>
            <w:r w:rsidRPr="0046606B">
              <w:rPr>
                <w:rFonts w:eastAsiaTheme="minorEastAsia"/>
                <w:lang w:eastAsia="ja-JP"/>
              </w:rPr>
              <w:t>were approximately $472 million, growing by approximately 9.1% compared to 2022-23, which meant the average cost to deliver admitted mental health services (measured as an average cost per episode) increased by 11.2%.</w:t>
            </w:r>
          </w:p>
        </w:tc>
      </w:tr>
      <w:tr w:rsidR="007B18D0" w:rsidRPr="002C3BA4" w14:paraId="54F73A20" w14:textId="77777777" w:rsidTr="003147E8">
        <w:trPr>
          <w:cantSplit/>
          <w:trHeight w:val="1847"/>
        </w:trPr>
        <w:tc>
          <w:tcPr>
            <w:tcW w:w="1451" w:type="dxa"/>
            <w:shd w:val="clear" w:color="auto" w:fill="220054" w:themeFill="accent1"/>
            <w:vAlign w:val="center"/>
          </w:tcPr>
          <w:p w14:paraId="529562D0" w14:textId="77777777" w:rsidR="007B18D0" w:rsidRDefault="007B18D0">
            <w:pPr>
              <w:pStyle w:val="TableHeadingtext"/>
              <w:framePr w:hSpace="0" w:wrap="auto" w:vAnchor="margin" w:hAnchor="text" w:yAlign="inline"/>
              <w:jc w:val="center"/>
              <w:rPr>
                <w:rFonts w:asciiTheme="majorHAnsi" w:hAnsiTheme="majorHAnsi"/>
                <w:color w:val="FFFFFF" w:themeColor="background1"/>
              </w:rPr>
            </w:pPr>
            <w:r w:rsidRPr="003B46EA">
              <w:rPr>
                <w:rFonts w:asciiTheme="majorHAnsi" w:hAnsiTheme="majorHAnsi"/>
                <w:color w:val="FFFFFF" w:themeColor="background1"/>
              </w:rPr>
              <w:t>Community mental health</w:t>
            </w:r>
          </w:p>
          <w:p w14:paraId="4E7C1500" w14:textId="47FC9716" w:rsidR="007B18D0" w:rsidRDefault="00C534EE">
            <w:pPr>
              <w:pStyle w:val="TableHeadingtext"/>
              <w:framePr w:hSpace="0" w:wrap="auto" w:vAnchor="margin" w:hAnchor="text" w:yAlign="inline"/>
              <w:jc w:val="center"/>
              <w:rPr>
                <w:rFonts w:asciiTheme="majorHAnsi" w:hAnsiTheme="majorHAnsi"/>
              </w:rPr>
            </w:pPr>
            <w:r w:rsidRPr="00C534EE">
              <w:rPr>
                <w:rFonts w:asciiTheme="minorHAnsi" w:hAnsiTheme="minorHAnsi"/>
                <w:b w:val="0"/>
                <w:bCs w:val="0"/>
                <w:i/>
                <w:iCs/>
                <w:color w:val="FFFFFF" w:themeColor="background1"/>
              </w:rPr>
              <w:t>(episode-level only, not phase-level)</w:t>
            </w:r>
          </w:p>
        </w:tc>
        <w:tc>
          <w:tcPr>
            <w:tcW w:w="7529" w:type="dxa"/>
            <w:shd w:val="clear" w:color="auto" w:fill="D8D9E1" w:themeFill="accent3" w:themeFillTint="33"/>
          </w:tcPr>
          <w:p w14:paraId="35769206" w14:textId="77777777" w:rsidR="003147E8" w:rsidRPr="0046606B" w:rsidRDefault="003147E8" w:rsidP="003147E8">
            <w:pPr>
              <w:pStyle w:val="Tablebulletpoint"/>
            </w:pPr>
            <w:r w:rsidRPr="0046606B">
              <w:t>Similarly to admitted mental health, community mental health was only submitted at an episodic level.</w:t>
            </w:r>
          </w:p>
          <w:p w14:paraId="20CCBB56" w14:textId="6C3FCF66" w:rsidR="003147E8" w:rsidRPr="0046606B" w:rsidRDefault="003147E8" w:rsidP="003147E8">
            <w:pPr>
              <w:pStyle w:val="Tablebulletpoint"/>
            </w:pPr>
            <w:r w:rsidRPr="0046606B">
              <w:t>Community mental health activity is not restricted to ABF hospitals</w:t>
            </w:r>
            <w:r w:rsidR="000A12A7">
              <w:t xml:space="preserve"> (unlike the rest of the Cost Driver analysis)</w:t>
            </w:r>
            <w:r w:rsidRPr="0046606B">
              <w:t>, and the number of episodes submitted 2023-24 for all facilities increased only marginally by 0.9% compared to 2022-23. Community mental health was not ABF priced in 2023-24 and hence GWAU w</w:t>
            </w:r>
            <w:r w:rsidR="00381DD7">
              <w:t>as</w:t>
            </w:r>
            <w:r w:rsidRPr="0046606B">
              <w:t xml:space="preserve"> not considered in this analysis. </w:t>
            </w:r>
          </w:p>
          <w:p w14:paraId="7161EE13" w14:textId="55FEA5BD" w:rsidR="007B18D0" w:rsidRPr="003B46EA" w:rsidRDefault="003147E8">
            <w:pPr>
              <w:pStyle w:val="Tablebulletpoint"/>
            </w:pPr>
            <w:r w:rsidRPr="0046606B">
              <w:t xml:space="preserve">Submitted costs increased significantly by 18.6% compared to 2022-23 </w:t>
            </w:r>
            <w:r w:rsidR="00C610CC">
              <w:t>resulting</w:t>
            </w:r>
            <w:r w:rsidRPr="0046606B">
              <w:t xml:space="preserve"> in a similarly large increase in the average cost per episode of 17.5% compared to 2022-23.</w:t>
            </w:r>
          </w:p>
        </w:tc>
      </w:tr>
    </w:tbl>
    <w:p w14:paraId="11600699" w14:textId="1B17D6C1" w:rsidR="000101BA" w:rsidRDefault="000101BA" w:rsidP="000101BA">
      <w:pPr>
        <w:pStyle w:val="Heading3"/>
      </w:pPr>
      <w:r>
        <w:lastRenderedPageBreak/>
        <w:t>WA Costing Summary</w:t>
      </w:r>
    </w:p>
    <w:p w14:paraId="3331B1C2" w14:textId="417D80EB" w:rsidR="000101BA" w:rsidRPr="00AD1F32" w:rsidRDefault="000101BA" w:rsidP="009F419F">
      <w:pPr>
        <w:pStyle w:val="Heading4"/>
        <w:rPr>
          <w:color w:val="484B5D" w:themeColor="accent3"/>
        </w:rPr>
      </w:pPr>
      <w:r w:rsidRPr="00AD1F32">
        <w:rPr>
          <w:color w:val="484B5D" w:themeColor="accent3"/>
        </w:rPr>
        <w:t>WA costing process</w:t>
      </w:r>
    </w:p>
    <w:p w14:paraId="795D6C11" w14:textId="5D0568C2" w:rsidR="00B94B1C" w:rsidRPr="0046606B" w:rsidRDefault="00B94B1C" w:rsidP="00B94B1C">
      <w:r w:rsidRPr="00607437">
        <w:t xml:space="preserve">The WA Department of Health (WA Health) co-ordinates clinical costing for the state’s 5 HSPs and is responsible for the preparation of </w:t>
      </w:r>
      <w:r w:rsidR="00D9309E" w:rsidRPr="00607437">
        <w:t>WA’s</w:t>
      </w:r>
      <w:r w:rsidRPr="00607437">
        <w:t xml:space="preserve"> NHCDC submission. The costing system used in WA for 2023-24 was PPM2</w:t>
      </w:r>
      <w:r w:rsidRPr="0046606B">
        <w:t>, with a plan to move to PPM3 in 2025-26</w:t>
      </w:r>
      <w:r>
        <w:t xml:space="preserve"> costing cycle</w:t>
      </w:r>
      <w:r w:rsidRPr="0046606B">
        <w:t>.</w:t>
      </w:r>
    </w:p>
    <w:p w14:paraId="1007AFCE" w14:textId="77777777" w:rsidR="00B94B1C" w:rsidRPr="0046606B" w:rsidRDefault="00B94B1C" w:rsidP="00B94B1C">
      <w:r w:rsidRPr="0046606B">
        <w:t>Patient level costing is undertaken by costing teams at a HSP level, using a statewide instance of PPM2.</w:t>
      </w:r>
    </w:p>
    <w:p w14:paraId="11F02D68" w14:textId="35F5E252" w:rsidR="00B94B1C" w:rsidRPr="0046606B" w:rsidRDefault="00B94B1C" w:rsidP="00B94B1C">
      <w:r w:rsidRPr="0046606B">
        <w:t xml:space="preserve">WA have their own costing guidelines </w:t>
      </w:r>
      <w:r w:rsidR="00C610CC">
        <w:t>providing</w:t>
      </w:r>
      <w:r w:rsidRPr="0046606B">
        <w:t xml:space="preserve"> HSPs with local application to comply with the AHPCS</w:t>
      </w:r>
      <w:r>
        <w:t xml:space="preserve"> v4.2</w:t>
      </w:r>
      <w:r w:rsidRPr="0046606B">
        <w:t xml:space="preserve">. There is a statewide, centralised Unique Record Number (URN) database and a PAS covering all hospital care, </w:t>
      </w:r>
      <w:r w:rsidR="00C610CC">
        <w:t>supporting</w:t>
      </w:r>
      <w:r w:rsidRPr="0046606B">
        <w:t xml:space="preserve"> linking in the costing process. There is also a standard chart of accounts in use across WA.</w:t>
      </w:r>
    </w:p>
    <w:p w14:paraId="460AB1C4" w14:textId="4FF6D719" w:rsidR="00B94B1C" w:rsidRPr="0046606B" w:rsidRDefault="00B94B1C" w:rsidP="00B94B1C">
      <w:r w:rsidRPr="0046606B">
        <w:t xml:space="preserve">Health Support Services (HSS) is the shared service centre for </w:t>
      </w:r>
      <w:r w:rsidR="00D9309E">
        <w:t>WA</w:t>
      </w:r>
      <w:r w:rsidRPr="0046606B">
        <w:t xml:space="preserve">’s health system and is responsible for providing activity extracts for </w:t>
      </w:r>
      <w:r w:rsidR="00D9309E">
        <w:t>WA</w:t>
      </w:r>
      <w:r w:rsidRPr="0046606B">
        <w:t xml:space="preserve">’s </w:t>
      </w:r>
      <w:r>
        <w:t>HSPs</w:t>
      </w:r>
      <w:r w:rsidRPr="0046606B">
        <w:t>. HSS performs validity checks on activity data monthly against agreed data standards such as ensuring completeness and logic checks. On a monthly basis, HSS also informs the HSPs of new cost centres to include in their reference files. HSS manage</w:t>
      </w:r>
      <w:r w:rsidR="00EC7407">
        <w:t>s</w:t>
      </w:r>
      <w:r w:rsidRPr="0046606B">
        <w:t xml:space="preserve"> the statewide feeder system data for </w:t>
      </w:r>
      <w:r>
        <w:t xml:space="preserve">allied health, theatre, </w:t>
      </w:r>
      <w:r w:rsidRPr="0046606B">
        <w:t>pathology, pharmacy</w:t>
      </w:r>
      <w:r w:rsidR="00353739">
        <w:t>,</w:t>
      </w:r>
      <w:r w:rsidRPr="0046606B">
        <w:t xml:space="preserve"> and imaging. HSS collate and provides all source information and feeder system data to each HSP costing team, for them to validate and import into PPM2. </w:t>
      </w:r>
    </w:p>
    <w:p w14:paraId="235294E1" w14:textId="76935314" w:rsidR="00B94B1C" w:rsidRPr="0046606B" w:rsidRDefault="00B94B1C" w:rsidP="00B94B1C">
      <w:r w:rsidRPr="0046606B">
        <w:t xml:space="preserve">Local costing teams at each HSP perform the costing process and conduct their own QA on the outputs. Costing is performed quarterly for some sites to meet their local needs and annually for others (and for the purposes of NHCDC). Each HSP is required to submit a formal sign off on the costed outputs at </w:t>
      </w:r>
      <w:r>
        <w:t xml:space="preserve">the </w:t>
      </w:r>
      <w:r w:rsidRPr="0046606B">
        <w:t>Chief Executive level. WA Health coordinate</w:t>
      </w:r>
      <w:r w:rsidR="003A4AE3">
        <w:t>s</w:t>
      </w:r>
      <w:r w:rsidRPr="0046606B">
        <w:t xml:space="preserve"> the process, perform</w:t>
      </w:r>
      <w:r w:rsidR="003A4AE3">
        <w:t>s</w:t>
      </w:r>
      <w:r w:rsidRPr="0046606B">
        <w:t xml:space="preserve"> QA checks using a year-on-year analysis of cost outputs and reconciliations to central data sources, and ultimately submit</w:t>
      </w:r>
      <w:r w:rsidR="003A4AE3">
        <w:t>s</w:t>
      </w:r>
      <w:r w:rsidRPr="0046606B">
        <w:t xml:space="preserve"> the final output to IHACPA.</w:t>
      </w:r>
    </w:p>
    <w:p w14:paraId="32264C10" w14:textId="77777777" w:rsidR="00B94B1C" w:rsidRPr="0046606B" w:rsidRDefault="00B94B1C" w:rsidP="00B94B1C">
      <w:r w:rsidRPr="0046606B">
        <w:t>WA has implemented the following change for the 2023-24 year:</w:t>
      </w:r>
    </w:p>
    <w:p w14:paraId="0240D0DE" w14:textId="66CA7BD1" w:rsidR="00B94B1C" w:rsidRPr="0046606B" w:rsidRDefault="00B94B1C" w:rsidP="006044E0">
      <w:pPr>
        <w:pStyle w:val="ListParagraph"/>
        <w:numPr>
          <w:ilvl w:val="0"/>
          <w:numId w:val="24"/>
        </w:numPr>
      </w:pPr>
      <w:r w:rsidRPr="0046606B">
        <w:t>Refinement to costing of non-admitted activity to include costs for DNA patients, following guidance from IHACPA. WA had previously allocated these costs to dummy records based on DNA service events and excluded them from reporting. After discussion with IHACPA, these costs in 2023-24 were spread across all attended non-admitted patients.</w:t>
      </w:r>
    </w:p>
    <w:p w14:paraId="0B9979F7" w14:textId="77777777" w:rsidR="00B94B1C" w:rsidRPr="0046606B" w:rsidRDefault="00B94B1C" w:rsidP="00B94B1C">
      <w:pPr>
        <w:rPr>
          <w:color w:val="44546A" w:themeColor="text2"/>
        </w:rPr>
      </w:pPr>
      <w:r w:rsidRPr="0046606B">
        <w:rPr>
          <w:color w:val="44546A" w:themeColor="text2"/>
        </w:rPr>
        <w:t>WA has reported variance from AHPCS v4.2 in the following areas:</w:t>
      </w:r>
    </w:p>
    <w:p w14:paraId="19E8BDBF" w14:textId="743D45DF" w:rsidR="00B94B1C" w:rsidRPr="0046606B" w:rsidRDefault="00B94B1C" w:rsidP="006044E0">
      <w:pPr>
        <w:pStyle w:val="ListParagraph"/>
        <w:numPr>
          <w:ilvl w:val="0"/>
          <w:numId w:val="24"/>
        </w:numPr>
      </w:pPr>
      <w:r w:rsidRPr="0046606B">
        <w:t xml:space="preserve">WA is not fully compliant with costing guidelines for TTR as these costs are currently calculated using a methodology from a 2010-11 survey to all staff to capture estimated research activity and teaching time. This survey is used to derive a TTR percentage of </w:t>
      </w:r>
      <w:r>
        <w:t>M</w:t>
      </w:r>
      <w:r w:rsidRPr="00B94B1C">
        <w:t xml:space="preserve">edical </w:t>
      </w:r>
      <w:r w:rsidRPr="00B54383">
        <w:rPr>
          <w:i/>
          <w:iCs/>
        </w:rPr>
        <w:t>S&amp;W</w:t>
      </w:r>
      <w:r>
        <w:t xml:space="preserve"> </w:t>
      </w:r>
      <w:r w:rsidRPr="0046606B">
        <w:t xml:space="preserve">costs for each facility which are excluded from the annual submission to IHACPA. </w:t>
      </w:r>
    </w:p>
    <w:p w14:paraId="10C3F7A9" w14:textId="77777777" w:rsidR="00B94B1C" w:rsidRPr="0046606B" w:rsidRDefault="00B94B1C" w:rsidP="006044E0">
      <w:pPr>
        <w:pStyle w:val="ListParagraph"/>
        <w:numPr>
          <w:ilvl w:val="0"/>
          <w:numId w:val="24"/>
        </w:numPr>
      </w:pPr>
      <w:r w:rsidRPr="0046606B">
        <w:t>WA currently excludes the cost of blood products from submissions.</w:t>
      </w:r>
    </w:p>
    <w:p w14:paraId="18D2C4FF" w14:textId="384AE396" w:rsidR="00C32E82" w:rsidRPr="00607437" w:rsidRDefault="00B94B1C" w:rsidP="00B94B1C">
      <w:r w:rsidRPr="008E338F">
        <w:t>WA identified unexpected negative prosthetics costs for rehabilitation patients at Fiona Stanley Hospital. Investigation revealed these costs were incorrectly journalled from a rehabilitation cost centre (in</w:t>
      </w:r>
      <w:r w:rsidR="002370DA">
        <w:t>-</w:t>
      </w:r>
      <w:r w:rsidRPr="008E338F">
        <w:t xml:space="preserve">scope for ABF) instead of the correct block-funded cost centre within the GL. The misposting created a negative expense without a matching positive cost entry in the costing </w:t>
      </w:r>
      <w:r w:rsidRPr="008E338F">
        <w:lastRenderedPageBreak/>
        <w:t xml:space="preserve">ledger. IHACPA excluded negative cost amounts in affected records. WA is reviewing appropriate </w:t>
      </w:r>
      <w:r w:rsidRPr="00607437">
        <w:t xml:space="preserve">treatment of these costs in 2024-25. </w:t>
      </w:r>
    </w:p>
    <w:p w14:paraId="01F538FB" w14:textId="77777777" w:rsidR="00C32E82" w:rsidRPr="00AD1F32" w:rsidRDefault="00C32E82" w:rsidP="009F419F">
      <w:pPr>
        <w:pStyle w:val="Heading4"/>
        <w:rPr>
          <w:color w:val="484B5D" w:themeColor="accent3"/>
        </w:rPr>
      </w:pPr>
      <w:r w:rsidRPr="00AD1F32">
        <w:rPr>
          <w:color w:val="484B5D" w:themeColor="accent3"/>
        </w:rPr>
        <w:t>WA structural arrangements and inclusion in costing outputs</w:t>
      </w:r>
    </w:p>
    <w:p w14:paraId="26C2A37F" w14:textId="749C0C7E" w:rsidR="009E121C" w:rsidRPr="00607437" w:rsidRDefault="009E121C" w:rsidP="009E121C">
      <w:pPr>
        <w:rPr>
          <w:highlight w:val="red"/>
        </w:rPr>
      </w:pPr>
      <w:r w:rsidRPr="00607437">
        <w:t xml:space="preserve">WA has shared services arrangements for </w:t>
      </w:r>
      <w:r w:rsidR="007641B3" w:rsidRPr="00607437">
        <w:t>several</w:t>
      </w:r>
      <w:r w:rsidRPr="00607437">
        <w:t xml:space="preserve"> clinical and corporate expenses:</w:t>
      </w:r>
    </w:p>
    <w:p w14:paraId="1406FB3B" w14:textId="5B5837F9" w:rsidR="009E121C" w:rsidRPr="0046606B" w:rsidRDefault="009E121C" w:rsidP="006044E0">
      <w:pPr>
        <w:pStyle w:val="ListParagraph"/>
        <w:numPr>
          <w:ilvl w:val="0"/>
          <w:numId w:val="6"/>
        </w:numPr>
        <w:tabs>
          <w:tab w:val="clear" w:pos="5309"/>
        </w:tabs>
      </w:pPr>
      <w:r w:rsidRPr="00607437">
        <w:t xml:space="preserve">HSS provide statewide services for </w:t>
      </w:r>
      <w:r w:rsidR="00407D0E" w:rsidRPr="00607437">
        <w:t>human resources (</w:t>
      </w:r>
      <w:r w:rsidRPr="00607437">
        <w:t>HR</w:t>
      </w:r>
      <w:r w:rsidR="00407D0E" w:rsidRPr="00607437">
        <w:t>)</w:t>
      </w:r>
      <w:r w:rsidRPr="00607437">
        <w:t>, payroll, finance, procurement and IT. They also provide support for the costing software in place in WA and provide data extracts for costing</w:t>
      </w:r>
      <w:r w:rsidRPr="0046606B">
        <w:t>. The costs of these services are charged onto the HSPs.</w:t>
      </w:r>
    </w:p>
    <w:p w14:paraId="6AE0D3D5" w14:textId="77777777" w:rsidR="009E121C" w:rsidRPr="0046606B" w:rsidRDefault="009E121C" w:rsidP="006044E0">
      <w:pPr>
        <w:pStyle w:val="ListParagraph"/>
        <w:numPr>
          <w:ilvl w:val="0"/>
          <w:numId w:val="6"/>
        </w:numPr>
      </w:pPr>
      <w:r w:rsidRPr="0046606B">
        <w:t>Path</w:t>
      </w:r>
      <w:r>
        <w:t>W</w:t>
      </w:r>
      <w:r w:rsidRPr="0046606B">
        <w:t>est is the state provider of pathology services to HSPs, and they also provide pathology services in non-ABF settings, including to prisons and forensic facilities.</w:t>
      </w:r>
      <w:r>
        <w:t xml:space="preserve"> Only activity and costs related to hospital activity is allocated in the costing process.</w:t>
      </w:r>
    </w:p>
    <w:p w14:paraId="4E2B8492" w14:textId="77777777" w:rsidR="009E121C" w:rsidRPr="0046606B" w:rsidRDefault="009E121C" w:rsidP="009E121C">
      <w:r w:rsidRPr="0046606B">
        <w:t>Path</w:t>
      </w:r>
      <w:r>
        <w:t>W</w:t>
      </w:r>
      <w:r w:rsidRPr="0046606B">
        <w:t>est operates as a</w:t>
      </w:r>
      <w:r>
        <w:t xml:space="preserve"> standalone HSP</w:t>
      </w:r>
      <w:r w:rsidRPr="0046606B">
        <w:t xml:space="preserve">. It charges HSPs monthly via an intra-health invoice for services provided using an agreed rate card based on the PBS price per test. The costs allocated to HSPs capture the operational costs of the relevant services. </w:t>
      </w:r>
    </w:p>
    <w:p w14:paraId="7689A7FB" w14:textId="77777777" w:rsidR="009E121C" w:rsidRPr="0046606B" w:rsidRDefault="009E121C" w:rsidP="009E121C">
      <w:r w:rsidRPr="0046606B">
        <w:t>There are some other services provided by WA Health where no costs are passed onto HSPs or allocated to patients in the costing process. These include:</w:t>
      </w:r>
    </w:p>
    <w:p w14:paraId="19FE4B50" w14:textId="77777777" w:rsidR="009E121C" w:rsidRPr="0046606B" w:rsidRDefault="009E121C" w:rsidP="006044E0">
      <w:pPr>
        <w:pStyle w:val="ListParagraph"/>
        <w:numPr>
          <w:ilvl w:val="0"/>
          <w:numId w:val="7"/>
        </w:numPr>
      </w:pPr>
      <w:r w:rsidRPr="0046606B">
        <w:t>Blood Products</w:t>
      </w:r>
    </w:p>
    <w:p w14:paraId="4B9BEABE" w14:textId="77777777" w:rsidR="009E121C" w:rsidRPr="00607437" w:rsidRDefault="009E121C" w:rsidP="006044E0">
      <w:pPr>
        <w:pStyle w:val="ListParagraph"/>
        <w:numPr>
          <w:ilvl w:val="0"/>
          <w:numId w:val="7"/>
        </w:numPr>
      </w:pPr>
      <w:r w:rsidRPr="00607437">
        <w:t>Royal Flying Doctors retrieval (ambulance) services</w:t>
      </w:r>
    </w:p>
    <w:p w14:paraId="37895B15" w14:textId="362E8540" w:rsidR="009E121C" w:rsidRPr="00607437" w:rsidRDefault="009E121C" w:rsidP="009E121C">
      <w:r w:rsidRPr="00607437">
        <w:t>Food, cleaning and linen, pharmacy</w:t>
      </w:r>
      <w:r w:rsidR="00353739" w:rsidRPr="00607437">
        <w:t>,</w:t>
      </w:r>
      <w:r w:rsidRPr="00607437">
        <w:t xml:space="preserve"> and imaging are mostly provided in-house by HSPs.</w:t>
      </w:r>
    </w:p>
    <w:p w14:paraId="7E9431E3" w14:textId="28C63DE1" w:rsidR="009E121C" w:rsidRPr="00AD1F32" w:rsidRDefault="009E121C" w:rsidP="009F419F">
      <w:pPr>
        <w:pStyle w:val="Heading4"/>
        <w:rPr>
          <w:color w:val="484B5D" w:themeColor="accent3"/>
        </w:rPr>
      </w:pPr>
      <w:r w:rsidRPr="00AD1F32">
        <w:rPr>
          <w:color w:val="484B5D" w:themeColor="accent3"/>
        </w:rPr>
        <w:t>Contacted care costs included in costed records</w:t>
      </w:r>
    </w:p>
    <w:p w14:paraId="4376D1A4" w14:textId="40830269" w:rsidR="009E121C" w:rsidRDefault="003C47EE" w:rsidP="006044E0">
      <w:pPr>
        <w:pStyle w:val="ListParagraph"/>
        <w:numPr>
          <w:ilvl w:val="0"/>
          <w:numId w:val="7"/>
        </w:numPr>
      </w:pPr>
      <w:r w:rsidRPr="00607437">
        <w:t xml:space="preserve">There are several contracted care arrangements within WA, with 119,878 episodes (across all streams) and reported costs of $104.75 million in 2023-24. These were costed at a service encounter level </w:t>
      </w:r>
      <w:r w:rsidRPr="0046606B">
        <w:t xml:space="preserve">at the agreed price with individual private hospitals, with the costs reported under the </w:t>
      </w:r>
      <w:r w:rsidR="003B59A0" w:rsidRPr="003B59A0">
        <w:rPr>
          <w:i/>
          <w:iCs/>
        </w:rPr>
        <w:t>G</w:t>
      </w:r>
      <w:r w:rsidRPr="003B59A0">
        <w:rPr>
          <w:i/>
          <w:iCs/>
        </w:rPr>
        <w:t xml:space="preserve">oods </w:t>
      </w:r>
      <w:r w:rsidR="003B59A0" w:rsidRPr="003B59A0">
        <w:rPr>
          <w:i/>
          <w:iCs/>
        </w:rPr>
        <w:t>&amp; S</w:t>
      </w:r>
      <w:r w:rsidRPr="003B59A0">
        <w:rPr>
          <w:i/>
          <w:iCs/>
        </w:rPr>
        <w:t>ervices</w:t>
      </w:r>
      <w:r w:rsidRPr="0046606B">
        <w:t xml:space="preserve"> line item. The average cost per GWAU for contracted activity in </w:t>
      </w:r>
      <w:r>
        <w:t>WA</w:t>
      </w:r>
      <w:r w:rsidRPr="0046606B">
        <w:t xml:space="preserve"> was $5,410, 31% lower than non-contracted care. This contracted activity is mainly WA’s outsourced model for dialysis which is used for lower acuity patients that are expected to require less monitoring after the treatment. More complex, older patients are treated </w:t>
      </w:r>
      <w:r>
        <w:t>in the admitted hospital setting</w:t>
      </w:r>
      <w:r w:rsidRPr="0046606B">
        <w:t xml:space="preserve"> and not </w:t>
      </w:r>
      <w:r>
        <w:t>contracted</w:t>
      </w:r>
      <w:r w:rsidRPr="0046606B">
        <w:t>. As a result, the services are delivered at a discount to the NEP.</w:t>
      </w:r>
    </w:p>
    <w:p w14:paraId="7CB9D4EF" w14:textId="51C31030" w:rsidR="00633887" w:rsidRDefault="00633887" w:rsidP="006044E0">
      <w:pPr>
        <w:pStyle w:val="ListParagraph"/>
        <w:numPr>
          <w:ilvl w:val="0"/>
          <w:numId w:val="7"/>
        </w:numPr>
      </w:pPr>
      <w:r w:rsidRPr="0046606B">
        <w:t>In addition, WA also ha</w:t>
      </w:r>
      <w:r>
        <w:t xml:space="preserve">d substantial </w:t>
      </w:r>
      <w:r w:rsidRPr="0046606B">
        <w:t>contracted care arrangements at Public</w:t>
      </w:r>
      <w:r w:rsidR="00A64425">
        <w:t>-</w:t>
      </w:r>
      <w:r w:rsidRPr="0046606B">
        <w:t>Private Partnership</w:t>
      </w:r>
      <w:r>
        <w:t>s</w:t>
      </w:r>
      <w:r w:rsidRPr="0046606B">
        <w:t xml:space="preserve"> </w:t>
      </w:r>
      <w:r>
        <w:t>(</w:t>
      </w:r>
      <w:r w:rsidRPr="0046606B">
        <w:t>Joondalup, Midland</w:t>
      </w:r>
      <w:r w:rsidR="008A10C6">
        <w:t>,</w:t>
      </w:r>
      <w:r w:rsidRPr="0046606B">
        <w:t xml:space="preserve"> and Peel </w:t>
      </w:r>
      <w:r>
        <w:t>h</w:t>
      </w:r>
      <w:r w:rsidRPr="0046606B">
        <w:t>ospitals</w:t>
      </w:r>
      <w:r>
        <w:t>)</w:t>
      </w:r>
      <w:r w:rsidRPr="0046606B">
        <w:t xml:space="preserve"> for delivery of </w:t>
      </w:r>
      <w:r>
        <w:t>a range of hospital</w:t>
      </w:r>
      <w:r w:rsidRPr="0046606B">
        <w:t xml:space="preserve"> services. The costs of these</w:t>
      </w:r>
      <w:r w:rsidR="00EF74AD">
        <w:t xml:space="preserve"> </w:t>
      </w:r>
      <w:r w:rsidR="00EF74AD" w:rsidRPr="0046606B">
        <w:t xml:space="preserve">services are not reported and </w:t>
      </w:r>
      <w:r w:rsidR="00EF74AD">
        <w:t>have historically been excluded from the NHCDC including the 2023-24 period.</w:t>
      </w:r>
    </w:p>
    <w:p w14:paraId="04300200" w14:textId="7DC69F20" w:rsidR="003147E8" w:rsidRDefault="003147E8" w:rsidP="00EF74AD">
      <w:r>
        <w:rPr>
          <w:noProof/>
        </w:rPr>
        <w:lastRenderedPageBreak/>
        <mc:AlternateContent>
          <mc:Choice Requires="wps">
            <w:drawing>
              <wp:inline distT="0" distB="0" distL="0" distR="0" wp14:anchorId="47D38FE0" wp14:editId="56BFA910">
                <wp:extent cx="5715000" cy="1447800"/>
                <wp:effectExtent l="0" t="0" r="0" b="4445"/>
                <wp:docPr id="1465084616" name="Text Box 2" descr="P2513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0A10E40E" w14:textId="3FA084F5" w:rsidR="003147E8" w:rsidRPr="001729F2" w:rsidRDefault="004B5A99" w:rsidP="003147E8">
                            <w:pPr>
                              <w:pStyle w:val="Tablebulletpoint"/>
                              <w:numPr>
                                <w:ilvl w:val="0"/>
                                <w:numId w:val="0"/>
                              </w:numPr>
                              <w:spacing w:after="120"/>
                              <w:contextualSpacing w:val="0"/>
                              <w:rPr>
                                <w:color w:val="FFFFFF" w:themeColor="background1"/>
                              </w:rPr>
                            </w:pPr>
                            <w:r w:rsidRPr="001729F2">
                              <w:rPr>
                                <w:b/>
                                <w:bCs/>
                                <w:color w:val="FFFFFF" w:themeColor="background1"/>
                              </w:rPr>
                              <w:t>Comparability of WA’s costing outputs to other states</w:t>
                            </w:r>
                          </w:p>
                          <w:p w14:paraId="7708D5C1" w14:textId="49CB97FB" w:rsidR="00ED1ABB" w:rsidRPr="001729F2" w:rsidRDefault="00ED1ABB" w:rsidP="00ED1ABB">
                            <w:pPr>
                              <w:pStyle w:val="Tablebulletpoint"/>
                              <w:rPr>
                                <w:color w:val="FFFFFF" w:themeColor="background1"/>
                              </w:rPr>
                            </w:pPr>
                            <w:r w:rsidRPr="001729F2">
                              <w:rPr>
                                <w:color w:val="FFFFFF" w:themeColor="background1"/>
                              </w:rPr>
                              <w:t xml:space="preserve">WA does not submit </w:t>
                            </w:r>
                            <w:r w:rsidR="00B22328">
                              <w:rPr>
                                <w:color w:val="FFFFFF" w:themeColor="background1"/>
                              </w:rPr>
                              <w:t xml:space="preserve">PPP </w:t>
                            </w:r>
                            <w:r w:rsidRPr="001729F2">
                              <w:rPr>
                                <w:color w:val="FFFFFF" w:themeColor="background1"/>
                              </w:rPr>
                              <w:t>contracted care delivery at Joondalup, Midland or Peel hospitals.</w:t>
                            </w:r>
                          </w:p>
                          <w:p w14:paraId="28FD375D" w14:textId="4ADD8B07" w:rsidR="00ED1ABB" w:rsidRPr="001729F2" w:rsidRDefault="00ED1ABB" w:rsidP="00ED1ABB">
                            <w:pPr>
                              <w:pStyle w:val="Tablebulletpoint"/>
                              <w:rPr>
                                <w:color w:val="FFFFFF" w:themeColor="background1"/>
                              </w:rPr>
                            </w:pPr>
                            <w:r w:rsidRPr="001729F2">
                              <w:rPr>
                                <w:color w:val="FFFFFF" w:themeColor="background1"/>
                              </w:rPr>
                              <w:t xml:space="preserve">Royal Flying Doctors Retrieval Services and Patient Transport are not included in costing, </w:t>
                            </w:r>
                            <w:r w:rsidR="00F271C8">
                              <w:rPr>
                                <w:color w:val="FFFFFF" w:themeColor="background1"/>
                              </w:rPr>
                              <w:t>differing</w:t>
                            </w:r>
                            <w:r w:rsidRPr="001729F2">
                              <w:rPr>
                                <w:color w:val="FFFFFF" w:themeColor="background1"/>
                              </w:rPr>
                              <w:t xml:space="preserve"> to other states and territories</w:t>
                            </w:r>
                            <w:r w:rsidR="00BF0E17">
                              <w:rPr>
                                <w:color w:val="FFFFFF" w:themeColor="background1"/>
                              </w:rPr>
                              <w:t>.</w:t>
                            </w:r>
                          </w:p>
                          <w:p w14:paraId="1541B425" w14:textId="6B445A39" w:rsidR="00ED1ABB" w:rsidRPr="001729F2" w:rsidRDefault="00ED1ABB" w:rsidP="00ED1ABB">
                            <w:pPr>
                              <w:pStyle w:val="Tablebulletpoint"/>
                              <w:rPr>
                                <w:color w:val="FFFFFF" w:themeColor="background1"/>
                              </w:rPr>
                            </w:pPr>
                            <w:r w:rsidRPr="001729F2">
                              <w:rPr>
                                <w:color w:val="FFFFFF" w:themeColor="background1"/>
                              </w:rPr>
                              <w:t xml:space="preserve">Not all hospitals operate under shared service arrangements for food, linen, and cleaning. Some hospitals deliver these services by salaried staff and recorded under the </w:t>
                            </w:r>
                            <w:r w:rsidR="00403578">
                              <w:rPr>
                                <w:color w:val="FFFFFF" w:themeColor="background1"/>
                              </w:rPr>
                              <w:t xml:space="preserve">Other </w:t>
                            </w:r>
                            <w:r w:rsidR="00AA1CBE" w:rsidRPr="00AA1CBE">
                              <w:rPr>
                                <w:i/>
                                <w:iCs/>
                                <w:color w:val="FFFFFF" w:themeColor="background1"/>
                              </w:rPr>
                              <w:t>S&amp;W</w:t>
                            </w:r>
                            <w:r w:rsidRPr="001729F2">
                              <w:rPr>
                                <w:color w:val="FFFFFF" w:themeColor="background1"/>
                              </w:rPr>
                              <w:t xml:space="preserve"> line item within the </w:t>
                            </w:r>
                            <w:r w:rsidRPr="00AB61AF">
                              <w:rPr>
                                <w:i/>
                                <w:iCs/>
                                <w:color w:val="FFFFFF" w:themeColor="background1"/>
                              </w:rPr>
                              <w:t>Hotel</w:t>
                            </w:r>
                            <w:r w:rsidRPr="001729F2">
                              <w:rPr>
                                <w:color w:val="FFFFFF" w:themeColor="background1"/>
                              </w:rPr>
                              <w:t xml:space="preserve"> </w:t>
                            </w:r>
                            <w:r w:rsidR="00B22328">
                              <w:rPr>
                                <w:color w:val="FFFFFF" w:themeColor="background1"/>
                              </w:rPr>
                              <w:t xml:space="preserve">NHCDC </w:t>
                            </w:r>
                            <w:r w:rsidRPr="001729F2">
                              <w:rPr>
                                <w:color w:val="FFFFFF" w:themeColor="background1"/>
                              </w:rPr>
                              <w:t xml:space="preserve">Cost Centre Group. This may result in a different cost structure compared to other jurisdictions, where such expenses are typically classified under </w:t>
                            </w:r>
                            <w:r w:rsidRPr="00843FAD">
                              <w:rPr>
                                <w:i/>
                                <w:color w:val="FFFFFF" w:themeColor="background1"/>
                              </w:rPr>
                              <w:t>Goods &amp; Services</w:t>
                            </w:r>
                            <w:r w:rsidRPr="001729F2">
                              <w:rPr>
                                <w:color w:val="FFFFFF" w:themeColor="background1"/>
                              </w:rPr>
                              <w:t xml:space="preserve">. </w:t>
                            </w:r>
                          </w:p>
                          <w:p w14:paraId="0590EFC8" w14:textId="2D7637AE" w:rsidR="003147E8" w:rsidRPr="001729F2" w:rsidRDefault="00ED1ABB">
                            <w:pPr>
                              <w:pStyle w:val="Tablebulletpoint"/>
                              <w:rPr>
                                <w:color w:val="FFFFFF" w:themeColor="background1"/>
                              </w:rPr>
                            </w:pPr>
                            <w:r w:rsidRPr="001729F2">
                              <w:rPr>
                                <w:color w:val="FFFFFF" w:themeColor="background1"/>
                              </w:rPr>
                              <w:t>WA only submitted admitted mental health data at the episode level, not the phase level.</w:t>
                            </w:r>
                          </w:p>
                        </w:txbxContent>
                      </wps:txbx>
                      <wps:bodyPr rot="0" vert="horz" wrap="square" lIns="180000" tIns="180000" rIns="180000" bIns="180000" anchor="t" anchorCtr="0">
                        <a:spAutoFit/>
                      </wps:bodyPr>
                    </wps:wsp>
                  </a:graphicData>
                </a:graphic>
              </wp:inline>
            </w:drawing>
          </mc:Choice>
          <mc:Fallback>
            <w:pict>
              <v:shape w14:anchorId="47D38FE0" id="_x0000_s1263" type="#_x0000_t202" alt="P2513TB10#y1" style="width:450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" fillcolor="#343a5e [2405]" stroked="f" strokeweight="1pt">
                <v:textbox style="mso-fit-shape-to-text:t" inset="5mm,5mm,5mm,5mm">
                  <w:txbxContent>
                    <w:p w14:paraId="0A10E40E" w14:textId="3FA084F5" w:rsidR="003147E8" w:rsidRPr="001729F2" w:rsidRDefault="004B5A99" w:rsidP="003147E8">
                      <w:pPr>
                        <w:pStyle w:val="Tablebulletpoint"/>
                        <w:numPr>
                          <w:ilvl w:val="0"/>
                          <w:numId w:val="0"/>
                        </w:numPr>
                        <w:spacing w:after="120"/>
                        <w:contextualSpacing w:val="0"/>
                        <w:rPr>
                          <w:color w:val="FFFFFF" w:themeColor="background1"/>
                        </w:rPr>
                      </w:pPr>
                      <w:r w:rsidRPr="001729F2">
                        <w:rPr>
                          <w:b/>
                          <w:bCs/>
                          <w:color w:val="FFFFFF" w:themeColor="background1"/>
                        </w:rPr>
                        <w:t>Comparability of WA’s costing outputs to other states</w:t>
                      </w:r>
                    </w:p>
                    <w:p w14:paraId="7708D5C1" w14:textId="49CB97FB" w:rsidR="00ED1ABB" w:rsidRPr="001729F2" w:rsidRDefault="00ED1ABB" w:rsidP="00ED1ABB">
                      <w:pPr>
                        <w:pStyle w:val="Tablebulletpoint"/>
                        <w:rPr>
                          <w:color w:val="FFFFFF" w:themeColor="background1"/>
                        </w:rPr>
                      </w:pPr>
                      <w:r w:rsidRPr="001729F2">
                        <w:rPr>
                          <w:color w:val="FFFFFF" w:themeColor="background1"/>
                        </w:rPr>
                        <w:t xml:space="preserve">WA does not submit </w:t>
                      </w:r>
                      <w:r w:rsidR="00B22328">
                        <w:rPr>
                          <w:color w:val="FFFFFF" w:themeColor="background1"/>
                        </w:rPr>
                        <w:t xml:space="preserve">PPP </w:t>
                      </w:r>
                      <w:r w:rsidRPr="001729F2">
                        <w:rPr>
                          <w:color w:val="FFFFFF" w:themeColor="background1"/>
                        </w:rPr>
                        <w:t>contracted care delivery at Joondalup, Midland or Peel hospitals.</w:t>
                      </w:r>
                    </w:p>
                    <w:p w14:paraId="28FD375D" w14:textId="4ADD8B07" w:rsidR="00ED1ABB" w:rsidRPr="001729F2" w:rsidRDefault="00ED1ABB" w:rsidP="00ED1ABB">
                      <w:pPr>
                        <w:pStyle w:val="Tablebulletpoint"/>
                        <w:rPr>
                          <w:color w:val="FFFFFF" w:themeColor="background1"/>
                        </w:rPr>
                      </w:pPr>
                      <w:r w:rsidRPr="001729F2">
                        <w:rPr>
                          <w:color w:val="FFFFFF" w:themeColor="background1"/>
                        </w:rPr>
                        <w:t xml:space="preserve">Royal Flying Doctors Retrieval Services and Patient Transport are not included in costing, </w:t>
                      </w:r>
                      <w:r w:rsidR="00F271C8">
                        <w:rPr>
                          <w:color w:val="FFFFFF" w:themeColor="background1"/>
                        </w:rPr>
                        <w:t>differing</w:t>
                      </w:r>
                      <w:r w:rsidRPr="001729F2">
                        <w:rPr>
                          <w:color w:val="FFFFFF" w:themeColor="background1"/>
                        </w:rPr>
                        <w:t xml:space="preserve"> to other states and territories</w:t>
                      </w:r>
                      <w:r w:rsidR="00BF0E17">
                        <w:rPr>
                          <w:color w:val="FFFFFF" w:themeColor="background1"/>
                        </w:rPr>
                        <w:t>.</w:t>
                      </w:r>
                    </w:p>
                    <w:p w14:paraId="1541B425" w14:textId="6B445A39" w:rsidR="00ED1ABB" w:rsidRPr="001729F2" w:rsidRDefault="00ED1ABB" w:rsidP="00ED1ABB">
                      <w:pPr>
                        <w:pStyle w:val="Tablebulletpoint"/>
                        <w:rPr>
                          <w:color w:val="FFFFFF" w:themeColor="background1"/>
                        </w:rPr>
                      </w:pPr>
                      <w:r w:rsidRPr="001729F2">
                        <w:rPr>
                          <w:color w:val="FFFFFF" w:themeColor="background1"/>
                        </w:rPr>
                        <w:t xml:space="preserve">Not all hospitals operate under shared service arrangements for food, linen, and cleaning. Some hospitals deliver these services by salaried staff and recorded under the </w:t>
                      </w:r>
                      <w:r w:rsidR="00403578">
                        <w:rPr>
                          <w:color w:val="FFFFFF" w:themeColor="background1"/>
                        </w:rPr>
                        <w:t xml:space="preserve">Other </w:t>
                      </w:r>
                      <w:r w:rsidR="00AA1CBE" w:rsidRPr="00AA1CBE">
                        <w:rPr>
                          <w:i/>
                          <w:iCs/>
                          <w:color w:val="FFFFFF" w:themeColor="background1"/>
                        </w:rPr>
                        <w:t>S&amp;W</w:t>
                      </w:r>
                      <w:r w:rsidRPr="001729F2">
                        <w:rPr>
                          <w:color w:val="FFFFFF" w:themeColor="background1"/>
                        </w:rPr>
                        <w:t xml:space="preserve"> line item within the </w:t>
                      </w:r>
                      <w:r w:rsidRPr="00AB61AF">
                        <w:rPr>
                          <w:i/>
                          <w:iCs/>
                          <w:color w:val="FFFFFF" w:themeColor="background1"/>
                        </w:rPr>
                        <w:t>Hotel</w:t>
                      </w:r>
                      <w:r w:rsidRPr="001729F2">
                        <w:rPr>
                          <w:color w:val="FFFFFF" w:themeColor="background1"/>
                        </w:rPr>
                        <w:t xml:space="preserve"> </w:t>
                      </w:r>
                      <w:r w:rsidR="00B22328">
                        <w:rPr>
                          <w:color w:val="FFFFFF" w:themeColor="background1"/>
                        </w:rPr>
                        <w:t xml:space="preserve">NHCDC </w:t>
                      </w:r>
                      <w:r w:rsidRPr="001729F2">
                        <w:rPr>
                          <w:color w:val="FFFFFF" w:themeColor="background1"/>
                        </w:rPr>
                        <w:t xml:space="preserve">Cost Centre Group. This may result in a different cost structure compared to other jurisdictions, where such expenses are typically classified under </w:t>
                      </w:r>
                      <w:r w:rsidRPr="00843FAD">
                        <w:rPr>
                          <w:i/>
                          <w:color w:val="FFFFFF" w:themeColor="background1"/>
                        </w:rPr>
                        <w:t>Goods &amp; Services</w:t>
                      </w:r>
                      <w:r w:rsidRPr="001729F2">
                        <w:rPr>
                          <w:color w:val="FFFFFF" w:themeColor="background1"/>
                        </w:rPr>
                        <w:t xml:space="preserve">. </w:t>
                      </w:r>
                    </w:p>
                    <w:p w14:paraId="0590EFC8" w14:textId="2D7637AE" w:rsidR="003147E8" w:rsidRPr="001729F2" w:rsidRDefault="00ED1ABB">
                      <w:pPr>
                        <w:pStyle w:val="Tablebulletpoint"/>
                        <w:rPr>
                          <w:color w:val="FFFFFF" w:themeColor="background1"/>
                        </w:rPr>
                      </w:pPr>
                      <w:r w:rsidRPr="001729F2">
                        <w:rPr>
                          <w:color w:val="FFFFFF" w:themeColor="background1"/>
                        </w:rPr>
                        <w:t>WA only submitted admitted mental health data at the episode level, not the phase level.</w:t>
                      </w:r>
                    </w:p>
                  </w:txbxContent>
                </v:textbox>
                <w10:anchorlock/>
              </v:shape>
            </w:pict>
          </mc:Fallback>
        </mc:AlternateContent>
      </w:r>
    </w:p>
    <w:p w14:paraId="7840F239" w14:textId="2CDD3FFC" w:rsidR="00EF74AD" w:rsidRPr="00AD1F32" w:rsidRDefault="00EF74AD" w:rsidP="009F419F">
      <w:pPr>
        <w:pStyle w:val="Heading4"/>
        <w:rPr>
          <w:color w:val="484B5D" w:themeColor="accent3"/>
        </w:rPr>
      </w:pPr>
      <w:r w:rsidRPr="00AD1F32">
        <w:rPr>
          <w:color w:val="484B5D" w:themeColor="accent3"/>
        </w:rPr>
        <w:t>Corporate costs included in costed records</w:t>
      </w:r>
    </w:p>
    <w:p w14:paraId="0F933746" w14:textId="1B303FE1" w:rsidR="00170AE3" w:rsidRDefault="009C7038" w:rsidP="003A4AE3">
      <w:r w:rsidRPr="00607437">
        <w:t>The AHPCS v4.2 provide guidance on the inclusion of corporate overhead expenses. Business Rule 3.1C.3.2 states that ‘</w:t>
      </w:r>
      <w:r w:rsidRPr="00607437">
        <w:rPr>
          <w:b/>
          <w:bCs/>
          <w:i/>
          <w:iCs/>
        </w:rPr>
        <w:t xml:space="preserve">corporate overhead expenses should not be included for more than one level above the management of the hospital. Expenses related to the direct management of the LHN (Local Health Network) or corporate management are within scope.’ </w:t>
      </w:r>
      <w:r w:rsidRPr="00607437">
        <w:t xml:space="preserve">The table below shows how WA HSPs, the </w:t>
      </w:r>
      <w:r w:rsidR="00C63E8D" w:rsidRPr="00607437">
        <w:t>WA</w:t>
      </w:r>
      <w:r w:rsidRPr="00607437">
        <w:t xml:space="preserve"> equivalent of a</w:t>
      </w:r>
      <w:r w:rsidR="00C63E8D" w:rsidRPr="00607437">
        <w:t>n</w:t>
      </w:r>
      <w:r w:rsidRPr="00607437">
        <w:t xml:space="preserve"> LHN, </w:t>
      </w:r>
      <w:r w:rsidR="00C63E8D" w:rsidRPr="00607437">
        <w:t>are treating</w:t>
      </w:r>
      <w:r w:rsidRPr="00607437">
        <w:t xml:space="preserve"> corporate costs and allocat</w:t>
      </w:r>
      <w:r w:rsidR="00C63E8D" w:rsidRPr="00607437">
        <w:t>ing</w:t>
      </w:r>
      <w:r w:rsidRPr="00607437">
        <w:t xml:space="preserve"> them to patients in the costing </w:t>
      </w:r>
      <w:r w:rsidRPr="0046606B">
        <w:t>process.</w:t>
      </w:r>
      <w:r w:rsidR="00C2355E">
        <w:t xml:space="preserve"> Some costs are appropriately not allocated where they do not meet the definition above.</w:t>
      </w:r>
    </w:p>
    <w:p w14:paraId="09C47963" w14:textId="6ECF957A" w:rsidR="003A4AE3" w:rsidRDefault="003A4AE3" w:rsidP="003A4AE3">
      <w:pPr>
        <w:pStyle w:val="Caption"/>
        <w:keepNext/>
      </w:pPr>
      <w:r>
        <w:t xml:space="preserve">Table </w:t>
      </w:r>
      <w:r>
        <w:fldChar w:fldCharType="begin"/>
      </w:r>
      <w:r>
        <w:instrText xml:space="preserve"> SEQ Table \* ARABIC </w:instrText>
      </w:r>
      <w:r>
        <w:fldChar w:fldCharType="separate"/>
      </w:r>
      <w:r w:rsidR="00CE6F96">
        <w:rPr>
          <w:noProof/>
        </w:rPr>
        <w:t>24</w:t>
      </w:r>
      <w:r>
        <w:fldChar w:fldCharType="end"/>
      </w:r>
      <w:r>
        <w:t xml:space="preserve">: </w:t>
      </w:r>
      <w:r w:rsidRPr="009C65CC">
        <w:t>WA HSP treatment of corporate costs and patient allocation costing process</w:t>
      </w:r>
    </w:p>
    <w:tbl>
      <w:tblPr>
        <w:tblStyle w:val="ScyneTable"/>
        <w:tblW w:w="4978"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957"/>
        <w:gridCol w:w="2977"/>
        <w:gridCol w:w="1559"/>
        <w:gridCol w:w="1493"/>
      </w:tblGrid>
      <w:tr w:rsidR="00ED1ABB" w:rsidRPr="00D422F0" w14:paraId="19AAABAA" w14:textId="77777777">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645" w:type="pct"/>
            <w:tcBorders>
              <w:bottom w:val="single" w:sz="18" w:space="0" w:color="EFF0F7" w:themeColor="accent4" w:themeTint="33"/>
            </w:tcBorders>
            <w:shd w:val="clear" w:color="auto" w:fill="464E7E" w:themeFill="accent2"/>
            <w:vAlign w:val="center"/>
            <w:hideMark/>
          </w:tcPr>
          <w:p w14:paraId="0DB45DE0" w14:textId="77777777" w:rsidR="00ED1ABB" w:rsidRPr="00D422F0" w:rsidRDefault="00ED1ABB">
            <w:pPr>
              <w:pStyle w:val="TableNormalColumnHeading"/>
              <w:rPr>
                <w:rFonts w:asciiTheme="majorHAnsi" w:hAnsiTheme="majorHAnsi"/>
                <w:snapToGrid/>
                <w:sz w:val="20"/>
                <w:lang w:eastAsia="en-AU"/>
              </w:rPr>
            </w:pPr>
            <w:r w:rsidRPr="00D422F0">
              <w:rPr>
                <w:rFonts w:asciiTheme="majorHAnsi" w:hAnsiTheme="majorHAnsi"/>
                <w:sz w:val="20"/>
              </w:rPr>
              <w:t>Type of corporate cost</w:t>
            </w:r>
          </w:p>
        </w:tc>
        <w:tc>
          <w:tcPr>
            <w:tcW w:w="1656" w:type="pct"/>
            <w:tcBorders>
              <w:bottom w:val="single" w:sz="18" w:space="0" w:color="EFF0F7" w:themeColor="accent4" w:themeTint="33"/>
            </w:tcBorders>
            <w:shd w:val="clear" w:color="auto" w:fill="464E7E" w:themeFill="accent2"/>
            <w:vAlign w:val="center"/>
            <w:hideMark/>
          </w:tcPr>
          <w:p w14:paraId="5B822394" w14:textId="615E2C23" w:rsidR="00ED1ABB" w:rsidRPr="00D422F0" w:rsidRDefault="00ED1ABB">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Details of whether these are passed onto HS</w:t>
            </w:r>
            <w:r>
              <w:rPr>
                <w:rFonts w:asciiTheme="majorHAnsi" w:hAnsiTheme="majorHAnsi"/>
                <w:sz w:val="20"/>
              </w:rPr>
              <w:t>P</w:t>
            </w:r>
            <w:r w:rsidRPr="00D422F0">
              <w:rPr>
                <w:rFonts w:asciiTheme="majorHAnsi" w:hAnsiTheme="majorHAnsi"/>
                <w:sz w:val="20"/>
              </w:rPr>
              <w:t>s</w:t>
            </w:r>
          </w:p>
        </w:tc>
        <w:tc>
          <w:tcPr>
            <w:tcW w:w="867" w:type="pct"/>
            <w:tcBorders>
              <w:bottom w:val="single" w:sz="18" w:space="0" w:color="EFF0F7" w:themeColor="accent4" w:themeTint="33"/>
            </w:tcBorders>
            <w:shd w:val="clear" w:color="auto" w:fill="464E7E" w:themeFill="accent2"/>
            <w:vAlign w:val="center"/>
            <w:hideMark/>
          </w:tcPr>
          <w:p w14:paraId="2A9BD05D" w14:textId="77777777" w:rsidR="00ED1ABB" w:rsidRPr="00D422F0" w:rsidRDefault="00ED1ABB" w:rsidP="00ED1ABB">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Included in patient level costing</w:t>
            </w:r>
          </w:p>
        </w:tc>
        <w:tc>
          <w:tcPr>
            <w:tcW w:w="831" w:type="pct"/>
            <w:tcBorders>
              <w:bottom w:val="single" w:sz="18" w:space="0" w:color="EFF0F7" w:themeColor="accent4" w:themeTint="33"/>
            </w:tcBorders>
            <w:shd w:val="clear" w:color="auto" w:fill="464E7E" w:themeFill="accent2"/>
            <w:vAlign w:val="center"/>
            <w:hideMark/>
          </w:tcPr>
          <w:p w14:paraId="36955355" w14:textId="77777777" w:rsidR="00ED1ABB" w:rsidRPr="00D422F0" w:rsidRDefault="00ED1ABB" w:rsidP="00ED1ABB">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 line with the guidance in the AHPCS</w:t>
            </w:r>
          </w:p>
        </w:tc>
      </w:tr>
      <w:tr w:rsidR="00ED1ABB" w:rsidRPr="00D422F0" w14:paraId="068BBBE6" w14:textId="77777777">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43884CAF" w14:textId="77777777" w:rsidR="00ED1ABB" w:rsidRPr="00D422F0" w:rsidRDefault="00ED1ABB">
            <w:pPr>
              <w:spacing w:before="120" w:after="120"/>
              <w:rPr>
                <w:lang w:val="en-GB"/>
              </w:rPr>
            </w:pPr>
            <w:r w:rsidRPr="0046606B">
              <w:rPr>
                <w:color w:val="44546A" w:themeColor="text2"/>
              </w:rPr>
              <w:t>Corporate costs at the facility</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EF2AAB1" w14:textId="1C7C67CB" w:rsidR="00ED1ABB" w:rsidRPr="00D422F0" w:rsidRDefault="00ED1ABB">
            <w:pPr>
              <w:spacing w:before="120" w:after="120"/>
              <w:cnfStyle w:val="000000000000" w:firstRow="0" w:lastRow="0" w:firstColumn="0" w:lastColumn="0" w:oddVBand="0" w:evenVBand="0" w:oddHBand="0" w:evenHBand="0" w:firstRowFirstColumn="0" w:firstRowLastColumn="0" w:lastRowFirstColumn="0" w:lastRowLastColumn="0"/>
            </w:pPr>
            <w:r w:rsidRPr="0046606B">
              <w:rPr>
                <w:color w:val="44546A" w:themeColor="text2"/>
              </w:rPr>
              <w:t xml:space="preserve">Included in </w:t>
            </w:r>
            <w:r w:rsidR="00B05116" w:rsidRPr="0046606B">
              <w:rPr>
                <w:color w:val="44546A" w:themeColor="text2"/>
              </w:rPr>
              <w:t>HSP</w:t>
            </w:r>
            <w:r w:rsidRPr="0046606B">
              <w:rPr>
                <w:color w:val="44546A" w:themeColor="text2"/>
              </w:rPr>
              <w:t xml:space="preserve">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E8B2F54" w14:textId="77777777" w:rsidR="00ED1ABB" w:rsidRPr="00D422F0" w:rsidRDefault="00ED1AB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CA379FD" w14:textId="77777777" w:rsidR="00ED1ABB" w:rsidRPr="00D422F0" w:rsidRDefault="00ED1ABB">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ED1ABB" w:rsidRPr="00D422F0" w14:paraId="3BA9F8E7" w14:textId="77777777">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39B429FE" w14:textId="6EC101FF" w:rsidR="00ED1ABB" w:rsidRPr="00D422F0" w:rsidRDefault="00ED1ABB">
            <w:pPr>
              <w:spacing w:before="120" w:after="120"/>
              <w:rPr>
                <w:lang w:val="en-GB"/>
              </w:rPr>
            </w:pPr>
            <w:r w:rsidRPr="0046606B">
              <w:rPr>
                <w:color w:val="44546A" w:themeColor="text2"/>
              </w:rPr>
              <w:t xml:space="preserve">Corporate costs at the </w:t>
            </w:r>
            <w:r w:rsidR="00B05116" w:rsidRPr="0046606B">
              <w:rPr>
                <w:color w:val="44546A" w:themeColor="text2"/>
              </w:rPr>
              <w:t>HSP</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FBBBB08" w14:textId="491270DA" w:rsidR="00ED1ABB" w:rsidRPr="00D422F0" w:rsidRDefault="00ED1ABB">
            <w:pPr>
              <w:spacing w:before="120" w:after="120"/>
              <w:cnfStyle w:val="000000000000" w:firstRow="0" w:lastRow="0" w:firstColumn="0" w:lastColumn="0" w:oddVBand="0" w:evenVBand="0" w:oddHBand="0" w:evenHBand="0" w:firstRowFirstColumn="0" w:firstRowLastColumn="0" w:lastRowFirstColumn="0" w:lastRowLastColumn="0"/>
            </w:pPr>
            <w:r w:rsidRPr="0046606B">
              <w:rPr>
                <w:color w:val="44546A" w:themeColor="text2"/>
              </w:rPr>
              <w:t xml:space="preserve">Included in </w:t>
            </w:r>
            <w:r w:rsidR="00B05116" w:rsidRPr="0046606B">
              <w:rPr>
                <w:color w:val="44546A" w:themeColor="text2"/>
              </w:rPr>
              <w:t>HSP</w:t>
            </w:r>
            <w:r w:rsidRPr="0046606B">
              <w:rPr>
                <w:color w:val="44546A" w:themeColor="text2"/>
              </w:rPr>
              <w:t xml:space="preserve">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002FFDD" w14:textId="77777777" w:rsidR="00ED1ABB" w:rsidRPr="00D422F0" w:rsidRDefault="00ED1ABB">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E1EB8F2" w14:textId="77777777" w:rsidR="00ED1ABB" w:rsidRPr="00D422F0" w:rsidRDefault="00ED1ABB">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147481" w:rsidRPr="00D422F0" w14:paraId="5895A70C" w14:textId="77777777" w:rsidTr="00DA4374">
        <w:trPr>
          <w:cantSplit/>
          <w:trHeight w:val="938"/>
        </w:trPr>
        <w:tc>
          <w:tcPr>
            <w:cnfStyle w:val="001000000000" w:firstRow="0" w:lastRow="0" w:firstColumn="1" w:lastColumn="0" w:oddVBand="0" w:evenVBand="0" w:oddHBand="0" w:evenHBand="0" w:firstRowFirstColumn="0" w:firstRowLastColumn="0" w:lastRowFirstColumn="0" w:lastRowLastColumn="0"/>
            <w:tcW w:w="0" w:type="pct"/>
            <w:vMerge w:val="restart"/>
            <w:tcBorders>
              <w:top w:val="single" w:sz="18" w:space="0" w:color="EFF0F7" w:themeColor="accent4" w:themeTint="33"/>
              <w:left w:val="single" w:sz="18" w:space="0" w:color="EFF0F7" w:themeColor="accent4" w:themeTint="33"/>
              <w:right w:val="single" w:sz="18" w:space="0" w:color="EFF0F7" w:themeColor="accent4" w:themeTint="33"/>
            </w:tcBorders>
            <w:shd w:val="clear" w:color="auto" w:fill="EFF0F7" w:themeFill="accent4" w:themeFillTint="33"/>
            <w:vAlign w:val="center"/>
          </w:tcPr>
          <w:p w14:paraId="02BE795C" w14:textId="497C608F" w:rsidR="00580E71" w:rsidRPr="00D422F0" w:rsidRDefault="00580E71">
            <w:pPr>
              <w:spacing w:before="120" w:after="120"/>
            </w:pPr>
            <w:r w:rsidRPr="0046606B">
              <w:rPr>
                <w:color w:val="44546A" w:themeColor="text2"/>
              </w:rPr>
              <w:t>Corporate costs at share service functions</w:t>
            </w:r>
          </w:p>
        </w:tc>
        <w:tc>
          <w:tcPr>
            <w:tcW w:w="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0425DD1" w14:textId="71E85456" w:rsidR="00580E71" w:rsidRPr="00580E71" w:rsidRDefault="00580E71" w:rsidP="00B54383">
            <w:pPr>
              <w:cnfStyle w:val="000000000000" w:firstRow="0" w:lastRow="0" w:firstColumn="0" w:lastColumn="0" w:oddVBand="0" w:evenVBand="0" w:oddHBand="0" w:evenHBand="0" w:firstRowFirstColumn="0" w:firstRowLastColumn="0" w:lastRowFirstColumn="0" w:lastRowLastColumn="0"/>
            </w:pPr>
            <w:r w:rsidRPr="00B54383">
              <w:rPr>
                <w:color w:val="44546A" w:themeColor="text2"/>
              </w:rPr>
              <w:t xml:space="preserve">HSS do not on-charge corporate overheads to HSPs. </w:t>
            </w:r>
          </w:p>
        </w:tc>
        <w:tc>
          <w:tcPr>
            <w:tcW w:w="0" w:type="pct"/>
            <w:tcBorders>
              <w:top w:val="single" w:sz="18" w:space="0" w:color="EFF0F7" w:themeColor="accent4" w:themeTint="33"/>
              <w:left w:val="single" w:sz="18" w:space="0" w:color="EFF0F7" w:themeColor="accent4" w:themeTint="33"/>
              <w:bottom w:val="single" w:sz="18" w:space="0" w:color="F2EFED" w:themeColor="background2"/>
              <w:right w:val="single" w:sz="18" w:space="0" w:color="EFF0F7" w:themeColor="accent4" w:themeTint="33"/>
            </w:tcBorders>
            <w:vAlign w:val="center"/>
          </w:tcPr>
          <w:p w14:paraId="6D15F8E3" w14:textId="1DEC40BC" w:rsidR="00580E71" w:rsidRPr="006760B2" w:rsidRDefault="00C179A3">
            <w:pPr>
              <w:spacing w:before="120" w:after="120"/>
              <w:jc w:val="center"/>
              <w:cnfStyle w:val="000000000000" w:firstRow="0" w:lastRow="0" w:firstColumn="0" w:lastColumn="0" w:oddVBand="0" w:evenVBand="0" w:oddHBand="0" w:evenHBand="0" w:firstRowFirstColumn="0" w:firstRowLastColumn="0" w:lastRowFirstColumn="0" w:lastRowLastColumn="0"/>
            </w:pPr>
            <w:r w:rsidRPr="00D1695C">
              <w:rPr>
                <w:rFonts w:ascii="Segoe UI Symbol" w:hAnsi="Segoe UI Symbol" w:cs="Segoe UI Symbol"/>
              </w:rPr>
              <w:t>✖</w:t>
            </w:r>
          </w:p>
        </w:tc>
        <w:tc>
          <w:tcPr>
            <w:tcW w:w="0" w:type="pct"/>
            <w:vMerge w:val="restart"/>
            <w:tcBorders>
              <w:top w:val="single" w:sz="18" w:space="0" w:color="EFF0F7" w:themeColor="accent4" w:themeTint="33"/>
              <w:left w:val="single" w:sz="18" w:space="0" w:color="EFF0F7" w:themeColor="accent4" w:themeTint="33"/>
              <w:right w:val="single" w:sz="18" w:space="0" w:color="EFF0F7" w:themeColor="accent4" w:themeTint="33"/>
            </w:tcBorders>
            <w:vAlign w:val="center"/>
          </w:tcPr>
          <w:p w14:paraId="7EFA04C3" w14:textId="77777777" w:rsidR="00580E71" w:rsidRPr="00D422F0" w:rsidRDefault="00580E71">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147481" w:rsidRPr="00D422F0" w14:paraId="65D4DC2C" w14:textId="77777777" w:rsidTr="00DA4374">
        <w:trPr>
          <w:cantSplit/>
          <w:trHeight w:val="938"/>
        </w:trPr>
        <w:tc>
          <w:tcPr>
            <w:cnfStyle w:val="001000000000" w:firstRow="0" w:lastRow="0" w:firstColumn="1" w:lastColumn="0" w:oddVBand="0" w:evenVBand="0" w:oddHBand="0" w:evenHBand="0" w:firstRowFirstColumn="0" w:firstRowLastColumn="0" w:lastRowFirstColumn="0" w:lastRowLastColumn="0"/>
            <w:tcW w:w="0" w:type="pct"/>
            <w:vMerge/>
            <w:tcBorders>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4428EA1" w14:textId="77777777" w:rsidR="00580E71" w:rsidRPr="0046606B" w:rsidRDefault="00580E71">
            <w:pPr>
              <w:spacing w:before="120" w:after="120"/>
              <w:rPr>
                <w:color w:val="44546A" w:themeColor="text2"/>
              </w:rPr>
            </w:pPr>
          </w:p>
        </w:tc>
        <w:tc>
          <w:tcPr>
            <w:tcW w:w="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8666684" w14:textId="73731817" w:rsidR="00580E71" w:rsidRPr="00B54383" w:rsidRDefault="00580E71" w:rsidP="00B54383">
            <w:pPr>
              <w:cnfStyle w:val="000000000000" w:firstRow="0" w:lastRow="0" w:firstColumn="0" w:lastColumn="0" w:oddVBand="0" w:evenVBand="0" w:oddHBand="0" w:evenHBand="0" w:firstRowFirstColumn="0" w:firstRowLastColumn="0" w:lastRowFirstColumn="0" w:lastRowLastColumn="0"/>
              <w:rPr>
                <w:color w:val="44546A" w:themeColor="text2"/>
              </w:rPr>
            </w:pPr>
            <w:r w:rsidRPr="00B54383">
              <w:rPr>
                <w:color w:val="44546A" w:themeColor="text2"/>
              </w:rPr>
              <w:t>PathWest on-charges operational overhead costs (i.e., to run the laboratory).</w:t>
            </w:r>
          </w:p>
        </w:tc>
        <w:tc>
          <w:tcPr>
            <w:tcW w:w="0" w:type="pct"/>
            <w:tcBorders>
              <w:top w:val="single" w:sz="18" w:space="0" w:color="F2EFED" w:themeColor="background2"/>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B77C059" w14:textId="03CF0D41" w:rsidR="00580E71" w:rsidRPr="00D422F0" w:rsidRDefault="00C179A3">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lang w:val="en-US"/>
              </w:rPr>
            </w:pPr>
            <w:r w:rsidRPr="00D422F0">
              <w:rPr>
                <w:rFonts w:ascii="Segoe UI Symbol" w:hAnsi="Segoe UI Symbol" w:cs="Segoe UI Symbol"/>
                <w:lang w:val="en-US"/>
              </w:rPr>
              <w:t>✔</w:t>
            </w:r>
          </w:p>
        </w:tc>
        <w:tc>
          <w:tcPr>
            <w:tcW w:w="0" w:type="pct"/>
            <w:vMerge/>
            <w:tcBorders>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C1B13D6" w14:textId="77777777" w:rsidR="00580E71" w:rsidRPr="00D422F0" w:rsidRDefault="00580E71">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lang w:val="en-US"/>
              </w:rPr>
            </w:pPr>
          </w:p>
        </w:tc>
      </w:tr>
      <w:tr w:rsidR="00ED1ABB" w:rsidRPr="00D422F0" w14:paraId="1C4F1237" w14:textId="77777777">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00365B18" w14:textId="440D8C92" w:rsidR="00ED1ABB" w:rsidRPr="00D422F0" w:rsidRDefault="00ED1ABB">
            <w:pPr>
              <w:spacing w:before="120" w:after="120"/>
              <w:rPr>
                <w:b w:val="0"/>
                <w:bCs/>
              </w:rPr>
            </w:pPr>
            <w:r w:rsidRPr="00B05116">
              <w:rPr>
                <w:b w:val="0"/>
                <w:color w:val="44546A" w:themeColor="text2"/>
              </w:rPr>
              <w:t xml:space="preserve">Corporate costs at </w:t>
            </w:r>
            <w:r w:rsidR="00B05116" w:rsidRPr="00B05116">
              <w:rPr>
                <w:b w:val="0"/>
                <w:bCs/>
                <w:color w:val="44546A" w:themeColor="text2"/>
              </w:rPr>
              <w:t>WA Health</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0515221" w14:textId="52285A1E" w:rsidR="00ED1ABB" w:rsidRPr="00D422F0" w:rsidRDefault="00ED1ABB">
            <w:pPr>
              <w:spacing w:before="120" w:after="120"/>
              <w:cnfStyle w:val="010000000000" w:firstRow="0" w:lastRow="1" w:firstColumn="0" w:lastColumn="0" w:oddVBand="0" w:evenVBand="0" w:oddHBand="0" w:evenHBand="0" w:firstRowFirstColumn="0" w:firstRowLastColumn="0" w:lastRowFirstColumn="0" w:lastRowLastColumn="0"/>
              <w:rPr>
                <w:b w:val="0"/>
                <w:bCs/>
              </w:rPr>
            </w:pPr>
            <w:r w:rsidRPr="00B05116">
              <w:rPr>
                <w:b w:val="0"/>
                <w:color w:val="44546A" w:themeColor="text2"/>
              </w:rPr>
              <w:t xml:space="preserve">Not allocated to </w:t>
            </w:r>
            <w:r w:rsidR="00B05116" w:rsidRPr="00B05116">
              <w:rPr>
                <w:b w:val="0"/>
                <w:bCs/>
                <w:color w:val="44546A" w:themeColor="text2"/>
              </w:rPr>
              <w:t xml:space="preserve">HSP </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AC88E7D" w14:textId="77777777" w:rsidR="00ED1ABB" w:rsidRPr="008E61F2" w:rsidRDefault="00ED1ABB">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b w:val="0"/>
                <w:bCs/>
              </w:rPr>
            </w:pPr>
            <w:r w:rsidRPr="008E61F2">
              <w:rPr>
                <w:rFonts w:ascii="Segoe UI Symbol" w:hAnsi="Segoe UI Symbol" w:cs="Segoe UI Symbol"/>
                <w:b w:val="0"/>
                <w:bC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B0F12BF" w14:textId="77777777" w:rsidR="00ED1ABB" w:rsidRPr="008E61F2" w:rsidRDefault="00ED1ABB">
            <w:pPr>
              <w:spacing w:before="120" w:after="120"/>
              <w:jc w:val="center"/>
              <w:cnfStyle w:val="010000000000" w:firstRow="0" w:lastRow="1" w:firstColumn="0" w:lastColumn="0" w:oddVBand="0" w:evenVBand="0" w:oddHBand="0" w:evenHBand="0" w:firstRowFirstColumn="0" w:firstRowLastColumn="0" w:lastRowFirstColumn="0" w:lastRowLastColumn="0"/>
              <w:rPr>
                <w:b w:val="0"/>
                <w:bCs/>
              </w:rPr>
            </w:pPr>
            <w:r w:rsidRPr="008E61F2">
              <w:rPr>
                <w:rFonts w:ascii="Segoe UI Symbol" w:hAnsi="Segoe UI Symbol" w:cs="Segoe UI Symbol"/>
                <w:b w:val="0"/>
                <w:bCs/>
                <w:lang w:val="en-US"/>
              </w:rPr>
              <w:t>✔</w:t>
            </w:r>
          </w:p>
        </w:tc>
      </w:tr>
    </w:tbl>
    <w:p w14:paraId="0F722280" w14:textId="01B4BCD9" w:rsidR="009C7038" w:rsidRDefault="009C7038" w:rsidP="009C7038">
      <w:pPr>
        <w:pStyle w:val="Heading3"/>
      </w:pPr>
      <w:r>
        <w:lastRenderedPageBreak/>
        <w:t>Reconciliation from GL to submitted costs</w:t>
      </w:r>
    </w:p>
    <w:p w14:paraId="3BD14DA1" w14:textId="30DB5E5A" w:rsidR="009C7038" w:rsidRPr="00607437" w:rsidRDefault="002120B5" w:rsidP="00EF74AD">
      <w:r w:rsidRPr="0046606B">
        <w:rPr>
          <w:color w:val="44546A" w:themeColor="text2"/>
        </w:rPr>
        <w:t>One WA HSP participated in the IFR</w:t>
      </w:r>
      <w:r w:rsidR="00CC7662">
        <w:rPr>
          <w:color w:val="44546A" w:themeColor="text2"/>
        </w:rPr>
        <w:t>:</w:t>
      </w:r>
      <w:r w:rsidRPr="0046606B">
        <w:rPr>
          <w:color w:val="44546A" w:themeColor="text2"/>
        </w:rPr>
        <w:t xml:space="preserve"> North Metropolitan Health Service</w:t>
      </w:r>
      <w:r>
        <w:rPr>
          <w:color w:val="44546A" w:themeColor="text2"/>
        </w:rPr>
        <w:t xml:space="preserve"> (North Metropolitan HS)</w:t>
      </w:r>
      <w:r w:rsidRPr="0046606B">
        <w:rPr>
          <w:color w:val="44546A" w:themeColor="text2"/>
        </w:rPr>
        <w:t>.</w:t>
      </w:r>
      <w:r w:rsidRPr="0046606B">
        <w:t xml:space="preserve"> This section discusses major variances, reconciling items and adjustments from the </w:t>
      </w:r>
      <w:r w:rsidR="00A2517D">
        <w:t>GL</w:t>
      </w:r>
      <w:r w:rsidRPr="0046606B">
        <w:t xml:space="preserve"> of the </w:t>
      </w:r>
      <w:r w:rsidRPr="00607437">
        <w:t>participating site from WA, through to the costed products submitted to IHACPA in the NHCDC submission.</w:t>
      </w:r>
    </w:p>
    <w:p w14:paraId="7D3FC4B2" w14:textId="5C8169BC" w:rsidR="002120B5" w:rsidRPr="00AD1F32" w:rsidRDefault="002120B5" w:rsidP="009F419F">
      <w:pPr>
        <w:pStyle w:val="Heading4"/>
        <w:rPr>
          <w:color w:val="484B5D" w:themeColor="accent3"/>
        </w:rPr>
      </w:pPr>
      <w:r w:rsidRPr="00AD1F32">
        <w:rPr>
          <w:color w:val="484B5D" w:themeColor="accent3"/>
        </w:rPr>
        <w:t>Reconciliation from GL to NHCDC – North Metropolitan Health Service</w:t>
      </w:r>
    </w:p>
    <w:p w14:paraId="541A6D76" w14:textId="77777777" w:rsidR="00B077BC" w:rsidRPr="0046606B" w:rsidRDefault="00B077BC" w:rsidP="00B077BC">
      <w:r w:rsidRPr="00607437">
        <w:t xml:space="preserve">WA’s total reported costs were </w:t>
      </w:r>
      <w:r w:rsidRPr="0046606B">
        <w:rPr>
          <w:color w:val="44546A" w:themeColor="text2"/>
        </w:rPr>
        <w:t>$8.17 billion (representing 10.7% of national costs).</w:t>
      </w:r>
    </w:p>
    <w:p w14:paraId="14E6212F" w14:textId="77777777" w:rsidR="00B077BC" w:rsidRPr="0046606B" w:rsidRDefault="00B077BC" w:rsidP="006044E0">
      <w:pPr>
        <w:pStyle w:val="ListParagraph"/>
        <w:numPr>
          <w:ilvl w:val="0"/>
          <w:numId w:val="8"/>
        </w:numPr>
      </w:pPr>
      <w:r w:rsidRPr="0046606B">
        <w:t xml:space="preserve">North Metropolitan </w:t>
      </w:r>
      <w:r>
        <w:t>HS’s</w:t>
      </w:r>
      <w:r w:rsidRPr="0046606B">
        <w:t xml:space="preserve"> GL was $2.71 billion.</w:t>
      </w:r>
    </w:p>
    <w:p w14:paraId="5B93CF54" w14:textId="03D4889C" w:rsidR="00B077BC" w:rsidRPr="0046606B" w:rsidRDefault="00B077BC" w:rsidP="006044E0">
      <w:pPr>
        <w:pStyle w:val="ListParagraph"/>
        <w:numPr>
          <w:ilvl w:val="1"/>
          <w:numId w:val="8"/>
        </w:numPr>
      </w:pPr>
      <w:r w:rsidRPr="0046606B">
        <w:t xml:space="preserve">Their submitted costs to the NHCDC were </w:t>
      </w:r>
      <w:r w:rsidRPr="0046606B">
        <w:rPr>
          <w:rFonts w:asciiTheme="minorHAnsi" w:hAnsiTheme="minorHAnsi" w:cs="Arial"/>
        </w:rPr>
        <w:t xml:space="preserve">$1.87 billion </w:t>
      </w:r>
      <w:r w:rsidRPr="0046606B">
        <w:t>(representing 22.8% of WA costs).</w:t>
      </w:r>
    </w:p>
    <w:p w14:paraId="5085BFC0" w14:textId="77777777" w:rsidR="00B077BC" w:rsidRPr="0046606B" w:rsidRDefault="00B077BC" w:rsidP="006044E0">
      <w:pPr>
        <w:pStyle w:val="ListParagraph"/>
        <w:numPr>
          <w:ilvl w:val="1"/>
          <w:numId w:val="8"/>
        </w:numPr>
      </w:pPr>
      <w:r w:rsidRPr="0046606B">
        <w:t xml:space="preserve">Overall, North Metropolitan </w:t>
      </w:r>
      <w:r>
        <w:t>HS su</w:t>
      </w:r>
      <w:r w:rsidRPr="0046606B">
        <w:t>bmitted 69% of their GL to the NHCDC.</w:t>
      </w:r>
    </w:p>
    <w:p w14:paraId="361A1AB8" w14:textId="77777777" w:rsidR="00B077BC" w:rsidRPr="0046606B" w:rsidRDefault="00B077BC" w:rsidP="006044E0">
      <w:pPr>
        <w:pStyle w:val="ListParagraph"/>
        <w:numPr>
          <w:ilvl w:val="1"/>
          <w:numId w:val="8"/>
        </w:numPr>
      </w:pPr>
      <w:r w:rsidRPr="0046606B">
        <w:t xml:space="preserve">$838 million (31% of GL) were not included in NHCDC submissions for a variety of reasons including being out-of-scope, or an inability to link costs and activity due to </w:t>
      </w:r>
      <w:r>
        <w:t>unmatched data</w:t>
      </w:r>
      <w:r w:rsidRPr="0046606B">
        <w:t>.</w:t>
      </w:r>
    </w:p>
    <w:p w14:paraId="16114BF4" w14:textId="35A4481A" w:rsidR="002120B5" w:rsidRDefault="00F370A3"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32</w:t>
      </w:r>
      <w:r w:rsidR="00BD5B5E">
        <w:fldChar w:fldCharType="end"/>
      </w:r>
      <w:r>
        <w:t xml:space="preserve">: </w:t>
      </w:r>
      <w:r w:rsidRPr="00CF3ADD">
        <w:t>Waterfall from GL to NHCDC submitted costs – North Metropolitan Health Service</w:t>
      </w:r>
    </w:p>
    <w:p w14:paraId="3BED1E1E" w14:textId="6A9949EE" w:rsidR="00B077BC" w:rsidRDefault="004D0F02" w:rsidP="00EF74AD">
      <w:r>
        <w:rPr>
          <w:noProof/>
        </w:rPr>
        <mc:AlternateContent>
          <mc:Choice Requires="cx1">
            <w:drawing>
              <wp:inline distT="0" distB="0" distL="0" distR="0" wp14:anchorId="15B62746" wp14:editId="557B7C00">
                <wp:extent cx="5731510" cy="2529445"/>
                <wp:effectExtent l="0" t="0" r="2540" b="4445"/>
                <wp:docPr id="1109067078" name="Chart 1" descr="P2556#y1">
                  <a:extLst xmlns:a="http://schemas.openxmlformats.org/drawingml/2006/main">
                    <a:ext uri="{FF2B5EF4-FFF2-40B4-BE49-F238E27FC236}">
                      <a16:creationId xmlns:a16="http://schemas.microsoft.com/office/drawing/2014/main" id="{DEBA0788-9367-40C0-A1F8-2BB8D18C588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3"/>
                  </a:graphicData>
                </a:graphic>
              </wp:inline>
            </w:drawing>
          </mc:Choice>
          <mc:Fallback>
            <w:drawing>
              <wp:inline distT="0" distB="0" distL="0" distR="0" wp14:anchorId="15B62746" wp14:editId="557B7C00">
                <wp:extent cx="5731510" cy="2529445"/>
                <wp:effectExtent l="0" t="0" r="2540" b="4445"/>
                <wp:docPr id="1109067078" name="Chart 1">
                  <a:extLst xmlns:a="http://schemas.openxmlformats.org/drawingml/2006/main">
                    <a:ext uri="{FF2B5EF4-FFF2-40B4-BE49-F238E27FC236}">
                      <a16:creationId xmlns:a16="http://schemas.microsoft.com/office/drawing/2014/main" id="{DEBA0788-9367-40C0-A1F8-2BB8D18C588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9067078" name="Chart 1">
                          <a:extLst>
                            <a:ext uri="{FF2B5EF4-FFF2-40B4-BE49-F238E27FC236}">
                              <a16:creationId xmlns:a16="http://schemas.microsoft.com/office/drawing/2014/main" id="{DEBA0788-9367-40C0-A1F8-2BB8D18C588F}"/>
                            </a:ext>
                          </a:extLst>
                        </pic:cNvPr>
                        <pic:cNvPicPr>
                          <a:picLocks noGrp="1" noRot="1" noChangeAspect="1" noMove="1" noResize="1" noEditPoints="1" noAdjustHandles="1" noChangeArrowheads="1" noChangeShapeType="1"/>
                        </pic:cNvPicPr>
                      </pic:nvPicPr>
                      <pic:blipFill>
                        <a:blip r:embed="rId94"/>
                        <a:stretch>
                          <a:fillRect/>
                        </a:stretch>
                      </pic:blipFill>
                      <pic:spPr>
                        <a:xfrm>
                          <a:off x="0" y="0"/>
                          <a:ext cx="5731510" cy="2529205"/>
                        </a:xfrm>
                        <a:prstGeom prst="rect">
                          <a:avLst/>
                        </a:prstGeom>
                      </pic:spPr>
                    </pic:pic>
                  </a:graphicData>
                </a:graphic>
              </wp:inline>
            </w:drawing>
          </mc:Fallback>
        </mc:AlternateContent>
      </w:r>
    </w:p>
    <w:p w14:paraId="4F103115" w14:textId="77777777" w:rsidR="00BE202D" w:rsidRPr="0046606B" w:rsidRDefault="00BE202D" w:rsidP="00BE202D">
      <w:r w:rsidRPr="0046606B">
        <w:t xml:space="preserve">This section discusses adjustments from the </w:t>
      </w:r>
      <w:r>
        <w:t>GL</w:t>
      </w:r>
      <w:r w:rsidRPr="0046606B">
        <w:t xml:space="preserve"> of North Metropolitan </w:t>
      </w:r>
      <w:r>
        <w:t>HS</w:t>
      </w:r>
      <w:r w:rsidRPr="0046606B">
        <w:t>, through to the costed products ($) submitted to IHACPA in the NHCDC submission.</w:t>
      </w:r>
    </w:p>
    <w:p w14:paraId="3B37E39F" w14:textId="7FE77B2E" w:rsidR="00BE202D" w:rsidRPr="0046606B" w:rsidRDefault="00BE202D" w:rsidP="006044E0">
      <w:pPr>
        <w:pStyle w:val="ListParagraph"/>
        <w:numPr>
          <w:ilvl w:val="0"/>
          <w:numId w:val="9"/>
        </w:numPr>
      </w:pPr>
      <w:r w:rsidRPr="0046606B">
        <w:rPr>
          <w:b/>
          <w:bCs/>
        </w:rPr>
        <w:t>Non-ABF</w:t>
      </w:r>
      <w:r w:rsidRPr="0046606B">
        <w:t xml:space="preserve"> – North Metropolitan HS removed costs related to non-ABF service delivery or costs </w:t>
      </w:r>
      <w:r w:rsidR="00C610CC">
        <w:t>that</w:t>
      </w:r>
      <w:r w:rsidR="00C610CC" w:rsidRPr="0046606B">
        <w:t xml:space="preserve"> </w:t>
      </w:r>
      <w:r w:rsidRPr="0046606B">
        <w:t>were not in-scope for the costing year. These totalled $285 million, comprising:</w:t>
      </w:r>
    </w:p>
    <w:p w14:paraId="6A24214D" w14:textId="77777777" w:rsidR="00BE202D" w:rsidRPr="0046606B" w:rsidRDefault="00BE202D" w:rsidP="006044E0">
      <w:pPr>
        <w:pStyle w:val="ListParagraph"/>
        <w:numPr>
          <w:ilvl w:val="1"/>
          <w:numId w:val="9"/>
        </w:numPr>
      </w:pPr>
      <w:r w:rsidRPr="0046606B">
        <w:t>$63 million for out-of-scope services including public health ($31 million), domiciliary care services ($8 million), and funds held in special purpose accounts for research ($12 million).</w:t>
      </w:r>
    </w:p>
    <w:p w14:paraId="071E7F50" w14:textId="77777777" w:rsidR="00BE202D" w:rsidRPr="0046606B" w:rsidRDefault="00BE202D" w:rsidP="006044E0">
      <w:pPr>
        <w:pStyle w:val="ListParagraph"/>
        <w:numPr>
          <w:ilvl w:val="1"/>
          <w:numId w:val="9"/>
        </w:numPr>
      </w:pPr>
      <w:r w:rsidRPr="0046606B">
        <w:t>WIP movements totalling $151 million.</w:t>
      </w:r>
    </w:p>
    <w:p w14:paraId="3806C899" w14:textId="6E6D9CD4" w:rsidR="00BE202D" w:rsidRPr="0046606B" w:rsidRDefault="00BE202D" w:rsidP="006044E0">
      <w:pPr>
        <w:pStyle w:val="ListParagraph"/>
        <w:numPr>
          <w:ilvl w:val="0"/>
          <w:numId w:val="9"/>
        </w:numPr>
      </w:pPr>
      <w:r w:rsidRPr="0046606B">
        <w:rPr>
          <w:b/>
        </w:rPr>
        <w:t>Jurisdiction exclusions</w:t>
      </w:r>
      <w:r w:rsidRPr="0046606B">
        <w:t xml:space="preserve"> – North Metropolitan HS has excluded $495 million of costs relating to the Joondalup Health Campus, who they have a </w:t>
      </w:r>
      <w:r w:rsidR="003B091D">
        <w:t>PPP</w:t>
      </w:r>
      <w:r w:rsidRPr="0046606B">
        <w:t xml:space="preserve"> arrangement with. WA does not submit costs relating to </w:t>
      </w:r>
      <w:r>
        <w:t>these</w:t>
      </w:r>
      <w:r w:rsidRPr="0046606B">
        <w:t xml:space="preserve"> public patients for this site. There was an additional $5 million TTR costs </w:t>
      </w:r>
      <w:r w:rsidR="00C610CC">
        <w:t>that</w:t>
      </w:r>
      <w:r w:rsidR="00C610CC" w:rsidRPr="0046606B">
        <w:t xml:space="preserve"> </w:t>
      </w:r>
      <w:r w:rsidRPr="0046606B">
        <w:t>were not submitted</w:t>
      </w:r>
      <w:r>
        <w:t xml:space="preserve"> to the NHCDC</w:t>
      </w:r>
      <w:r w:rsidRPr="0046606B">
        <w:t>.</w:t>
      </w:r>
    </w:p>
    <w:p w14:paraId="774A79AF" w14:textId="77777777" w:rsidR="00BE202D" w:rsidRPr="0046606B" w:rsidRDefault="00BE202D" w:rsidP="006044E0">
      <w:pPr>
        <w:pStyle w:val="ListParagraph"/>
        <w:numPr>
          <w:ilvl w:val="0"/>
          <w:numId w:val="9"/>
        </w:numPr>
      </w:pPr>
      <w:r w:rsidRPr="0046606B">
        <w:rPr>
          <w:b/>
          <w:bCs/>
        </w:rPr>
        <w:lastRenderedPageBreak/>
        <w:t xml:space="preserve">Other exclusions </w:t>
      </w:r>
      <w:r w:rsidRPr="0046606B">
        <w:t>– totalled $53 million. These are made up of both out-of-scope costs and excluded costs that are within the scope of the NHCDC and could not be matched to a record. The exclusions are made up of:</w:t>
      </w:r>
    </w:p>
    <w:p w14:paraId="7F2B222F" w14:textId="0B89764F" w:rsidR="00BE202D" w:rsidRDefault="00BE202D" w:rsidP="006044E0">
      <w:pPr>
        <w:pStyle w:val="ListParagraph"/>
        <w:numPr>
          <w:ilvl w:val="1"/>
          <w:numId w:val="9"/>
        </w:numPr>
      </w:pPr>
      <w:r>
        <w:t>$12 million a</w:t>
      </w:r>
      <w:r w:rsidRPr="0046606B">
        <w:t>ggregate level outpatient services</w:t>
      </w:r>
      <w:r w:rsidR="008A10C6">
        <w:t>,</w:t>
      </w:r>
    </w:p>
    <w:p w14:paraId="34CB6FC4" w14:textId="77777777" w:rsidR="00BE202D" w:rsidRDefault="00BE202D" w:rsidP="006044E0">
      <w:pPr>
        <w:pStyle w:val="ListParagraph"/>
        <w:numPr>
          <w:ilvl w:val="1"/>
          <w:numId w:val="9"/>
        </w:numPr>
      </w:pPr>
      <w:r>
        <w:t xml:space="preserve">$0.57 million for </w:t>
      </w:r>
      <w:r w:rsidRPr="0046606B">
        <w:t xml:space="preserve">boarders, and </w:t>
      </w:r>
    </w:p>
    <w:p w14:paraId="7B8B946E" w14:textId="7E265A70" w:rsidR="00BE202D" w:rsidRPr="0046606B" w:rsidRDefault="00BE202D" w:rsidP="006044E0">
      <w:pPr>
        <w:pStyle w:val="ListParagraph"/>
        <w:numPr>
          <w:ilvl w:val="1"/>
          <w:numId w:val="9"/>
        </w:numPr>
      </w:pPr>
      <w:r>
        <w:t xml:space="preserve">$34 million in </w:t>
      </w:r>
      <w:r w:rsidRPr="0046606B">
        <w:t xml:space="preserve">unlinked cost records </w:t>
      </w:r>
      <w:r w:rsidR="00C610CC">
        <w:t>that</w:t>
      </w:r>
      <w:r w:rsidR="00C610CC" w:rsidRPr="0046606B">
        <w:t xml:space="preserve"> </w:t>
      </w:r>
      <w:r w:rsidR="00030108" w:rsidRPr="0046606B">
        <w:t>could</w:t>
      </w:r>
      <w:r w:rsidRPr="0046606B">
        <w:t xml:space="preserve"> not be matched to activity.</w:t>
      </w:r>
    </w:p>
    <w:p w14:paraId="026E239C" w14:textId="0F06BE82" w:rsidR="00B077BC" w:rsidRPr="0046606B" w:rsidRDefault="00BE202D" w:rsidP="00BE202D">
      <w:pPr>
        <w:pStyle w:val="Heading3"/>
      </w:pPr>
      <w:r>
        <w:t>ICU and Critical Care Focused Review</w:t>
      </w:r>
    </w:p>
    <w:p w14:paraId="4BBFFBC1" w14:textId="732D99D8" w:rsidR="00B37202" w:rsidRPr="00327B3C" w:rsidRDefault="005F489A" w:rsidP="00B37202">
      <w:r w:rsidRPr="00327B3C">
        <w:rPr>
          <w:noProof/>
        </w:rPr>
        <mc:AlternateContent>
          <mc:Choice Requires="wpg">
            <w:drawing>
              <wp:anchor distT="0" distB="0" distL="114300" distR="114300" simplePos="0" relativeHeight="251658260" behindDoc="0" locked="0" layoutInCell="1" allowOverlap="1" wp14:anchorId="3773F1E0" wp14:editId="7DA234B4">
                <wp:simplePos x="0" y="0"/>
                <wp:positionH relativeFrom="column">
                  <wp:posOffset>2853690</wp:posOffset>
                </wp:positionH>
                <wp:positionV relativeFrom="paragraph">
                  <wp:posOffset>50165</wp:posOffset>
                </wp:positionV>
                <wp:extent cx="2899410" cy="3311525"/>
                <wp:effectExtent l="0" t="0" r="0" b="3175"/>
                <wp:wrapTight wrapText="bothSides">
                  <wp:wrapPolygon edited="0">
                    <wp:start x="0" y="0"/>
                    <wp:lineTo x="0" y="21496"/>
                    <wp:lineTo x="21430" y="21496"/>
                    <wp:lineTo x="21430" y="0"/>
                    <wp:lineTo x="0" y="0"/>
                  </wp:wrapPolygon>
                </wp:wrapTight>
                <wp:docPr id="1876843042" name="Group 4" descr="P2567#y1"/>
                <wp:cNvGraphicFramePr/>
                <a:graphic xmlns:a="http://schemas.openxmlformats.org/drawingml/2006/main">
                  <a:graphicData uri="http://schemas.microsoft.com/office/word/2010/wordprocessingGroup">
                    <wpg:wgp>
                      <wpg:cNvGrpSpPr/>
                      <wpg:grpSpPr>
                        <a:xfrm>
                          <a:off x="0" y="0"/>
                          <a:ext cx="2899410" cy="3311525"/>
                          <a:chOff x="0" y="0"/>
                          <a:chExt cx="2899410" cy="3312038"/>
                        </a:xfrm>
                      </wpg:grpSpPr>
                      <pic:pic xmlns:pic="http://schemas.openxmlformats.org/drawingml/2006/picture">
                        <pic:nvPicPr>
                          <pic:cNvPr id="153246997" name="Picture 3"/>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bwMode="auto">
                          <a:xfrm>
                            <a:off x="19050" y="426598"/>
                            <a:ext cx="2880360" cy="2885440"/>
                          </a:xfrm>
                          <a:prstGeom prst="rect">
                            <a:avLst/>
                          </a:prstGeom>
                          <a:noFill/>
                          <a:ln>
                            <a:noFill/>
                          </a:ln>
                        </pic:spPr>
                      </pic:pic>
                      <wps:wsp>
                        <wps:cNvPr id="1179364477" name="Text Box 1"/>
                        <wps:cNvSpPr txBox="1"/>
                        <wps:spPr>
                          <a:xfrm>
                            <a:off x="0" y="0"/>
                            <a:ext cx="2880360" cy="331646"/>
                          </a:xfrm>
                          <a:prstGeom prst="rect">
                            <a:avLst/>
                          </a:prstGeom>
                          <a:solidFill>
                            <a:prstClr val="white"/>
                          </a:solidFill>
                          <a:ln>
                            <a:noFill/>
                          </a:ln>
                        </wps:spPr>
                        <wps:txbx>
                          <w:txbxContent>
                            <w:p w14:paraId="4F11A96E" w14:textId="1276DC0F" w:rsidR="00B53EE1" w:rsidRPr="00C74B03" w:rsidRDefault="00B53EE1" w:rsidP="00B53EE1">
                              <w:pPr>
                                <w:pStyle w:val="Caption"/>
                                <w:rPr>
                                  <w:noProof/>
                                  <w:sz w:val="20"/>
                                  <w:szCs w:val="20"/>
                                </w:rPr>
                              </w:pPr>
                              <w:r w:rsidRPr="00200F57">
                                <w:t xml:space="preserve">Figure </w:t>
                              </w:r>
                              <w:r w:rsidR="00BD5B5E" w:rsidRPr="00200F57">
                                <w:fldChar w:fldCharType="begin"/>
                              </w:r>
                              <w:r w:rsidR="00BD5B5E" w:rsidRPr="00200F57">
                                <w:instrText xml:space="preserve"> SEQ Figure \* ARABIC </w:instrText>
                              </w:r>
                              <w:r w:rsidR="00BD5B5E" w:rsidRPr="00200F57">
                                <w:fldChar w:fldCharType="separate"/>
                              </w:r>
                              <w:r w:rsidR="00CE6F96">
                                <w:rPr>
                                  <w:noProof/>
                                </w:rPr>
                                <w:t>33</w:t>
                              </w:r>
                              <w:r w:rsidR="00BD5B5E" w:rsidRPr="00200F57">
                                <w:fldChar w:fldCharType="end"/>
                              </w:r>
                              <w:r w:rsidRPr="00200F57">
                                <w:t xml:space="preserve">: </w:t>
                              </w:r>
                              <w:r w:rsidR="00985D51" w:rsidRPr="00EC0C63">
                                <w:t>Critical care services at Western Australia</w:t>
                              </w:r>
                              <w:r w:rsidR="00200F57" w:rsidRPr="00EC0C63">
                                <w:t>’s participating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73F1E0" id="Group 4" o:spid="_x0000_s1264" alt="P2567#y1" style="position:absolute;margin-left:224.7pt;margin-top:3.95pt;width:228.3pt;height:260.75pt;z-index:251658260;mso-position-horizontal-relative:text;mso-position-vertical-relative:text;mso-width-relative:margin;mso-height-relative:margin" coordsize="28994,33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">
                <v:shape id="Picture 3" o:spid="_x0000_s1265" type="#_x0000_t75" style="position:absolute;left:190;top:4265;width:28804;height:28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">
                  <v:imagedata r:id="rId96" o:title=""/>
                </v:shape>
                <v:shape id="_x0000_s1266" type="#_x0000_t202" style="position:absolute;width:28803;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" stroked="f">
                  <v:textbox inset="0,0,0,0">
                    <w:txbxContent>
                      <w:p w14:paraId="4F11A96E" w14:textId="1276DC0F" w:rsidR="00B53EE1" w:rsidRPr="00C74B03" w:rsidRDefault="00B53EE1" w:rsidP="00B53EE1">
                        <w:pPr>
                          <w:pStyle w:val="Caption"/>
                          <w:rPr>
                            <w:noProof/>
                            <w:sz w:val="20"/>
                            <w:szCs w:val="20"/>
                          </w:rPr>
                        </w:pPr>
                        <w:r w:rsidRPr="00200F57">
                          <w:t xml:space="preserve">Figure </w:t>
                        </w:r>
                        <w:r w:rsidR="00BD5B5E" w:rsidRPr="00200F57">
                          <w:fldChar w:fldCharType="begin"/>
                        </w:r>
                        <w:r w:rsidR="00BD5B5E" w:rsidRPr="00200F57">
                          <w:instrText xml:space="preserve"> SEQ Figure \* ARABIC </w:instrText>
                        </w:r>
                        <w:r w:rsidR="00BD5B5E" w:rsidRPr="00200F57">
                          <w:fldChar w:fldCharType="separate"/>
                        </w:r>
                        <w:r w:rsidR="00CE6F96">
                          <w:rPr>
                            <w:noProof/>
                          </w:rPr>
                          <w:t>33</w:t>
                        </w:r>
                        <w:r w:rsidR="00BD5B5E" w:rsidRPr="00200F57">
                          <w:fldChar w:fldCharType="end"/>
                        </w:r>
                        <w:r w:rsidRPr="00200F57">
                          <w:t xml:space="preserve">: </w:t>
                        </w:r>
                        <w:r w:rsidR="00985D51" w:rsidRPr="00EC0C63">
                          <w:t>Critical care services at Western Australia</w:t>
                        </w:r>
                        <w:r w:rsidR="00200F57" w:rsidRPr="00EC0C63">
                          <w:t>’s participating site</w:t>
                        </w:r>
                      </w:p>
                    </w:txbxContent>
                  </v:textbox>
                </v:shape>
                <w10:wrap type="tight"/>
              </v:group>
            </w:pict>
          </mc:Fallback>
        </mc:AlternateContent>
      </w:r>
      <w:r w:rsidR="00B37202" w:rsidRPr="00327B3C">
        <w:t>Sir Charles Gairdner Hospital (SCGH) is a metropolitan facility in Perth. Its critical care services include:</w:t>
      </w:r>
    </w:p>
    <w:p w14:paraId="1F29ED3D" w14:textId="12B43C03" w:rsidR="00B37202" w:rsidRPr="00327B3C" w:rsidRDefault="00B37202" w:rsidP="00C61CEB">
      <w:pPr>
        <w:pStyle w:val="ListParagraph"/>
        <w:numPr>
          <w:ilvl w:val="0"/>
          <w:numId w:val="10"/>
        </w:numPr>
        <w:ind w:left="777" w:hanging="357"/>
      </w:pPr>
      <w:r w:rsidRPr="00327B3C">
        <w:t>A 30-bed ICU providing specialised care for patients requiring life support and advanced therapies, including those recovering from cardiac surgery, neurosurgery, and liver transplants.</w:t>
      </w:r>
    </w:p>
    <w:p w14:paraId="267EF3A3" w14:textId="5E33358E" w:rsidR="00B37202" w:rsidRPr="00327B3C" w:rsidRDefault="00B37202" w:rsidP="00C61CEB">
      <w:pPr>
        <w:pStyle w:val="ListParagraph"/>
        <w:numPr>
          <w:ilvl w:val="0"/>
          <w:numId w:val="10"/>
        </w:numPr>
        <w:ind w:left="777" w:hanging="357"/>
      </w:pPr>
      <w:r w:rsidRPr="00327B3C">
        <w:t>A 14</w:t>
      </w:r>
      <w:r w:rsidR="00C61CEB" w:rsidRPr="00327B3C">
        <w:t>-</w:t>
      </w:r>
      <w:r w:rsidRPr="00327B3C">
        <w:t xml:space="preserve">bed </w:t>
      </w:r>
      <w:r w:rsidR="00F43E1F">
        <w:t>CCU</w:t>
      </w:r>
      <w:r w:rsidR="00CC276B">
        <w:t>.</w:t>
      </w:r>
    </w:p>
    <w:p w14:paraId="6F5569B6" w14:textId="77777777" w:rsidR="00B37202" w:rsidRPr="00327B3C" w:rsidRDefault="00B37202" w:rsidP="00C61CEB">
      <w:r w:rsidRPr="00327B3C">
        <w:t>Staff reported that approximately 10-20% of medical staff time and 10% of nursing resource is consumed doing activities outside of ICU admitted patient care, including:</w:t>
      </w:r>
    </w:p>
    <w:p w14:paraId="3AC55F7B" w14:textId="7F4454F0" w:rsidR="00B37202" w:rsidRPr="00327B3C" w:rsidRDefault="008A10C6" w:rsidP="00C61CEB">
      <w:pPr>
        <w:pStyle w:val="ListParagraph"/>
        <w:numPr>
          <w:ilvl w:val="0"/>
          <w:numId w:val="10"/>
        </w:numPr>
      </w:pPr>
      <w:r>
        <w:t>MET</w:t>
      </w:r>
      <w:r w:rsidR="00B37202" w:rsidRPr="00327B3C">
        <w:t xml:space="preserve"> calls; </w:t>
      </w:r>
    </w:p>
    <w:p w14:paraId="40ECCEF8" w14:textId="77777777" w:rsidR="00B37202" w:rsidRPr="00327B3C" w:rsidRDefault="00B37202" w:rsidP="00C61CEB">
      <w:pPr>
        <w:pStyle w:val="ListParagraph"/>
        <w:numPr>
          <w:ilvl w:val="0"/>
          <w:numId w:val="10"/>
        </w:numPr>
      </w:pPr>
      <w:r w:rsidRPr="00327B3C">
        <w:t>Non-admitted follow up clinic appointments post ICU discharge;</w:t>
      </w:r>
    </w:p>
    <w:p w14:paraId="57CCDF67" w14:textId="18683038" w:rsidR="00B37202" w:rsidRPr="00327B3C" w:rsidRDefault="00B37202" w:rsidP="00C61CEB">
      <w:pPr>
        <w:pStyle w:val="ListParagraph"/>
        <w:numPr>
          <w:ilvl w:val="0"/>
          <w:numId w:val="10"/>
        </w:numPr>
      </w:pPr>
      <w:r w:rsidRPr="00327B3C">
        <w:t>A TPN non-admitted service;</w:t>
      </w:r>
    </w:p>
    <w:p w14:paraId="69A34E0E" w14:textId="77777777" w:rsidR="00B37202" w:rsidRPr="00327B3C" w:rsidRDefault="00B37202" w:rsidP="00C61CEB">
      <w:pPr>
        <w:pStyle w:val="ListParagraph"/>
        <w:numPr>
          <w:ilvl w:val="0"/>
          <w:numId w:val="10"/>
        </w:numPr>
      </w:pPr>
      <w:r w:rsidRPr="00327B3C">
        <w:t>Tracheostomy round to inpatients across all wards;</w:t>
      </w:r>
    </w:p>
    <w:p w14:paraId="38F64E8C" w14:textId="77777777" w:rsidR="00B37202" w:rsidRPr="00327B3C" w:rsidRDefault="00B37202" w:rsidP="00C61CEB">
      <w:pPr>
        <w:pStyle w:val="ListParagraph"/>
        <w:numPr>
          <w:ilvl w:val="0"/>
          <w:numId w:val="10"/>
        </w:numPr>
      </w:pPr>
      <w:r w:rsidRPr="00327B3C">
        <w:t>Retrieval phone/video assessments;</w:t>
      </w:r>
    </w:p>
    <w:p w14:paraId="5C301412" w14:textId="77777777" w:rsidR="00B37202" w:rsidRPr="00327B3C" w:rsidRDefault="00B37202" w:rsidP="00C61CEB">
      <w:pPr>
        <w:pStyle w:val="ListParagraph"/>
        <w:numPr>
          <w:ilvl w:val="0"/>
          <w:numId w:val="10"/>
        </w:numPr>
      </w:pPr>
      <w:r w:rsidRPr="00327B3C">
        <w:t>Organ tissue service;</w:t>
      </w:r>
    </w:p>
    <w:p w14:paraId="3B7ECDC2" w14:textId="77777777" w:rsidR="00B37202" w:rsidRPr="00327B3C" w:rsidRDefault="00B37202" w:rsidP="00C61CEB">
      <w:pPr>
        <w:pStyle w:val="ListParagraph"/>
        <w:numPr>
          <w:ilvl w:val="0"/>
          <w:numId w:val="10"/>
        </w:numPr>
      </w:pPr>
      <w:r w:rsidRPr="00327B3C">
        <w:t xml:space="preserve">Participation in research and clinical committees </w:t>
      </w:r>
    </w:p>
    <w:p w14:paraId="0AA84F71" w14:textId="20686A68" w:rsidR="00B37202" w:rsidRPr="00327B3C" w:rsidRDefault="00B37202" w:rsidP="00C61CEB">
      <w:r w:rsidRPr="00327B3C">
        <w:t xml:space="preserve">The CCU nurse unit manager and medical staff covers both the CCU and cardiology ward, with the nurses rostered separately between the </w:t>
      </w:r>
      <w:r w:rsidR="00DF1C3E">
        <w:t>2</w:t>
      </w:r>
      <w:r w:rsidR="00DF1C3E" w:rsidRPr="00327B3C">
        <w:t xml:space="preserve"> </w:t>
      </w:r>
      <w:r w:rsidRPr="00327B3C">
        <w:t>areas. Approximately half their patients are estimated to require continuous observation or specialling services, provided by AIN, security staff or mental health trained nurses.</w:t>
      </w:r>
    </w:p>
    <w:p w14:paraId="222218A2" w14:textId="7F047D4F" w:rsidR="00BE202D" w:rsidRPr="0046606B" w:rsidRDefault="00B37202" w:rsidP="00EF74AD">
      <w:r w:rsidRPr="00327B3C">
        <w:t>SCGH is a Level 3 ICU facility and meets the criteria</w:t>
      </w:r>
      <w:r w:rsidR="00CE6F96">
        <w:rPr>
          <w:rFonts w:ascii="ZWAdobeF" w:hAnsi="ZWAdobeF" w:cs="ZWAdobeF"/>
          <w:color w:val="auto"/>
          <w:sz w:val="2"/>
          <w:szCs w:val="2"/>
        </w:rPr>
        <w:t>23F</w:t>
      </w:r>
      <w:r w:rsidRPr="00327B3C">
        <w:rPr>
          <w:rStyle w:val="FootnoteReference"/>
        </w:rPr>
        <w:footnoteReference w:id="25"/>
      </w:r>
      <w:r w:rsidRPr="00327B3C">
        <w:t xml:space="preserve"> for IHACPA’s ICU adjustment for the NEP. The hospital does not have an eMR system and uses a paper-based system.</w:t>
      </w:r>
    </w:p>
    <w:p w14:paraId="72A9F137" w14:textId="77777777" w:rsidR="00015918" w:rsidRPr="00AD1F32" w:rsidRDefault="00015918" w:rsidP="00015918">
      <w:pPr>
        <w:pStyle w:val="Heading4"/>
        <w:rPr>
          <w:color w:val="484B5D" w:themeColor="accent3"/>
        </w:rPr>
      </w:pPr>
      <w:r w:rsidRPr="00AD1F32">
        <w:rPr>
          <w:color w:val="484B5D" w:themeColor="accent3"/>
        </w:rPr>
        <w:lastRenderedPageBreak/>
        <w:t>Critical Care Cost and Activity Reporting</w:t>
      </w:r>
    </w:p>
    <w:p w14:paraId="7C97D299" w14:textId="017260D5" w:rsidR="00015918" w:rsidRPr="00607437" w:rsidRDefault="00015918" w:rsidP="00015918">
      <w:r w:rsidRPr="00607437">
        <w:t>IHACPA provides definitions in its DRS for the reporting of critical care costs and activity. These include:</w:t>
      </w:r>
    </w:p>
    <w:p w14:paraId="67772F17" w14:textId="4A4B6E59" w:rsidR="00015918" w:rsidRPr="00607437" w:rsidRDefault="00015918" w:rsidP="00015918">
      <w:pPr>
        <w:pStyle w:val="ListParagraph"/>
        <w:numPr>
          <w:ilvl w:val="0"/>
          <w:numId w:val="23"/>
        </w:numPr>
        <w:ind w:left="714" w:hanging="357"/>
        <w:rPr>
          <w:i/>
        </w:rPr>
      </w:pPr>
      <w:r w:rsidRPr="00607437">
        <w:t>The NHCDC</w:t>
      </w:r>
      <w:r w:rsidRPr="00607437">
        <w:rPr>
          <w:i/>
        </w:rPr>
        <w:t xml:space="preserve"> </w:t>
      </w:r>
      <w:r w:rsidR="00CC276B" w:rsidRPr="00607437">
        <w:rPr>
          <w:iCs/>
        </w:rPr>
        <w:t>P</w:t>
      </w:r>
      <w:r w:rsidRPr="00607437">
        <w:rPr>
          <w:iCs/>
        </w:rPr>
        <w:t xml:space="preserve">ublic </w:t>
      </w:r>
      <w:r w:rsidR="00CC276B" w:rsidRPr="00607437">
        <w:rPr>
          <w:iCs/>
        </w:rPr>
        <w:t>S</w:t>
      </w:r>
      <w:r w:rsidRPr="00607437">
        <w:rPr>
          <w:iCs/>
        </w:rPr>
        <w:t xml:space="preserve">ector DRS </w:t>
      </w:r>
      <w:r w:rsidRPr="00607437">
        <w:rPr>
          <w:i/>
        </w:rPr>
        <w:t>Critical</w:t>
      </w:r>
      <w:r w:rsidRPr="00607437">
        <w:rPr>
          <w:iCs/>
        </w:rPr>
        <w:t xml:space="preserve"> </w:t>
      </w:r>
      <w:r w:rsidR="007B6863" w:rsidRPr="00607437">
        <w:rPr>
          <w:iCs/>
        </w:rPr>
        <w:t xml:space="preserve">NHCDC </w:t>
      </w:r>
      <w:r w:rsidRPr="00607437">
        <w:rPr>
          <w:iCs/>
        </w:rPr>
        <w:t xml:space="preserve">Cost Centre Group contains 10 codes to capture the types of critical care costs: </w:t>
      </w:r>
      <w:r w:rsidRPr="00607437">
        <w:rPr>
          <w:i/>
        </w:rPr>
        <w:t>Ccu, Hdicu, Aicu, Cticu, Gencritcare, Nicu, OtherCritCare, Paedicu, Psychicu, Scnicu.</w:t>
      </w:r>
    </w:p>
    <w:p w14:paraId="62567AC4" w14:textId="77777777" w:rsidR="00015918" w:rsidRPr="007D316B" w:rsidRDefault="00015918" w:rsidP="00015918">
      <w:pPr>
        <w:pStyle w:val="ListParagraph"/>
        <w:numPr>
          <w:ilvl w:val="0"/>
          <w:numId w:val="23"/>
        </w:numPr>
      </w:pPr>
      <w:r w:rsidRPr="00607437">
        <w:rPr>
          <w:iCs/>
        </w:rPr>
        <w:t xml:space="preserve">The ABF Admitted </w:t>
      </w:r>
      <w:r w:rsidRPr="00B54383">
        <w:rPr>
          <w:iCs/>
        </w:rPr>
        <w:t>Patie</w:t>
      </w:r>
      <w:r w:rsidRPr="00CC276B">
        <w:rPr>
          <w:iCs/>
        </w:rPr>
        <w:t>nt</w:t>
      </w:r>
      <w:r w:rsidRPr="007D316B">
        <w:t xml:space="preserve"> Care DRS contains 2 data items for ICU hours. These are:</w:t>
      </w:r>
    </w:p>
    <w:p w14:paraId="2AB0A33F" w14:textId="77777777" w:rsidR="00015918" w:rsidRPr="007D316B" w:rsidRDefault="00015918" w:rsidP="00015918">
      <w:pPr>
        <w:pStyle w:val="ListParagraph"/>
        <w:numPr>
          <w:ilvl w:val="1"/>
          <w:numId w:val="23"/>
        </w:numPr>
      </w:pPr>
      <w:r w:rsidRPr="007D316B">
        <w:t xml:space="preserve"> </w:t>
      </w:r>
      <w:r w:rsidRPr="007D316B">
        <w:rPr>
          <w:i/>
        </w:rPr>
        <w:t xml:space="preserve">Length of stay in </w:t>
      </w:r>
      <w:r w:rsidRPr="007D316B">
        <w:rPr>
          <w:i/>
          <w:iCs/>
        </w:rPr>
        <w:t>ICU,</w:t>
      </w:r>
      <w:r w:rsidRPr="007D316B">
        <w:t xml:space="preserve"> defined as the number of hours reported by a hospital with approved Adult ICU Level 3 or Paediatric ICU, and</w:t>
      </w:r>
    </w:p>
    <w:p w14:paraId="55736CE5" w14:textId="77777777" w:rsidR="00015918" w:rsidRPr="007D316B" w:rsidRDefault="00015918" w:rsidP="00015918">
      <w:pPr>
        <w:pStyle w:val="ListParagraph"/>
        <w:numPr>
          <w:ilvl w:val="1"/>
          <w:numId w:val="23"/>
        </w:numPr>
      </w:pPr>
      <w:r w:rsidRPr="004E7C26">
        <w:rPr>
          <w:i/>
        </w:rPr>
        <w:t>Length of stay in ICU – Other</w:t>
      </w:r>
      <w:r w:rsidRPr="007D316B">
        <w:t>, defined as hours reported by hospitals with approved ICUs other than Level 3 or Paediatric ICU.</w:t>
      </w:r>
    </w:p>
    <w:p w14:paraId="48257232" w14:textId="6ED41FCB" w:rsidR="00015918" w:rsidRPr="007D316B" w:rsidRDefault="00015918" w:rsidP="00015918">
      <w:r w:rsidRPr="007D316B">
        <w:t xml:space="preserve">One of the findings of this IFR was that the definitions and guidance for both </w:t>
      </w:r>
      <w:r w:rsidRPr="007D316B">
        <w:rPr>
          <w:i/>
          <w:iCs/>
        </w:rPr>
        <w:t>Critical</w:t>
      </w:r>
      <w:r w:rsidRPr="007D316B">
        <w:t xml:space="preserve"> NHCDC </w:t>
      </w:r>
      <w:r w:rsidR="00CC276B">
        <w:t>C</w:t>
      </w:r>
      <w:r w:rsidRPr="007D316B">
        <w:t xml:space="preserve">ost </w:t>
      </w:r>
      <w:r w:rsidR="00CC276B">
        <w:t>C</w:t>
      </w:r>
      <w:r w:rsidRPr="007D316B">
        <w:t xml:space="preserve">entres and ICU hours require clarity and alignment to each other, as they are treated differently by every jurisdiction. This section of the report seeks to provide information on how </w:t>
      </w:r>
      <w:r>
        <w:t>WA</w:t>
      </w:r>
      <w:r w:rsidRPr="007D316B">
        <w:t xml:space="preserve"> is reporting this information, noting there is ambiguity in the current definitions.</w:t>
      </w:r>
    </w:p>
    <w:p w14:paraId="13A59034" w14:textId="2E3EF1C7" w:rsidR="00A874B2" w:rsidRPr="00C61CEB" w:rsidRDefault="00A874B2" w:rsidP="00A874B2">
      <w:r w:rsidRPr="00C61CEB">
        <w:t xml:space="preserve">WA reports all ICU and PICU hours as </w:t>
      </w:r>
      <w:r w:rsidRPr="00C61CEB">
        <w:rPr>
          <w:i/>
        </w:rPr>
        <w:t xml:space="preserve">Level 3 ICU </w:t>
      </w:r>
      <w:r w:rsidR="00AB4EC0" w:rsidRPr="00C61CEB">
        <w:rPr>
          <w:i/>
        </w:rPr>
        <w:t>H</w:t>
      </w:r>
      <w:r w:rsidRPr="00C61CEB">
        <w:rPr>
          <w:i/>
        </w:rPr>
        <w:t>ours</w:t>
      </w:r>
      <w:r w:rsidRPr="00C61CEB">
        <w:t xml:space="preserve"> if a facility is a designated Level 3 facility. CCU </w:t>
      </w:r>
      <w:r w:rsidR="00D00317">
        <w:t>h</w:t>
      </w:r>
      <w:r w:rsidRPr="00C61CEB">
        <w:t xml:space="preserve">ours and NICU hours are excluded from ICU hours reporting, but costs are reported against these </w:t>
      </w:r>
      <w:r w:rsidR="009C5B16" w:rsidRPr="009C7BB2">
        <w:rPr>
          <w:i/>
        </w:rPr>
        <w:t>C</w:t>
      </w:r>
      <w:r w:rsidRPr="009C7BB2">
        <w:rPr>
          <w:i/>
        </w:rPr>
        <w:t>ritical</w:t>
      </w:r>
      <w:r w:rsidRPr="00C61CEB">
        <w:t xml:space="preserve"> </w:t>
      </w:r>
      <w:r w:rsidR="009C7BB2">
        <w:t xml:space="preserve">NHCDC </w:t>
      </w:r>
      <w:r w:rsidR="009C5B16" w:rsidRPr="00C61CEB">
        <w:t>C</w:t>
      </w:r>
      <w:r w:rsidRPr="00C61CEB">
        <w:t xml:space="preserve">ost </w:t>
      </w:r>
      <w:r w:rsidR="009C5B16" w:rsidRPr="00C61CEB">
        <w:t>C</w:t>
      </w:r>
      <w:r w:rsidRPr="00C61CEB">
        <w:t>entres.</w:t>
      </w:r>
    </w:p>
    <w:p w14:paraId="394D14D9" w14:textId="09E579BA" w:rsidR="003A4AE3" w:rsidRDefault="003A4AE3" w:rsidP="003A4AE3">
      <w:pPr>
        <w:pStyle w:val="Caption"/>
        <w:keepNext/>
      </w:pPr>
      <w:r>
        <w:t xml:space="preserve">Table </w:t>
      </w:r>
      <w:r>
        <w:fldChar w:fldCharType="begin"/>
      </w:r>
      <w:r>
        <w:instrText xml:space="preserve"> SEQ Table \* ARABIC </w:instrText>
      </w:r>
      <w:r>
        <w:fldChar w:fldCharType="separate"/>
      </w:r>
      <w:r w:rsidR="00CE6F96">
        <w:rPr>
          <w:noProof/>
        </w:rPr>
        <w:t>25</w:t>
      </w:r>
      <w:r>
        <w:fldChar w:fldCharType="end"/>
      </w:r>
      <w:r>
        <w:t xml:space="preserve">: </w:t>
      </w:r>
      <w:r w:rsidRPr="00C32B50">
        <w:t>WA ICU costs and activity mapped to IHACPA cost and activity types</w:t>
      </w:r>
    </w:p>
    <w:tbl>
      <w:tblPr>
        <w:tblStyle w:val="ScyneTable"/>
        <w:tblW w:w="5000" w:type="pct"/>
        <w:tblInd w:w="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523"/>
        <w:gridCol w:w="2835"/>
        <w:gridCol w:w="3668"/>
      </w:tblGrid>
      <w:tr w:rsidR="00034380" w:rsidRPr="00D422F0" w14:paraId="2BDFAA65" w14:textId="77777777" w:rsidTr="003F5FC4">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397" w:type="pct"/>
            <w:tcBorders>
              <w:bottom w:val="single" w:sz="18" w:space="0" w:color="EFF0F7" w:themeColor="accent4" w:themeTint="33"/>
            </w:tcBorders>
            <w:shd w:val="clear" w:color="auto" w:fill="464E7E" w:themeFill="accent2"/>
            <w:vAlign w:val="center"/>
            <w:hideMark/>
          </w:tcPr>
          <w:p w14:paraId="7A466B7E" w14:textId="77777777" w:rsidR="00B352AF" w:rsidRPr="00D422F0" w:rsidRDefault="00B352AF">
            <w:pPr>
              <w:pStyle w:val="TableNormalColumnHeading"/>
              <w:rPr>
                <w:rFonts w:asciiTheme="majorHAnsi" w:hAnsiTheme="majorHAnsi"/>
                <w:snapToGrid/>
                <w:sz w:val="20"/>
                <w:lang w:eastAsia="en-AU"/>
              </w:rPr>
            </w:pPr>
            <w:r>
              <w:rPr>
                <w:rFonts w:asciiTheme="majorHAnsi" w:hAnsiTheme="majorHAnsi"/>
                <w:sz w:val="20"/>
              </w:rPr>
              <w:t>ICU Description</w:t>
            </w:r>
          </w:p>
        </w:tc>
        <w:tc>
          <w:tcPr>
            <w:tcW w:w="1570" w:type="pct"/>
            <w:tcBorders>
              <w:bottom w:val="single" w:sz="18" w:space="0" w:color="EFF0F7" w:themeColor="accent4" w:themeTint="33"/>
            </w:tcBorders>
            <w:shd w:val="clear" w:color="auto" w:fill="464E7E" w:themeFill="accent2"/>
            <w:vAlign w:val="center"/>
            <w:hideMark/>
          </w:tcPr>
          <w:p w14:paraId="7A96AF4A" w14:textId="28D319DC" w:rsidR="00B352AF" w:rsidRPr="00D422F0" w:rsidRDefault="00CC276B" w:rsidP="009C5B16">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B54383">
              <w:rPr>
                <w:rFonts w:asciiTheme="majorHAnsi" w:hAnsiTheme="majorHAnsi"/>
                <w:i/>
                <w:iCs/>
                <w:sz w:val="20"/>
              </w:rPr>
              <w:t>Critical</w:t>
            </w:r>
            <w:r>
              <w:rPr>
                <w:rFonts w:asciiTheme="majorHAnsi" w:hAnsiTheme="majorHAnsi"/>
                <w:sz w:val="20"/>
              </w:rPr>
              <w:t xml:space="preserve"> </w:t>
            </w:r>
            <w:r w:rsidR="00B352AF">
              <w:rPr>
                <w:rFonts w:asciiTheme="majorHAnsi" w:hAnsiTheme="majorHAnsi"/>
                <w:sz w:val="20"/>
              </w:rPr>
              <w:t>NHCDC Cost Centre</w:t>
            </w:r>
          </w:p>
        </w:tc>
        <w:tc>
          <w:tcPr>
            <w:tcW w:w="2032" w:type="pct"/>
            <w:tcBorders>
              <w:bottom w:val="single" w:sz="18" w:space="0" w:color="EFF0F7" w:themeColor="accent4" w:themeTint="33"/>
            </w:tcBorders>
            <w:shd w:val="clear" w:color="auto" w:fill="464E7E" w:themeFill="accent2"/>
            <w:vAlign w:val="center"/>
            <w:hideMark/>
          </w:tcPr>
          <w:p w14:paraId="01CFA718" w14:textId="4AF9BA2A" w:rsidR="00B352AF" w:rsidRPr="00D422F0" w:rsidRDefault="00B352AF">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Reported as ICU Hours (type determined by facility Level 3 status)</w:t>
            </w:r>
          </w:p>
        </w:tc>
      </w:tr>
      <w:tr w:rsidR="007B1AC6" w:rsidRPr="00D422F0" w14:paraId="59F9ECB9"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3E98B6D0" w14:textId="70144044" w:rsidR="00B352AF" w:rsidRPr="00FC6B54" w:rsidRDefault="00B352AF">
            <w:pPr>
              <w:spacing w:before="120" w:after="120"/>
            </w:pPr>
            <w:r w:rsidRPr="0046606B">
              <w:rPr>
                <w:color w:val="44546A" w:themeColor="text2"/>
              </w:rPr>
              <w:t>Adult ICU</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3AA2667" w14:textId="6A525FB4" w:rsidR="00B352AF" w:rsidRPr="00D422F0" w:rsidRDefault="00B352AF"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sidRPr="0046606B">
              <w:rPr>
                <w:i/>
                <w:color w:val="44546A" w:themeColor="text2"/>
              </w:rPr>
              <w:t>Aicu</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18FF2EB" w14:textId="252D854F" w:rsidR="00B352AF" w:rsidRPr="00D422F0" w:rsidRDefault="00214019">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7B1AC6" w:rsidRPr="00D422F0" w14:paraId="603CD81D"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63FB4D8C" w14:textId="47762A3E" w:rsidR="00B352AF" w:rsidRPr="00D422F0" w:rsidRDefault="00B352AF">
            <w:pPr>
              <w:spacing w:before="120" w:after="120"/>
            </w:pPr>
            <w:r w:rsidRPr="0046606B">
              <w:rPr>
                <w:color w:val="44546A" w:themeColor="text2"/>
              </w:rPr>
              <w:t>Paediatric ICU</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ADAD39E" w14:textId="4D364B90" w:rsidR="00B352AF" w:rsidRPr="00D422F0" w:rsidRDefault="009279C2"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Pr>
                <w:i/>
                <w:iCs/>
                <w:color w:val="44546A" w:themeColor="text2"/>
              </w:rPr>
              <w:t>Hdicu</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7F5337B" w14:textId="6FF295BA" w:rsidR="00B352AF" w:rsidRPr="00D422F0" w:rsidRDefault="00EE6752">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7B1AC6" w:rsidRPr="00D422F0" w14:paraId="441B1407"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93BB8FD" w14:textId="30487F51" w:rsidR="00B352AF" w:rsidRPr="00FC6B54" w:rsidRDefault="00B352AF">
            <w:pPr>
              <w:spacing w:before="120" w:after="120"/>
            </w:pPr>
            <w:r w:rsidRPr="0046606B">
              <w:rPr>
                <w:color w:val="44546A" w:themeColor="text2"/>
              </w:rPr>
              <w:t>HDU / Step Down Care</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3347D55" w14:textId="091CAEB5" w:rsidR="00B352AF" w:rsidRPr="00FC6B54" w:rsidRDefault="009279C2"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Pr>
                <w:color w:val="44546A" w:themeColor="text2"/>
              </w:rPr>
              <w:t>N</w:t>
            </w:r>
            <w:r w:rsidR="005C21F5">
              <w:rPr>
                <w:color w:val="44546A" w:themeColor="text2"/>
              </w:rPr>
              <w:t>o services meeting this description delivered in WA</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FB8DAEE" w14:textId="77777777" w:rsidR="00B352AF" w:rsidRPr="008E61F2" w:rsidRDefault="00B352A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293A9C">
              <w:rPr>
                <w:rFonts w:ascii="Segoe UI Symbol" w:hAnsi="Segoe UI Symbol" w:cs="Segoe UI Symbol"/>
                <w:bCs/>
              </w:rPr>
              <w:t>✖</w:t>
            </w:r>
          </w:p>
        </w:tc>
      </w:tr>
      <w:tr w:rsidR="007B1AC6" w:rsidRPr="00D422F0" w14:paraId="37F64642"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DDC26A2" w14:textId="5E280673" w:rsidR="00B352AF" w:rsidRPr="00FC6B54" w:rsidRDefault="00B352AF">
            <w:pPr>
              <w:spacing w:before="120" w:after="120"/>
            </w:pPr>
            <w:r w:rsidRPr="0046606B">
              <w:rPr>
                <w:color w:val="44546A" w:themeColor="text2"/>
              </w:rPr>
              <w:t>Coronary Care Unit</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1C309BD" w14:textId="752E5EEB" w:rsidR="00B352AF" w:rsidRPr="00FC6B54" w:rsidRDefault="00B352AF"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sidRPr="0046606B">
              <w:rPr>
                <w:i/>
                <w:color w:val="44546A" w:themeColor="text2"/>
              </w:rPr>
              <w:t>Ccu</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2597F4A" w14:textId="1DFB37C3" w:rsidR="00B352AF" w:rsidRPr="008E61F2" w:rsidRDefault="00214019">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62B1B">
              <w:rPr>
                <w:rFonts w:ascii="Segoe UI Symbol" w:hAnsi="Segoe UI Symbol" w:cs="Segoe UI Symbol"/>
                <w:bCs/>
              </w:rPr>
              <w:t>✖</w:t>
            </w:r>
          </w:p>
        </w:tc>
      </w:tr>
      <w:tr w:rsidR="007B1AC6" w:rsidRPr="00D422F0" w14:paraId="16D7B0A6"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DF21868" w14:textId="5ADCEE4B" w:rsidR="00B352AF" w:rsidRPr="00FC6B54" w:rsidRDefault="00B352AF">
            <w:pPr>
              <w:spacing w:before="120" w:after="120"/>
            </w:pPr>
            <w:r w:rsidRPr="0046606B">
              <w:rPr>
                <w:color w:val="44546A" w:themeColor="text2"/>
              </w:rPr>
              <w:t>General Critical Care</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B9F4418" w14:textId="6DBDA6E2" w:rsidR="00B352AF" w:rsidRPr="00FC6B54" w:rsidRDefault="00620094"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sidRPr="00620094">
              <w:rPr>
                <w:color w:val="44546A" w:themeColor="text2"/>
              </w:rPr>
              <w:t xml:space="preserve">WA does </w:t>
            </w:r>
            <w:r>
              <w:rPr>
                <w:color w:val="44546A" w:themeColor="text2"/>
              </w:rPr>
              <w:t xml:space="preserve">not report costs under </w:t>
            </w:r>
            <w:r w:rsidRPr="00792E23">
              <w:rPr>
                <w:i/>
                <w:color w:val="44546A" w:themeColor="text2"/>
              </w:rPr>
              <w:t>Gencritcare</w:t>
            </w:r>
            <w:r w:rsidR="005C21F5">
              <w:rPr>
                <w:color w:val="44546A" w:themeColor="text2"/>
              </w:rPr>
              <w:t xml:space="preserve"> - no services meeting this description delivered in WA</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8041F5E" w14:textId="41C3EB97" w:rsidR="00B352AF" w:rsidRPr="008E61F2" w:rsidRDefault="00214019">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62B1B">
              <w:rPr>
                <w:rFonts w:ascii="Segoe UI Symbol" w:hAnsi="Segoe UI Symbol" w:cs="Segoe UI Symbol"/>
                <w:bCs/>
              </w:rPr>
              <w:t>✖</w:t>
            </w:r>
          </w:p>
        </w:tc>
      </w:tr>
      <w:tr w:rsidR="007B1AC6" w:rsidRPr="00D422F0" w14:paraId="31130969"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6BA0A0ED" w14:textId="4C534C42" w:rsidR="00B352AF" w:rsidRPr="00FC6B54" w:rsidRDefault="00B352AF">
            <w:pPr>
              <w:spacing w:before="120" w:after="120"/>
            </w:pPr>
            <w:r w:rsidRPr="0046606B">
              <w:rPr>
                <w:color w:val="44546A" w:themeColor="text2"/>
              </w:rPr>
              <w:t>Other Critical Care</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C4A8F06" w14:textId="00905C75" w:rsidR="00B352AF" w:rsidRPr="00FC6B54" w:rsidRDefault="00792E23"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sidRPr="00620094">
              <w:rPr>
                <w:color w:val="44546A" w:themeColor="text2"/>
              </w:rPr>
              <w:t xml:space="preserve">WA does </w:t>
            </w:r>
            <w:r>
              <w:rPr>
                <w:color w:val="44546A" w:themeColor="text2"/>
              </w:rPr>
              <w:t xml:space="preserve">not report costs under </w:t>
            </w:r>
            <w:r>
              <w:rPr>
                <w:i/>
                <w:iCs/>
                <w:color w:val="44546A" w:themeColor="text2"/>
              </w:rPr>
              <w:t>OtherCritCare</w:t>
            </w:r>
            <w:r w:rsidR="005C21F5">
              <w:rPr>
                <w:i/>
                <w:iCs/>
                <w:color w:val="44546A" w:themeColor="text2"/>
              </w:rPr>
              <w:t xml:space="preserve"> - </w:t>
            </w:r>
            <w:r w:rsidR="005C21F5">
              <w:rPr>
                <w:color w:val="44546A" w:themeColor="text2"/>
              </w:rPr>
              <w:t>no services meeting this description delivered in WA</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35D9473" w14:textId="77777777" w:rsidR="00B352AF" w:rsidRPr="008E61F2" w:rsidRDefault="00B352AF">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B4563F">
              <w:rPr>
                <w:rFonts w:ascii="Segoe UI Symbol" w:hAnsi="Segoe UI Symbol" w:cs="Segoe UI Symbol"/>
                <w:bCs/>
              </w:rPr>
              <w:t>✖</w:t>
            </w:r>
          </w:p>
        </w:tc>
      </w:tr>
      <w:tr w:rsidR="007B1AC6" w:rsidRPr="00D422F0" w14:paraId="59688F01"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425CCFF8" w14:textId="26B96DA4" w:rsidR="00B352AF" w:rsidRPr="00FC6B54" w:rsidRDefault="00B352AF">
            <w:pPr>
              <w:spacing w:before="120" w:after="120"/>
            </w:pPr>
            <w:r w:rsidRPr="0046606B">
              <w:rPr>
                <w:color w:val="44546A" w:themeColor="text2"/>
              </w:rPr>
              <w:t>Neonatal ICU</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DA33A3A" w14:textId="0EFC581B" w:rsidR="00B352AF" w:rsidRPr="00FC6B54" w:rsidRDefault="00B352AF"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sidRPr="0046606B">
              <w:rPr>
                <w:i/>
                <w:color w:val="44546A" w:themeColor="text2"/>
              </w:rPr>
              <w:t>Nicu</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9FDBACD" w14:textId="6C2BB301" w:rsidR="00B352AF" w:rsidRPr="008E61F2" w:rsidRDefault="00214019">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62B1B">
              <w:rPr>
                <w:rFonts w:ascii="Segoe UI Symbol" w:hAnsi="Segoe UI Symbol" w:cs="Segoe UI Symbol"/>
                <w:bCs/>
              </w:rPr>
              <w:t>✖</w:t>
            </w:r>
          </w:p>
        </w:tc>
      </w:tr>
      <w:tr w:rsidR="007B1AC6" w:rsidRPr="00D422F0" w14:paraId="20A83B0E"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B4308B6" w14:textId="52FA8C2C" w:rsidR="00B352AF" w:rsidRPr="00FC6B54" w:rsidRDefault="00B352AF">
            <w:pPr>
              <w:spacing w:before="120" w:after="120"/>
            </w:pPr>
            <w:r w:rsidRPr="0046606B">
              <w:rPr>
                <w:color w:val="44546A" w:themeColor="text2"/>
              </w:rPr>
              <w:lastRenderedPageBreak/>
              <w:t>Special Care Nursery</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5B1DE71" w14:textId="21EA7586" w:rsidR="00B352AF" w:rsidRPr="00FC6B54" w:rsidRDefault="00792E23"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sidRPr="00620094">
              <w:rPr>
                <w:color w:val="44546A" w:themeColor="text2"/>
              </w:rPr>
              <w:t xml:space="preserve">WA does </w:t>
            </w:r>
            <w:r>
              <w:rPr>
                <w:color w:val="44546A" w:themeColor="text2"/>
              </w:rPr>
              <w:t xml:space="preserve">not report costs under </w:t>
            </w:r>
            <w:r w:rsidRPr="00F01E99">
              <w:rPr>
                <w:i/>
                <w:iCs/>
                <w:color w:val="44546A" w:themeColor="text2"/>
              </w:rPr>
              <w:t>Scnicu</w:t>
            </w:r>
            <w:r w:rsidR="005C21F5">
              <w:rPr>
                <w:color w:val="44546A" w:themeColor="text2"/>
              </w:rPr>
              <w:t xml:space="preserve"> - no services meeting this description delivered in WA</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3AF9B53" w14:textId="77777777" w:rsidR="00B352AF" w:rsidRPr="008E61F2" w:rsidRDefault="00B352AF">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Cs/>
              </w:rPr>
              <w:t>✖</w:t>
            </w:r>
          </w:p>
        </w:tc>
      </w:tr>
      <w:tr w:rsidR="007B1AC6" w:rsidRPr="00D422F0" w14:paraId="5FDC3CF9" w14:textId="77777777" w:rsidTr="003F5FC4">
        <w:trPr>
          <w:trHeight w:val="290"/>
        </w:trPr>
        <w:tc>
          <w:tcPr>
            <w:cnfStyle w:val="001000000000" w:firstRow="0" w:lastRow="0" w:firstColumn="1" w:lastColumn="0" w:oddVBand="0" w:evenVBand="0" w:oddHBand="0" w:evenHBand="0" w:firstRowFirstColumn="0" w:firstRowLastColumn="0" w:lastRowFirstColumn="0"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0EE4E4B" w14:textId="7C3CC274" w:rsidR="00B352AF" w:rsidRPr="00FC6B54" w:rsidRDefault="00B352AF">
            <w:pPr>
              <w:spacing w:before="120" w:after="120"/>
            </w:pPr>
            <w:r w:rsidRPr="0046606B">
              <w:rPr>
                <w:color w:val="44546A" w:themeColor="text2"/>
              </w:rPr>
              <w:t>Cardiothoracic ICU</w:t>
            </w:r>
            <w:r w:rsidR="00214019" w:rsidRPr="0046606B">
              <w:rPr>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13E74A8" w14:textId="1BF5B261" w:rsidR="00B352AF" w:rsidRPr="00FC6B54" w:rsidRDefault="00E027FA" w:rsidP="009C5B16">
            <w:pPr>
              <w:spacing w:before="120" w:after="120"/>
              <w:jc w:val="center"/>
              <w:cnfStyle w:val="000000000000" w:firstRow="0" w:lastRow="0" w:firstColumn="0" w:lastColumn="0" w:oddVBand="0" w:evenVBand="0" w:oddHBand="0" w:evenHBand="0" w:firstRowFirstColumn="0" w:firstRowLastColumn="0" w:lastRowFirstColumn="0" w:lastRowLastColumn="0"/>
            </w:pPr>
            <w:r w:rsidRPr="00620094">
              <w:rPr>
                <w:color w:val="44546A" w:themeColor="text2"/>
              </w:rPr>
              <w:t xml:space="preserve">WA does </w:t>
            </w:r>
            <w:r>
              <w:rPr>
                <w:color w:val="44546A" w:themeColor="text2"/>
              </w:rPr>
              <w:t xml:space="preserve">not report costs under </w:t>
            </w:r>
            <w:r w:rsidRPr="00E027FA">
              <w:rPr>
                <w:i/>
                <w:iCs/>
                <w:color w:val="44546A" w:themeColor="text2"/>
              </w:rPr>
              <w:t>Cticu</w:t>
            </w:r>
            <w:r w:rsidR="005C21F5">
              <w:rPr>
                <w:i/>
                <w:iCs/>
                <w:color w:val="44546A" w:themeColor="text2"/>
              </w:rPr>
              <w:t xml:space="preserve"> - </w:t>
            </w:r>
            <w:r w:rsidR="005C21F5">
              <w:rPr>
                <w:color w:val="44546A" w:themeColor="text2"/>
              </w:rPr>
              <w:t>no services meeting this description delivered in WA</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40E099A" w14:textId="77777777" w:rsidR="00B352AF" w:rsidRPr="008E61F2" w:rsidRDefault="00B352AF">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5F5485">
              <w:rPr>
                <w:rFonts w:ascii="Segoe UI Symbol" w:hAnsi="Segoe UI Symbol" w:cs="Segoe UI Symbol"/>
                <w:bCs/>
              </w:rPr>
              <w:t>✖</w:t>
            </w:r>
          </w:p>
        </w:tc>
      </w:tr>
      <w:tr w:rsidR="007B1AC6" w:rsidRPr="00D422F0" w14:paraId="5AC29586" w14:textId="77777777" w:rsidTr="003F5FC4">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39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F1BFC25" w14:textId="150CB067" w:rsidR="00B352AF" w:rsidRPr="00FC6B54" w:rsidRDefault="00B352AF">
            <w:pPr>
              <w:spacing w:before="120" w:after="120"/>
              <w:rPr>
                <w:b w:val="0"/>
              </w:rPr>
            </w:pPr>
            <w:r w:rsidRPr="00214019">
              <w:rPr>
                <w:b w:val="0"/>
                <w:color w:val="44546A" w:themeColor="text2"/>
              </w:rPr>
              <w:t>Psychiatric ICU</w:t>
            </w:r>
            <w:r w:rsidR="00214019" w:rsidRPr="00214019">
              <w:rPr>
                <w:b w:val="0"/>
                <w:bCs/>
                <w:color w:val="44546A" w:themeColor="text2"/>
              </w:rPr>
              <w:t> </w:t>
            </w:r>
          </w:p>
        </w:tc>
        <w:tc>
          <w:tcPr>
            <w:tcW w:w="157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FA4C932" w14:textId="0F9BB202" w:rsidR="00B352AF" w:rsidRPr="00FC6B54" w:rsidRDefault="00E40162" w:rsidP="009C5B16">
            <w:pPr>
              <w:spacing w:before="120" w:after="120"/>
              <w:jc w:val="center"/>
              <w:cnfStyle w:val="010000000000" w:firstRow="0" w:lastRow="1" w:firstColumn="0" w:lastColumn="0" w:oddVBand="0" w:evenVBand="0" w:oddHBand="0" w:evenHBand="0" w:firstRowFirstColumn="0" w:firstRowLastColumn="0" w:lastRowFirstColumn="0" w:lastRowLastColumn="0"/>
              <w:rPr>
                <w:b w:val="0"/>
              </w:rPr>
            </w:pPr>
            <w:r w:rsidRPr="00E40162">
              <w:rPr>
                <w:b w:val="0"/>
                <w:bCs/>
                <w:color w:val="44546A" w:themeColor="text2"/>
              </w:rPr>
              <w:t xml:space="preserve">WA does not report costs under </w:t>
            </w:r>
            <w:r>
              <w:rPr>
                <w:b w:val="0"/>
                <w:bCs/>
                <w:i/>
                <w:iCs/>
                <w:color w:val="44546A" w:themeColor="text2"/>
              </w:rPr>
              <w:t>Psychicu</w:t>
            </w:r>
            <w:r w:rsidR="005C21F5">
              <w:rPr>
                <w:b w:val="0"/>
                <w:bCs/>
                <w:i/>
                <w:iCs/>
                <w:color w:val="44546A" w:themeColor="text2"/>
              </w:rPr>
              <w:t xml:space="preserve"> -</w:t>
            </w:r>
            <w:r w:rsidR="005C21F5" w:rsidRPr="005C21F5">
              <w:rPr>
                <w:b w:val="0"/>
                <w:bCs/>
                <w:i/>
                <w:iCs/>
                <w:color w:val="44546A" w:themeColor="text2"/>
              </w:rPr>
              <w:t xml:space="preserve"> </w:t>
            </w:r>
            <w:r w:rsidR="005C21F5" w:rsidRPr="005C21F5">
              <w:rPr>
                <w:b w:val="0"/>
                <w:bCs/>
                <w:color w:val="44546A" w:themeColor="text2"/>
              </w:rPr>
              <w:t>no services meeting this description delivered in WA</w:t>
            </w:r>
          </w:p>
        </w:tc>
        <w:tc>
          <w:tcPr>
            <w:tcW w:w="203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FC74E05" w14:textId="77777777" w:rsidR="00B352AF" w:rsidRPr="00F01E99" w:rsidRDefault="00B352AF">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DE4E38">
              <w:rPr>
                <w:rFonts w:ascii="Segoe UI Symbol" w:hAnsi="Segoe UI Symbol" w:cs="Segoe UI Symbol"/>
                <w:bCs/>
              </w:rPr>
              <w:t>✖</w:t>
            </w:r>
          </w:p>
        </w:tc>
      </w:tr>
    </w:tbl>
    <w:p w14:paraId="3E0F5855" w14:textId="77777777" w:rsidR="00F370A3" w:rsidRDefault="00F370A3" w:rsidP="00A874B2">
      <w:pPr>
        <w:rPr>
          <w:color w:val="44546A" w:themeColor="text2"/>
        </w:rPr>
      </w:pPr>
    </w:p>
    <w:p w14:paraId="5E0DE0FE" w14:textId="4593CA37" w:rsidR="0070469D" w:rsidRPr="0046606B" w:rsidRDefault="0070469D" w:rsidP="0070469D">
      <w:pPr>
        <w:rPr>
          <w:color w:val="44546A" w:themeColor="text2"/>
        </w:rPr>
      </w:pPr>
      <w:r w:rsidRPr="0046606B">
        <w:rPr>
          <w:color w:val="44546A" w:themeColor="text2"/>
        </w:rPr>
        <w:t xml:space="preserve">WA only reports costs under </w:t>
      </w:r>
      <w:r>
        <w:rPr>
          <w:color w:val="44546A" w:themeColor="text2"/>
        </w:rPr>
        <w:t>4</w:t>
      </w:r>
      <w:r w:rsidRPr="0046606B">
        <w:rPr>
          <w:color w:val="44546A" w:themeColor="text2"/>
        </w:rPr>
        <w:t xml:space="preserve"> of the </w:t>
      </w:r>
      <w:r>
        <w:rPr>
          <w:color w:val="44546A" w:themeColor="text2"/>
        </w:rPr>
        <w:t>10</w:t>
      </w:r>
      <w:r w:rsidRPr="0046606B">
        <w:rPr>
          <w:color w:val="44546A" w:themeColor="text2"/>
        </w:rPr>
        <w:t xml:space="preserve"> </w:t>
      </w:r>
      <w:r w:rsidR="00CC276B" w:rsidRPr="00B54383">
        <w:rPr>
          <w:i/>
          <w:iCs/>
          <w:color w:val="44546A" w:themeColor="text2"/>
        </w:rPr>
        <w:t>Critical</w:t>
      </w:r>
      <w:r w:rsidR="00CC276B">
        <w:rPr>
          <w:color w:val="44546A" w:themeColor="text2"/>
        </w:rPr>
        <w:t xml:space="preserve"> </w:t>
      </w:r>
      <w:r w:rsidRPr="0046606B">
        <w:rPr>
          <w:color w:val="44546A" w:themeColor="text2"/>
        </w:rPr>
        <w:t xml:space="preserve">NHCDC Cost Centres </w:t>
      </w:r>
      <w:r>
        <w:rPr>
          <w:color w:val="44546A" w:themeColor="text2"/>
        </w:rPr>
        <w:t>(</w:t>
      </w:r>
      <w:r w:rsidRPr="0046606B">
        <w:rPr>
          <w:i/>
          <w:iCs/>
          <w:color w:val="44546A" w:themeColor="text2"/>
        </w:rPr>
        <w:t>Aicu</w:t>
      </w:r>
      <w:r w:rsidRPr="0046606B">
        <w:rPr>
          <w:color w:val="44546A" w:themeColor="text2"/>
        </w:rPr>
        <w:t xml:space="preserve">, </w:t>
      </w:r>
      <w:r w:rsidRPr="0046606B">
        <w:rPr>
          <w:i/>
          <w:iCs/>
          <w:color w:val="44546A" w:themeColor="text2"/>
        </w:rPr>
        <w:t>Ccu</w:t>
      </w:r>
      <w:r w:rsidRPr="0046606B">
        <w:rPr>
          <w:color w:val="44546A" w:themeColor="text2"/>
        </w:rPr>
        <w:t xml:space="preserve"> and </w:t>
      </w:r>
      <w:r w:rsidRPr="0046606B">
        <w:rPr>
          <w:i/>
          <w:iCs/>
          <w:color w:val="44546A" w:themeColor="text2"/>
        </w:rPr>
        <w:t>Nicu</w:t>
      </w:r>
      <w:r>
        <w:rPr>
          <w:i/>
          <w:iCs/>
          <w:color w:val="44546A" w:themeColor="text2"/>
        </w:rPr>
        <w:t xml:space="preserve">) </w:t>
      </w:r>
      <w:r w:rsidRPr="003C28DB">
        <w:rPr>
          <w:color w:val="44546A" w:themeColor="text2"/>
        </w:rPr>
        <w:t>and do</w:t>
      </w:r>
      <w:r w:rsidR="00B750D3">
        <w:rPr>
          <w:color w:val="44546A" w:themeColor="text2"/>
        </w:rPr>
        <w:t>es</w:t>
      </w:r>
      <w:r w:rsidRPr="003C28DB">
        <w:rPr>
          <w:color w:val="44546A" w:themeColor="text2"/>
        </w:rPr>
        <w:t xml:space="preserve"> not report any costs under </w:t>
      </w:r>
      <w:r>
        <w:rPr>
          <w:i/>
          <w:iCs/>
          <w:color w:val="44546A" w:themeColor="text2"/>
        </w:rPr>
        <w:t>Hdicu, Cticu, Gencritcare, OtherCritCare, Paedicu, Psychicu, Scnicu</w:t>
      </w:r>
      <w:r w:rsidRPr="0046606B">
        <w:rPr>
          <w:color w:val="44546A" w:themeColor="text2"/>
        </w:rPr>
        <w:t>.</w:t>
      </w:r>
    </w:p>
    <w:p w14:paraId="557D62D6" w14:textId="1D6EE69F" w:rsidR="0070469D" w:rsidRPr="0046606B" w:rsidRDefault="0070469D" w:rsidP="0070469D">
      <w:pPr>
        <w:rPr>
          <w:color w:val="44546A" w:themeColor="text2"/>
        </w:rPr>
      </w:pPr>
      <w:r w:rsidRPr="0046606B">
        <w:rPr>
          <w:color w:val="44546A" w:themeColor="text2"/>
        </w:rPr>
        <w:t>WA do</w:t>
      </w:r>
      <w:r w:rsidR="00B750D3">
        <w:rPr>
          <w:color w:val="44546A" w:themeColor="text2"/>
        </w:rPr>
        <w:t>es</w:t>
      </w:r>
      <w:r w:rsidRPr="0046606B">
        <w:rPr>
          <w:color w:val="44546A" w:themeColor="text2"/>
        </w:rPr>
        <w:t xml:space="preserve"> not </w:t>
      </w:r>
      <w:r>
        <w:rPr>
          <w:color w:val="44546A" w:themeColor="text2"/>
        </w:rPr>
        <w:t>include</w:t>
      </w:r>
      <w:r w:rsidRPr="0046606B">
        <w:rPr>
          <w:color w:val="44546A" w:themeColor="text2"/>
        </w:rPr>
        <w:t xml:space="preserve"> NICU, </w:t>
      </w:r>
      <w:r w:rsidR="001E671F">
        <w:rPr>
          <w:color w:val="44546A" w:themeColor="text2"/>
        </w:rPr>
        <w:t>SCN</w:t>
      </w:r>
      <w:r w:rsidRPr="0046606B">
        <w:rPr>
          <w:color w:val="44546A" w:themeColor="text2"/>
        </w:rPr>
        <w:t xml:space="preserve">, </w:t>
      </w:r>
      <w:r>
        <w:rPr>
          <w:color w:val="44546A" w:themeColor="text2"/>
        </w:rPr>
        <w:t>CCU</w:t>
      </w:r>
      <w:r w:rsidRPr="0046606B">
        <w:rPr>
          <w:color w:val="44546A" w:themeColor="text2"/>
        </w:rPr>
        <w:t xml:space="preserve"> hours, Close Observation Unit hours or Psychiatric ICU hours in their ICU hours reporting to IHACPA.</w:t>
      </w:r>
    </w:p>
    <w:p w14:paraId="0D7B68CE" w14:textId="43B297D9" w:rsidR="0070469D" w:rsidRDefault="0070469D" w:rsidP="0070469D">
      <w:pPr>
        <w:rPr>
          <w:color w:val="44546A" w:themeColor="text2"/>
        </w:rPr>
      </w:pPr>
      <w:r w:rsidRPr="0046606B">
        <w:rPr>
          <w:color w:val="44546A" w:themeColor="text2"/>
        </w:rPr>
        <w:t xml:space="preserve">The chart below shows the total volume of ICU and PICU reported hours across all WA HSPs and at the participating site, </w:t>
      </w:r>
      <w:r>
        <w:rPr>
          <w:color w:val="44546A" w:themeColor="text2"/>
        </w:rPr>
        <w:t xml:space="preserve">SCGH, </w:t>
      </w:r>
      <w:r w:rsidRPr="0046606B">
        <w:rPr>
          <w:color w:val="44546A" w:themeColor="text2"/>
        </w:rPr>
        <w:t>represents 15% of all ICU hours in WA</w:t>
      </w:r>
      <w:r>
        <w:rPr>
          <w:color w:val="44546A" w:themeColor="text2"/>
        </w:rPr>
        <w:t>.</w:t>
      </w:r>
      <w:r w:rsidR="00176A19">
        <w:rPr>
          <w:color w:val="44546A" w:themeColor="text2"/>
        </w:rPr>
        <w:t xml:space="preserve"> </w:t>
      </w:r>
      <w:r w:rsidR="00176A19" w:rsidRPr="0046606B">
        <w:rPr>
          <w:color w:val="44546A" w:themeColor="text2"/>
        </w:rPr>
        <w:t xml:space="preserve">All WA HSPs report all ICU hours under </w:t>
      </w:r>
      <w:r w:rsidR="00176A19" w:rsidRPr="0046606B">
        <w:rPr>
          <w:i/>
          <w:color w:val="44546A" w:themeColor="text2"/>
        </w:rPr>
        <w:t>Level 3 ICU Hours.</w:t>
      </w:r>
    </w:p>
    <w:p w14:paraId="3F184899" w14:textId="5FDC04AF" w:rsidR="0070469D" w:rsidRDefault="00B750D3"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34</w:t>
      </w:r>
      <w:r w:rsidR="00BD5B5E">
        <w:fldChar w:fldCharType="end"/>
      </w:r>
      <w:r>
        <w:t xml:space="preserve">: </w:t>
      </w:r>
      <w:r w:rsidRPr="004B2239">
        <w:t xml:space="preserve">Volume and percentage of ICU hours, reported by Level 3 ICU Hours and Other ICU Hours, at </w:t>
      </w:r>
      <w:r w:rsidR="009366BB">
        <w:t>SCGH</w:t>
      </w:r>
      <w:r w:rsidRPr="004B2239">
        <w:t xml:space="preserve"> and all WA hospitals</w:t>
      </w:r>
    </w:p>
    <w:p w14:paraId="01C135F2" w14:textId="2F2D717B" w:rsidR="0070469D" w:rsidRDefault="007776D8" w:rsidP="00AD1F32">
      <w:pPr>
        <w:jc w:val="center"/>
        <w:rPr>
          <w:color w:val="44546A" w:themeColor="text2"/>
        </w:rPr>
      </w:pPr>
      <w:r w:rsidRPr="007776D8">
        <w:rPr>
          <w:noProof/>
        </w:rPr>
        <w:drawing>
          <wp:inline distT="0" distB="0" distL="0" distR="0" wp14:anchorId="5C450C3B" wp14:editId="59787A7B">
            <wp:extent cx="4233196" cy="2072512"/>
            <wp:effectExtent l="0" t="0" r="0" b="4445"/>
            <wp:docPr id="1173293214" name="Picture 1" descr="P26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93214" name="Picture 1" descr="P2638#yIS1"/>
                    <pic:cNvPicPr/>
                  </pic:nvPicPr>
                  <pic:blipFill>
                    <a:blip r:embed="rId97"/>
                    <a:stretch>
                      <a:fillRect/>
                    </a:stretch>
                  </pic:blipFill>
                  <pic:spPr>
                    <a:xfrm>
                      <a:off x="0" y="0"/>
                      <a:ext cx="4248094" cy="2079806"/>
                    </a:xfrm>
                    <a:prstGeom prst="rect">
                      <a:avLst/>
                    </a:prstGeom>
                  </pic:spPr>
                </pic:pic>
              </a:graphicData>
            </a:graphic>
          </wp:inline>
        </w:drawing>
      </w:r>
    </w:p>
    <w:p w14:paraId="40CA1A2C" w14:textId="289E1CC6" w:rsidR="00BB5537" w:rsidRPr="00AD1F32" w:rsidRDefault="00BB5537" w:rsidP="009F419F">
      <w:pPr>
        <w:pStyle w:val="Heading4"/>
        <w:rPr>
          <w:color w:val="484B5D" w:themeColor="accent3"/>
        </w:rPr>
      </w:pPr>
      <w:r w:rsidRPr="00AD1F32">
        <w:rPr>
          <w:color w:val="484B5D" w:themeColor="accent3"/>
        </w:rPr>
        <w:t xml:space="preserve">Costs included in the </w:t>
      </w:r>
      <w:r w:rsidRPr="00AD1F32">
        <w:rPr>
          <w:i/>
          <w:color w:val="484B5D" w:themeColor="accent3"/>
        </w:rPr>
        <w:t>Critical</w:t>
      </w:r>
      <w:r w:rsidRPr="00AD1F32">
        <w:rPr>
          <w:color w:val="484B5D" w:themeColor="accent3"/>
        </w:rPr>
        <w:t xml:space="preserve"> </w:t>
      </w:r>
      <w:r w:rsidR="007B6863" w:rsidRPr="00AD1F32">
        <w:rPr>
          <w:color w:val="484B5D" w:themeColor="accent3"/>
        </w:rPr>
        <w:t xml:space="preserve">NHCDC </w:t>
      </w:r>
      <w:r w:rsidRPr="00AD1F32">
        <w:rPr>
          <w:color w:val="484B5D" w:themeColor="accent3"/>
        </w:rPr>
        <w:t>Cost Centre Group</w:t>
      </w:r>
    </w:p>
    <w:p w14:paraId="401E62DC" w14:textId="59D8A371" w:rsidR="00853FE5" w:rsidRPr="0046606B" w:rsidRDefault="00853FE5" w:rsidP="00853FE5">
      <w:pPr>
        <w:rPr>
          <w:color w:val="44546A" w:themeColor="text2"/>
        </w:rPr>
      </w:pPr>
      <w:r w:rsidRPr="00AD1F32">
        <w:t xml:space="preserve">The Critical Care Focused Review aimed at understanding the resources consumed by patients admitted into the different critical care </w:t>
      </w:r>
      <w:r w:rsidRPr="0046606B">
        <w:rPr>
          <w:color w:val="44546A" w:themeColor="text2"/>
        </w:rPr>
        <w:t xml:space="preserve">departments, and identifying how these were allocated to </w:t>
      </w:r>
      <w:r w:rsidRPr="0046606B">
        <w:rPr>
          <w:color w:val="44546A" w:themeColor="text2"/>
        </w:rPr>
        <w:lastRenderedPageBreak/>
        <w:t xml:space="preserve">individual patients, and which costs were reported against the </w:t>
      </w:r>
      <w:r w:rsidRPr="00EC0C63">
        <w:rPr>
          <w:i/>
          <w:color w:val="44546A" w:themeColor="text2"/>
        </w:rPr>
        <w:t>Critical</w:t>
      </w:r>
      <w:r w:rsidRPr="0046606B">
        <w:rPr>
          <w:color w:val="44546A" w:themeColor="text2"/>
        </w:rPr>
        <w:t xml:space="preserve"> </w:t>
      </w:r>
      <w:r w:rsidR="00C639A5">
        <w:rPr>
          <w:color w:val="44546A" w:themeColor="text2"/>
        </w:rPr>
        <w:t xml:space="preserve">NHCDC </w:t>
      </w:r>
      <w:r w:rsidRPr="0046606B">
        <w:rPr>
          <w:color w:val="44546A" w:themeColor="text2"/>
        </w:rPr>
        <w:t xml:space="preserve">Cost Centre Group within NHCDC reporting. </w:t>
      </w:r>
    </w:p>
    <w:p w14:paraId="68C372E0" w14:textId="01AAC7BF" w:rsidR="00853FE5" w:rsidRPr="0046606B" w:rsidRDefault="00853FE5" w:rsidP="00853FE5">
      <w:pPr>
        <w:rPr>
          <w:color w:val="44546A" w:themeColor="text2"/>
        </w:rPr>
      </w:pPr>
      <w:r w:rsidRPr="0046606B">
        <w:rPr>
          <w:color w:val="44546A" w:themeColor="text2"/>
        </w:rPr>
        <w:t>In general, WA includes the following costs in the</w:t>
      </w:r>
      <w:r w:rsidR="00ED7516">
        <w:rPr>
          <w:color w:val="44546A" w:themeColor="text2"/>
        </w:rPr>
        <w:t xml:space="preserve"> </w:t>
      </w:r>
      <w:r w:rsidRPr="00EC0C63">
        <w:rPr>
          <w:i/>
          <w:color w:val="44546A" w:themeColor="text2"/>
        </w:rPr>
        <w:t>Critical</w:t>
      </w:r>
      <w:r>
        <w:rPr>
          <w:color w:val="44546A" w:themeColor="text2"/>
        </w:rPr>
        <w:t xml:space="preserve"> </w:t>
      </w:r>
      <w:r w:rsidR="00C639A5">
        <w:rPr>
          <w:color w:val="44546A" w:themeColor="text2"/>
        </w:rPr>
        <w:t>NHCDC</w:t>
      </w:r>
      <w:r w:rsidR="007E0409">
        <w:rPr>
          <w:color w:val="44546A" w:themeColor="text2"/>
        </w:rPr>
        <w:t xml:space="preserve"> </w:t>
      </w:r>
      <w:r w:rsidRPr="0046606B">
        <w:rPr>
          <w:color w:val="44546A" w:themeColor="text2"/>
        </w:rPr>
        <w:t>Cost Centre Group:</w:t>
      </w:r>
    </w:p>
    <w:p w14:paraId="2D1AFD3A" w14:textId="77777777" w:rsidR="00853FE5" w:rsidRPr="0046606B" w:rsidRDefault="00853FE5" w:rsidP="006044E0">
      <w:pPr>
        <w:pStyle w:val="ListParagraph"/>
        <w:numPr>
          <w:ilvl w:val="0"/>
          <w:numId w:val="16"/>
        </w:numPr>
        <w:rPr>
          <w:color w:val="44546A" w:themeColor="text2"/>
        </w:rPr>
      </w:pPr>
      <w:r w:rsidRPr="0046606B">
        <w:rPr>
          <w:color w:val="44546A" w:themeColor="text2"/>
        </w:rPr>
        <w:t xml:space="preserve">The staffing costs for nurses, medical (only for intensivists operating in ICUs), admin staff allocated to the wards, </w:t>
      </w:r>
    </w:p>
    <w:p w14:paraId="7F716B97" w14:textId="77777777" w:rsidR="00853FE5" w:rsidRPr="0046606B" w:rsidRDefault="00853FE5" w:rsidP="006044E0">
      <w:pPr>
        <w:pStyle w:val="ListParagraph"/>
        <w:numPr>
          <w:ilvl w:val="0"/>
          <w:numId w:val="16"/>
        </w:numPr>
        <w:rPr>
          <w:color w:val="44546A" w:themeColor="text2"/>
        </w:rPr>
      </w:pPr>
      <w:r w:rsidRPr="0046606B">
        <w:rPr>
          <w:color w:val="44546A" w:themeColor="text2"/>
        </w:rPr>
        <w:t xml:space="preserve">Imprest drugs, medical consumables, hotel costs and overheads. </w:t>
      </w:r>
    </w:p>
    <w:p w14:paraId="3D3971AC" w14:textId="1C205990" w:rsidR="00853FE5" w:rsidRPr="0046606B" w:rsidRDefault="00853FE5" w:rsidP="00853FE5">
      <w:pPr>
        <w:rPr>
          <w:color w:val="44546A" w:themeColor="text2"/>
        </w:rPr>
      </w:pPr>
      <w:r w:rsidRPr="0046606B">
        <w:rPr>
          <w:color w:val="44546A" w:themeColor="text2"/>
        </w:rPr>
        <w:t>The resources consumed by patients whilst in the ICU</w:t>
      </w:r>
      <w:r w:rsidR="008511E4">
        <w:rPr>
          <w:color w:val="44546A" w:themeColor="text2"/>
        </w:rPr>
        <w:t xml:space="preserve"> </w:t>
      </w:r>
      <w:r w:rsidRPr="0046606B">
        <w:rPr>
          <w:color w:val="44546A" w:themeColor="text2"/>
        </w:rPr>
        <w:t>/</w:t>
      </w:r>
      <w:r w:rsidR="008511E4">
        <w:rPr>
          <w:color w:val="44546A" w:themeColor="text2"/>
        </w:rPr>
        <w:t xml:space="preserve"> </w:t>
      </w:r>
      <w:r w:rsidRPr="0046606B">
        <w:rPr>
          <w:color w:val="44546A" w:themeColor="text2"/>
        </w:rPr>
        <w:t xml:space="preserve">critical care departments that are allocated to the patient but reported under a different </w:t>
      </w:r>
      <w:r w:rsidR="00CC276B">
        <w:rPr>
          <w:color w:val="44546A" w:themeColor="text2"/>
        </w:rPr>
        <w:t xml:space="preserve">NHCDC </w:t>
      </w:r>
      <w:r w:rsidRPr="0046606B">
        <w:rPr>
          <w:color w:val="44546A" w:themeColor="text2"/>
        </w:rPr>
        <w:t>Cost Centre Group</w:t>
      </w:r>
      <w:r w:rsidR="00FE6488">
        <w:rPr>
          <w:color w:val="44546A" w:themeColor="text2"/>
        </w:rPr>
        <w:t xml:space="preserve"> (e.g. not </w:t>
      </w:r>
      <w:r w:rsidR="00FE6488" w:rsidRPr="00AD1F32">
        <w:rPr>
          <w:i/>
          <w:iCs/>
          <w:color w:val="44546A" w:themeColor="text2"/>
        </w:rPr>
        <w:t>Critica</w:t>
      </w:r>
      <w:r w:rsidR="005650D5">
        <w:rPr>
          <w:i/>
          <w:iCs/>
          <w:color w:val="44546A" w:themeColor="text2"/>
        </w:rPr>
        <w:t>l</w:t>
      </w:r>
      <w:r w:rsidR="00FE6488">
        <w:rPr>
          <w:i/>
          <w:iCs/>
          <w:color w:val="44546A" w:themeColor="text2"/>
        </w:rPr>
        <w:t>)</w:t>
      </w:r>
      <w:r w:rsidR="005650D5">
        <w:rPr>
          <w:i/>
          <w:iCs/>
          <w:color w:val="44546A" w:themeColor="text2"/>
        </w:rPr>
        <w:t xml:space="preserve"> i</w:t>
      </w:r>
      <w:r w:rsidRPr="0046606B">
        <w:rPr>
          <w:color w:val="44546A" w:themeColor="text2"/>
        </w:rPr>
        <w:t xml:space="preserve">nclude pathology, imaging, drugs, allied health and other medical costs. </w:t>
      </w:r>
    </w:p>
    <w:p w14:paraId="5FCAAA06" w14:textId="2C7EB828" w:rsidR="00853FE5" w:rsidRPr="0046606B" w:rsidRDefault="00853FE5" w:rsidP="00853FE5">
      <w:pPr>
        <w:rPr>
          <w:color w:val="44546A" w:themeColor="text2"/>
        </w:rPr>
      </w:pPr>
      <w:r w:rsidRPr="0046606B">
        <w:rPr>
          <w:color w:val="44546A" w:themeColor="text2"/>
        </w:rPr>
        <w:t>The analysis of NHCDC critical care costs has focused on the Adult ICU and Paediatric ICU reported costs, as corresponding ICU hours were reported for these episodes. Other critical care costs (such as CCU, NICU</w:t>
      </w:r>
      <w:r w:rsidR="003A4AE3">
        <w:rPr>
          <w:color w:val="44546A" w:themeColor="text2"/>
        </w:rPr>
        <w:t>,</w:t>
      </w:r>
      <w:r w:rsidRPr="0046606B">
        <w:rPr>
          <w:color w:val="44546A" w:themeColor="text2"/>
        </w:rPr>
        <w:t xml:space="preserve"> etc</w:t>
      </w:r>
      <w:r w:rsidR="003A4AE3">
        <w:rPr>
          <w:color w:val="44546A" w:themeColor="text2"/>
        </w:rPr>
        <w:t>.</w:t>
      </w:r>
      <w:r w:rsidRPr="0046606B">
        <w:rPr>
          <w:color w:val="44546A" w:themeColor="text2"/>
        </w:rPr>
        <w:t>) cannot meaningfully be compared as no critical care hours for these episodes are reported.   </w:t>
      </w:r>
      <w:r w:rsidR="00E31C3B" w:rsidRPr="00E31C3B">
        <w:rPr>
          <w:color w:val="44546A" w:themeColor="text2"/>
        </w:rPr>
        <w:t xml:space="preserve">WA reports NICU hours as ‘ICU Hours’ and for Perth </w:t>
      </w:r>
      <w:r w:rsidR="00B03734" w:rsidRPr="00E31C3B">
        <w:rPr>
          <w:color w:val="44546A" w:themeColor="text2"/>
        </w:rPr>
        <w:t>Children’s</w:t>
      </w:r>
      <w:r w:rsidR="00E31C3B" w:rsidRPr="00E31C3B">
        <w:rPr>
          <w:color w:val="44546A" w:themeColor="text2"/>
        </w:rPr>
        <w:t xml:space="preserve"> Hospital they report both Paediatric and Neonate under ICU hours</w:t>
      </w:r>
      <w:r w:rsidR="00B53435">
        <w:rPr>
          <w:color w:val="44546A" w:themeColor="text2"/>
        </w:rPr>
        <w:t>. S</w:t>
      </w:r>
      <w:r w:rsidR="00E31C3B" w:rsidRPr="00E31C3B">
        <w:rPr>
          <w:color w:val="44546A" w:themeColor="text2"/>
        </w:rPr>
        <w:t>plitting out the Paed</w:t>
      </w:r>
      <w:r w:rsidR="00DA52E2">
        <w:rPr>
          <w:color w:val="44546A" w:themeColor="text2"/>
        </w:rPr>
        <w:t xml:space="preserve">iatric </w:t>
      </w:r>
      <w:r w:rsidR="00E31C3B" w:rsidRPr="00E31C3B">
        <w:rPr>
          <w:color w:val="44546A" w:themeColor="text2"/>
        </w:rPr>
        <w:t>information has not been possible for 2023</w:t>
      </w:r>
      <w:r w:rsidR="00B53435">
        <w:rPr>
          <w:color w:val="44546A" w:themeColor="text2"/>
        </w:rPr>
        <w:t>-</w:t>
      </w:r>
      <w:r w:rsidR="00E31C3B" w:rsidRPr="00E31C3B">
        <w:rPr>
          <w:color w:val="44546A" w:themeColor="text2"/>
        </w:rPr>
        <w:t>24 and the below represents Adult ICU only</w:t>
      </w:r>
      <w:r w:rsidR="006F22F6">
        <w:rPr>
          <w:color w:val="44546A" w:themeColor="text2"/>
        </w:rPr>
        <w:t xml:space="preserve"> (i.e. exclusive of data from Perth </w:t>
      </w:r>
      <w:r w:rsidR="00DA52E2">
        <w:rPr>
          <w:color w:val="44546A" w:themeColor="text2"/>
        </w:rPr>
        <w:t>Children’s</w:t>
      </w:r>
      <w:r w:rsidR="006F22F6">
        <w:rPr>
          <w:color w:val="44546A" w:themeColor="text2"/>
        </w:rPr>
        <w:t xml:space="preserve"> Hospital</w:t>
      </w:r>
      <w:r w:rsidR="00E31C3B">
        <w:rPr>
          <w:color w:val="44546A" w:themeColor="text2"/>
        </w:rPr>
        <w:t>. F</w:t>
      </w:r>
      <w:r w:rsidR="00E31C3B" w:rsidRPr="00E31C3B">
        <w:rPr>
          <w:color w:val="44546A" w:themeColor="text2"/>
        </w:rPr>
        <w:t>or 2024</w:t>
      </w:r>
      <w:r w:rsidR="00AC715C">
        <w:rPr>
          <w:color w:val="44546A" w:themeColor="text2"/>
        </w:rPr>
        <w:t>-</w:t>
      </w:r>
      <w:r w:rsidR="00E31C3B" w:rsidRPr="00E31C3B">
        <w:rPr>
          <w:color w:val="44546A" w:themeColor="text2"/>
        </w:rPr>
        <w:t>25 WA assures this mapping will be better aligned with the national standards.</w:t>
      </w:r>
    </w:p>
    <w:p w14:paraId="7CE9A083" w14:textId="146BA150" w:rsidR="00853FE5" w:rsidRPr="0046606B" w:rsidRDefault="00853FE5" w:rsidP="00853FE5">
      <w:pPr>
        <w:rPr>
          <w:color w:val="44546A" w:themeColor="text2"/>
        </w:rPr>
      </w:pPr>
      <w:r w:rsidRPr="0046606B">
        <w:rPr>
          <w:color w:val="44546A" w:themeColor="text2"/>
        </w:rPr>
        <w:t xml:space="preserve">An analysis into the Level 3 ICU Costs Per Hour – defined as </w:t>
      </w:r>
      <w:r w:rsidRPr="0046606B">
        <w:rPr>
          <w:i/>
          <w:color w:val="44546A" w:themeColor="text2"/>
        </w:rPr>
        <w:t>Aicu</w:t>
      </w:r>
      <w:r w:rsidRPr="0046606B">
        <w:rPr>
          <w:color w:val="44546A" w:themeColor="text2"/>
        </w:rPr>
        <w:t xml:space="preserve"> + </w:t>
      </w:r>
      <w:r w:rsidRPr="0046606B">
        <w:rPr>
          <w:i/>
          <w:color w:val="44546A" w:themeColor="text2"/>
        </w:rPr>
        <w:t>Paedicu</w:t>
      </w:r>
      <w:r w:rsidRPr="0046606B">
        <w:rPr>
          <w:color w:val="44546A" w:themeColor="text2"/>
        </w:rPr>
        <w:t xml:space="preserve"> costs, divided by </w:t>
      </w:r>
      <w:r w:rsidR="00AC715C" w:rsidRPr="0046606B">
        <w:rPr>
          <w:i/>
          <w:color w:val="44546A" w:themeColor="text2"/>
        </w:rPr>
        <w:t>Level</w:t>
      </w:r>
      <w:r w:rsidR="00AC715C">
        <w:rPr>
          <w:i/>
          <w:color w:val="44546A" w:themeColor="text2"/>
        </w:rPr>
        <w:t> </w:t>
      </w:r>
      <w:r w:rsidRPr="0046606B">
        <w:rPr>
          <w:i/>
          <w:color w:val="44546A" w:themeColor="text2"/>
        </w:rPr>
        <w:t>3 ICU Hours</w:t>
      </w:r>
      <w:r w:rsidRPr="0046606B">
        <w:rPr>
          <w:color w:val="44546A" w:themeColor="text2"/>
        </w:rPr>
        <w:t>, shows the following: </w:t>
      </w:r>
    </w:p>
    <w:p w14:paraId="29BFB6DB" w14:textId="60C6EB06" w:rsidR="00853FE5" w:rsidRPr="0046606B" w:rsidRDefault="00853FE5" w:rsidP="008A10C6">
      <w:pPr>
        <w:pStyle w:val="ListParagraph"/>
        <w:numPr>
          <w:ilvl w:val="0"/>
          <w:numId w:val="83"/>
        </w:numPr>
        <w:rPr>
          <w:color w:val="44546A" w:themeColor="text2"/>
        </w:rPr>
      </w:pPr>
      <w:r w:rsidRPr="0046606B">
        <w:rPr>
          <w:color w:val="44546A" w:themeColor="text2"/>
        </w:rPr>
        <w:t>Overall</w:t>
      </w:r>
      <w:r w:rsidR="003A4AE3" w:rsidRPr="0046606B">
        <w:rPr>
          <w:color w:val="44546A" w:themeColor="text2"/>
        </w:rPr>
        <w:t>,</w:t>
      </w:r>
      <w:r w:rsidRPr="0046606B">
        <w:rPr>
          <w:color w:val="44546A" w:themeColor="text2"/>
        </w:rPr>
        <w:t xml:space="preserve"> there is significant variation in average </w:t>
      </w:r>
      <w:r w:rsidR="00821838">
        <w:rPr>
          <w:color w:val="44546A" w:themeColor="text2"/>
        </w:rPr>
        <w:t xml:space="preserve">Adult </w:t>
      </w:r>
      <w:r w:rsidRPr="0046606B">
        <w:rPr>
          <w:color w:val="44546A" w:themeColor="text2"/>
        </w:rPr>
        <w:t xml:space="preserve">ICU </w:t>
      </w:r>
      <w:r w:rsidR="00671BA4">
        <w:rPr>
          <w:color w:val="44546A" w:themeColor="text2"/>
        </w:rPr>
        <w:t>C</w:t>
      </w:r>
      <w:r w:rsidRPr="0046606B">
        <w:rPr>
          <w:color w:val="44546A" w:themeColor="text2"/>
        </w:rPr>
        <w:t xml:space="preserve">osts </w:t>
      </w:r>
      <w:r w:rsidR="00C134BE">
        <w:rPr>
          <w:color w:val="44546A" w:themeColor="text2"/>
        </w:rPr>
        <w:t>P</w:t>
      </w:r>
      <w:r w:rsidRPr="0046606B">
        <w:rPr>
          <w:color w:val="44546A" w:themeColor="text2"/>
        </w:rPr>
        <w:t xml:space="preserve">er </w:t>
      </w:r>
      <w:r w:rsidR="00C134BE">
        <w:rPr>
          <w:color w:val="44546A" w:themeColor="text2"/>
        </w:rPr>
        <w:t>H</w:t>
      </w:r>
      <w:r w:rsidRPr="0046606B">
        <w:rPr>
          <w:color w:val="44546A" w:themeColor="text2"/>
        </w:rPr>
        <w:t>ours across WA, ranging from $</w:t>
      </w:r>
      <w:r>
        <w:rPr>
          <w:color w:val="44546A" w:themeColor="text2"/>
        </w:rPr>
        <w:t>230.55</w:t>
      </w:r>
      <w:r w:rsidRPr="0046606B">
        <w:rPr>
          <w:color w:val="44546A" w:themeColor="text2"/>
        </w:rPr>
        <w:t xml:space="preserve"> to $575.82</w:t>
      </w:r>
      <w:r w:rsidR="00C610CC">
        <w:rPr>
          <w:color w:val="44546A" w:themeColor="text2"/>
        </w:rPr>
        <w:t>. This</w:t>
      </w:r>
      <w:r w:rsidRPr="0046606B">
        <w:rPr>
          <w:color w:val="44546A" w:themeColor="text2"/>
        </w:rPr>
        <w:t xml:space="preserve"> is indicative of either significant differences in clinical practice in each ICU, or differences in how costs or hours are reported by each HSP.</w:t>
      </w:r>
    </w:p>
    <w:p w14:paraId="3AD6AD60" w14:textId="77777777" w:rsidR="00853FE5" w:rsidRPr="0046606B" w:rsidRDefault="00853FE5" w:rsidP="008A10C6">
      <w:pPr>
        <w:pStyle w:val="ListParagraph"/>
        <w:numPr>
          <w:ilvl w:val="0"/>
          <w:numId w:val="83"/>
        </w:numPr>
        <w:rPr>
          <w:color w:val="44546A" w:themeColor="text2"/>
        </w:rPr>
      </w:pPr>
      <w:r w:rsidRPr="0046606B">
        <w:rPr>
          <w:color w:val="44546A" w:themeColor="text2"/>
        </w:rPr>
        <w:t xml:space="preserve">The WA </w:t>
      </w:r>
      <w:r>
        <w:rPr>
          <w:color w:val="44546A" w:themeColor="text2"/>
        </w:rPr>
        <w:t>a</w:t>
      </w:r>
      <w:r w:rsidRPr="0046606B">
        <w:rPr>
          <w:color w:val="44546A" w:themeColor="text2"/>
        </w:rPr>
        <w:t>verage L</w:t>
      </w:r>
      <w:r>
        <w:rPr>
          <w:color w:val="44546A" w:themeColor="text2"/>
        </w:rPr>
        <w:t xml:space="preserve">evel </w:t>
      </w:r>
      <w:r w:rsidRPr="0046606B">
        <w:rPr>
          <w:color w:val="44546A" w:themeColor="text2"/>
        </w:rPr>
        <w:t>3 ICU Cost Per Hour is $</w:t>
      </w:r>
      <w:r>
        <w:rPr>
          <w:color w:val="44546A" w:themeColor="text2"/>
        </w:rPr>
        <w:t>275.07</w:t>
      </w:r>
      <w:r w:rsidRPr="0046606B">
        <w:rPr>
          <w:color w:val="44546A" w:themeColor="text2"/>
        </w:rPr>
        <w:t>  </w:t>
      </w:r>
    </w:p>
    <w:p w14:paraId="0788835B" w14:textId="77777777" w:rsidR="00853FE5" w:rsidRDefault="00853FE5" w:rsidP="008A10C6">
      <w:pPr>
        <w:pStyle w:val="ListParagraph"/>
        <w:numPr>
          <w:ilvl w:val="0"/>
          <w:numId w:val="83"/>
        </w:numPr>
        <w:rPr>
          <w:color w:val="44546A" w:themeColor="text2"/>
        </w:rPr>
      </w:pPr>
      <w:r>
        <w:rPr>
          <w:color w:val="44546A" w:themeColor="text2"/>
        </w:rPr>
        <w:t>SCGH’s</w:t>
      </w:r>
      <w:r w:rsidRPr="0046606B">
        <w:rPr>
          <w:color w:val="44546A" w:themeColor="text2"/>
        </w:rPr>
        <w:t xml:space="preserve"> average L</w:t>
      </w:r>
      <w:r>
        <w:rPr>
          <w:color w:val="44546A" w:themeColor="text2"/>
        </w:rPr>
        <w:t xml:space="preserve">evel </w:t>
      </w:r>
      <w:r w:rsidRPr="0046606B">
        <w:rPr>
          <w:color w:val="44546A" w:themeColor="text2"/>
        </w:rPr>
        <w:t>3 ICU Cost Per Hour is $255.43 (</w:t>
      </w:r>
      <w:r>
        <w:rPr>
          <w:color w:val="44546A" w:themeColor="text2"/>
        </w:rPr>
        <w:t>7</w:t>
      </w:r>
      <w:r w:rsidRPr="0046606B">
        <w:rPr>
          <w:color w:val="44546A" w:themeColor="text2"/>
        </w:rPr>
        <w:t>% higher than the state average). </w:t>
      </w:r>
    </w:p>
    <w:p w14:paraId="551FB6C4" w14:textId="50527CBF" w:rsidR="00853FE5" w:rsidRPr="00853FE5" w:rsidRDefault="00853FE5" w:rsidP="008A10C6">
      <w:pPr>
        <w:pStyle w:val="ListParagraph"/>
        <w:numPr>
          <w:ilvl w:val="0"/>
          <w:numId w:val="83"/>
        </w:numPr>
        <w:rPr>
          <w:color w:val="44546A" w:themeColor="text2"/>
        </w:rPr>
      </w:pPr>
      <w:r w:rsidRPr="00853FE5">
        <w:rPr>
          <w:color w:val="44546A" w:themeColor="text2"/>
        </w:rPr>
        <w:t>WA Country’s average Level 3 ICU Cost Per Hour is $575.82 (109% higher than the state average).</w:t>
      </w:r>
    </w:p>
    <w:p w14:paraId="552D7F4A" w14:textId="568D2BE1" w:rsidR="00853FE5" w:rsidRDefault="00053B72" w:rsidP="00AD1F32">
      <w:pPr>
        <w:pStyle w:val="Caption"/>
        <w:keepNext/>
      </w:pPr>
      <w:r>
        <w:lastRenderedPageBreak/>
        <w:t xml:space="preserve">Figure </w:t>
      </w:r>
      <w:r w:rsidR="00BD5B5E">
        <w:rPr>
          <w:i w:val="0"/>
        </w:rPr>
        <w:fldChar w:fldCharType="begin"/>
      </w:r>
      <w:r w:rsidR="00BD5B5E">
        <w:instrText xml:space="preserve"> SEQ Figure \* ARABIC </w:instrText>
      </w:r>
      <w:r w:rsidR="00BD5B5E">
        <w:rPr>
          <w:i w:val="0"/>
        </w:rPr>
        <w:fldChar w:fldCharType="separate"/>
      </w:r>
      <w:r w:rsidR="00CE6F96">
        <w:rPr>
          <w:noProof/>
        </w:rPr>
        <w:t>35</w:t>
      </w:r>
      <w:r w:rsidR="00BD5B5E">
        <w:rPr>
          <w:i w:val="0"/>
        </w:rPr>
        <w:fldChar w:fldCharType="end"/>
      </w:r>
      <w:r>
        <w:t xml:space="preserve">: </w:t>
      </w:r>
      <w:r w:rsidRPr="00C5452C">
        <w:t>Average Cost per L3 ICU Hou</w:t>
      </w:r>
      <w:r>
        <w:t>r</w:t>
      </w:r>
      <w:r w:rsidR="004F4456">
        <w:t xml:space="preserve"> </w:t>
      </w:r>
      <w:r w:rsidR="00D01CB8">
        <w:t>(</w:t>
      </w:r>
      <w:r w:rsidR="004F4456">
        <w:t>for HSPs reporting ICU</w:t>
      </w:r>
      <w:r w:rsidR="00D01CB8">
        <w:t xml:space="preserve"> costs and hours)</w:t>
      </w:r>
      <w:r w:rsidR="00EF19ED">
        <w:t xml:space="preserve"> </w:t>
      </w:r>
      <w:r w:rsidR="00DC216E">
        <w:t>–</w:t>
      </w:r>
      <w:r w:rsidR="00EF19ED">
        <w:t xml:space="preserve"> WA</w:t>
      </w:r>
      <w:r w:rsidR="00DC216E">
        <w:rPr>
          <w:i w:val="0"/>
          <w:noProof/>
        </w:rPr>
        <w:drawing>
          <wp:inline distT="0" distB="0" distL="0" distR="0" wp14:anchorId="3B739F3C" wp14:editId="5F8049A7">
            <wp:extent cx="5857623" cy="2028764"/>
            <wp:effectExtent l="0" t="0" r="0" b="0"/>
            <wp:docPr id="832761160" name="Picture 3" descr="P26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61160" name="Picture 3" descr="P2651#yIS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79295" cy="2036270"/>
                    </a:xfrm>
                    <a:prstGeom prst="rect">
                      <a:avLst/>
                    </a:prstGeom>
                    <a:noFill/>
                  </pic:spPr>
                </pic:pic>
              </a:graphicData>
            </a:graphic>
          </wp:inline>
        </w:drawing>
      </w:r>
      <w:r w:rsidR="00620E31">
        <w:rPr>
          <w:noProof/>
        </w:rPr>
        <mc:AlternateContent>
          <mc:Choice Requires="wps">
            <w:drawing>
              <wp:anchor distT="0" distB="0" distL="114300" distR="114300" simplePos="0" relativeHeight="251658247" behindDoc="0" locked="0" layoutInCell="1" allowOverlap="1" wp14:anchorId="424F6E21" wp14:editId="302775BA">
                <wp:simplePos x="0" y="0"/>
                <wp:positionH relativeFrom="margin">
                  <wp:posOffset>0</wp:posOffset>
                </wp:positionH>
                <wp:positionV relativeFrom="paragraph">
                  <wp:posOffset>2295335</wp:posOffset>
                </wp:positionV>
                <wp:extent cx="5715000" cy="1447800"/>
                <wp:effectExtent l="0" t="0" r="0" b="0"/>
                <wp:wrapTopAndBottom/>
                <wp:docPr id="685654378" name="Text Box 2" descr="P265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3169863D" w14:textId="77777777" w:rsidR="00053B72" w:rsidRPr="001729F2" w:rsidRDefault="00856BB1" w:rsidP="00053B72">
                            <w:pPr>
                              <w:pStyle w:val="Tablebulletpoint"/>
                              <w:numPr>
                                <w:ilvl w:val="0"/>
                                <w:numId w:val="0"/>
                              </w:numPr>
                              <w:spacing w:after="120"/>
                              <w:contextualSpacing w:val="0"/>
                              <w:rPr>
                                <w:color w:val="FFFFFF" w:themeColor="background1"/>
                              </w:rPr>
                            </w:pPr>
                            <w:r w:rsidRPr="001729F2">
                              <w:rPr>
                                <w:b/>
                                <w:bCs/>
                                <w:color w:val="FFFFFF" w:themeColor="background1"/>
                              </w:rPr>
                              <w:t>Critical Care – Average Cost Per Hour Insights:</w:t>
                            </w:r>
                          </w:p>
                          <w:p w14:paraId="3B068E54" w14:textId="6C7211D9" w:rsidR="000C4C26" w:rsidRDefault="00856BB1" w:rsidP="00856BB1">
                            <w:pPr>
                              <w:pStyle w:val="Tablebulletpoint"/>
                              <w:rPr>
                                <w:color w:val="FFFFFF" w:themeColor="background1"/>
                              </w:rPr>
                            </w:pPr>
                            <w:r w:rsidRPr="001729F2">
                              <w:rPr>
                                <w:color w:val="FFFFFF" w:themeColor="background1"/>
                              </w:rPr>
                              <w:t xml:space="preserve">There is a mismatch between the critical care costs and activity reported to IHACPA in WA. </w:t>
                            </w:r>
                          </w:p>
                          <w:p w14:paraId="384F9645" w14:textId="4BE03D4A" w:rsidR="00856BB1" w:rsidRPr="001729F2" w:rsidRDefault="00D018AA" w:rsidP="00856BB1">
                            <w:pPr>
                              <w:pStyle w:val="Tablebulletpoint"/>
                              <w:rPr>
                                <w:color w:val="FFFFFF" w:themeColor="background1"/>
                              </w:rPr>
                            </w:pPr>
                            <w:r w:rsidRPr="001729F2">
                              <w:rPr>
                                <w:color w:val="FFFFFF" w:themeColor="background1"/>
                              </w:rPr>
                              <w:t xml:space="preserve">WA reports NICU costs and CCU costs under the </w:t>
                            </w:r>
                            <w:r w:rsidRPr="00FD64CD">
                              <w:rPr>
                                <w:i/>
                                <w:color w:val="FFFFFF" w:themeColor="background1"/>
                              </w:rPr>
                              <w:t>Critical</w:t>
                            </w:r>
                            <w:r w:rsidRPr="001729F2">
                              <w:rPr>
                                <w:color w:val="FFFFFF" w:themeColor="background1"/>
                              </w:rPr>
                              <w:t xml:space="preserve"> </w:t>
                            </w:r>
                            <w:r>
                              <w:rPr>
                                <w:color w:val="FFFFFF" w:themeColor="background1"/>
                              </w:rPr>
                              <w:t>NHCDC</w:t>
                            </w:r>
                            <w:r w:rsidR="000C4C26">
                              <w:rPr>
                                <w:color w:val="FFFFFF" w:themeColor="background1"/>
                              </w:rPr>
                              <w:t xml:space="preserve"> </w:t>
                            </w:r>
                            <w:r w:rsidRPr="001729F2">
                              <w:rPr>
                                <w:color w:val="FFFFFF" w:themeColor="background1"/>
                              </w:rPr>
                              <w:t xml:space="preserve">Cost Centre Group but does not report these hours under </w:t>
                            </w:r>
                            <w:r w:rsidRPr="001B5AFA">
                              <w:rPr>
                                <w:i/>
                                <w:color w:val="FFFFFF" w:themeColor="background1"/>
                              </w:rPr>
                              <w:t>Other ICU Hours</w:t>
                            </w:r>
                            <w:r w:rsidRPr="001729F2">
                              <w:rPr>
                                <w:color w:val="FFFFFF" w:themeColor="background1"/>
                              </w:rPr>
                              <w:t>.</w:t>
                            </w:r>
                            <w:r w:rsidR="000C4C26">
                              <w:rPr>
                                <w:color w:val="FFFFFF" w:themeColor="background1"/>
                              </w:rPr>
                              <w:t xml:space="preserve"> </w:t>
                            </w:r>
                          </w:p>
                          <w:p w14:paraId="42EDFC77" w14:textId="27859B1C" w:rsidR="00856BB1" w:rsidRPr="00EC0C63" w:rsidRDefault="00856BB1" w:rsidP="00856BB1">
                            <w:pPr>
                              <w:pStyle w:val="Tablebulletpoint"/>
                              <w:rPr>
                                <w:color w:val="FFFFFF" w:themeColor="background1"/>
                              </w:rPr>
                            </w:pPr>
                            <w:r w:rsidRPr="00EC0C63">
                              <w:rPr>
                                <w:color w:val="FFFFFF" w:themeColor="background1"/>
                              </w:rPr>
                              <w:t xml:space="preserve">Paediatric ICU costs </w:t>
                            </w:r>
                            <w:r w:rsidR="002B51CD">
                              <w:rPr>
                                <w:color w:val="FFFFFF" w:themeColor="background1"/>
                              </w:rPr>
                              <w:t>were</w:t>
                            </w:r>
                            <w:r w:rsidR="002B51CD" w:rsidRPr="00EC0C63">
                              <w:rPr>
                                <w:color w:val="FFFFFF" w:themeColor="background1"/>
                              </w:rPr>
                              <w:t xml:space="preserve"> </w:t>
                            </w:r>
                            <w:r w:rsidRPr="00EC0C63">
                              <w:rPr>
                                <w:color w:val="FFFFFF" w:themeColor="background1"/>
                              </w:rPr>
                              <w:t xml:space="preserve">reported under </w:t>
                            </w:r>
                            <w:r w:rsidR="00316CDE">
                              <w:rPr>
                                <w:i/>
                                <w:iCs/>
                                <w:color w:val="FFFFFF" w:themeColor="background1"/>
                              </w:rPr>
                              <w:t>Hdicu</w:t>
                            </w:r>
                            <w:r w:rsidR="00316CDE" w:rsidRPr="00EC0C63">
                              <w:rPr>
                                <w:color w:val="FFFFFF" w:themeColor="background1"/>
                              </w:rPr>
                              <w:t xml:space="preserve"> </w:t>
                            </w:r>
                            <w:r w:rsidR="00F57440">
                              <w:rPr>
                                <w:color w:val="FFFFFF" w:themeColor="background1"/>
                              </w:rPr>
                              <w:t>NHCDC C</w:t>
                            </w:r>
                            <w:r w:rsidRPr="00EC0C63">
                              <w:rPr>
                                <w:color w:val="FFFFFF" w:themeColor="background1"/>
                              </w:rPr>
                              <w:t xml:space="preserve">ost </w:t>
                            </w:r>
                            <w:r w:rsidR="00F57440">
                              <w:rPr>
                                <w:color w:val="FFFFFF" w:themeColor="background1"/>
                              </w:rPr>
                              <w:t>C</w:t>
                            </w:r>
                            <w:r w:rsidRPr="00EC0C63">
                              <w:rPr>
                                <w:color w:val="FFFFFF" w:themeColor="background1"/>
                              </w:rPr>
                              <w:t xml:space="preserve">entre not </w:t>
                            </w:r>
                            <w:r w:rsidRPr="00AB61AF">
                              <w:rPr>
                                <w:i/>
                                <w:iCs/>
                                <w:color w:val="FFFFFF" w:themeColor="background1"/>
                              </w:rPr>
                              <w:t>Paedicu</w:t>
                            </w:r>
                            <w:r w:rsidRPr="00EC0C63">
                              <w:rPr>
                                <w:color w:val="FFFFFF" w:themeColor="background1"/>
                              </w:rPr>
                              <w:t xml:space="preserve"> </w:t>
                            </w:r>
                            <w:r w:rsidR="00F57440">
                              <w:rPr>
                                <w:color w:val="FFFFFF" w:themeColor="background1"/>
                              </w:rPr>
                              <w:t>C</w:t>
                            </w:r>
                            <w:r w:rsidRPr="00EC0C63">
                              <w:rPr>
                                <w:color w:val="FFFFFF" w:themeColor="background1"/>
                              </w:rPr>
                              <w:t xml:space="preserve">ost </w:t>
                            </w:r>
                            <w:r w:rsidR="00F57440">
                              <w:rPr>
                                <w:color w:val="FFFFFF" w:themeColor="background1"/>
                              </w:rPr>
                              <w:t>C</w:t>
                            </w:r>
                            <w:r w:rsidRPr="00EC0C63">
                              <w:rPr>
                                <w:color w:val="FFFFFF" w:themeColor="background1"/>
                              </w:rPr>
                              <w:t>entre</w:t>
                            </w:r>
                            <w:r w:rsidR="002B51CD">
                              <w:rPr>
                                <w:color w:val="FFFFFF" w:themeColor="background1"/>
                              </w:rPr>
                              <w:t xml:space="preserve"> in </w:t>
                            </w:r>
                            <w:r w:rsidR="00E519F8">
                              <w:rPr>
                                <w:color w:val="FFFFFF" w:themeColor="background1"/>
                              </w:rPr>
                              <w:t xml:space="preserve">2023-24. Future submissions will be mapped to </w:t>
                            </w:r>
                            <w:r w:rsidR="00E519F8" w:rsidRPr="00AD1F32">
                              <w:rPr>
                                <w:i/>
                                <w:iCs/>
                                <w:color w:val="FFFFFF" w:themeColor="background1"/>
                              </w:rPr>
                              <w:t>Paedicu</w:t>
                            </w:r>
                            <w:r w:rsidR="00E519F8">
                              <w:rPr>
                                <w:color w:val="FFFFFF" w:themeColor="background1"/>
                              </w:rPr>
                              <w:t>.</w:t>
                            </w:r>
                          </w:p>
                          <w:p w14:paraId="469AA495" w14:textId="037A83BC" w:rsidR="00856BB1" w:rsidRPr="001729F2" w:rsidRDefault="00856BB1" w:rsidP="00856BB1">
                            <w:pPr>
                              <w:pStyle w:val="Tablebulletpoint"/>
                              <w:rPr>
                                <w:color w:val="FFFFFF" w:themeColor="background1"/>
                              </w:rPr>
                            </w:pPr>
                            <w:r w:rsidRPr="001729F2">
                              <w:rPr>
                                <w:color w:val="FFFFFF" w:themeColor="background1"/>
                              </w:rPr>
                              <w:t xml:space="preserve">Some costs incurred during an ICU stay (allied health, drugs, imaging and pathology) do not flow through to the </w:t>
                            </w:r>
                            <w:r w:rsidRPr="00AB61AF">
                              <w:rPr>
                                <w:i/>
                                <w:iCs/>
                                <w:color w:val="FFFFFF" w:themeColor="background1"/>
                              </w:rPr>
                              <w:t>Critical</w:t>
                            </w:r>
                            <w:r w:rsidRPr="001729F2">
                              <w:rPr>
                                <w:color w:val="FFFFFF" w:themeColor="background1"/>
                              </w:rPr>
                              <w:t xml:space="preserve"> </w:t>
                            </w:r>
                            <w:r w:rsidR="00BD0CC4">
                              <w:rPr>
                                <w:color w:val="FFFFFF" w:themeColor="background1"/>
                              </w:rPr>
                              <w:t xml:space="preserve">NHCDC </w:t>
                            </w:r>
                            <w:r w:rsidRPr="001729F2">
                              <w:rPr>
                                <w:color w:val="FFFFFF" w:themeColor="background1"/>
                              </w:rPr>
                              <w:t>Cost Centre Group. This is in line with other states and territories</w:t>
                            </w:r>
                            <w:r w:rsidR="00F0725C">
                              <w:rPr>
                                <w:color w:val="FFFFFF" w:themeColor="background1"/>
                              </w:rPr>
                              <w:t xml:space="preserve">. </w:t>
                            </w:r>
                          </w:p>
                          <w:p w14:paraId="35A8BCCD" w14:textId="77777777" w:rsidR="00053B72" w:rsidRPr="001729F2" w:rsidRDefault="00856BB1">
                            <w:pPr>
                              <w:pStyle w:val="Tablebulletpoint"/>
                              <w:rPr>
                                <w:color w:val="FFFFFF" w:themeColor="background1"/>
                              </w:rPr>
                            </w:pPr>
                            <w:r w:rsidRPr="001729F2">
                              <w:rPr>
                                <w:color w:val="FFFFFF" w:themeColor="background1"/>
                              </w:rPr>
                              <w:t xml:space="preserve">In SCGH’s ICU patients remain admitted under the care of their specialty doctor, not the intensivist. As a result, they may have higher Medical </w:t>
                            </w:r>
                            <w:r w:rsidRPr="00AD1F32">
                              <w:rPr>
                                <w:i/>
                                <w:iCs/>
                                <w:color w:val="FFFFFF" w:themeColor="background1"/>
                              </w:rPr>
                              <w:t>S&amp;W</w:t>
                            </w:r>
                            <w:r w:rsidRPr="001729F2">
                              <w:rPr>
                                <w:color w:val="FFFFFF" w:themeColor="background1"/>
                              </w:rPr>
                              <w:t xml:space="preserve"> costs due to receiving allocations of both intensivist and admitting specialty doctor costs for the duration of their ICU stay.</w:t>
                            </w:r>
                          </w:p>
                        </w:txbxContent>
                      </wps:txbx>
                      <wps:bodyPr rot="0" vert="horz" wrap="square" lIns="180000" tIns="180000" rIns="180000" bIns="180000" anchor="t" anchorCtr="0">
                        <a:spAutoFit/>
                      </wps:bodyPr>
                    </wps:wsp>
                  </a:graphicData>
                </a:graphic>
                <wp14:sizeRelH relativeFrom="page">
                  <wp14:pctWidth>0</wp14:pctWidth>
                </wp14:sizeRelH>
                <wp14:sizeRelV relativeFrom="page">
                  <wp14:pctHeight>0</wp14:pctHeight>
                </wp14:sizeRelV>
              </wp:anchor>
            </w:drawing>
          </mc:Choice>
          <mc:Fallback>
            <w:pict>
              <v:shape w14:anchorId="424F6E21" id="_x0000_s1267" type="#_x0000_t202" alt="P2651TB21#y1" style="position:absolute;margin-left:0;margin-top:180.75pt;width:450pt;height:114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" fillcolor="#343a5e [2405]" stroked="f" strokeweight="1pt">
                <v:textbox style="mso-fit-shape-to-text:t" inset="5mm,5mm,5mm,5mm">
                  <w:txbxContent>
                    <w:p w14:paraId="3169863D" w14:textId="77777777" w:rsidR="00053B72" w:rsidRPr="001729F2" w:rsidRDefault="00856BB1" w:rsidP="00053B72">
                      <w:pPr>
                        <w:pStyle w:val="Tablebulletpoint"/>
                        <w:numPr>
                          <w:ilvl w:val="0"/>
                          <w:numId w:val="0"/>
                        </w:numPr>
                        <w:spacing w:after="120"/>
                        <w:contextualSpacing w:val="0"/>
                        <w:rPr>
                          <w:color w:val="FFFFFF" w:themeColor="background1"/>
                        </w:rPr>
                      </w:pPr>
                      <w:r w:rsidRPr="001729F2">
                        <w:rPr>
                          <w:b/>
                          <w:bCs/>
                          <w:color w:val="FFFFFF" w:themeColor="background1"/>
                        </w:rPr>
                        <w:t>Critical Care – Average Cost Per Hour Insights:</w:t>
                      </w:r>
                    </w:p>
                    <w:p w14:paraId="3B068E54" w14:textId="6C7211D9" w:rsidR="000C4C26" w:rsidRDefault="00856BB1" w:rsidP="00856BB1">
                      <w:pPr>
                        <w:pStyle w:val="Tablebulletpoint"/>
                        <w:rPr>
                          <w:color w:val="FFFFFF" w:themeColor="background1"/>
                        </w:rPr>
                      </w:pPr>
                      <w:r w:rsidRPr="001729F2">
                        <w:rPr>
                          <w:color w:val="FFFFFF" w:themeColor="background1"/>
                        </w:rPr>
                        <w:t xml:space="preserve">There is a mismatch between the critical care costs and activity reported to IHACPA in WA. </w:t>
                      </w:r>
                    </w:p>
                    <w:p w14:paraId="384F9645" w14:textId="4BE03D4A" w:rsidR="00856BB1" w:rsidRPr="001729F2" w:rsidRDefault="00D018AA" w:rsidP="00856BB1">
                      <w:pPr>
                        <w:pStyle w:val="Tablebulletpoint"/>
                        <w:rPr>
                          <w:color w:val="FFFFFF" w:themeColor="background1"/>
                        </w:rPr>
                      </w:pPr>
                      <w:r w:rsidRPr="001729F2">
                        <w:rPr>
                          <w:color w:val="FFFFFF" w:themeColor="background1"/>
                        </w:rPr>
                        <w:t xml:space="preserve">WA reports NICU costs and CCU costs under the </w:t>
                      </w:r>
                      <w:r w:rsidRPr="00FD64CD">
                        <w:rPr>
                          <w:i/>
                          <w:color w:val="FFFFFF" w:themeColor="background1"/>
                        </w:rPr>
                        <w:t>Critical</w:t>
                      </w:r>
                      <w:r w:rsidRPr="001729F2">
                        <w:rPr>
                          <w:color w:val="FFFFFF" w:themeColor="background1"/>
                        </w:rPr>
                        <w:t xml:space="preserve"> </w:t>
                      </w:r>
                      <w:r>
                        <w:rPr>
                          <w:color w:val="FFFFFF" w:themeColor="background1"/>
                        </w:rPr>
                        <w:t>NHCDC</w:t>
                      </w:r>
                      <w:r w:rsidR="000C4C26">
                        <w:rPr>
                          <w:color w:val="FFFFFF" w:themeColor="background1"/>
                        </w:rPr>
                        <w:t xml:space="preserve"> </w:t>
                      </w:r>
                      <w:r w:rsidRPr="001729F2">
                        <w:rPr>
                          <w:color w:val="FFFFFF" w:themeColor="background1"/>
                        </w:rPr>
                        <w:t xml:space="preserve">Cost Centre Group but does not report these hours under </w:t>
                      </w:r>
                      <w:r w:rsidRPr="001B5AFA">
                        <w:rPr>
                          <w:i/>
                          <w:color w:val="FFFFFF" w:themeColor="background1"/>
                        </w:rPr>
                        <w:t>Other ICU Hours</w:t>
                      </w:r>
                      <w:r w:rsidRPr="001729F2">
                        <w:rPr>
                          <w:color w:val="FFFFFF" w:themeColor="background1"/>
                        </w:rPr>
                        <w:t>.</w:t>
                      </w:r>
                      <w:r w:rsidR="000C4C26">
                        <w:rPr>
                          <w:color w:val="FFFFFF" w:themeColor="background1"/>
                        </w:rPr>
                        <w:t xml:space="preserve"> </w:t>
                      </w:r>
                    </w:p>
                    <w:p w14:paraId="42EDFC77" w14:textId="27859B1C" w:rsidR="00856BB1" w:rsidRPr="00EC0C63" w:rsidRDefault="00856BB1" w:rsidP="00856BB1">
                      <w:pPr>
                        <w:pStyle w:val="Tablebulletpoint"/>
                        <w:rPr>
                          <w:color w:val="FFFFFF" w:themeColor="background1"/>
                        </w:rPr>
                      </w:pPr>
                      <w:r w:rsidRPr="00EC0C63">
                        <w:rPr>
                          <w:color w:val="FFFFFF" w:themeColor="background1"/>
                        </w:rPr>
                        <w:t xml:space="preserve">Paediatric ICU costs </w:t>
                      </w:r>
                      <w:r w:rsidR="002B51CD">
                        <w:rPr>
                          <w:color w:val="FFFFFF" w:themeColor="background1"/>
                        </w:rPr>
                        <w:t>were</w:t>
                      </w:r>
                      <w:r w:rsidR="002B51CD" w:rsidRPr="00EC0C63">
                        <w:rPr>
                          <w:color w:val="FFFFFF" w:themeColor="background1"/>
                        </w:rPr>
                        <w:t xml:space="preserve"> </w:t>
                      </w:r>
                      <w:r w:rsidRPr="00EC0C63">
                        <w:rPr>
                          <w:color w:val="FFFFFF" w:themeColor="background1"/>
                        </w:rPr>
                        <w:t xml:space="preserve">reported under </w:t>
                      </w:r>
                      <w:r w:rsidR="00316CDE">
                        <w:rPr>
                          <w:i/>
                          <w:iCs/>
                          <w:color w:val="FFFFFF" w:themeColor="background1"/>
                        </w:rPr>
                        <w:t>Hdicu</w:t>
                      </w:r>
                      <w:r w:rsidR="00316CDE" w:rsidRPr="00EC0C63">
                        <w:rPr>
                          <w:color w:val="FFFFFF" w:themeColor="background1"/>
                        </w:rPr>
                        <w:t xml:space="preserve"> </w:t>
                      </w:r>
                      <w:r w:rsidR="00F57440">
                        <w:rPr>
                          <w:color w:val="FFFFFF" w:themeColor="background1"/>
                        </w:rPr>
                        <w:t>NHCDC C</w:t>
                      </w:r>
                      <w:r w:rsidRPr="00EC0C63">
                        <w:rPr>
                          <w:color w:val="FFFFFF" w:themeColor="background1"/>
                        </w:rPr>
                        <w:t xml:space="preserve">ost </w:t>
                      </w:r>
                      <w:r w:rsidR="00F57440">
                        <w:rPr>
                          <w:color w:val="FFFFFF" w:themeColor="background1"/>
                        </w:rPr>
                        <w:t>C</w:t>
                      </w:r>
                      <w:r w:rsidRPr="00EC0C63">
                        <w:rPr>
                          <w:color w:val="FFFFFF" w:themeColor="background1"/>
                        </w:rPr>
                        <w:t xml:space="preserve">entre not </w:t>
                      </w:r>
                      <w:r w:rsidRPr="00AB61AF">
                        <w:rPr>
                          <w:i/>
                          <w:iCs/>
                          <w:color w:val="FFFFFF" w:themeColor="background1"/>
                        </w:rPr>
                        <w:t>Paedicu</w:t>
                      </w:r>
                      <w:r w:rsidRPr="00EC0C63">
                        <w:rPr>
                          <w:color w:val="FFFFFF" w:themeColor="background1"/>
                        </w:rPr>
                        <w:t xml:space="preserve"> </w:t>
                      </w:r>
                      <w:r w:rsidR="00F57440">
                        <w:rPr>
                          <w:color w:val="FFFFFF" w:themeColor="background1"/>
                        </w:rPr>
                        <w:t>C</w:t>
                      </w:r>
                      <w:r w:rsidRPr="00EC0C63">
                        <w:rPr>
                          <w:color w:val="FFFFFF" w:themeColor="background1"/>
                        </w:rPr>
                        <w:t xml:space="preserve">ost </w:t>
                      </w:r>
                      <w:r w:rsidR="00F57440">
                        <w:rPr>
                          <w:color w:val="FFFFFF" w:themeColor="background1"/>
                        </w:rPr>
                        <w:t>C</w:t>
                      </w:r>
                      <w:r w:rsidRPr="00EC0C63">
                        <w:rPr>
                          <w:color w:val="FFFFFF" w:themeColor="background1"/>
                        </w:rPr>
                        <w:t>entre</w:t>
                      </w:r>
                      <w:r w:rsidR="002B51CD">
                        <w:rPr>
                          <w:color w:val="FFFFFF" w:themeColor="background1"/>
                        </w:rPr>
                        <w:t xml:space="preserve"> in </w:t>
                      </w:r>
                      <w:r w:rsidR="00E519F8">
                        <w:rPr>
                          <w:color w:val="FFFFFF" w:themeColor="background1"/>
                        </w:rPr>
                        <w:t xml:space="preserve">2023-24. Future submissions will be mapped to </w:t>
                      </w:r>
                      <w:r w:rsidR="00E519F8" w:rsidRPr="00AD1F32">
                        <w:rPr>
                          <w:i/>
                          <w:iCs/>
                          <w:color w:val="FFFFFF" w:themeColor="background1"/>
                        </w:rPr>
                        <w:t>Paedicu</w:t>
                      </w:r>
                      <w:r w:rsidR="00E519F8">
                        <w:rPr>
                          <w:color w:val="FFFFFF" w:themeColor="background1"/>
                        </w:rPr>
                        <w:t>.</w:t>
                      </w:r>
                    </w:p>
                    <w:p w14:paraId="469AA495" w14:textId="037A83BC" w:rsidR="00856BB1" w:rsidRPr="001729F2" w:rsidRDefault="00856BB1" w:rsidP="00856BB1">
                      <w:pPr>
                        <w:pStyle w:val="Tablebulletpoint"/>
                        <w:rPr>
                          <w:color w:val="FFFFFF" w:themeColor="background1"/>
                        </w:rPr>
                      </w:pPr>
                      <w:r w:rsidRPr="001729F2">
                        <w:rPr>
                          <w:color w:val="FFFFFF" w:themeColor="background1"/>
                        </w:rPr>
                        <w:t xml:space="preserve">Some costs incurred during an ICU stay (allied health, drugs, imaging and pathology) do not flow through to the </w:t>
                      </w:r>
                      <w:r w:rsidRPr="00AB61AF">
                        <w:rPr>
                          <w:i/>
                          <w:iCs/>
                          <w:color w:val="FFFFFF" w:themeColor="background1"/>
                        </w:rPr>
                        <w:t>Critical</w:t>
                      </w:r>
                      <w:r w:rsidRPr="001729F2">
                        <w:rPr>
                          <w:color w:val="FFFFFF" w:themeColor="background1"/>
                        </w:rPr>
                        <w:t xml:space="preserve"> </w:t>
                      </w:r>
                      <w:r w:rsidR="00BD0CC4">
                        <w:rPr>
                          <w:color w:val="FFFFFF" w:themeColor="background1"/>
                        </w:rPr>
                        <w:t xml:space="preserve">NHCDC </w:t>
                      </w:r>
                      <w:r w:rsidRPr="001729F2">
                        <w:rPr>
                          <w:color w:val="FFFFFF" w:themeColor="background1"/>
                        </w:rPr>
                        <w:t>Cost Centre Group. This is in line with other states and territories</w:t>
                      </w:r>
                      <w:r w:rsidR="00F0725C">
                        <w:rPr>
                          <w:color w:val="FFFFFF" w:themeColor="background1"/>
                        </w:rPr>
                        <w:t xml:space="preserve">. </w:t>
                      </w:r>
                    </w:p>
                    <w:p w14:paraId="35A8BCCD" w14:textId="77777777" w:rsidR="00053B72" w:rsidRPr="001729F2" w:rsidRDefault="00856BB1">
                      <w:pPr>
                        <w:pStyle w:val="Tablebulletpoint"/>
                        <w:rPr>
                          <w:color w:val="FFFFFF" w:themeColor="background1"/>
                        </w:rPr>
                      </w:pPr>
                      <w:r w:rsidRPr="001729F2">
                        <w:rPr>
                          <w:color w:val="FFFFFF" w:themeColor="background1"/>
                        </w:rPr>
                        <w:t xml:space="preserve">In SCGH’s ICU patients remain admitted under the care of their specialty doctor, not the intensivist. As a result, they may have higher Medical </w:t>
                      </w:r>
                      <w:r w:rsidRPr="00AD1F32">
                        <w:rPr>
                          <w:i/>
                          <w:iCs/>
                          <w:color w:val="FFFFFF" w:themeColor="background1"/>
                        </w:rPr>
                        <w:t>S&amp;W</w:t>
                      </w:r>
                      <w:r w:rsidRPr="001729F2">
                        <w:rPr>
                          <w:color w:val="FFFFFF" w:themeColor="background1"/>
                        </w:rPr>
                        <w:t xml:space="preserve"> costs due to receiving allocations of both intensivist and admitting specialty doctor costs for the duration of their ICU stay.</w:t>
                      </w:r>
                    </w:p>
                  </w:txbxContent>
                </v:textbox>
                <w10:wrap type="topAndBottom" anchorx="margin"/>
              </v:shape>
            </w:pict>
          </mc:Fallback>
        </mc:AlternateContent>
      </w:r>
    </w:p>
    <w:p w14:paraId="2CFBF5FD" w14:textId="77777777" w:rsidR="00853FE5" w:rsidRPr="00AD1F32" w:rsidRDefault="00853FE5" w:rsidP="009F419F">
      <w:pPr>
        <w:pStyle w:val="Heading4"/>
        <w:rPr>
          <w:color w:val="484B5D" w:themeColor="accent3"/>
        </w:rPr>
      </w:pPr>
      <w:r w:rsidRPr="00AD1F32">
        <w:rPr>
          <w:color w:val="484B5D" w:themeColor="accent3"/>
        </w:rPr>
        <w:t>ICU Cost Allocation Methodologies</w:t>
      </w:r>
    </w:p>
    <w:p w14:paraId="7D44A4BE" w14:textId="0018382F" w:rsidR="00352272" w:rsidRDefault="00352272" w:rsidP="00853FE5">
      <w:pPr>
        <w:sectPr w:rsidR="00352272" w:rsidSect="00E73F4E">
          <w:headerReference w:type="default" r:id="rId99"/>
          <w:footnotePr>
            <w:pos w:val="beneathText"/>
          </w:footnotePr>
          <w:endnotePr>
            <w:numFmt w:val="decimal"/>
          </w:endnotePr>
          <w:pgSz w:w="11906" w:h="16838" w:code="9"/>
          <w:pgMar w:top="1440" w:right="1440" w:bottom="1440" w:left="1440" w:header="720" w:footer="720" w:gutter="0"/>
          <w:cols w:space="720"/>
          <w:docGrid w:linePitch="360"/>
        </w:sectPr>
      </w:pPr>
      <w:r w:rsidRPr="00607437">
        <w:t xml:space="preserve">The tables below show details of the types of expenditure incurred at SCGH, the allocation methodologies used, and the </w:t>
      </w:r>
      <w:r w:rsidRPr="00352272">
        <w:t xml:space="preserve">ultimate </w:t>
      </w:r>
      <w:r w:rsidR="00421B4C" w:rsidRPr="00B54383">
        <w:rPr>
          <w:i/>
          <w:iCs/>
        </w:rPr>
        <w:t>Critical</w:t>
      </w:r>
      <w:r w:rsidR="00421B4C">
        <w:t xml:space="preserve"> </w:t>
      </w:r>
      <w:r w:rsidRPr="00352272">
        <w:t>NHCDC Cost Centre Groups</w:t>
      </w:r>
      <w:r>
        <w:t xml:space="preserve"> to which these</w:t>
      </w:r>
      <w:r w:rsidRPr="00352272">
        <w:t xml:space="preserve"> expenditure types map.</w:t>
      </w:r>
    </w:p>
    <w:p w14:paraId="4D871705" w14:textId="2009ABD2" w:rsidR="00EB4090" w:rsidRDefault="00EB4090" w:rsidP="00EB4090">
      <w:pPr>
        <w:pStyle w:val="Caption"/>
        <w:keepNext/>
      </w:pPr>
      <w:r>
        <w:lastRenderedPageBreak/>
        <w:t xml:space="preserve">Table </w:t>
      </w:r>
      <w:r>
        <w:fldChar w:fldCharType="begin"/>
      </w:r>
      <w:r>
        <w:instrText xml:space="preserve"> SEQ Table \* ARABIC </w:instrText>
      </w:r>
      <w:r>
        <w:fldChar w:fldCharType="separate"/>
      </w:r>
      <w:r w:rsidR="00CE6F96">
        <w:rPr>
          <w:noProof/>
        </w:rPr>
        <w:t>26</w:t>
      </w:r>
      <w:r>
        <w:fldChar w:fldCharType="end"/>
      </w:r>
      <w:r>
        <w:t xml:space="preserve">: </w:t>
      </w:r>
      <w:r w:rsidRPr="007541B2">
        <w:t>SCGH Cost Allocation Methodologies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E40B76" w14:paraId="3930AEA9" w14:textId="77777777" w:rsidTr="00810693">
        <w:tc>
          <w:tcPr>
            <w:tcW w:w="1134" w:type="dxa"/>
            <w:shd w:val="clear" w:color="auto" w:fill="EFF0F7" w:themeFill="accent4" w:themeFillTint="33"/>
            <w:vAlign w:val="center"/>
          </w:tcPr>
          <w:p w14:paraId="77BE6EE9" w14:textId="77777777" w:rsidR="00E40B76" w:rsidRPr="00243F63" w:rsidRDefault="00E40B76" w:rsidP="00810693">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5FB1E1F8" w14:textId="77777777" w:rsidR="00E40B76" w:rsidRDefault="00E40B76" w:rsidP="00810693">
            <w:r>
              <w:t>Via patient level feeder system</w:t>
            </w:r>
          </w:p>
        </w:tc>
        <w:tc>
          <w:tcPr>
            <w:tcW w:w="1134" w:type="dxa"/>
            <w:shd w:val="clear" w:color="auto" w:fill="EFF0F7" w:themeFill="accent4" w:themeFillTint="33"/>
            <w:vAlign w:val="center"/>
          </w:tcPr>
          <w:p w14:paraId="4636D4B7" w14:textId="77777777" w:rsidR="00E40B76" w:rsidRPr="00243F63" w:rsidRDefault="00E40B76" w:rsidP="00810693">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408B405B" w14:textId="77777777" w:rsidR="00E40B76" w:rsidRDefault="00E40B76" w:rsidP="00810693">
            <w:r>
              <w:t>Via weighted RVU, to ICU patients</w:t>
            </w:r>
          </w:p>
        </w:tc>
      </w:tr>
      <w:tr w:rsidR="00E40B76" w14:paraId="28A215B6" w14:textId="77777777" w:rsidTr="00810693">
        <w:tc>
          <w:tcPr>
            <w:tcW w:w="1134" w:type="dxa"/>
            <w:shd w:val="clear" w:color="auto" w:fill="EFF0F7" w:themeFill="accent4" w:themeFillTint="33"/>
            <w:vAlign w:val="center"/>
          </w:tcPr>
          <w:p w14:paraId="1BA96DCD" w14:textId="77777777" w:rsidR="00E40B76" w:rsidRDefault="00E40B76" w:rsidP="00810693">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4DE6143C" w14:textId="77777777" w:rsidR="00E40B76" w:rsidRDefault="00E40B76" w:rsidP="00810693">
            <w:r>
              <w:t>Using a standard RVU, to ICU patients</w:t>
            </w:r>
          </w:p>
        </w:tc>
        <w:tc>
          <w:tcPr>
            <w:tcW w:w="1134" w:type="dxa"/>
            <w:shd w:val="clear" w:color="auto" w:fill="EFF0F7" w:themeFill="accent4" w:themeFillTint="33"/>
            <w:vAlign w:val="center"/>
          </w:tcPr>
          <w:p w14:paraId="0EA31592" w14:textId="77777777" w:rsidR="00E40B76" w:rsidRPr="00243F63" w:rsidRDefault="00E40B76" w:rsidP="00810693">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217F385D" w14:textId="77777777" w:rsidR="00E40B76" w:rsidRDefault="00E40B76" w:rsidP="00810693">
            <w:r>
              <w:t>Across ICU / non-ICU patients</w:t>
            </w:r>
          </w:p>
        </w:tc>
      </w:tr>
    </w:tbl>
    <w:p w14:paraId="3AA8C5F1" w14:textId="77777777" w:rsidR="00E40B76" w:rsidRPr="00E40B76" w:rsidRDefault="00E40B76" w:rsidP="00E40B76"/>
    <w:tbl>
      <w:tblPr>
        <w:tblStyle w:val="ScyneTable"/>
        <w:tblW w:w="4993" w:type="pct"/>
        <w:tblInd w:w="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52"/>
        <w:gridCol w:w="3908"/>
        <w:gridCol w:w="5163"/>
        <w:gridCol w:w="1012"/>
        <w:gridCol w:w="1503"/>
      </w:tblGrid>
      <w:tr w:rsidR="003964D6" w:rsidRPr="00F0724D" w14:paraId="7202626E" w14:textId="77777777" w:rsidTr="00760881">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723BC8F" w14:textId="77777777" w:rsidR="00BC4065" w:rsidRPr="00F0724D" w:rsidRDefault="00BC4065">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t>Resources Consumed</w:t>
            </w:r>
          </w:p>
        </w:tc>
        <w:tc>
          <w:tcPr>
            <w:tcW w:w="140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01057958" w14:textId="77777777" w:rsidR="00BC4065" w:rsidRPr="00F0724D" w:rsidRDefault="00BC4065">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85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4A0CCBB5" w14:textId="77777777" w:rsidR="00BC4065" w:rsidRPr="00F0724D" w:rsidRDefault="00BC4065">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67EFB512" w14:textId="719E28D7" w:rsidR="00BC4065" w:rsidRPr="00F0724D" w:rsidRDefault="00BC4065">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98749E">
              <w:rPr>
                <w:rFonts w:ascii="Avenir Next LT Pro Demi" w:hAnsi="Avenir Next LT Pro Demi"/>
                <w:b w:val="0"/>
                <w:bCs/>
                <w:sz w:val="20"/>
              </w:rPr>
              <w:t xml:space="preserve">Critical </w:t>
            </w:r>
            <w:r w:rsidRPr="00F0724D">
              <w:rPr>
                <w:rFonts w:ascii="Avenir Next LT Pro Demi" w:hAnsi="Avenir Next LT Pro Demi"/>
                <w:b w:val="0"/>
                <w:bCs/>
                <w:sz w:val="20"/>
              </w:rPr>
              <w:t>Cost Centre Group</w:t>
            </w:r>
          </w:p>
        </w:tc>
      </w:tr>
      <w:tr w:rsidR="00034380" w:rsidRPr="00F0724D" w14:paraId="4CB8297D"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60870F91" w14:textId="77777777" w:rsidR="00BC4065" w:rsidRPr="00F0724D" w:rsidRDefault="00BC4065">
            <w:r w:rsidRPr="00F0724D">
              <w:t>S&amp;W Nursing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70C301F" w14:textId="63960640" w:rsidR="00760881" w:rsidRPr="0046606B" w:rsidRDefault="00760881" w:rsidP="00760881">
            <w:pPr>
              <w:cnfStyle w:val="000000000000" w:firstRow="0" w:lastRow="0" w:firstColumn="0" w:lastColumn="0" w:oddVBand="0" w:evenVBand="0" w:oddHBand="0" w:evenHBand="0" w:firstRowFirstColumn="0" w:firstRowLastColumn="0" w:lastRowFirstColumn="0" w:lastRowLastColumn="0"/>
            </w:pPr>
            <w:r w:rsidRPr="0046606B">
              <w:t>Approx</w:t>
            </w:r>
            <w:r w:rsidR="00595901">
              <w:t>imately</w:t>
            </w:r>
            <w:r>
              <w:t xml:space="preserve"> 175 </w:t>
            </w:r>
            <w:r w:rsidRPr="0046606B">
              <w:t>FTE nursing staff in ICU and 41 FTE in CCU.</w:t>
            </w:r>
          </w:p>
          <w:p w14:paraId="699EF491" w14:textId="77777777" w:rsidR="00760881" w:rsidRPr="0046606B" w:rsidRDefault="00760881" w:rsidP="00760881">
            <w:pPr>
              <w:cnfStyle w:val="000000000000" w:firstRow="0" w:lastRow="0" w:firstColumn="0" w:lastColumn="0" w:oddVBand="0" w:evenVBand="0" w:oddHBand="0" w:evenHBand="0" w:firstRowFirstColumn="0" w:firstRowLastColumn="0" w:lastRowFirstColumn="0" w:lastRowLastColumn="0"/>
            </w:pPr>
          </w:p>
          <w:p w14:paraId="386D2663" w14:textId="121960AE" w:rsidR="00BC4065" w:rsidRPr="00F0724D" w:rsidRDefault="00760881" w:rsidP="00760881">
            <w:pPr>
              <w:cnfStyle w:val="000000000000" w:firstRow="0" w:lastRow="0" w:firstColumn="0" w:lastColumn="0" w:oddVBand="0" w:evenVBand="0" w:oddHBand="0" w:evenHBand="0" w:firstRowFirstColumn="0" w:firstRowLastColumn="0" w:lastRowFirstColumn="0" w:lastRowLastColumn="0"/>
              <w:rPr>
                <w:color w:val="44546A" w:themeColor="text2"/>
              </w:rPr>
            </w:pPr>
            <w:r w:rsidRPr="0046606B">
              <w:rPr>
                <w:color w:val="44546A" w:themeColor="text2"/>
              </w:rPr>
              <w:t xml:space="preserve">Where patients require specialling (more frequently in CCU than ICU), these are sourced via agency. </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E666F58" w14:textId="58CEBB06"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pPr>
            <w:r w:rsidRPr="0046606B">
              <w:t>Spread to all patients within ICU cost centre based on ICU 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ACA5278" w14:textId="6BDA8E12"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ECA94B8" w14:textId="77777777"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Critical</w:t>
            </w:r>
          </w:p>
        </w:tc>
      </w:tr>
      <w:tr w:rsidR="00034380" w:rsidRPr="00F0724D" w14:paraId="6880EA81"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01C87A9" w14:textId="77777777" w:rsidR="00BC4065" w:rsidRPr="00F0724D" w:rsidRDefault="00BC4065">
            <w:r w:rsidRPr="00F0724D">
              <w:t>S&amp;W Allied Health</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18D43C5" w14:textId="4B703841" w:rsidR="00BC4065" w:rsidRPr="00F0724D" w:rsidRDefault="00760881">
            <w:pPr>
              <w:cnfStyle w:val="000000000000" w:firstRow="0" w:lastRow="0" w:firstColumn="0" w:lastColumn="0" w:oddVBand="0" w:evenVBand="0" w:oddHBand="0" w:evenHBand="0" w:firstRowFirstColumn="0" w:firstRowLastColumn="0" w:lastRowFirstColumn="0" w:lastRowLastColumn="0"/>
            </w:pPr>
            <w:r w:rsidRPr="0046606B">
              <w:t>4</w:t>
            </w:r>
            <w:r>
              <w:t xml:space="preserve"> </w:t>
            </w:r>
            <w:r w:rsidRPr="0046606B">
              <w:t>pharmacists</w:t>
            </w:r>
            <w:r>
              <w:t xml:space="preserve">, </w:t>
            </w:r>
            <w:r w:rsidRPr="0046606B">
              <w:t>0.5 FTE social work</w:t>
            </w:r>
            <w:r>
              <w:t xml:space="preserve"> and</w:t>
            </w:r>
            <w:r w:rsidRPr="0046606B">
              <w:t xml:space="preserve"> physiotherapy dedicated resources to ICU.</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36DD38D" w14:textId="4A333DD0" w:rsidR="00BC4065" w:rsidRPr="00F0724D" w:rsidRDefault="00BC4065" w:rsidP="00CD5896">
            <w:pPr>
              <w:cnfStyle w:val="000000000000" w:firstRow="0" w:lastRow="0" w:firstColumn="0" w:lastColumn="0" w:oddVBand="0" w:evenVBand="0" w:oddHBand="0" w:evenHBand="0" w:firstRowFirstColumn="0" w:firstRowLastColumn="0" w:lastRowFirstColumn="0" w:lastRowLastColumn="0"/>
            </w:pPr>
            <w:r w:rsidRPr="00F0724D">
              <w:t xml:space="preserve">Allied Health </w:t>
            </w:r>
            <w:r w:rsidR="00760881">
              <w:t xml:space="preserve">practitioners </w:t>
            </w:r>
            <w:r w:rsidRPr="00F0724D">
              <w:t xml:space="preserve">document interventions minutes in the PAS system </w:t>
            </w:r>
            <w:r w:rsidR="00C610CC">
              <w:t>that</w:t>
            </w:r>
            <w:r w:rsidR="00C610CC" w:rsidRPr="00F0724D">
              <w:t xml:space="preserve"> </w:t>
            </w:r>
            <w:r w:rsidRPr="00F0724D">
              <w:t>is used to allocate to patients.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759B325" w14:textId="2407EF38" w:rsidR="00BC4065" w:rsidRPr="00C93B69" w:rsidRDefault="00BC7D74" w:rsidP="00760881">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BC7D74">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73A7400" w14:textId="77777777"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Allied</w:t>
            </w:r>
          </w:p>
        </w:tc>
      </w:tr>
      <w:tr w:rsidR="00034380" w:rsidRPr="00F0724D" w14:paraId="5873DA64"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4B15425" w14:textId="77777777" w:rsidR="00BC4065" w:rsidRPr="00F0724D" w:rsidRDefault="00BC4065">
            <w:r w:rsidRPr="00F0724D">
              <w:t>S&amp;W Other</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F5DDE5" w14:textId="52A9341A" w:rsidR="00BC4065" w:rsidRPr="00F0724D" w:rsidRDefault="00760881">
            <w:pPr>
              <w:cnfStyle w:val="000000000000" w:firstRow="0" w:lastRow="0" w:firstColumn="0" w:lastColumn="0" w:oddVBand="0" w:evenVBand="0" w:oddHBand="0" w:evenHBand="0" w:firstRowFirstColumn="0" w:firstRowLastColumn="0" w:lastRowFirstColumn="0" w:lastRowLastColumn="0"/>
            </w:pPr>
            <w:r w:rsidRPr="0046606B">
              <w:t>Ward clerk (1 FTE) and receptionist (1 FTE).</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04E547D" w14:textId="5BC92382"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46606B">
              <w:rPr>
                <w:rStyle w:val="normaltextrun"/>
                <w:rFonts w:asciiTheme="minorHAnsi" w:eastAsiaTheme="majorEastAsia" w:hAnsiTheme="minorHAnsi" w:cs="Segoe UI"/>
              </w:rPr>
              <w:t>Spread to all patients within ICU cost centre based on ICU 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80BFF05" w14:textId="082741C3"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b/>
                <w:bCs/>
              </w:rPr>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F436B2F" w14:textId="77777777"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Critical</w:t>
            </w:r>
          </w:p>
        </w:tc>
      </w:tr>
      <w:tr w:rsidR="00034380" w:rsidRPr="00F0724D" w14:paraId="239FF2AA"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F8E12F4" w14:textId="77777777" w:rsidR="00BC4065" w:rsidRPr="00F0724D" w:rsidRDefault="00BC4065">
            <w:r w:rsidRPr="00F0724D">
              <w:t>S&amp;W Medical (&amp; VMO)</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161F309" w14:textId="77C03675" w:rsidR="00760881" w:rsidRPr="0046606B" w:rsidRDefault="00760881" w:rsidP="00760881">
            <w:pPr>
              <w:cnfStyle w:val="000000000000" w:firstRow="0" w:lastRow="0" w:firstColumn="0" w:lastColumn="0" w:oddVBand="0" w:evenVBand="0" w:oddHBand="0" w:evenHBand="0" w:firstRowFirstColumn="0" w:firstRowLastColumn="0" w:lastRowFirstColumn="0" w:lastRowLastColumn="0"/>
            </w:pPr>
            <w:r w:rsidRPr="0046606B">
              <w:t xml:space="preserve">ICU staffing includes 3.5 consultant intensivists and 20 registrars, </w:t>
            </w:r>
            <w:r w:rsidR="003548C9">
              <w:t>as well as</w:t>
            </w:r>
            <w:r w:rsidRPr="0046606B">
              <w:t xml:space="preserve"> resident support.</w:t>
            </w:r>
          </w:p>
          <w:p w14:paraId="387A18AC" w14:textId="65B57A08" w:rsidR="00BC4065" w:rsidRPr="00F0724D" w:rsidRDefault="00760881">
            <w:pPr>
              <w:cnfStyle w:val="000000000000" w:firstRow="0" w:lastRow="0" w:firstColumn="0" w:lastColumn="0" w:oddVBand="0" w:evenVBand="0" w:oddHBand="0" w:evenHBand="0" w:firstRowFirstColumn="0" w:firstRowLastColumn="0" w:lastRowFirstColumn="0" w:lastRowLastColumn="0"/>
            </w:pPr>
            <w:r w:rsidRPr="0046606B">
              <w:t>CCU staffing sit within specialty medical cost centre in GL.</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A315BBF" w14:textId="4E6422EB"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rPr>
                <w:rStyle w:val="normaltextrun"/>
                <w:rFonts w:asciiTheme="minorHAnsi" w:eastAsiaTheme="majorEastAsia" w:hAnsiTheme="minorHAnsi" w:cs="Segoe UI"/>
              </w:rPr>
              <w:t>Spread to all patients within ICU cost centre based on ICU 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299896D" w14:textId="71694C42"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17228C7" w14:textId="77777777" w:rsidR="00760881" w:rsidRPr="0046606B" w:rsidRDefault="00BC4065" w:rsidP="00760881">
            <w:pPr>
              <w:jc w:val="center"/>
              <w:cnfStyle w:val="000000000000" w:firstRow="0" w:lastRow="0" w:firstColumn="0" w:lastColumn="0" w:oddVBand="0" w:evenVBand="0" w:oddHBand="0" w:evenHBand="0" w:firstRowFirstColumn="0" w:firstRowLastColumn="0" w:lastRowFirstColumn="0" w:lastRowLastColumn="0"/>
            </w:pPr>
            <w:r w:rsidRPr="00F0724D">
              <w:t>Critical (</w:t>
            </w:r>
            <w:r w:rsidR="00760881" w:rsidRPr="0046606B">
              <w:t>ICU)</w:t>
            </w:r>
          </w:p>
          <w:p w14:paraId="1739E8AD" w14:textId="43934A3C" w:rsidR="00BC4065" w:rsidRPr="00F0724D" w:rsidRDefault="00760881">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46606B">
              <w:t>Clinical (CCU</w:t>
            </w:r>
            <w:r w:rsidR="00BC4065" w:rsidRPr="00F0724D">
              <w:t>)</w:t>
            </w:r>
          </w:p>
        </w:tc>
      </w:tr>
      <w:tr w:rsidR="00034380" w:rsidRPr="00F0724D" w14:paraId="3076B622"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A2D37FA" w14:textId="346D5B0F" w:rsidR="00BC4065" w:rsidRPr="00F0724D" w:rsidRDefault="00760881">
            <w:r w:rsidRPr="0046606B">
              <w:lastRenderedPageBreak/>
              <w:t>Consumables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AEE7862" w14:textId="74AC5AB6" w:rsidR="00BC4065" w:rsidRPr="00F0724D" w:rsidRDefault="00BC4065">
            <w:pPr>
              <w:cnfStyle w:val="000000000000" w:firstRow="0" w:lastRow="0" w:firstColumn="0" w:lastColumn="0" w:oddVBand="0" w:evenVBand="0" w:oddHBand="0" w:evenHBand="0" w:firstRowFirstColumn="0" w:firstRowLastColumn="0" w:lastRowFirstColumn="0" w:lastRowLastColumn="0"/>
            </w:pPr>
            <w:r w:rsidRPr="00F0724D">
              <w:t xml:space="preserve">Includes </w:t>
            </w:r>
            <w:r w:rsidR="00760881" w:rsidRPr="0046606B">
              <w:t>medical supplies, goods &amp; services expenses including</w:t>
            </w:r>
            <w:r w:rsidRPr="00F0724D">
              <w:t xml:space="preserve"> lines, neuromonitoring and cardiac support devices.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590C8BA" w14:textId="729C7267"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Spread to all patients within ICU cost centre based on ICU 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E7146D0" w14:textId="30962D95" w:rsidR="00BC4065" w:rsidRPr="001D7F2E" w:rsidRDefault="00BC406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1D7F2E">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AB658BB" w14:textId="77777777"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Critical</w:t>
            </w:r>
          </w:p>
        </w:tc>
      </w:tr>
      <w:tr w:rsidR="00034380" w:rsidRPr="00F0724D" w14:paraId="793DB4F8"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535F2AB" w14:textId="77777777" w:rsidR="00BC4065" w:rsidRPr="00F0724D" w:rsidRDefault="00BC4065">
            <w:r w:rsidRPr="00F0724D">
              <w:t>Imaging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AB6C6E" w14:textId="6BAB18BF" w:rsidR="00BC4065" w:rsidRPr="00F0724D" w:rsidRDefault="00760881">
            <w:pPr>
              <w:cnfStyle w:val="000000000000" w:firstRow="0" w:lastRow="0" w:firstColumn="0" w:lastColumn="0" w:oddVBand="0" w:evenVBand="0" w:oddHBand="0" w:evenHBand="0" w:firstRowFirstColumn="0" w:firstRowLastColumn="0" w:lastRowFirstColumn="0" w:lastRowLastColumn="0"/>
            </w:pPr>
            <w:r w:rsidRPr="0046606B">
              <w:t xml:space="preserve">Imaging services provided by </w:t>
            </w:r>
            <w:r>
              <w:t>SCGH</w:t>
            </w:r>
            <w:r w:rsidRPr="0046606B">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86B776C" w14:textId="76DDBBDF"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Allocated using feeder data of actual tests per patient.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DD164AB" w14:textId="77777777" w:rsidR="00BC4065" w:rsidRPr="001D7F2E"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1D7F2E">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50FC677" w14:textId="77777777"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t>Imaging</w:t>
            </w:r>
          </w:p>
        </w:tc>
      </w:tr>
      <w:tr w:rsidR="00034380" w:rsidRPr="00F0724D" w14:paraId="57A5A163"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F54841B" w14:textId="77777777" w:rsidR="00BC4065" w:rsidRPr="00F0724D" w:rsidRDefault="00BC4065">
            <w:r w:rsidRPr="00F0724D">
              <w:t>Pathology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85CDCF1" w14:textId="4384B977" w:rsidR="00BC4065" w:rsidRPr="00F0724D" w:rsidRDefault="00760881">
            <w:pPr>
              <w:cnfStyle w:val="000000000000" w:firstRow="0" w:lastRow="0" w:firstColumn="0" w:lastColumn="0" w:oddVBand="0" w:evenVBand="0" w:oddHBand="0" w:evenHBand="0" w:firstRowFirstColumn="0" w:firstRowLastColumn="0" w:lastRowFirstColumn="0" w:lastRowLastColumn="0"/>
            </w:pPr>
            <w:r w:rsidRPr="0046606B">
              <w:t>Provided by Path</w:t>
            </w:r>
            <w:r>
              <w:t>W</w:t>
            </w:r>
            <w:r w:rsidRPr="0046606B">
              <w:t>est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D95014A" w14:textId="337D4DED"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Allocated using feeder data of actual tests per patient.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85F318C" w14:textId="77777777" w:rsidR="00BC4065" w:rsidRPr="001D7F2E"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1D7F2E">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6FCB481" w14:textId="77777777"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0724D">
              <w:t>Pathology</w:t>
            </w:r>
          </w:p>
        </w:tc>
      </w:tr>
      <w:tr w:rsidR="00034380" w:rsidRPr="00F0724D" w14:paraId="6E00CEC2"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82D3BCB" w14:textId="77777777" w:rsidR="00BC4065" w:rsidRPr="00F0724D" w:rsidRDefault="00BC4065">
            <w:r w:rsidRPr="00F0724D">
              <w:t>Pharmacy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1AE4A4D" w14:textId="77777777" w:rsidR="00760881" w:rsidRPr="0046606B" w:rsidRDefault="00760881" w:rsidP="00760881">
            <w:pPr>
              <w:cnfStyle w:val="000000000000" w:firstRow="0" w:lastRow="0" w:firstColumn="0" w:lastColumn="0" w:oddVBand="0" w:evenVBand="0" w:oddHBand="0" w:evenHBand="0" w:firstRowFirstColumn="0" w:firstRowLastColumn="0" w:lastRowFirstColumn="0" w:lastRowLastColumn="0"/>
            </w:pPr>
            <w:r w:rsidRPr="0046606B">
              <w:t>Prescribed drugs to patients using electronic prescribing system.</w:t>
            </w:r>
          </w:p>
          <w:p w14:paraId="36158AC0" w14:textId="2B2B034F" w:rsidR="00BC4065" w:rsidRPr="00F0724D" w:rsidRDefault="00BC4065">
            <w:pPr>
              <w:cnfStyle w:val="000000000000" w:firstRow="0" w:lastRow="0" w:firstColumn="0" w:lastColumn="0" w:oddVBand="0" w:evenVBand="0" w:oddHBand="0" w:evenHBand="0" w:firstRowFirstColumn="0" w:firstRowLastColumn="0" w:lastRowFirstColumn="0" w:lastRowLastColumn="0"/>
            </w:pPr>
            <w:r w:rsidRPr="00F0724D">
              <w:t xml:space="preserve">Some commonly used drugs are also held in imprest within </w:t>
            </w:r>
            <w:r w:rsidR="00760881" w:rsidRPr="0046606B">
              <w:t>ICU</w:t>
            </w:r>
            <w:r w:rsidR="00760881">
              <w:t xml:space="preserve"> and </w:t>
            </w:r>
            <w:r w:rsidR="00760881" w:rsidRPr="0046606B">
              <w:t>CCU areas.</w:t>
            </w:r>
            <w:r w:rsidRPr="00F0724D">
              <w:t xml:space="preserve"> Pharmacist costs sit in </w:t>
            </w:r>
            <w:r w:rsidR="00EC2658">
              <w:t>p</w:t>
            </w:r>
            <w:r w:rsidRPr="00F0724D">
              <w:t>harmacy cost centre.</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42EDB89" w14:textId="77777777" w:rsidR="00760881" w:rsidRPr="0046606B" w:rsidRDefault="00BC4065" w:rsidP="00CD5896">
            <w:pPr>
              <w:cnfStyle w:val="000000000000" w:firstRow="0" w:lastRow="0" w:firstColumn="0" w:lastColumn="0" w:oddVBand="0" w:evenVBand="0" w:oddHBand="0" w:evenHBand="0" w:firstRowFirstColumn="0" w:firstRowLastColumn="0" w:lastRowFirstColumn="0" w:lastRowLastColumn="0"/>
            </w:pPr>
            <w:r w:rsidRPr="00F0724D">
              <w:t xml:space="preserve">Imprest </w:t>
            </w:r>
            <w:r w:rsidR="00760881" w:rsidRPr="0046606B">
              <w:t>component is spread</w:t>
            </w:r>
            <w:r w:rsidRPr="00F0724D">
              <w:t xml:space="preserve"> to all ICU patients </w:t>
            </w:r>
            <w:r w:rsidR="00760881" w:rsidRPr="0046606B">
              <w:t>based on ICU hours.</w:t>
            </w:r>
          </w:p>
          <w:p w14:paraId="78A506AC" w14:textId="3C300671"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For dispensed drugs, ICU patients receive</w:t>
            </w:r>
            <w:r w:rsidR="00BC4065" w:rsidRPr="00F0724D">
              <w:t xml:space="preserve"> RVU based on </w:t>
            </w:r>
            <w:r w:rsidRPr="0046606B">
              <w:t xml:space="preserve">PBS price schedule and actual drugs dispensed at a patient level. </w:t>
            </w:r>
            <w:r w:rsidR="001D6F47">
              <w:t>Residual</w:t>
            </w:r>
            <w:r w:rsidR="001D6F47" w:rsidRPr="0046606B">
              <w:t xml:space="preserve"> </w:t>
            </w:r>
            <w:r w:rsidRPr="0046606B">
              <w:t>amounts spread as pharmacy overhead.</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E768E17" w14:textId="77777777" w:rsidR="00760881" w:rsidRPr="0046606B" w:rsidRDefault="00BC4065" w:rsidP="00760881">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1D7F2E">
              <w:rPr>
                <w:rFonts w:ascii="Arial" w:hAnsi="Arial" w:cs="Arial"/>
                <w:sz w:val="32"/>
                <w:szCs w:val="32"/>
              </w:rPr>
              <w:t>●</w:t>
            </w:r>
            <w:r w:rsidRPr="0046606B">
              <w:rPr>
                <w:rFonts w:ascii="Arial" w:hAnsi="Arial" w:cs="Arial"/>
                <w:sz w:val="32"/>
                <w:szCs w:val="32"/>
              </w:rPr>
              <w:t xml:space="preserve"> / </w:t>
            </w:r>
            <w:r w:rsidRPr="00F0724D">
              <w:rPr>
                <w:rFonts w:ascii="Cambria Math" w:hAnsi="Cambria Math" w:cs="Cambria Math"/>
              </w:rPr>
              <w:t>◑</w:t>
            </w:r>
          </w:p>
          <w:p w14:paraId="6DFDFD14" w14:textId="22E9628D" w:rsidR="00BC4065" w:rsidRPr="00C93B69" w:rsidRDefault="00BC4065" w:rsidP="00760881">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DAF19A9" w14:textId="77777777" w:rsidR="00EF5DED" w:rsidRDefault="00760881">
            <w:pPr>
              <w:jc w:val="center"/>
              <w:cnfStyle w:val="000000000000" w:firstRow="0" w:lastRow="0" w:firstColumn="0" w:lastColumn="0" w:oddVBand="0" w:evenVBand="0" w:oddHBand="0" w:evenHBand="0" w:firstRowFirstColumn="0" w:firstRowLastColumn="0" w:lastRowFirstColumn="0" w:lastRowLastColumn="0"/>
            </w:pPr>
            <w:r w:rsidRPr="0046606B">
              <w:t>Pharmacy</w:t>
            </w:r>
          </w:p>
          <w:p w14:paraId="4CF93EF6" w14:textId="77777777" w:rsidR="00EF5DED" w:rsidRDefault="00EF5DED">
            <w:pPr>
              <w:jc w:val="center"/>
              <w:cnfStyle w:val="000000000000" w:firstRow="0" w:lastRow="0" w:firstColumn="0" w:lastColumn="0" w:oddVBand="0" w:evenVBand="0" w:oddHBand="0" w:evenHBand="0" w:firstRowFirstColumn="0" w:firstRowLastColumn="0" w:lastRowFirstColumn="0" w:lastRowLastColumn="0"/>
            </w:pPr>
            <w:r>
              <w:t xml:space="preserve">(dispensed) </w:t>
            </w:r>
          </w:p>
          <w:p w14:paraId="47267395" w14:textId="0F4C79BB" w:rsidR="00EF5DED" w:rsidRDefault="00BC4065">
            <w:pPr>
              <w:jc w:val="center"/>
              <w:cnfStyle w:val="000000000000" w:firstRow="0" w:lastRow="0" w:firstColumn="0" w:lastColumn="0" w:oddVBand="0" w:evenVBand="0" w:oddHBand="0" w:evenHBand="0" w:firstRowFirstColumn="0" w:firstRowLastColumn="0" w:lastRowFirstColumn="0" w:lastRowLastColumn="0"/>
              <w:rPr>
                <w:i/>
              </w:rPr>
            </w:pPr>
            <w:r w:rsidRPr="00B54383">
              <w:rPr>
                <w:iCs/>
              </w:rPr>
              <w:t>Critical</w:t>
            </w:r>
            <w:r w:rsidRPr="0046606B">
              <w:rPr>
                <w:i/>
              </w:rPr>
              <w:t xml:space="preserve"> </w:t>
            </w:r>
          </w:p>
          <w:p w14:paraId="43E2C733" w14:textId="03E6A13A" w:rsidR="00BC4065" w:rsidRPr="00EF5DED" w:rsidRDefault="00EF5DED">
            <w:pPr>
              <w:jc w:val="center"/>
              <w:cnfStyle w:val="000000000000" w:firstRow="0" w:lastRow="0" w:firstColumn="0" w:lastColumn="0" w:oddVBand="0" w:evenVBand="0" w:oddHBand="0" w:evenHBand="0" w:firstRowFirstColumn="0" w:firstRowLastColumn="0" w:lastRowFirstColumn="0" w:lastRowLastColumn="0"/>
              <w:rPr>
                <w:iCs/>
              </w:rPr>
            </w:pPr>
            <w:r w:rsidRPr="00B54383">
              <w:rPr>
                <w:iCs/>
              </w:rPr>
              <w:t>(</w:t>
            </w:r>
            <w:r w:rsidR="00BC4065" w:rsidRPr="00B54383">
              <w:rPr>
                <w:iCs/>
              </w:rPr>
              <w:t>imprest)</w:t>
            </w:r>
          </w:p>
        </w:tc>
      </w:tr>
      <w:tr w:rsidR="00034380" w:rsidRPr="00F0724D" w14:paraId="7A68DA4A" w14:textId="77777777" w:rsidTr="00760881">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3008E383" w14:textId="77777777" w:rsidR="00BC4065" w:rsidRPr="00F0724D" w:rsidRDefault="00BC4065">
            <w:r w:rsidRPr="00F0724D">
              <w:t>Hotel</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778E8C6" w14:textId="4B36C9A2" w:rsidR="00BC4065" w:rsidRPr="00F0724D" w:rsidRDefault="00760881">
            <w:pPr>
              <w:cnfStyle w:val="000000000000" w:firstRow="0" w:lastRow="0" w:firstColumn="0" w:lastColumn="0" w:oddVBand="0" w:evenVBand="0" w:oddHBand="0" w:evenHBand="0" w:firstRowFirstColumn="0" w:firstRowLastColumn="0" w:lastRowFirstColumn="0" w:lastRowLastColumn="0"/>
            </w:pPr>
            <w:r w:rsidRPr="0046606B">
              <w:t>Includes cleaning, food</w:t>
            </w:r>
            <w:r w:rsidR="003548C9">
              <w:t>,</w:t>
            </w:r>
            <w:r w:rsidRPr="0046606B">
              <w:t xml:space="preserve"> and linen, </w:t>
            </w:r>
            <w:r w:rsidR="003548C9">
              <w:t>as well as</w:t>
            </w:r>
            <w:r w:rsidRPr="0046606B">
              <w:t xml:space="preserve"> agency nursing staff at AIN grade.</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486ECCB" w14:textId="0E6D0234" w:rsidR="00BC4065" w:rsidRPr="00F0724D" w:rsidRDefault="00760881" w:rsidP="00CD5896">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Allocated using general allocation statistics, appropriate for each expense type (e.g. occupied bed days).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736DAB2" w14:textId="77777777" w:rsidR="00BC4065" w:rsidRPr="00F0724D" w:rsidRDefault="00BC4065">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F0724D">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859DC66" w14:textId="70486EE4" w:rsidR="00BC4065" w:rsidRPr="00F0724D" w:rsidRDefault="00760881">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Critical</w:t>
            </w:r>
          </w:p>
        </w:tc>
      </w:tr>
      <w:tr w:rsidR="00034380" w:rsidRPr="00F0724D" w14:paraId="3241A02E" w14:textId="77777777" w:rsidTr="00760881">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238B53A7" w14:textId="77777777" w:rsidR="00BC4065" w:rsidRPr="001D7F2E" w:rsidRDefault="00BC4065">
            <w:pPr>
              <w:rPr>
                <w:b w:val="0"/>
                <w:bCs/>
              </w:rPr>
            </w:pPr>
            <w:r w:rsidRPr="001D7F2E">
              <w:rPr>
                <w:b w:val="0"/>
                <w:bCs/>
              </w:rPr>
              <w:t>Overheads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314F06E" w14:textId="34E82921" w:rsidR="00BC4065" w:rsidRPr="001D7F2E" w:rsidRDefault="00760881">
            <w:pPr>
              <w:cnfStyle w:val="010000000000" w:firstRow="0" w:lastRow="1" w:firstColumn="0" w:lastColumn="0" w:oddVBand="0" w:evenVBand="0" w:oddHBand="0" w:evenHBand="0" w:firstRowFirstColumn="0" w:firstRowLastColumn="0" w:lastRowFirstColumn="0" w:lastRowLastColumn="0"/>
              <w:rPr>
                <w:b w:val="0"/>
                <w:bCs/>
              </w:rPr>
            </w:pPr>
            <w:r w:rsidRPr="00760881">
              <w:rPr>
                <w:b w:val="0"/>
              </w:rPr>
              <w:t>Corporate costs, biomedical engineering costs relating to maintenance, repairs (materials and labour costs).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5587FBB" w14:textId="19BD646F" w:rsidR="00BC4065" w:rsidRPr="001D7F2E" w:rsidRDefault="00BC4065" w:rsidP="00CD5896">
            <w:pP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D7F2E">
              <w:rPr>
                <w:b w:val="0"/>
                <w:bCs/>
              </w:rPr>
              <w:t xml:space="preserve">Allocated </w:t>
            </w:r>
            <w:r w:rsidR="00760881" w:rsidRPr="00760881">
              <w:rPr>
                <w:b w:val="0"/>
              </w:rPr>
              <w:t>using general</w:t>
            </w:r>
            <w:r w:rsidRPr="001D7F2E">
              <w:rPr>
                <w:b w:val="0"/>
                <w:bCs/>
              </w:rPr>
              <w:t xml:space="preserve"> allocation statistics </w:t>
            </w:r>
            <w:r w:rsidR="00760881" w:rsidRPr="00760881">
              <w:rPr>
                <w:b w:val="0"/>
              </w:rPr>
              <w:t>for each expense type (e.g. occupied bed days), S&amp;W expense.</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F29059E" w14:textId="77777777" w:rsidR="00BC4065" w:rsidRPr="001D7F2E" w:rsidRDefault="00BC4065">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D7F2E">
              <w:rPr>
                <w:rFonts w:ascii="Cambria Math" w:hAnsi="Cambria Math" w:cs="Cambria Math"/>
                <w:b w:val="0"/>
                <w:bCs/>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3C972B1" w14:textId="77777777" w:rsidR="00BC4065" w:rsidRPr="001D7F2E" w:rsidRDefault="00BC4065">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bCs/>
              </w:rPr>
            </w:pPr>
            <w:r w:rsidRPr="001D7F2E">
              <w:rPr>
                <w:b w:val="0"/>
                <w:bCs/>
              </w:rPr>
              <w:t>Critical</w:t>
            </w:r>
          </w:p>
        </w:tc>
      </w:tr>
    </w:tbl>
    <w:p w14:paraId="7FFEBF00" w14:textId="175B8DAA" w:rsidR="00352272" w:rsidRDefault="00352272" w:rsidP="00853FE5">
      <w:pPr>
        <w:sectPr w:rsidR="00352272" w:rsidSect="00BC4065">
          <w:footnotePr>
            <w:pos w:val="beneathText"/>
          </w:footnotePr>
          <w:endnotePr>
            <w:numFmt w:val="decimal"/>
          </w:endnotePr>
          <w:pgSz w:w="16838" w:h="11906" w:orient="landscape" w:code="9"/>
          <w:pgMar w:top="1440" w:right="1440" w:bottom="1440" w:left="1440" w:header="720" w:footer="720" w:gutter="0"/>
          <w:cols w:space="720"/>
          <w:docGrid w:linePitch="360"/>
        </w:sectPr>
      </w:pPr>
    </w:p>
    <w:p w14:paraId="2DCDBC62" w14:textId="695E799A" w:rsidR="00AC1402" w:rsidRPr="0046606B" w:rsidRDefault="00AC1402" w:rsidP="00AC1402">
      <w:pPr>
        <w:pStyle w:val="Caption"/>
        <w:keepNext/>
        <w:rPr>
          <w:rFonts w:eastAsia="Times New Roman" w:cs="Times New Roman"/>
          <w:i w:val="0"/>
          <w:iCs w:val="0"/>
          <w:color w:val="484B5D" w:themeColor="accent3"/>
          <w:sz w:val="20"/>
          <w:szCs w:val="20"/>
          <w:lang w:eastAsia="en-AU"/>
        </w:rPr>
      </w:pPr>
      <w:r w:rsidRPr="0046606B">
        <w:rPr>
          <w:rFonts w:eastAsia="Times New Roman" w:cs="Times New Roman"/>
          <w:i w:val="0"/>
          <w:iCs w:val="0"/>
          <w:color w:val="484B5D" w:themeColor="accent3"/>
          <w:sz w:val="20"/>
          <w:szCs w:val="20"/>
          <w:lang w:eastAsia="en-AU"/>
        </w:rPr>
        <w:lastRenderedPageBreak/>
        <w:t xml:space="preserve">The </w:t>
      </w:r>
      <w:r>
        <w:rPr>
          <w:rFonts w:eastAsia="Times New Roman" w:cs="Times New Roman"/>
          <w:i w:val="0"/>
          <w:iCs w:val="0"/>
          <w:color w:val="484B5D" w:themeColor="accent3"/>
          <w:sz w:val="20"/>
          <w:szCs w:val="20"/>
          <w:lang w:eastAsia="en-AU"/>
        </w:rPr>
        <w:t>c</w:t>
      </w:r>
      <w:r w:rsidRPr="0046606B">
        <w:rPr>
          <w:rFonts w:eastAsia="Times New Roman" w:cs="Times New Roman"/>
          <w:i w:val="0"/>
          <w:iCs w:val="0"/>
          <w:color w:val="484B5D" w:themeColor="accent3"/>
          <w:sz w:val="20"/>
          <w:szCs w:val="20"/>
          <w:lang w:eastAsia="en-AU"/>
        </w:rPr>
        <w:t xml:space="preserve">hart below shows the composition of costs within the </w:t>
      </w:r>
      <w:r w:rsidRPr="00B54383">
        <w:rPr>
          <w:rFonts w:eastAsia="Times New Roman" w:cs="Times New Roman"/>
          <w:color w:val="484B5D" w:themeColor="accent3"/>
          <w:sz w:val="20"/>
          <w:szCs w:val="20"/>
          <w:lang w:eastAsia="en-AU"/>
        </w:rPr>
        <w:t>Critical</w:t>
      </w:r>
      <w:r w:rsidRPr="0046606B">
        <w:rPr>
          <w:rFonts w:eastAsia="Times New Roman" w:cs="Times New Roman"/>
          <w:i w:val="0"/>
          <w:iCs w:val="0"/>
          <w:color w:val="484B5D" w:themeColor="accent3"/>
          <w:sz w:val="20"/>
          <w:szCs w:val="20"/>
          <w:lang w:eastAsia="en-AU"/>
        </w:rPr>
        <w:t xml:space="preserve"> </w:t>
      </w:r>
      <w:r w:rsidR="00EF5DED">
        <w:rPr>
          <w:rFonts w:eastAsia="Times New Roman" w:cs="Times New Roman"/>
          <w:i w:val="0"/>
          <w:iCs w:val="0"/>
          <w:color w:val="484B5D" w:themeColor="accent3"/>
          <w:sz w:val="20"/>
          <w:szCs w:val="20"/>
          <w:lang w:eastAsia="en-AU"/>
        </w:rPr>
        <w:t xml:space="preserve">NHCDC </w:t>
      </w:r>
      <w:r w:rsidRPr="0046606B">
        <w:rPr>
          <w:rFonts w:eastAsia="Times New Roman" w:cs="Times New Roman"/>
          <w:i w:val="0"/>
          <w:iCs w:val="0"/>
          <w:color w:val="484B5D" w:themeColor="accent3"/>
          <w:sz w:val="20"/>
          <w:szCs w:val="20"/>
          <w:lang w:eastAsia="en-AU"/>
        </w:rPr>
        <w:t>Cost Centre Group:</w:t>
      </w:r>
    </w:p>
    <w:p w14:paraId="54D1A038" w14:textId="0A0CC04E" w:rsidR="00AC1402" w:rsidRDefault="00AC1402" w:rsidP="006044E0">
      <w:pPr>
        <w:pStyle w:val="ListParagraph"/>
        <w:numPr>
          <w:ilvl w:val="0"/>
          <w:numId w:val="30"/>
        </w:numPr>
        <w:rPr>
          <w:lang w:eastAsia="en-AU"/>
        </w:rPr>
      </w:pPr>
      <w:r w:rsidRPr="0046606B">
        <w:rPr>
          <w:lang w:eastAsia="en-AU"/>
        </w:rPr>
        <w:t xml:space="preserve">SCGH’s </w:t>
      </w:r>
      <w:r w:rsidRPr="0046606B">
        <w:rPr>
          <w:i/>
          <w:iCs/>
          <w:lang w:eastAsia="en-AU"/>
        </w:rPr>
        <w:t>Critical</w:t>
      </w:r>
      <w:r w:rsidRPr="0046606B">
        <w:rPr>
          <w:lang w:eastAsia="en-AU"/>
        </w:rPr>
        <w:t xml:space="preserve"> costs totalled $54</w:t>
      </w:r>
      <w:r>
        <w:rPr>
          <w:lang w:eastAsia="en-AU"/>
        </w:rPr>
        <w:t xml:space="preserve"> million of WA’s $237</w:t>
      </w:r>
      <w:r w:rsidR="00165D9D">
        <w:rPr>
          <w:lang w:eastAsia="en-AU"/>
        </w:rPr>
        <w:t xml:space="preserve"> million</w:t>
      </w:r>
      <w:r>
        <w:rPr>
          <w:lang w:eastAsia="en-AU"/>
        </w:rPr>
        <w:t xml:space="preserve"> costs in the </w:t>
      </w:r>
      <w:r w:rsidRPr="00B54383">
        <w:rPr>
          <w:i/>
          <w:iCs/>
          <w:lang w:eastAsia="en-AU"/>
        </w:rPr>
        <w:t>Critical</w:t>
      </w:r>
      <w:r>
        <w:rPr>
          <w:lang w:eastAsia="en-AU"/>
        </w:rPr>
        <w:t xml:space="preserve"> </w:t>
      </w:r>
      <w:r w:rsidR="00EF5DED">
        <w:rPr>
          <w:lang w:eastAsia="en-AU"/>
        </w:rPr>
        <w:t xml:space="preserve">NHCDC </w:t>
      </w:r>
      <w:r>
        <w:rPr>
          <w:lang w:eastAsia="en-AU"/>
        </w:rPr>
        <w:t>Cost Centre Group</w:t>
      </w:r>
    </w:p>
    <w:p w14:paraId="7B729226" w14:textId="41C3DA94" w:rsidR="00AC1402" w:rsidRDefault="00AC1402" w:rsidP="006044E0">
      <w:pPr>
        <w:pStyle w:val="ListParagraph"/>
        <w:numPr>
          <w:ilvl w:val="0"/>
          <w:numId w:val="30"/>
        </w:numPr>
        <w:rPr>
          <w:lang w:eastAsia="en-AU"/>
        </w:rPr>
      </w:pPr>
      <w:r>
        <w:rPr>
          <w:lang w:eastAsia="en-AU"/>
        </w:rPr>
        <w:t>SCGH</w:t>
      </w:r>
      <w:r w:rsidRPr="0046606B">
        <w:rPr>
          <w:lang w:eastAsia="en-AU"/>
        </w:rPr>
        <w:t xml:space="preserve"> had a slightly higher proportion of nursing </w:t>
      </w:r>
      <w:r>
        <w:rPr>
          <w:lang w:eastAsia="en-AU"/>
        </w:rPr>
        <w:t xml:space="preserve">costs </w:t>
      </w:r>
      <w:r w:rsidRPr="0046606B">
        <w:rPr>
          <w:lang w:eastAsia="en-AU"/>
        </w:rPr>
        <w:t xml:space="preserve">(48.8% versus 44.3%) and medical </w:t>
      </w:r>
      <w:r>
        <w:rPr>
          <w:lang w:eastAsia="en-AU"/>
        </w:rPr>
        <w:t>costs</w:t>
      </w:r>
      <w:r w:rsidRPr="0046606B">
        <w:rPr>
          <w:lang w:eastAsia="en-AU"/>
        </w:rPr>
        <w:t xml:space="preserve"> (22.2% versus 19.5%)</w:t>
      </w:r>
      <w:r>
        <w:rPr>
          <w:lang w:eastAsia="en-AU"/>
        </w:rPr>
        <w:t xml:space="preserve"> within </w:t>
      </w:r>
      <w:r w:rsidRPr="00AC1402">
        <w:rPr>
          <w:i/>
          <w:iCs/>
          <w:lang w:eastAsia="en-AU"/>
        </w:rPr>
        <w:t>Critical</w:t>
      </w:r>
      <w:r>
        <w:rPr>
          <w:lang w:eastAsia="en-AU"/>
        </w:rPr>
        <w:t xml:space="preserve"> than the state average</w:t>
      </w:r>
      <w:r w:rsidRPr="0046606B">
        <w:rPr>
          <w:lang w:eastAsia="en-AU"/>
        </w:rPr>
        <w:t>. It is possible that this reflects a higher acuity casemix at SCGH compared to the rest of the state.</w:t>
      </w:r>
    </w:p>
    <w:p w14:paraId="02811C44" w14:textId="4E633519" w:rsidR="00AC1402" w:rsidRDefault="00BD176F"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36</w:t>
      </w:r>
      <w:r w:rsidR="00BD5B5E">
        <w:fldChar w:fldCharType="end"/>
      </w:r>
      <w:r>
        <w:t>: Total Critical Costs at NHCDC line item level</w:t>
      </w:r>
      <w:r w:rsidR="003D5B8C">
        <w:t xml:space="preserve"> - WA</w:t>
      </w:r>
    </w:p>
    <w:p w14:paraId="395F40E7" w14:textId="7205B2C6" w:rsidR="002F182C" w:rsidRDefault="00AE03D3" w:rsidP="00767799">
      <w:r>
        <w:rPr>
          <w:noProof/>
        </w:rPr>
        <w:drawing>
          <wp:inline distT="0" distB="0" distL="0" distR="0" wp14:anchorId="15930CE3" wp14:editId="22B8B7E3">
            <wp:extent cx="6102997" cy="3008944"/>
            <wp:effectExtent l="0" t="0" r="0" b="1270"/>
            <wp:docPr id="1072549244" name="Picture 5" descr="P27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49244" name="Picture 5" descr="P2746#yIS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3988" cy="3019293"/>
                    </a:xfrm>
                    <a:prstGeom prst="rect">
                      <a:avLst/>
                    </a:prstGeom>
                    <a:noFill/>
                  </pic:spPr>
                </pic:pic>
              </a:graphicData>
            </a:graphic>
          </wp:inline>
        </w:drawing>
      </w:r>
    </w:p>
    <w:p w14:paraId="2C2025B3" w14:textId="77777777" w:rsidR="0090220E" w:rsidRDefault="005E37C4" w:rsidP="00767799">
      <w:pPr>
        <w:sectPr w:rsidR="0090220E" w:rsidSect="00EB76C7">
          <w:footnotePr>
            <w:pos w:val="beneathText"/>
          </w:footnotePr>
          <w:endnotePr>
            <w:numFmt w:val="decimal"/>
          </w:endnotePr>
          <w:type w:val="continuous"/>
          <w:pgSz w:w="11906" w:h="16838" w:code="9"/>
          <w:pgMar w:top="1440" w:right="1440" w:bottom="1440" w:left="1440" w:header="720" w:footer="720" w:gutter="0"/>
          <w:cols w:space="720"/>
          <w:docGrid w:linePitch="360"/>
        </w:sectPr>
      </w:pPr>
      <w:r>
        <w:rPr>
          <w:noProof/>
        </w:rPr>
        <mc:AlternateContent>
          <mc:Choice Requires="wps">
            <w:drawing>
              <wp:inline distT="0" distB="0" distL="0" distR="0" wp14:anchorId="4F0B38B0" wp14:editId="11C5A1A8">
                <wp:extent cx="5715000" cy="1447800"/>
                <wp:effectExtent l="0" t="0" r="0" b="0"/>
                <wp:docPr id="1717222012" name="Text Box 2" descr="P2747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19BD546" w14:textId="60533B84" w:rsidR="00BD176F" w:rsidRPr="001729F2" w:rsidRDefault="00BD176F" w:rsidP="00BD176F">
                            <w:pPr>
                              <w:pStyle w:val="Tablebulletpoint"/>
                              <w:numPr>
                                <w:ilvl w:val="0"/>
                                <w:numId w:val="0"/>
                              </w:numPr>
                              <w:spacing w:after="120"/>
                              <w:contextualSpacing w:val="0"/>
                              <w:rPr>
                                <w:color w:val="FFFFFF" w:themeColor="background1"/>
                              </w:rPr>
                            </w:pPr>
                            <w:r w:rsidRPr="001729F2">
                              <w:rPr>
                                <w:b/>
                                <w:bCs/>
                                <w:color w:val="FFFFFF" w:themeColor="background1"/>
                              </w:rPr>
                              <w:t>Critical Care Comparability</w:t>
                            </w:r>
                            <w:r w:rsidR="00847DF8" w:rsidRPr="001729F2">
                              <w:rPr>
                                <w:b/>
                                <w:bCs/>
                                <w:color w:val="FFFFFF" w:themeColor="background1"/>
                              </w:rPr>
                              <w:t xml:space="preserve"> cost insights:</w:t>
                            </w:r>
                          </w:p>
                          <w:p w14:paraId="5D731358" w14:textId="0F0D8D8C" w:rsidR="00767799" w:rsidRPr="001729F2" w:rsidRDefault="00767799" w:rsidP="00767799">
                            <w:pPr>
                              <w:pStyle w:val="Tablebulletpoint"/>
                              <w:rPr>
                                <w:color w:val="FFFFFF" w:themeColor="background1"/>
                              </w:rPr>
                            </w:pPr>
                            <w:r w:rsidRPr="001729F2">
                              <w:rPr>
                                <w:color w:val="FFFFFF" w:themeColor="background1"/>
                              </w:rPr>
                              <w:t xml:space="preserve">SCGH </w:t>
                            </w:r>
                            <w:r w:rsidR="00031E8C">
                              <w:rPr>
                                <w:color w:val="FFFFFF" w:themeColor="background1"/>
                              </w:rPr>
                              <w:t xml:space="preserve">allocates ICU costs </w:t>
                            </w:r>
                            <w:r w:rsidR="00EE55D8">
                              <w:rPr>
                                <w:color w:val="FFFFFF" w:themeColor="background1"/>
                              </w:rPr>
                              <w:t xml:space="preserve">based on a patient’s </w:t>
                            </w:r>
                            <w:r w:rsidR="002F17EB">
                              <w:rPr>
                                <w:color w:val="FFFFFF" w:themeColor="background1"/>
                              </w:rPr>
                              <w:t>ICU hours, with</w:t>
                            </w:r>
                            <w:r w:rsidR="004B0ABA">
                              <w:rPr>
                                <w:color w:val="FFFFFF" w:themeColor="background1"/>
                              </w:rPr>
                              <w:t xml:space="preserve"> no differentiation in cost allocation </w:t>
                            </w:r>
                            <w:r w:rsidR="00A57B1F">
                              <w:rPr>
                                <w:color w:val="FFFFFF" w:themeColor="background1"/>
                              </w:rPr>
                              <w:t xml:space="preserve">for patient acuity levels. </w:t>
                            </w:r>
                          </w:p>
                          <w:p w14:paraId="252C2FE0" w14:textId="09529C3D" w:rsidR="00ED31F4" w:rsidRPr="00ED31F4" w:rsidRDefault="00113FBA" w:rsidP="007F31A7">
                            <w:pPr>
                              <w:pStyle w:val="Tablebulletpoint"/>
                              <w:rPr>
                                <w:color w:val="FFFFFF" w:themeColor="background1"/>
                              </w:rPr>
                            </w:pPr>
                            <w:r w:rsidRPr="001729F2">
                              <w:rPr>
                                <w:color w:val="FFFFFF" w:themeColor="background1"/>
                              </w:rPr>
                              <w:t xml:space="preserve">SCGH has dedicated allied health support in the ICU ward </w:t>
                            </w:r>
                            <w:r w:rsidR="00D33960">
                              <w:rPr>
                                <w:color w:val="FFFFFF" w:themeColor="background1"/>
                              </w:rPr>
                              <w:t xml:space="preserve">and </w:t>
                            </w:r>
                            <w:r w:rsidRPr="001729F2">
                              <w:rPr>
                                <w:color w:val="FFFFFF" w:themeColor="background1"/>
                              </w:rPr>
                              <w:t xml:space="preserve">these costs were allocated to the </w:t>
                            </w:r>
                            <w:r w:rsidRPr="00C456DF">
                              <w:rPr>
                                <w:i/>
                                <w:iCs/>
                                <w:color w:val="FFFFFF" w:themeColor="background1"/>
                              </w:rPr>
                              <w:t>Allied</w:t>
                            </w:r>
                            <w:r w:rsidRPr="001729F2">
                              <w:rPr>
                                <w:color w:val="FFFFFF" w:themeColor="background1"/>
                              </w:rPr>
                              <w:t xml:space="preserve"> </w:t>
                            </w:r>
                            <w:r w:rsidRPr="00ED31F4">
                              <w:rPr>
                                <w:color w:val="FFFFFF" w:themeColor="background1"/>
                              </w:rPr>
                              <w:t>NHCDC Cost Centre Grou</w:t>
                            </w:r>
                            <w:r w:rsidR="00D33960">
                              <w:rPr>
                                <w:color w:val="FFFFFF" w:themeColor="background1"/>
                              </w:rPr>
                              <w:t>p</w:t>
                            </w:r>
                            <w:r w:rsidRPr="001729F2">
                              <w:rPr>
                                <w:color w:val="FFFFFF" w:themeColor="background1"/>
                              </w:rPr>
                              <w:t xml:space="preserve">, not </w:t>
                            </w:r>
                            <w:r w:rsidRPr="00C456DF">
                              <w:rPr>
                                <w:i/>
                                <w:iCs/>
                                <w:color w:val="FFFFFF" w:themeColor="background1"/>
                              </w:rPr>
                              <w:t>Critical</w:t>
                            </w:r>
                            <w:r w:rsidRPr="001729F2">
                              <w:rPr>
                                <w:color w:val="FFFFFF" w:themeColor="background1"/>
                              </w:rPr>
                              <w:t xml:space="preserve">. </w:t>
                            </w:r>
                            <w:r w:rsidR="00ED31F4" w:rsidRPr="00ED31F4">
                              <w:rPr>
                                <w:color w:val="FFFFFF" w:themeColor="background1"/>
                              </w:rPr>
                              <w:t>Western Australia’s treatment is in line with other jurisdictions.</w:t>
                            </w:r>
                          </w:p>
                          <w:p w14:paraId="076E9C81" w14:textId="0856CE17" w:rsidR="00ED31F4" w:rsidRPr="00ED31F4" w:rsidRDefault="00767799" w:rsidP="00ED31F4">
                            <w:pPr>
                              <w:pStyle w:val="Tablebulletpoint"/>
                              <w:rPr>
                                <w:color w:val="FFFFFF" w:themeColor="background1"/>
                              </w:rPr>
                            </w:pPr>
                            <w:r w:rsidRPr="00174C42">
                              <w:rPr>
                                <w:color w:val="FFFFFF" w:themeColor="background1"/>
                              </w:rPr>
                              <w:t>Pharmacy, pathology</w:t>
                            </w:r>
                            <w:r w:rsidR="00353739" w:rsidRPr="00174C42">
                              <w:rPr>
                                <w:color w:val="FFFFFF" w:themeColor="background1"/>
                              </w:rPr>
                              <w:t>,</w:t>
                            </w:r>
                            <w:r w:rsidRPr="00174C42">
                              <w:rPr>
                                <w:color w:val="FFFFFF" w:themeColor="background1"/>
                              </w:rPr>
                              <w:t xml:space="preserve"> and imaging costs are sitting in the </w:t>
                            </w:r>
                            <w:r w:rsidR="009814D8" w:rsidRPr="00AD1F32">
                              <w:rPr>
                                <w:i/>
                                <w:iCs/>
                                <w:color w:val="FFFFFF" w:themeColor="background1"/>
                              </w:rPr>
                              <w:t>P</w:t>
                            </w:r>
                            <w:r w:rsidRPr="00AD1F32">
                              <w:rPr>
                                <w:i/>
                                <w:iCs/>
                                <w:color w:val="FFFFFF" w:themeColor="background1"/>
                              </w:rPr>
                              <w:t xml:space="preserve">harmacy, </w:t>
                            </w:r>
                            <w:r w:rsidR="009814D8" w:rsidRPr="00AD1F32">
                              <w:rPr>
                                <w:i/>
                                <w:iCs/>
                                <w:color w:val="FFFFFF" w:themeColor="background1"/>
                              </w:rPr>
                              <w:t>P</w:t>
                            </w:r>
                            <w:r w:rsidRPr="00AD1F32">
                              <w:rPr>
                                <w:i/>
                                <w:iCs/>
                                <w:color w:val="FFFFFF" w:themeColor="background1"/>
                              </w:rPr>
                              <w:t>athology</w:t>
                            </w:r>
                            <w:r w:rsidR="00353739" w:rsidRPr="00174C42">
                              <w:rPr>
                                <w:color w:val="FFFFFF" w:themeColor="background1"/>
                              </w:rPr>
                              <w:t>,</w:t>
                            </w:r>
                            <w:r w:rsidRPr="00174C42">
                              <w:rPr>
                                <w:color w:val="FFFFFF" w:themeColor="background1"/>
                              </w:rPr>
                              <w:t xml:space="preserve"> and </w:t>
                            </w:r>
                            <w:r w:rsidR="009814D8" w:rsidRPr="00AD1F32">
                              <w:rPr>
                                <w:i/>
                                <w:iCs/>
                                <w:color w:val="FFFFFF" w:themeColor="background1"/>
                              </w:rPr>
                              <w:t>I</w:t>
                            </w:r>
                            <w:r w:rsidR="004A7749" w:rsidRPr="00AD1F32">
                              <w:rPr>
                                <w:i/>
                                <w:iCs/>
                                <w:color w:val="FFFFFF" w:themeColor="background1"/>
                              </w:rPr>
                              <w:t>m</w:t>
                            </w:r>
                            <w:r w:rsidRPr="00AD1F32">
                              <w:rPr>
                                <w:i/>
                                <w:iCs/>
                                <w:color w:val="FFFFFF" w:themeColor="background1"/>
                              </w:rPr>
                              <w:t>aging</w:t>
                            </w:r>
                            <w:r w:rsidRPr="00174C42">
                              <w:rPr>
                                <w:color w:val="FFFFFF" w:themeColor="background1"/>
                              </w:rPr>
                              <w:t xml:space="preserve"> </w:t>
                            </w:r>
                            <w:r w:rsidR="009814D8">
                              <w:rPr>
                                <w:color w:val="FFFFFF" w:themeColor="background1"/>
                              </w:rPr>
                              <w:t>NHCDC Cost Centre Groups</w:t>
                            </w:r>
                            <w:r w:rsidRPr="00174C42">
                              <w:rPr>
                                <w:color w:val="FFFFFF" w:themeColor="background1"/>
                              </w:rPr>
                              <w:t xml:space="preserve"> respectively, not </w:t>
                            </w:r>
                            <w:r w:rsidR="00EF7DDE" w:rsidRPr="00AD1F32">
                              <w:rPr>
                                <w:i/>
                                <w:iCs/>
                                <w:color w:val="FFFFFF" w:themeColor="background1"/>
                              </w:rPr>
                              <w:t>C</w:t>
                            </w:r>
                            <w:r w:rsidRPr="00AD1F32">
                              <w:rPr>
                                <w:i/>
                                <w:iCs/>
                                <w:color w:val="FFFFFF" w:themeColor="background1"/>
                              </w:rPr>
                              <w:t>ritical</w:t>
                            </w:r>
                            <w:r w:rsidRPr="00174C42">
                              <w:rPr>
                                <w:color w:val="FFFFFF" w:themeColor="background1"/>
                              </w:rPr>
                              <w:t xml:space="preserve">. </w:t>
                            </w:r>
                            <w:r w:rsidR="00ED31F4" w:rsidRPr="00ED31F4">
                              <w:rPr>
                                <w:color w:val="FFFFFF" w:themeColor="background1"/>
                              </w:rPr>
                              <w:t>Western Australia’s treatment is in line with other jurisdictions.</w:t>
                            </w:r>
                          </w:p>
                          <w:p w14:paraId="52F3E217" w14:textId="759BB9C3" w:rsidR="00767799" w:rsidRPr="00ED31F4" w:rsidRDefault="00767799" w:rsidP="003452A2">
                            <w:pPr>
                              <w:pStyle w:val="Tablebulletpoint"/>
                              <w:rPr>
                                <w:color w:val="FFFFFF" w:themeColor="background1"/>
                              </w:rPr>
                            </w:pPr>
                            <w:r w:rsidRPr="00ED31F4">
                              <w:rPr>
                                <w:color w:val="FFFFFF" w:themeColor="background1"/>
                              </w:rPr>
                              <w:t xml:space="preserve">ICU staff perform activities outside of the ICU unit or not delivering care to ICU patients. These costs are spread to ICU patients, potentially overstating their </w:t>
                            </w:r>
                            <w:r w:rsidR="00EF7DDE" w:rsidRPr="00ED31F4">
                              <w:rPr>
                                <w:color w:val="FFFFFF" w:themeColor="background1"/>
                              </w:rPr>
                              <w:t>M</w:t>
                            </w:r>
                            <w:r w:rsidRPr="00ED31F4">
                              <w:rPr>
                                <w:color w:val="FFFFFF" w:themeColor="background1"/>
                              </w:rPr>
                              <w:t xml:space="preserve">edical and </w:t>
                            </w:r>
                            <w:r w:rsidR="00EF7DDE" w:rsidRPr="00ED31F4">
                              <w:rPr>
                                <w:color w:val="FFFFFF" w:themeColor="background1"/>
                              </w:rPr>
                              <w:t>N</w:t>
                            </w:r>
                            <w:r w:rsidRPr="00ED31F4">
                              <w:rPr>
                                <w:color w:val="FFFFFF" w:themeColor="background1"/>
                              </w:rPr>
                              <w:t xml:space="preserve">ursing </w:t>
                            </w:r>
                            <w:r w:rsidRPr="00ED31F4">
                              <w:rPr>
                                <w:i/>
                                <w:iCs/>
                                <w:color w:val="FFFFFF" w:themeColor="background1"/>
                              </w:rPr>
                              <w:t>S&amp;W</w:t>
                            </w:r>
                            <w:r w:rsidRPr="00ED31F4">
                              <w:rPr>
                                <w:color w:val="FFFFFF" w:themeColor="background1"/>
                              </w:rPr>
                              <w:t xml:space="preserve"> costs.</w:t>
                            </w:r>
                          </w:p>
                          <w:p w14:paraId="0187DA26" w14:textId="7AAE2237" w:rsidR="00BD176F" w:rsidRPr="001729F2" w:rsidRDefault="00767799" w:rsidP="00767799">
                            <w:pPr>
                              <w:pStyle w:val="Tablebulletpoint"/>
                              <w:rPr>
                                <w:color w:val="FFFFFF" w:themeColor="background1"/>
                              </w:rPr>
                            </w:pPr>
                            <w:r w:rsidRPr="001729F2">
                              <w:rPr>
                                <w:color w:val="FFFFFF" w:themeColor="background1"/>
                              </w:rPr>
                              <w:t xml:space="preserve">In WA, nursing agency at the AIN grade is costed to the </w:t>
                            </w:r>
                            <w:r w:rsidRPr="00C456DF">
                              <w:rPr>
                                <w:i/>
                                <w:iCs/>
                                <w:color w:val="FFFFFF" w:themeColor="background1"/>
                              </w:rPr>
                              <w:t>Hotel</w:t>
                            </w:r>
                            <w:r w:rsidRPr="001729F2">
                              <w:rPr>
                                <w:color w:val="FFFFFF" w:themeColor="background1"/>
                              </w:rPr>
                              <w:t xml:space="preserve"> line item instead of </w:t>
                            </w:r>
                            <w:r w:rsidRPr="00CF78F9">
                              <w:rPr>
                                <w:i/>
                                <w:iCs/>
                                <w:color w:val="FFFFFF" w:themeColor="background1"/>
                              </w:rPr>
                              <w:t>Nursing S&amp;W</w:t>
                            </w:r>
                            <w:r w:rsidRPr="001729F2">
                              <w:rPr>
                                <w:color w:val="FFFFFF" w:themeColor="background1"/>
                              </w:rPr>
                              <w:t xml:space="preserve"> or </w:t>
                            </w:r>
                            <w:r w:rsidRPr="00843FAD">
                              <w:rPr>
                                <w:i/>
                                <w:color w:val="FFFFFF" w:themeColor="background1"/>
                              </w:rPr>
                              <w:t>Goods &amp; Services</w:t>
                            </w:r>
                            <w:r w:rsidRPr="001729F2">
                              <w:rPr>
                                <w:color w:val="FFFFFF" w:themeColor="background1"/>
                              </w:rPr>
                              <w:t>. Whilst not a significant cost for ICU and CCU, this would be different to other jurisdictions’ costing practice for these costs.</w:t>
                            </w:r>
                          </w:p>
                        </w:txbxContent>
                      </wps:txbx>
                      <wps:bodyPr rot="0" vert="horz" wrap="square" lIns="180000" tIns="180000" rIns="180000" bIns="180000" anchor="t" anchorCtr="0">
                        <a:spAutoFit/>
                      </wps:bodyPr>
                    </wps:wsp>
                  </a:graphicData>
                </a:graphic>
              </wp:inline>
            </w:drawing>
          </mc:Choice>
          <mc:Fallback>
            <w:pict>
              <v:shape w14:anchorId="4F0B38B0" id="_x0000_s1268" type="#_x0000_t202" alt="P2747TB12#y1" style="width:450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" fillcolor="#343a5e [2405]" stroked="f" strokeweight="1pt">
                <v:textbox style="mso-fit-shape-to-text:t" inset="5mm,5mm,5mm,5mm">
                  <w:txbxContent>
                    <w:p w14:paraId="419BD546" w14:textId="60533B84" w:rsidR="00BD176F" w:rsidRPr="001729F2" w:rsidRDefault="00BD176F" w:rsidP="00BD176F">
                      <w:pPr>
                        <w:pStyle w:val="Tablebulletpoint"/>
                        <w:numPr>
                          <w:ilvl w:val="0"/>
                          <w:numId w:val="0"/>
                        </w:numPr>
                        <w:spacing w:after="120"/>
                        <w:contextualSpacing w:val="0"/>
                        <w:rPr>
                          <w:color w:val="FFFFFF" w:themeColor="background1"/>
                        </w:rPr>
                      </w:pPr>
                      <w:r w:rsidRPr="001729F2">
                        <w:rPr>
                          <w:b/>
                          <w:bCs/>
                          <w:color w:val="FFFFFF" w:themeColor="background1"/>
                        </w:rPr>
                        <w:t>Critical Care Comparability</w:t>
                      </w:r>
                      <w:r w:rsidR="00847DF8" w:rsidRPr="001729F2">
                        <w:rPr>
                          <w:b/>
                          <w:bCs/>
                          <w:color w:val="FFFFFF" w:themeColor="background1"/>
                        </w:rPr>
                        <w:t xml:space="preserve"> cost insights:</w:t>
                      </w:r>
                    </w:p>
                    <w:p w14:paraId="5D731358" w14:textId="0F0D8D8C" w:rsidR="00767799" w:rsidRPr="001729F2" w:rsidRDefault="00767799" w:rsidP="00767799">
                      <w:pPr>
                        <w:pStyle w:val="Tablebulletpoint"/>
                        <w:rPr>
                          <w:color w:val="FFFFFF" w:themeColor="background1"/>
                        </w:rPr>
                      </w:pPr>
                      <w:r w:rsidRPr="001729F2">
                        <w:rPr>
                          <w:color w:val="FFFFFF" w:themeColor="background1"/>
                        </w:rPr>
                        <w:t xml:space="preserve">SCGH </w:t>
                      </w:r>
                      <w:r w:rsidR="00031E8C">
                        <w:rPr>
                          <w:color w:val="FFFFFF" w:themeColor="background1"/>
                        </w:rPr>
                        <w:t xml:space="preserve">allocates ICU costs </w:t>
                      </w:r>
                      <w:r w:rsidR="00EE55D8">
                        <w:rPr>
                          <w:color w:val="FFFFFF" w:themeColor="background1"/>
                        </w:rPr>
                        <w:t xml:space="preserve">based on a patient’s </w:t>
                      </w:r>
                      <w:r w:rsidR="002F17EB">
                        <w:rPr>
                          <w:color w:val="FFFFFF" w:themeColor="background1"/>
                        </w:rPr>
                        <w:t>ICU hours, with</w:t>
                      </w:r>
                      <w:r w:rsidR="004B0ABA">
                        <w:rPr>
                          <w:color w:val="FFFFFF" w:themeColor="background1"/>
                        </w:rPr>
                        <w:t xml:space="preserve"> no differentiation in cost allocation </w:t>
                      </w:r>
                      <w:r w:rsidR="00A57B1F">
                        <w:rPr>
                          <w:color w:val="FFFFFF" w:themeColor="background1"/>
                        </w:rPr>
                        <w:t xml:space="preserve">for patient acuity levels. </w:t>
                      </w:r>
                    </w:p>
                    <w:p w14:paraId="252C2FE0" w14:textId="09529C3D" w:rsidR="00ED31F4" w:rsidRPr="00ED31F4" w:rsidRDefault="00113FBA" w:rsidP="007F31A7">
                      <w:pPr>
                        <w:pStyle w:val="Tablebulletpoint"/>
                        <w:rPr>
                          <w:color w:val="FFFFFF" w:themeColor="background1"/>
                        </w:rPr>
                      </w:pPr>
                      <w:r w:rsidRPr="001729F2">
                        <w:rPr>
                          <w:color w:val="FFFFFF" w:themeColor="background1"/>
                        </w:rPr>
                        <w:t xml:space="preserve">SCGH has dedicated allied health support in the ICU ward </w:t>
                      </w:r>
                      <w:r w:rsidR="00D33960">
                        <w:rPr>
                          <w:color w:val="FFFFFF" w:themeColor="background1"/>
                        </w:rPr>
                        <w:t xml:space="preserve">and </w:t>
                      </w:r>
                      <w:r w:rsidRPr="001729F2">
                        <w:rPr>
                          <w:color w:val="FFFFFF" w:themeColor="background1"/>
                        </w:rPr>
                        <w:t xml:space="preserve">these costs were allocated to the </w:t>
                      </w:r>
                      <w:r w:rsidRPr="00C456DF">
                        <w:rPr>
                          <w:i/>
                          <w:iCs/>
                          <w:color w:val="FFFFFF" w:themeColor="background1"/>
                        </w:rPr>
                        <w:t>Allied</w:t>
                      </w:r>
                      <w:r w:rsidRPr="001729F2">
                        <w:rPr>
                          <w:color w:val="FFFFFF" w:themeColor="background1"/>
                        </w:rPr>
                        <w:t xml:space="preserve"> </w:t>
                      </w:r>
                      <w:r w:rsidRPr="00ED31F4">
                        <w:rPr>
                          <w:color w:val="FFFFFF" w:themeColor="background1"/>
                        </w:rPr>
                        <w:t>NHCDC Cost Centre Grou</w:t>
                      </w:r>
                      <w:r w:rsidR="00D33960">
                        <w:rPr>
                          <w:color w:val="FFFFFF" w:themeColor="background1"/>
                        </w:rPr>
                        <w:t>p</w:t>
                      </w:r>
                      <w:r w:rsidRPr="001729F2">
                        <w:rPr>
                          <w:color w:val="FFFFFF" w:themeColor="background1"/>
                        </w:rPr>
                        <w:t xml:space="preserve">, not </w:t>
                      </w:r>
                      <w:r w:rsidRPr="00C456DF">
                        <w:rPr>
                          <w:i/>
                          <w:iCs/>
                          <w:color w:val="FFFFFF" w:themeColor="background1"/>
                        </w:rPr>
                        <w:t>Critical</w:t>
                      </w:r>
                      <w:r w:rsidRPr="001729F2">
                        <w:rPr>
                          <w:color w:val="FFFFFF" w:themeColor="background1"/>
                        </w:rPr>
                        <w:t xml:space="preserve">. </w:t>
                      </w:r>
                      <w:r w:rsidR="00ED31F4" w:rsidRPr="00ED31F4">
                        <w:rPr>
                          <w:color w:val="FFFFFF" w:themeColor="background1"/>
                        </w:rPr>
                        <w:t>Western Australia’s treatment is in line with other jurisdictions.</w:t>
                      </w:r>
                    </w:p>
                    <w:p w14:paraId="076E9C81" w14:textId="0856CE17" w:rsidR="00ED31F4" w:rsidRPr="00ED31F4" w:rsidRDefault="00767799" w:rsidP="00ED31F4">
                      <w:pPr>
                        <w:pStyle w:val="Tablebulletpoint"/>
                        <w:rPr>
                          <w:color w:val="FFFFFF" w:themeColor="background1"/>
                        </w:rPr>
                      </w:pPr>
                      <w:r w:rsidRPr="00174C42">
                        <w:rPr>
                          <w:color w:val="FFFFFF" w:themeColor="background1"/>
                        </w:rPr>
                        <w:t>Pharmacy, pathology</w:t>
                      </w:r>
                      <w:r w:rsidR="00353739" w:rsidRPr="00174C42">
                        <w:rPr>
                          <w:color w:val="FFFFFF" w:themeColor="background1"/>
                        </w:rPr>
                        <w:t>,</w:t>
                      </w:r>
                      <w:r w:rsidRPr="00174C42">
                        <w:rPr>
                          <w:color w:val="FFFFFF" w:themeColor="background1"/>
                        </w:rPr>
                        <w:t xml:space="preserve"> and imaging costs are sitting in the </w:t>
                      </w:r>
                      <w:r w:rsidR="009814D8" w:rsidRPr="00AD1F32">
                        <w:rPr>
                          <w:i/>
                          <w:iCs/>
                          <w:color w:val="FFFFFF" w:themeColor="background1"/>
                        </w:rPr>
                        <w:t>P</w:t>
                      </w:r>
                      <w:r w:rsidRPr="00AD1F32">
                        <w:rPr>
                          <w:i/>
                          <w:iCs/>
                          <w:color w:val="FFFFFF" w:themeColor="background1"/>
                        </w:rPr>
                        <w:t xml:space="preserve">harmacy, </w:t>
                      </w:r>
                      <w:r w:rsidR="009814D8" w:rsidRPr="00AD1F32">
                        <w:rPr>
                          <w:i/>
                          <w:iCs/>
                          <w:color w:val="FFFFFF" w:themeColor="background1"/>
                        </w:rPr>
                        <w:t>P</w:t>
                      </w:r>
                      <w:r w:rsidRPr="00AD1F32">
                        <w:rPr>
                          <w:i/>
                          <w:iCs/>
                          <w:color w:val="FFFFFF" w:themeColor="background1"/>
                        </w:rPr>
                        <w:t>athology</w:t>
                      </w:r>
                      <w:r w:rsidR="00353739" w:rsidRPr="00174C42">
                        <w:rPr>
                          <w:color w:val="FFFFFF" w:themeColor="background1"/>
                        </w:rPr>
                        <w:t>,</w:t>
                      </w:r>
                      <w:r w:rsidRPr="00174C42">
                        <w:rPr>
                          <w:color w:val="FFFFFF" w:themeColor="background1"/>
                        </w:rPr>
                        <w:t xml:space="preserve"> and </w:t>
                      </w:r>
                      <w:r w:rsidR="009814D8" w:rsidRPr="00AD1F32">
                        <w:rPr>
                          <w:i/>
                          <w:iCs/>
                          <w:color w:val="FFFFFF" w:themeColor="background1"/>
                        </w:rPr>
                        <w:t>I</w:t>
                      </w:r>
                      <w:r w:rsidR="004A7749" w:rsidRPr="00AD1F32">
                        <w:rPr>
                          <w:i/>
                          <w:iCs/>
                          <w:color w:val="FFFFFF" w:themeColor="background1"/>
                        </w:rPr>
                        <w:t>m</w:t>
                      </w:r>
                      <w:r w:rsidRPr="00AD1F32">
                        <w:rPr>
                          <w:i/>
                          <w:iCs/>
                          <w:color w:val="FFFFFF" w:themeColor="background1"/>
                        </w:rPr>
                        <w:t>aging</w:t>
                      </w:r>
                      <w:r w:rsidRPr="00174C42">
                        <w:rPr>
                          <w:color w:val="FFFFFF" w:themeColor="background1"/>
                        </w:rPr>
                        <w:t xml:space="preserve"> </w:t>
                      </w:r>
                      <w:r w:rsidR="009814D8">
                        <w:rPr>
                          <w:color w:val="FFFFFF" w:themeColor="background1"/>
                        </w:rPr>
                        <w:t>NHCDC Cost Centre Groups</w:t>
                      </w:r>
                      <w:r w:rsidRPr="00174C42">
                        <w:rPr>
                          <w:color w:val="FFFFFF" w:themeColor="background1"/>
                        </w:rPr>
                        <w:t xml:space="preserve"> respectively, not </w:t>
                      </w:r>
                      <w:r w:rsidR="00EF7DDE" w:rsidRPr="00AD1F32">
                        <w:rPr>
                          <w:i/>
                          <w:iCs/>
                          <w:color w:val="FFFFFF" w:themeColor="background1"/>
                        </w:rPr>
                        <w:t>C</w:t>
                      </w:r>
                      <w:r w:rsidRPr="00AD1F32">
                        <w:rPr>
                          <w:i/>
                          <w:iCs/>
                          <w:color w:val="FFFFFF" w:themeColor="background1"/>
                        </w:rPr>
                        <w:t>ritical</w:t>
                      </w:r>
                      <w:r w:rsidRPr="00174C42">
                        <w:rPr>
                          <w:color w:val="FFFFFF" w:themeColor="background1"/>
                        </w:rPr>
                        <w:t xml:space="preserve">. </w:t>
                      </w:r>
                      <w:r w:rsidR="00ED31F4" w:rsidRPr="00ED31F4">
                        <w:rPr>
                          <w:color w:val="FFFFFF" w:themeColor="background1"/>
                        </w:rPr>
                        <w:t>Western Australia’s treatment is in line with other jurisdictions.</w:t>
                      </w:r>
                    </w:p>
                    <w:p w14:paraId="52F3E217" w14:textId="759BB9C3" w:rsidR="00767799" w:rsidRPr="00ED31F4" w:rsidRDefault="00767799" w:rsidP="003452A2">
                      <w:pPr>
                        <w:pStyle w:val="Tablebulletpoint"/>
                        <w:rPr>
                          <w:color w:val="FFFFFF" w:themeColor="background1"/>
                        </w:rPr>
                      </w:pPr>
                      <w:r w:rsidRPr="00ED31F4">
                        <w:rPr>
                          <w:color w:val="FFFFFF" w:themeColor="background1"/>
                        </w:rPr>
                        <w:t xml:space="preserve">ICU staff perform activities outside of the ICU unit or not delivering care to ICU patients. These costs are spread to ICU patients, potentially overstating their </w:t>
                      </w:r>
                      <w:r w:rsidR="00EF7DDE" w:rsidRPr="00ED31F4">
                        <w:rPr>
                          <w:color w:val="FFFFFF" w:themeColor="background1"/>
                        </w:rPr>
                        <w:t>M</w:t>
                      </w:r>
                      <w:r w:rsidRPr="00ED31F4">
                        <w:rPr>
                          <w:color w:val="FFFFFF" w:themeColor="background1"/>
                        </w:rPr>
                        <w:t xml:space="preserve">edical and </w:t>
                      </w:r>
                      <w:r w:rsidR="00EF7DDE" w:rsidRPr="00ED31F4">
                        <w:rPr>
                          <w:color w:val="FFFFFF" w:themeColor="background1"/>
                        </w:rPr>
                        <w:t>N</w:t>
                      </w:r>
                      <w:r w:rsidRPr="00ED31F4">
                        <w:rPr>
                          <w:color w:val="FFFFFF" w:themeColor="background1"/>
                        </w:rPr>
                        <w:t xml:space="preserve">ursing </w:t>
                      </w:r>
                      <w:r w:rsidRPr="00ED31F4">
                        <w:rPr>
                          <w:i/>
                          <w:iCs/>
                          <w:color w:val="FFFFFF" w:themeColor="background1"/>
                        </w:rPr>
                        <w:t>S&amp;W</w:t>
                      </w:r>
                      <w:r w:rsidRPr="00ED31F4">
                        <w:rPr>
                          <w:color w:val="FFFFFF" w:themeColor="background1"/>
                        </w:rPr>
                        <w:t xml:space="preserve"> costs.</w:t>
                      </w:r>
                    </w:p>
                    <w:p w14:paraId="0187DA26" w14:textId="7AAE2237" w:rsidR="00BD176F" w:rsidRPr="001729F2" w:rsidRDefault="00767799" w:rsidP="00767799">
                      <w:pPr>
                        <w:pStyle w:val="Tablebulletpoint"/>
                        <w:rPr>
                          <w:color w:val="FFFFFF" w:themeColor="background1"/>
                        </w:rPr>
                      </w:pPr>
                      <w:r w:rsidRPr="001729F2">
                        <w:rPr>
                          <w:color w:val="FFFFFF" w:themeColor="background1"/>
                        </w:rPr>
                        <w:t xml:space="preserve">In WA, nursing agency at the AIN grade is costed to the </w:t>
                      </w:r>
                      <w:r w:rsidRPr="00C456DF">
                        <w:rPr>
                          <w:i/>
                          <w:iCs/>
                          <w:color w:val="FFFFFF" w:themeColor="background1"/>
                        </w:rPr>
                        <w:t>Hotel</w:t>
                      </w:r>
                      <w:r w:rsidRPr="001729F2">
                        <w:rPr>
                          <w:color w:val="FFFFFF" w:themeColor="background1"/>
                        </w:rPr>
                        <w:t xml:space="preserve"> line item instead of </w:t>
                      </w:r>
                      <w:r w:rsidRPr="00CF78F9">
                        <w:rPr>
                          <w:i/>
                          <w:iCs/>
                          <w:color w:val="FFFFFF" w:themeColor="background1"/>
                        </w:rPr>
                        <w:t>Nursing S&amp;W</w:t>
                      </w:r>
                      <w:r w:rsidRPr="001729F2">
                        <w:rPr>
                          <w:color w:val="FFFFFF" w:themeColor="background1"/>
                        </w:rPr>
                        <w:t xml:space="preserve"> or </w:t>
                      </w:r>
                      <w:r w:rsidRPr="00843FAD">
                        <w:rPr>
                          <w:i/>
                          <w:color w:val="FFFFFF" w:themeColor="background1"/>
                        </w:rPr>
                        <w:t>Goods &amp; Services</w:t>
                      </w:r>
                      <w:r w:rsidRPr="001729F2">
                        <w:rPr>
                          <w:color w:val="FFFFFF" w:themeColor="background1"/>
                        </w:rPr>
                        <w:t>. Whilst not a significant cost for ICU and CCU, this would be different to other jurisdictions’ costing practice for these costs.</w:t>
                      </w:r>
                    </w:p>
                  </w:txbxContent>
                </v:textbox>
                <w10:anchorlock/>
              </v:shape>
            </w:pict>
          </mc:Fallback>
        </mc:AlternateContent>
      </w:r>
    </w:p>
    <w:p w14:paraId="13736537" w14:textId="04E646A9" w:rsidR="00144DC9" w:rsidRDefault="00144DC9" w:rsidP="00324792">
      <w:pPr>
        <w:pStyle w:val="Heading2"/>
      </w:pPr>
      <w:r>
        <w:lastRenderedPageBreak/>
        <w:t>South Australia</w:t>
      </w:r>
    </w:p>
    <w:p w14:paraId="429A5C17" w14:textId="533E66F6" w:rsidR="00903330" w:rsidRDefault="002A702A" w:rsidP="00DF7263">
      <w:pPr>
        <w:pStyle w:val="Heading3"/>
      </w:pPr>
      <w:r>
        <w:rPr>
          <w:noProof/>
        </w:rPr>
        <mc:AlternateContent>
          <mc:Choice Requires="wpg">
            <w:drawing>
              <wp:anchor distT="0" distB="0" distL="114300" distR="114300" simplePos="0" relativeHeight="251658316" behindDoc="1" locked="0" layoutInCell="1" allowOverlap="1" wp14:anchorId="44349973" wp14:editId="41A06316">
                <wp:simplePos x="0" y="0"/>
                <wp:positionH relativeFrom="margin">
                  <wp:align>right</wp:align>
                </wp:positionH>
                <wp:positionV relativeFrom="paragraph">
                  <wp:posOffset>96358</wp:posOffset>
                </wp:positionV>
                <wp:extent cx="3143250" cy="3203575"/>
                <wp:effectExtent l="0" t="0" r="0" b="0"/>
                <wp:wrapTight wrapText="bothSides">
                  <wp:wrapPolygon edited="0">
                    <wp:start x="0" y="0"/>
                    <wp:lineTo x="0" y="21450"/>
                    <wp:lineTo x="21469" y="21450"/>
                    <wp:lineTo x="21469" y="0"/>
                    <wp:lineTo x="0" y="0"/>
                  </wp:wrapPolygon>
                </wp:wrapTight>
                <wp:docPr id="1618544060" name="Group 1" descr="P274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0" cy="3203575"/>
                          <a:chOff x="190501" y="0"/>
                          <a:chExt cx="3143250" cy="3203575"/>
                        </a:xfrm>
                      </wpg:grpSpPr>
                      <wps:wsp>
                        <wps:cNvPr id="1721431844" name="Rectangle 3"/>
                        <wps:cNvSpPr/>
                        <wps:spPr>
                          <a:xfrm>
                            <a:off x="190501" y="0"/>
                            <a:ext cx="3143250" cy="3203575"/>
                          </a:xfrm>
                          <a:prstGeom prst="rect">
                            <a:avLst/>
                          </a:prstGeom>
                          <a:solidFill>
                            <a:srgbClr val="B4B5DB">
                              <a:lumMod val="40000"/>
                              <a:lumOff val="60000"/>
                            </a:srgbClr>
                          </a:solidFill>
                          <a:ln w="12700" cap="flat" cmpd="sng" algn="ctr">
                            <a:noFill/>
                            <a:prstDash val="solid"/>
                            <a:miter lim="800000"/>
                          </a:ln>
                          <a:effectLst/>
                        </wps:spPr>
                        <wps:bodyPr rtlCol="0" anchor="ctr"/>
                      </wps:wsp>
                      <wps:wsp>
                        <wps:cNvPr id="450942472" name="Text Placeholder 7"/>
                        <wps:cNvSpPr txBox="1">
                          <a:spLocks/>
                        </wps:cNvSpPr>
                        <wps:spPr>
                          <a:xfrm>
                            <a:off x="390525" y="1714500"/>
                            <a:ext cx="718185" cy="575310"/>
                          </a:xfrm>
                          <a:prstGeom prst="rect">
                            <a:avLst/>
                          </a:prstGeom>
                        </wps:spPr>
                        <wps:txbx>
                          <w:txbxContent>
                            <w:p w14:paraId="5FEE711B" w14:textId="645BA29D" w:rsidR="002A702A" w:rsidRPr="001729F2" w:rsidRDefault="00D74EAA" w:rsidP="002A702A">
                              <w:pPr>
                                <w:spacing w:after="0" w:line="240" w:lineRule="auto"/>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5</w:t>
                              </w:r>
                            </w:p>
                          </w:txbxContent>
                        </wps:txbx>
                        <wps:bodyPr vert="horz" wrap="square" lIns="0" tIns="0" rIns="0" bIns="0" rtlCol="0" anchor="ctr" anchorCtr="0">
                          <a:noAutofit/>
                        </wps:bodyPr>
                      </wps:wsp>
                      <wps:wsp>
                        <wps:cNvPr id="2136243690" name="Google Shape;1492;p120"/>
                        <wps:cNvSpPr txBox="1">
                          <a:spLocks/>
                        </wps:cNvSpPr>
                        <wps:spPr>
                          <a:xfrm>
                            <a:off x="1419225" y="1762125"/>
                            <a:ext cx="1532890" cy="575310"/>
                          </a:xfrm>
                          <a:prstGeom prst="rect">
                            <a:avLst/>
                          </a:prstGeom>
                        </wps:spPr>
                        <wps:txbx>
                          <w:txbxContent>
                            <w:p w14:paraId="5975FB6A" w14:textId="607BA2BD" w:rsidR="002A702A" w:rsidRPr="001729F2" w:rsidRDefault="00D74EAA" w:rsidP="002A702A">
                              <w:pPr>
                                <w:spacing w:after="0" w:line="264" w:lineRule="auto"/>
                                <w:textAlignment w:val="baseline"/>
                                <w:rPr>
                                  <w:rFonts w:eastAsia="Times New Roman"/>
                                  <w:color w:val="484B5D"/>
                                  <w:kern w:val="24"/>
                                  <w:sz w:val="21"/>
                                  <w:szCs w:val="21"/>
                                </w:rPr>
                              </w:pPr>
                              <w:r w:rsidRPr="001729F2">
                                <w:rPr>
                                  <w:rFonts w:eastAsia="Times New Roman"/>
                                  <w:color w:val="484B5D"/>
                                  <w:kern w:val="24"/>
                                  <w:sz w:val="21"/>
                                  <w:szCs w:val="21"/>
                                </w:rPr>
                                <w:t>Local Health Networks</w:t>
                              </w:r>
                            </w:p>
                          </w:txbxContent>
                        </wps:txbx>
                        <wps:bodyPr vert="horz" wrap="square" lIns="0" tIns="0" rIns="0" bIns="0" rtlCol="0" anchor="ctr" anchorCtr="0">
                          <a:noAutofit/>
                        </wps:bodyPr>
                      </wps:wsp>
                      <wps:wsp>
                        <wps:cNvPr id="109526372" name="Text Placeholder 7"/>
                        <wps:cNvSpPr txBox="1">
                          <a:spLocks/>
                        </wps:cNvSpPr>
                        <wps:spPr>
                          <a:xfrm>
                            <a:off x="1171575" y="1190625"/>
                            <a:ext cx="1892935" cy="575310"/>
                          </a:xfrm>
                          <a:prstGeom prst="rect">
                            <a:avLst/>
                          </a:prstGeom>
                        </wps:spPr>
                        <wps:txbx>
                          <w:txbxContent>
                            <w:p w14:paraId="1E3AECD9" w14:textId="2B3834E6" w:rsidR="002A702A" w:rsidRPr="001729F2" w:rsidRDefault="002A702A" w:rsidP="002A702A">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w:t>
                              </w:r>
                              <w:r w:rsidR="00D74EAA" w:rsidRPr="001729F2">
                                <w:rPr>
                                  <w:rFonts w:ascii="Avenir Next LT Pro Demi" w:eastAsia="Avenir Next LT Pro Regular" w:hAnsi="Avenir Next LT Pro Demi" w:cs="Avenir Next LT Pro Regular"/>
                                  <w:color w:val="44546A"/>
                                  <w:spacing w:val="-30"/>
                                  <w:kern w:val="24"/>
                                  <w:sz w:val="64"/>
                                  <w:szCs w:val="64"/>
                                </w:rPr>
                                <w:t>6.23</w:t>
                              </w:r>
                              <w:r w:rsidRPr="001729F2">
                                <w:rPr>
                                  <w:rFonts w:ascii="Avenir Next LT Pro Demi" w:eastAsia="Avenir Next LT Pro Regular" w:hAnsi="Avenir Next LT Pro Demi" w:cs="Avenir Next LT Pro Regular"/>
                                  <w:color w:val="44546A"/>
                                  <w:spacing w:val="-30"/>
                                  <w:kern w:val="24"/>
                                  <w:sz w:val="64"/>
                                  <w:szCs w:val="64"/>
                                </w:rPr>
                                <w:t>bn</w:t>
                              </w:r>
                            </w:p>
                          </w:txbxContent>
                        </wps:txbx>
                        <wps:bodyPr vert="horz" wrap="square" lIns="0" tIns="0" rIns="0" bIns="0" rtlCol="0" anchor="ctr" anchorCtr="0">
                          <a:noAutofit/>
                        </wps:bodyPr>
                      </wps:wsp>
                      <wps:wsp>
                        <wps:cNvPr id="1927814673" name="Google Shape;1492;p120"/>
                        <wps:cNvSpPr txBox="1">
                          <a:spLocks/>
                        </wps:cNvSpPr>
                        <wps:spPr>
                          <a:xfrm>
                            <a:off x="390525" y="1190625"/>
                            <a:ext cx="1150078" cy="575924"/>
                          </a:xfrm>
                          <a:prstGeom prst="rect">
                            <a:avLst/>
                          </a:prstGeom>
                        </wps:spPr>
                        <wps:txbx>
                          <w:txbxContent>
                            <w:p w14:paraId="559D046B" w14:textId="606A6536" w:rsidR="002A702A" w:rsidRPr="001729F2" w:rsidRDefault="006F1760" w:rsidP="002A702A">
                              <w:pPr>
                                <w:spacing w:after="0" w:line="264" w:lineRule="auto"/>
                                <w:rPr>
                                  <w:rFonts w:eastAsia="Times New Roman"/>
                                  <w:color w:val="484B5D"/>
                                  <w:kern w:val="24"/>
                                </w:rPr>
                              </w:pPr>
                              <w:r>
                                <w:rPr>
                                  <w:rFonts w:eastAsia="Times New Roman"/>
                                  <w:color w:val="484B5D"/>
                                  <w:kern w:val="24"/>
                                </w:rPr>
                                <w:t>Total</w:t>
                              </w:r>
                              <w:r w:rsidRPr="001729F2">
                                <w:rPr>
                                  <w:rFonts w:eastAsia="Times New Roman"/>
                                  <w:color w:val="484B5D"/>
                                  <w:kern w:val="24"/>
                                </w:rPr>
                                <w:t xml:space="preserve"> </w:t>
                              </w:r>
                              <w:r w:rsidR="00D74EAA" w:rsidRPr="001729F2">
                                <w:rPr>
                                  <w:rFonts w:eastAsia="Times New Roman"/>
                                  <w:color w:val="484B5D"/>
                                  <w:kern w:val="24"/>
                                </w:rPr>
                                <w:t>costs submitted to NHCDC</w:t>
                              </w:r>
                            </w:p>
                          </w:txbxContent>
                        </wps:txbx>
                        <wps:bodyPr vert="horz" wrap="square" lIns="0" tIns="0" rIns="0" bIns="0" rtlCol="0" anchor="ctr" anchorCtr="0">
                          <a:noAutofit/>
                        </wps:bodyPr>
                      </wps:wsp>
                      <wps:wsp>
                        <wps:cNvPr id="517593794" name="Text Placeholder 7"/>
                        <wps:cNvSpPr txBox="1">
                          <a:spLocks/>
                        </wps:cNvSpPr>
                        <wps:spPr>
                          <a:xfrm>
                            <a:off x="390523" y="542926"/>
                            <a:ext cx="618490" cy="575945"/>
                          </a:xfrm>
                          <a:prstGeom prst="rect">
                            <a:avLst/>
                          </a:prstGeom>
                          <a:noFill/>
                        </wps:spPr>
                        <wps:txbx>
                          <w:txbxContent>
                            <w:p w14:paraId="5D82A064" w14:textId="79AA18E2" w:rsidR="002A702A" w:rsidRPr="001729F2" w:rsidRDefault="00D74EAA" w:rsidP="002A702A">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45</w:t>
                              </w:r>
                            </w:p>
                          </w:txbxContent>
                        </wps:txbx>
                        <wps:bodyPr vert="horz" wrap="none" lIns="0" tIns="0" rIns="0" bIns="0" rtlCol="0" anchor="b" anchorCtr="0">
                          <a:noAutofit/>
                        </wps:bodyPr>
                      </wps:wsp>
                      <wps:wsp>
                        <wps:cNvPr id="1437551647" name="Google Shape;1492;p120"/>
                        <wps:cNvSpPr txBox="1">
                          <a:spLocks/>
                        </wps:cNvSpPr>
                        <wps:spPr>
                          <a:xfrm>
                            <a:off x="1466850" y="628650"/>
                            <a:ext cx="1565275" cy="575310"/>
                          </a:xfrm>
                          <a:prstGeom prst="rect">
                            <a:avLst/>
                          </a:prstGeom>
                        </wps:spPr>
                        <wps:txbx>
                          <w:txbxContent>
                            <w:p w14:paraId="56386C87" w14:textId="216C0F5C" w:rsidR="002A702A" w:rsidRPr="001729F2" w:rsidRDefault="003C3CCB" w:rsidP="002A702A">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6F1760">
                                <w:rPr>
                                  <w:rFonts w:eastAsia="Times New Roman"/>
                                  <w:color w:val="484B5D"/>
                                  <w:kern w:val="24"/>
                                  <w:sz w:val="21"/>
                                  <w:szCs w:val="21"/>
                                </w:rPr>
                                <w:t>2023-24</w:t>
                              </w:r>
                            </w:p>
                          </w:txbxContent>
                        </wps:txbx>
                        <wps:bodyPr vert="horz" lIns="0" tIns="0" rIns="0" bIns="0" rtlCol="0" anchor="ctr" anchorCtr="0">
                          <a:noAutofit/>
                        </wps:bodyPr>
                      </wps:wsp>
                      <wps:wsp>
                        <wps:cNvPr id="1928468769" name="Text Placeholder 7"/>
                        <wps:cNvSpPr txBox="1">
                          <a:spLocks/>
                        </wps:cNvSpPr>
                        <wps:spPr>
                          <a:xfrm>
                            <a:off x="1181100" y="2333625"/>
                            <a:ext cx="1884045" cy="575310"/>
                          </a:xfrm>
                          <a:prstGeom prst="rect">
                            <a:avLst/>
                          </a:prstGeom>
                        </wps:spPr>
                        <wps:txbx>
                          <w:txbxContent>
                            <w:p w14:paraId="4E2534E9" w14:textId="53694631" w:rsidR="002A702A" w:rsidRPr="001729F2" w:rsidRDefault="002A702A" w:rsidP="002A702A">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1729F2">
                                <w:rPr>
                                  <w:rFonts w:ascii="Avenir Next LT Pro Demi" w:eastAsia="Avenir Next LT Pro Regular" w:hAnsi="Avenir Next LT Pro Demi" w:cs="Avenir Next LT Pro Regular"/>
                                  <w:color w:val="44546A"/>
                                  <w:spacing w:val="-30"/>
                                  <w:kern w:val="24"/>
                                  <w:sz w:val="72"/>
                                  <w:szCs w:val="72"/>
                                </w:rPr>
                                <w:t>$7,</w:t>
                              </w:r>
                              <w:r w:rsidR="00D74EAA" w:rsidRPr="001729F2">
                                <w:rPr>
                                  <w:rFonts w:ascii="Avenir Next LT Pro Demi" w:eastAsia="Avenir Next LT Pro Regular" w:hAnsi="Avenir Next LT Pro Demi" w:cs="Avenir Next LT Pro Regular"/>
                                  <w:color w:val="44546A"/>
                                  <w:spacing w:val="-30"/>
                                  <w:kern w:val="24"/>
                                  <w:sz w:val="72"/>
                                  <w:szCs w:val="72"/>
                                </w:rPr>
                                <w:t>253</w:t>
                              </w:r>
                            </w:p>
                          </w:txbxContent>
                        </wps:txbx>
                        <wps:bodyPr vert="horz" lIns="0" tIns="0" rIns="0" bIns="0" rtlCol="0" anchor="ctr" anchorCtr="0">
                          <a:noAutofit/>
                        </wps:bodyPr>
                      </wps:wsp>
                      <wps:wsp>
                        <wps:cNvPr id="1075502796" name="Google Shape;1492;p120"/>
                        <wps:cNvSpPr txBox="1">
                          <a:spLocks/>
                        </wps:cNvSpPr>
                        <wps:spPr>
                          <a:xfrm>
                            <a:off x="390525" y="2333625"/>
                            <a:ext cx="1150078" cy="575924"/>
                          </a:xfrm>
                          <a:prstGeom prst="rect">
                            <a:avLst/>
                          </a:prstGeom>
                        </wps:spPr>
                        <wps:txbx>
                          <w:txbxContent>
                            <w:p w14:paraId="30F7B10C" w14:textId="77777777" w:rsidR="002A702A" w:rsidRPr="001729F2" w:rsidRDefault="002A702A" w:rsidP="002A702A">
                              <w:pPr>
                                <w:spacing w:after="0" w:line="264" w:lineRule="auto"/>
                                <w:rPr>
                                  <w:rFonts w:eastAsia="Times New Roman"/>
                                  <w:color w:val="484B5D"/>
                                  <w:kern w:val="24"/>
                                </w:rPr>
                              </w:pPr>
                              <w:r w:rsidRPr="001729F2">
                                <w:rPr>
                                  <w:rFonts w:eastAsia="Times New Roman"/>
                                  <w:color w:val="484B5D"/>
                                  <w:kern w:val="24"/>
                                </w:rPr>
                                <w:t>Average cost per GWAU (excl. Community MH)</w:t>
                              </w:r>
                            </w:p>
                          </w:txbxContent>
                        </wps:txbx>
                        <wps:bodyPr vert="horz" wrap="square" lIns="0" tIns="0" rIns="0" bIns="0" rtlCol="0" anchor="ctr" anchorCtr="0">
                          <a:noAutofit/>
                        </wps:bodyPr>
                      </wps:wsp>
                      <wps:wsp>
                        <wps:cNvPr id="1127226176" name="TextBox 21"/>
                        <wps:cNvSpPr txBox="1"/>
                        <wps:spPr>
                          <a:xfrm>
                            <a:off x="390525" y="276225"/>
                            <a:ext cx="2530057" cy="351108"/>
                          </a:xfrm>
                          <a:prstGeom prst="rect">
                            <a:avLst/>
                          </a:prstGeom>
                          <a:noFill/>
                        </wps:spPr>
                        <wps:txbx>
                          <w:txbxContent>
                            <w:p w14:paraId="7ABEC25E" w14:textId="18AB1606" w:rsidR="002A702A" w:rsidRPr="001729F2" w:rsidRDefault="002A702A" w:rsidP="002A702A">
                              <w:pPr>
                                <w:rPr>
                                  <w:rFonts w:eastAsia="Times New Roman"/>
                                  <w:i/>
                                  <w:iCs/>
                                  <w:color w:val="464E7E"/>
                                  <w:kern w:val="24"/>
                                  <w:sz w:val="28"/>
                                  <w:szCs w:val="28"/>
                                </w:rPr>
                              </w:pPr>
                              <w:r w:rsidRPr="001729F2">
                                <w:rPr>
                                  <w:rFonts w:eastAsia="Times New Roman"/>
                                  <w:i/>
                                  <w:iCs/>
                                  <w:color w:val="464E7E"/>
                                  <w:kern w:val="24"/>
                                  <w:sz w:val="28"/>
                                  <w:szCs w:val="28"/>
                                </w:rPr>
                                <w:t>At a glance: S</w:t>
                              </w:r>
                              <w:r w:rsidR="006569BF">
                                <w:rPr>
                                  <w:rFonts w:eastAsia="Times New Roman"/>
                                  <w:i/>
                                  <w:iCs/>
                                  <w:color w:val="464E7E"/>
                                  <w:kern w:val="24"/>
                                  <w:sz w:val="28"/>
                                  <w:szCs w:val="28"/>
                                </w:rPr>
                                <w:t>A</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44349973" id="_x0000_s1269" alt="P2749#y1" style="position:absolute;left:0;text-align:left;margin-left:196.3pt;margin-top:7.6pt;width:247.5pt;height:252.25pt;z-index:-251658164;mso-position-horizontal:right;mso-position-horizontal-relative:margin;mso-position-vertical-relative:text;mso-width-relative:margin;mso-height-relative:margin" coordorigin="1905" coordsize="31432,3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">
                <v:rect id="Rectangle 3" o:spid="_x0000_s1270" style="position:absolute;left:1905;width:31432;height:3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" fillcolor="#e1e1f1" stroked="f" strokeweight="1pt"/>
                <v:shape id="Text Placeholder 7" o:spid="_x0000_s1271" type="#_x0000_t202" style="position:absolute;left:3905;top:17145;width:7182;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" filled="f" stroked="f">
                  <v:textbox inset="0,0,0,0">
                    <w:txbxContent>
                      <w:p w14:paraId="5FEE711B" w14:textId="645BA29D" w:rsidR="002A702A" w:rsidRPr="001729F2" w:rsidRDefault="00D74EAA" w:rsidP="002A702A">
                        <w:pPr>
                          <w:spacing w:after="0" w:line="240" w:lineRule="auto"/>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5</w:t>
                        </w:r>
                      </w:p>
                    </w:txbxContent>
                  </v:textbox>
                </v:shape>
                <v:shape id="Google Shape;1492;p120" o:spid="_x0000_s1272" type="#_x0000_t202" style="position:absolute;left:14192;top:17621;width:15329;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" filled="f" stroked="f">
                  <v:textbox inset="0,0,0,0">
                    <w:txbxContent>
                      <w:p w14:paraId="5975FB6A" w14:textId="607BA2BD" w:rsidR="002A702A" w:rsidRPr="001729F2" w:rsidRDefault="00D74EAA" w:rsidP="002A702A">
                        <w:pPr>
                          <w:spacing w:after="0" w:line="264" w:lineRule="auto"/>
                          <w:textAlignment w:val="baseline"/>
                          <w:rPr>
                            <w:rFonts w:eastAsia="Times New Roman"/>
                            <w:color w:val="484B5D"/>
                            <w:kern w:val="24"/>
                            <w:sz w:val="21"/>
                            <w:szCs w:val="21"/>
                          </w:rPr>
                        </w:pPr>
                        <w:r w:rsidRPr="001729F2">
                          <w:rPr>
                            <w:rFonts w:eastAsia="Times New Roman"/>
                            <w:color w:val="484B5D"/>
                            <w:kern w:val="24"/>
                            <w:sz w:val="21"/>
                            <w:szCs w:val="21"/>
                          </w:rPr>
                          <w:t>Local Health Networks</w:t>
                        </w:r>
                      </w:p>
                    </w:txbxContent>
                  </v:textbox>
                </v:shape>
                <v:shape id="Text Placeholder 7" o:spid="_x0000_s1273" type="#_x0000_t202" style="position:absolute;left:11715;top:11906;width:1893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" filled="f" stroked="f">
                  <v:textbox inset="0,0,0,0">
                    <w:txbxContent>
                      <w:p w14:paraId="1E3AECD9" w14:textId="2B3834E6" w:rsidR="002A702A" w:rsidRPr="001729F2" w:rsidRDefault="002A702A" w:rsidP="002A702A">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w:t>
                        </w:r>
                        <w:r w:rsidR="00D74EAA" w:rsidRPr="001729F2">
                          <w:rPr>
                            <w:rFonts w:ascii="Avenir Next LT Pro Demi" w:eastAsia="Avenir Next LT Pro Regular" w:hAnsi="Avenir Next LT Pro Demi" w:cs="Avenir Next LT Pro Regular"/>
                            <w:color w:val="44546A"/>
                            <w:spacing w:val="-30"/>
                            <w:kern w:val="24"/>
                            <w:sz w:val="64"/>
                            <w:szCs w:val="64"/>
                          </w:rPr>
                          <w:t>6.23</w:t>
                        </w:r>
                        <w:r w:rsidRPr="001729F2">
                          <w:rPr>
                            <w:rFonts w:ascii="Avenir Next LT Pro Demi" w:eastAsia="Avenir Next LT Pro Regular" w:hAnsi="Avenir Next LT Pro Demi" w:cs="Avenir Next LT Pro Regular"/>
                            <w:color w:val="44546A"/>
                            <w:spacing w:val="-30"/>
                            <w:kern w:val="24"/>
                            <w:sz w:val="64"/>
                            <w:szCs w:val="64"/>
                          </w:rPr>
                          <w:t>bn</w:t>
                        </w:r>
                      </w:p>
                    </w:txbxContent>
                  </v:textbox>
                </v:shape>
                <v:shape id="Google Shape;1492;p120" o:spid="_x0000_s1274" type="#_x0000_t202" style="position:absolute;left:3905;top:1190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" filled="f" stroked="f">
                  <v:textbox inset="0,0,0,0">
                    <w:txbxContent>
                      <w:p w14:paraId="559D046B" w14:textId="606A6536" w:rsidR="002A702A" w:rsidRPr="001729F2" w:rsidRDefault="006F1760" w:rsidP="002A702A">
                        <w:pPr>
                          <w:spacing w:after="0" w:line="264" w:lineRule="auto"/>
                          <w:rPr>
                            <w:rFonts w:eastAsia="Times New Roman"/>
                            <w:color w:val="484B5D"/>
                            <w:kern w:val="24"/>
                          </w:rPr>
                        </w:pPr>
                        <w:r>
                          <w:rPr>
                            <w:rFonts w:eastAsia="Times New Roman"/>
                            <w:color w:val="484B5D"/>
                            <w:kern w:val="24"/>
                          </w:rPr>
                          <w:t>Total</w:t>
                        </w:r>
                        <w:r w:rsidRPr="001729F2">
                          <w:rPr>
                            <w:rFonts w:eastAsia="Times New Roman"/>
                            <w:color w:val="484B5D"/>
                            <w:kern w:val="24"/>
                          </w:rPr>
                          <w:t xml:space="preserve"> </w:t>
                        </w:r>
                        <w:r w:rsidR="00D74EAA" w:rsidRPr="001729F2">
                          <w:rPr>
                            <w:rFonts w:eastAsia="Times New Roman"/>
                            <w:color w:val="484B5D"/>
                            <w:kern w:val="24"/>
                          </w:rPr>
                          <w:t>costs submitted to NHCDC</w:t>
                        </w:r>
                      </w:p>
                    </w:txbxContent>
                  </v:textbox>
                </v:shape>
                <v:shape id="Text Placeholder 7" o:spid="_x0000_s1275" type="#_x0000_t202" style="position:absolute;left:3905;top:5429;width:6185;height:575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" filled="f" stroked="f">
                  <v:textbox inset="0,0,0,0">
                    <w:txbxContent>
                      <w:p w14:paraId="5D82A064" w14:textId="79AA18E2" w:rsidR="002A702A" w:rsidRPr="001729F2" w:rsidRDefault="00D74EAA" w:rsidP="002A702A">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45</w:t>
                        </w:r>
                      </w:p>
                    </w:txbxContent>
                  </v:textbox>
                </v:shape>
                <v:shape id="Google Shape;1492;p120" o:spid="_x0000_s1276" type="#_x0000_t202" style="position:absolute;left:14668;top:6286;width:15653;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" filled="f" stroked="f">
                  <v:textbox inset="0,0,0,0">
                    <w:txbxContent>
                      <w:p w14:paraId="56386C87" w14:textId="216C0F5C" w:rsidR="002A702A" w:rsidRPr="001729F2" w:rsidRDefault="003C3CCB" w:rsidP="002A702A">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6F1760">
                          <w:rPr>
                            <w:rFonts w:eastAsia="Times New Roman"/>
                            <w:color w:val="484B5D"/>
                            <w:kern w:val="24"/>
                            <w:sz w:val="21"/>
                            <w:szCs w:val="21"/>
                          </w:rPr>
                          <w:t>2023-24</w:t>
                        </w:r>
                      </w:p>
                    </w:txbxContent>
                  </v:textbox>
                </v:shape>
                <v:shape id="Text Placeholder 7" o:spid="_x0000_s1277" type="#_x0000_t202" style="position:absolute;left:11811;top:23336;width:1884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" filled="f" stroked="f">
                  <v:textbox inset="0,0,0,0">
                    <w:txbxContent>
                      <w:p w14:paraId="4E2534E9" w14:textId="53694631" w:rsidR="002A702A" w:rsidRPr="001729F2" w:rsidRDefault="002A702A" w:rsidP="002A702A">
                        <w:pPr>
                          <w:spacing w:after="0" w:line="240" w:lineRule="auto"/>
                          <w:jc w:val="right"/>
                          <w:rPr>
                            <w:rFonts w:ascii="Avenir Next LT Pro Demi" w:eastAsia="Avenir Next LT Pro Regular" w:hAnsi="Avenir Next LT Pro Demi" w:cs="Avenir Next LT Pro Regular"/>
                            <w:color w:val="44546A"/>
                            <w:spacing w:val="-30"/>
                            <w:kern w:val="24"/>
                            <w:sz w:val="72"/>
                            <w:szCs w:val="72"/>
                          </w:rPr>
                        </w:pPr>
                        <w:r w:rsidRPr="001729F2">
                          <w:rPr>
                            <w:rFonts w:ascii="Avenir Next LT Pro Demi" w:eastAsia="Avenir Next LT Pro Regular" w:hAnsi="Avenir Next LT Pro Demi" w:cs="Avenir Next LT Pro Regular"/>
                            <w:color w:val="44546A"/>
                            <w:spacing w:val="-30"/>
                            <w:kern w:val="24"/>
                            <w:sz w:val="72"/>
                            <w:szCs w:val="72"/>
                          </w:rPr>
                          <w:t>$7,</w:t>
                        </w:r>
                        <w:r w:rsidR="00D74EAA" w:rsidRPr="001729F2">
                          <w:rPr>
                            <w:rFonts w:ascii="Avenir Next LT Pro Demi" w:eastAsia="Avenir Next LT Pro Regular" w:hAnsi="Avenir Next LT Pro Demi" w:cs="Avenir Next LT Pro Regular"/>
                            <w:color w:val="44546A"/>
                            <w:spacing w:val="-30"/>
                            <w:kern w:val="24"/>
                            <w:sz w:val="72"/>
                            <w:szCs w:val="72"/>
                          </w:rPr>
                          <w:t>253</w:t>
                        </w:r>
                      </w:p>
                    </w:txbxContent>
                  </v:textbox>
                </v:shape>
                <v:shape id="Google Shape;1492;p120" o:spid="_x0000_s1278" type="#_x0000_t202" style="position:absolute;left:3905;top:2333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" filled="f" stroked="f">
                  <v:textbox inset="0,0,0,0">
                    <w:txbxContent>
                      <w:p w14:paraId="30F7B10C" w14:textId="77777777" w:rsidR="002A702A" w:rsidRPr="001729F2" w:rsidRDefault="002A702A" w:rsidP="002A702A">
                        <w:pPr>
                          <w:spacing w:after="0" w:line="264" w:lineRule="auto"/>
                          <w:rPr>
                            <w:rFonts w:eastAsia="Times New Roman"/>
                            <w:color w:val="484B5D"/>
                            <w:kern w:val="24"/>
                          </w:rPr>
                        </w:pPr>
                        <w:r w:rsidRPr="001729F2">
                          <w:rPr>
                            <w:rFonts w:eastAsia="Times New Roman"/>
                            <w:color w:val="484B5D"/>
                            <w:kern w:val="24"/>
                          </w:rPr>
                          <w:t>Average cost per GWAU (excl. Community MH)</w:t>
                        </w:r>
                      </w:p>
                    </w:txbxContent>
                  </v:textbox>
                </v:shape>
                <v:shape id="TextBox 21" o:spid="_x0000_s1279" type="#_x0000_t202" style="position:absolute;left:3905;top:2762;width:2530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" filled="f" stroked="f">
                  <v:textbox style="mso-fit-shape-to-text:t" inset="0,0,0,0">
                    <w:txbxContent>
                      <w:p w14:paraId="7ABEC25E" w14:textId="18AB1606" w:rsidR="002A702A" w:rsidRPr="001729F2" w:rsidRDefault="002A702A" w:rsidP="002A702A">
                        <w:pPr>
                          <w:rPr>
                            <w:rFonts w:eastAsia="Times New Roman"/>
                            <w:i/>
                            <w:iCs/>
                            <w:color w:val="464E7E"/>
                            <w:kern w:val="24"/>
                            <w:sz w:val="28"/>
                            <w:szCs w:val="28"/>
                          </w:rPr>
                        </w:pPr>
                        <w:r w:rsidRPr="001729F2">
                          <w:rPr>
                            <w:rFonts w:eastAsia="Times New Roman"/>
                            <w:i/>
                            <w:iCs/>
                            <w:color w:val="464E7E"/>
                            <w:kern w:val="24"/>
                            <w:sz w:val="28"/>
                            <w:szCs w:val="28"/>
                          </w:rPr>
                          <w:t>At a glance: S</w:t>
                        </w:r>
                        <w:r w:rsidR="006569BF">
                          <w:rPr>
                            <w:rFonts w:eastAsia="Times New Roman"/>
                            <w:i/>
                            <w:iCs/>
                            <w:color w:val="464E7E"/>
                            <w:kern w:val="24"/>
                            <w:sz w:val="28"/>
                            <w:szCs w:val="28"/>
                          </w:rPr>
                          <w:t>A</w:t>
                        </w:r>
                      </w:p>
                    </w:txbxContent>
                  </v:textbox>
                </v:shape>
                <w10:wrap type="tight" anchorx="margin"/>
              </v:group>
            </w:pict>
          </mc:Fallback>
        </mc:AlternateContent>
      </w:r>
      <w:r w:rsidR="00DF7263">
        <w:t>State-wide costed NHCDC 2023-24 submission</w:t>
      </w:r>
    </w:p>
    <w:p w14:paraId="65B53C97" w14:textId="297C6D62" w:rsidR="00581F9F" w:rsidRPr="00BB44BD" w:rsidRDefault="00581F9F" w:rsidP="00581F9F">
      <w:pPr>
        <w:spacing w:line="240" w:lineRule="auto"/>
        <w:rPr>
          <w:color w:val="44546A" w:themeColor="text2"/>
        </w:rPr>
      </w:pPr>
      <w:r w:rsidRPr="00BB44BD">
        <w:rPr>
          <w:color w:val="44546A" w:themeColor="text2"/>
        </w:rPr>
        <w:t>S</w:t>
      </w:r>
      <w:r>
        <w:rPr>
          <w:color w:val="44546A" w:themeColor="text2"/>
        </w:rPr>
        <w:t>outh Australia (SA)</w:t>
      </w:r>
      <w:r w:rsidRPr="00BB44BD">
        <w:rPr>
          <w:color w:val="44546A" w:themeColor="text2"/>
        </w:rPr>
        <w:t xml:space="preserve"> submits costed activity for 5 LHNs as part of the NHCDC. </w:t>
      </w:r>
    </w:p>
    <w:p w14:paraId="74E24D36" w14:textId="6A483123" w:rsidR="00581F9F" w:rsidRPr="00BB44BD" w:rsidRDefault="00581F9F" w:rsidP="00581F9F">
      <w:pPr>
        <w:spacing w:line="240" w:lineRule="auto"/>
        <w:rPr>
          <w:color w:val="44546A" w:themeColor="text2"/>
        </w:rPr>
      </w:pPr>
      <w:r w:rsidRPr="00BB44BD">
        <w:rPr>
          <w:color w:val="44546A" w:themeColor="text2"/>
        </w:rPr>
        <w:t xml:space="preserve">Total costs submitted by SA in 2023-24 were </w:t>
      </w:r>
      <w:r w:rsidRPr="00BB44BD">
        <w:rPr>
          <w:b/>
          <w:color w:val="44546A" w:themeColor="text2"/>
        </w:rPr>
        <w:t>$6.23 billion</w:t>
      </w:r>
      <w:r w:rsidRPr="00BB44BD">
        <w:rPr>
          <w:color w:val="44546A" w:themeColor="text2"/>
        </w:rPr>
        <w:t xml:space="preserve"> </w:t>
      </w:r>
      <w:r>
        <w:rPr>
          <w:color w:val="44546A" w:themeColor="text2"/>
        </w:rPr>
        <w:t>for</w:t>
      </w:r>
      <w:r w:rsidRPr="00BB44BD">
        <w:rPr>
          <w:color w:val="44546A" w:themeColor="text2"/>
        </w:rPr>
        <w:t xml:space="preserve"> </w:t>
      </w:r>
      <w:r w:rsidRPr="00BB44BD">
        <w:rPr>
          <w:b/>
          <w:color w:val="44546A" w:themeColor="text2"/>
        </w:rPr>
        <w:t>3.33 million</w:t>
      </w:r>
      <w:r w:rsidRPr="00BB44BD">
        <w:rPr>
          <w:color w:val="44546A" w:themeColor="text2"/>
        </w:rPr>
        <w:t xml:space="preserve"> episodes</w:t>
      </w:r>
      <w:r w:rsidR="006F1760">
        <w:rPr>
          <w:color w:val="44546A" w:themeColor="text2"/>
        </w:rPr>
        <w:t>.</w:t>
      </w:r>
      <w:r w:rsidR="00CE6F96">
        <w:rPr>
          <w:rFonts w:ascii="ZWAdobeF" w:hAnsi="ZWAdobeF" w:cs="ZWAdobeF"/>
          <w:color w:val="auto"/>
          <w:sz w:val="2"/>
          <w:szCs w:val="2"/>
        </w:rPr>
        <w:t>24F</w:t>
      </w:r>
      <w:r w:rsidRPr="00BB44BD">
        <w:rPr>
          <w:rStyle w:val="FootnoteReference"/>
          <w:color w:val="44546A" w:themeColor="text2"/>
        </w:rPr>
        <w:footnoteReference w:id="26"/>
      </w:r>
      <w:r w:rsidRPr="00BB44BD">
        <w:rPr>
          <w:color w:val="44546A" w:themeColor="text2"/>
        </w:rPr>
        <w:t xml:space="preserve"> </w:t>
      </w:r>
    </w:p>
    <w:p w14:paraId="28B90116" w14:textId="640C1CB4" w:rsidR="00581F9F" w:rsidRPr="00BB44BD" w:rsidRDefault="008E1600" w:rsidP="00581F9F">
      <w:pPr>
        <w:spacing w:line="240" w:lineRule="auto"/>
        <w:rPr>
          <w:color w:val="44546A" w:themeColor="text2"/>
        </w:rPr>
      </w:pPr>
      <w:r>
        <w:rPr>
          <w:color w:val="44546A" w:themeColor="text2"/>
        </w:rPr>
        <w:t xml:space="preserve">The same </w:t>
      </w:r>
      <w:r w:rsidR="001579AC">
        <w:rPr>
          <w:color w:val="44546A" w:themeColor="text2"/>
        </w:rPr>
        <w:t xml:space="preserve">scope of </w:t>
      </w:r>
      <w:r>
        <w:rPr>
          <w:color w:val="44546A" w:themeColor="text2"/>
        </w:rPr>
        <w:t xml:space="preserve">activity that was applied in the Cost Driver analysis has </w:t>
      </w:r>
      <w:r w:rsidR="001579AC">
        <w:rPr>
          <w:color w:val="44546A" w:themeColor="text2"/>
        </w:rPr>
        <w:t xml:space="preserve">also </w:t>
      </w:r>
      <w:r>
        <w:rPr>
          <w:color w:val="44546A" w:themeColor="text2"/>
        </w:rPr>
        <w:t xml:space="preserve">been applied in this section. </w:t>
      </w:r>
      <w:r w:rsidR="00581F9F" w:rsidRPr="00BB44BD">
        <w:rPr>
          <w:color w:val="44546A" w:themeColor="text2"/>
        </w:rPr>
        <w:t xml:space="preserve">Costs for ABF hospitals </w:t>
      </w:r>
      <w:r>
        <w:rPr>
          <w:color w:val="44546A" w:themeColor="text2"/>
        </w:rPr>
        <w:t xml:space="preserve">and selected activity streams </w:t>
      </w:r>
      <w:r w:rsidR="00581F9F" w:rsidRPr="00BB44BD">
        <w:rPr>
          <w:color w:val="44546A" w:themeColor="text2"/>
        </w:rPr>
        <w:t xml:space="preserve">in SA in 2023-24 were </w:t>
      </w:r>
      <w:r w:rsidR="00581F9F" w:rsidRPr="00BB44BD">
        <w:rPr>
          <w:b/>
          <w:color w:val="44546A" w:themeColor="text2"/>
        </w:rPr>
        <w:t>$5.96 billion</w:t>
      </w:r>
      <w:r w:rsidR="00581F9F" w:rsidRPr="00BB44BD">
        <w:rPr>
          <w:rStyle w:val="CommentReference"/>
          <w:color w:val="44546A" w:themeColor="text2"/>
        </w:rPr>
        <w:t>.</w:t>
      </w:r>
      <w:r w:rsidR="00581F9F" w:rsidRPr="00BB44BD">
        <w:rPr>
          <w:color w:val="44546A" w:themeColor="text2"/>
        </w:rPr>
        <w:t xml:space="preserve"> SA is the fifth largest contributor to the NHCDC nationally.</w:t>
      </w:r>
    </w:p>
    <w:p w14:paraId="5C6B7531" w14:textId="6FB18E99" w:rsidR="00581F9F" w:rsidRPr="004F39AF" w:rsidRDefault="00581F9F" w:rsidP="00581F9F">
      <w:pPr>
        <w:spacing w:line="240" w:lineRule="auto"/>
        <w:rPr>
          <w:b/>
          <w:bCs/>
          <w:color w:val="44546A" w:themeColor="text2"/>
        </w:rPr>
      </w:pPr>
      <w:r w:rsidRPr="005D1D70">
        <w:rPr>
          <w:color w:val="44546A" w:themeColor="text2"/>
        </w:rPr>
        <w:t xml:space="preserve">The total number of costed ABF hospital episodes in </w:t>
      </w:r>
      <w:r>
        <w:rPr>
          <w:color w:val="44546A" w:themeColor="text2"/>
        </w:rPr>
        <w:t>2023</w:t>
      </w:r>
      <w:r>
        <w:rPr>
          <w:color w:val="44546A" w:themeColor="text2"/>
        </w:rPr>
        <w:noBreakHyphen/>
      </w:r>
      <w:r w:rsidRPr="005D1D70">
        <w:rPr>
          <w:color w:val="44546A" w:themeColor="text2"/>
        </w:rPr>
        <w:t xml:space="preserve">24 was </w:t>
      </w:r>
      <w:r>
        <w:rPr>
          <w:b/>
          <w:color w:val="44546A" w:themeColor="text2"/>
        </w:rPr>
        <w:t>3.23</w:t>
      </w:r>
      <w:r w:rsidRPr="005D1D70">
        <w:rPr>
          <w:b/>
          <w:color w:val="44546A" w:themeColor="text2"/>
        </w:rPr>
        <w:t xml:space="preserve"> million</w:t>
      </w:r>
      <w:r w:rsidRPr="005D1D70">
        <w:rPr>
          <w:color w:val="44546A" w:themeColor="text2"/>
        </w:rPr>
        <w:t xml:space="preserve">, </w:t>
      </w:r>
      <w:r w:rsidR="006F1760">
        <w:rPr>
          <w:color w:val="44546A" w:themeColor="text2"/>
        </w:rPr>
        <w:t xml:space="preserve">representing </w:t>
      </w:r>
      <w:r>
        <w:rPr>
          <w:color w:val="44546A" w:themeColor="text2"/>
        </w:rPr>
        <w:t xml:space="preserve">a </w:t>
      </w:r>
      <w:r w:rsidRPr="005D1D70">
        <w:rPr>
          <w:color w:val="44546A" w:themeColor="text2"/>
        </w:rPr>
        <w:t>growth</w:t>
      </w:r>
      <w:r>
        <w:rPr>
          <w:color w:val="44546A" w:themeColor="text2"/>
        </w:rPr>
        <w:t xml:space="preserve"> </w:t>
      </w:r>
      <w:r w:rsidRPr="005D1D70">
        <w:rPr>
          <w:color w:val="44546A" w:themeColor="text2"/>
        </w:rPr>
        <w:t xml:space="preserve">of </w:t>
      </w:r>
      <w:r w:rsidRPr="005D1D70">
        <w:rPr>
          <w:b/>
          <w:color w:val="44546A" w:themeColor="text2"/>
        </w:rPr>
        <w:t>1</w:t>
      </w:r>
      <w:r>
        <w:rPr>
          <w:b/>
          <w:color w:val="44546A" w:themeColor="text2"/>
        </w:rPr>
        <w:t>3.1</w:t>
      </w:r>
      <w:r w:rsidRPr="005D1D70">
        <w:rPr>
          <w:b/>
          <w:color w:val="44546A" w:themeColor="text2"/>
        </w:rPr>
        <w:t>%</w:t>
      </w:r>
      <w:r w:rsidRPr="005D1D70">
        <w:rPr>
          <w:color w:val="44546A" w:themeColor="text2"/>
        </w:rPr>
        <w:t xml:space="preserve"> since </w:t>
      </w:r>
      <w:r>
        <w:rPr>
          <w:color w:val="44546A" w:themeColor="text2"/>
        </w:rPr>
        <w:t>2022</w:t>
      </w:r>
      <w:r>
        <w:rPr>
          <w:color w:val="44546A" w:themeColor="text2"/>
        </w:rPr>
        <w:noBreakHyphen/>
        <w:t>23</w:t>
      </w:r>
      <w:r w:rsidRPr="005D1D70">
        <w:rPr>
          <w:color w:val="44546A" w:themeColor="text2"/>
        </w:rPr>
        <w:t>.</w:t>
      </w:r>
      <w:r>
        <w:rPr>
          <w:color w:val="44546A" w:themeColor="text2"/>
        </w:rPr>
        <w:t xml:space="preserve"> SA ABF hospital episodes make up </w:t>
      </w:r>
      <w:r>
        <w:rPr>
          <w:b/>
          <w:bCs/>
          <w:color w:val="44546A" w:themeColor="text2"/>
        </w:rPr>
        <w:t>7.4% of national ABF episodes for 2023-24.</w:t>
      </w:r>
      <w:r w:rsidRPr="00B36929">
        <w:rPr>
          <w:noProof/>
        </w:rPr>
        <w:t xml:space="preserve"> </w:t>
      </w:r>
    </w:p>
    <w:p w14:paraId="217BCE97" w14:textId="6E920C37" w:rsidR="00581F9F" w:rsidRPr="004F39AF" w:rsidRDefault="00581F9F" w:rsidP="00581F9F">
      <w:pPr>
        <w:spacing w:line="240" w:lineRule="auto"/>
        <w:rPr>
          <w:b/>
          <w:bCs/>
          <w:color w:val="44546A" w:themeColor="text2"/>
        </w:rPr>
      </w:pPr>
      <w:r w:rsidRPr="00BB44BD">
        <w:rPr>
          <w:color w:val="44546A" w:themeColor="text2"/>
        </w:rPr>
        <w:t xml:space="preserve">SA delivered </w:t>
      </w:r>
      <w:r w:rsidRPr="00BB44BD">
        <w:rPr>
          <w:b/>
          <w:color w:val="44546A" w:themeColor="text2"/>
        </w:rPr>
        <w:t xml:space="preserve">0.82 million </w:t>
      </w:r>
      <w:r w:rsidRPr="00BB44BD">
        <w:rPr>
          <w:color w:val="44546A" w:themeColor="text2"/>
        </w:rPr>
        <w:t>GWAU</w:t>
      </w:r>
      <w:r w:rsidR="006F1760">
        <w:rPr>
          <w:color w:val="44546A" w:themeColor="text2"/>
        </w:rPr>
        <w:t xml:space="preserve"> in 2023-24</w:t>
      </w:r>
      <w:r w:rsidR="00CE6F96">
        <w:rPr>
          <w:rFonts w:ascii="ZWAdobeF" w:hAnsi="ZWAdobeF" w:cs="ZWAdobeF"/>
          <w:color w:val="auto"/>
          <w:sz w:val="2"/>
          <w:szCs w:val="2"/>
        </w:rPr>
        <w:t>25F</w:t>
      </w:r>
      <w:r w:rsidRPr="00BB44BD">
        <w:rPr>
          <w:rStyle w:val="FootnoteReference"/>
          <w:color w:val="44546A" w:themeColor="text2"/>
        </w:rPr>
        <w:footnoteReference w:id="27"/>
      </w:r>
      <w:r w:rsidRPr="00BB44BD">
        <w:rPr>
          <w:color w:val="44546A" w:themeColor="text2"/>
        </w:rPr>
        <w:t xml:space="preserve">, with a growth of </w:t>
      </w:r>
      <w:r w:rsidRPr="00BB44BD">
        <w:rPr>
          <w:b/>
          <w:color w:val="44546A" w:themeColor="text2"/>
        </w:rPr>
        <w:t>6.3%</w:t>
      </w:r>
      <w:r w:rsidRPr="00BB44BD">
        <w:rPr>
          <w:color w:val="44546A" w:themeColor="text2"/>
        </w:rPr>
        <w:t xml:space="preserve"> since 2022-23. </w:t>
      </w:r>
      <w:r>
        <w:rPr>
          <w:color w:val="44546A" w:themeColor="text2"/>
        </w:rPr>
        <w:t xml:space="preserve">SA ABF hospital GWAU represents </w:t>
      </w:r>
      <w:r>
        <w:rPr>
          <w:b/>
          <w:bCs/>
          <w:color w:val="44546A" w:themeColor="text2"/>
        </w:rPr>
        <w:t>7.9% of national weighted activity for 2023</w:t>
      </w:r>
      <w:r>
        <w:rPr>
          <w:b/>
          <w:bCs/>
          <w:color w:val="44546A" w:themeColor="text2"/>
        </w:rPr>
        <w:noBreakHyphen/>
        <w:t>24.</w:t>
      </w:r>
    </w:p>
    <w:p w14:paraId="25B13F03" w14:textId="77777777" w:rsidR="00581F9F" w:rsidRPr="00BB44BD" w:rsidRDefault="00581F9F" w:rsidP="00581F9F">
      <w:pPr>
        <w:spacing w:line="240" w:lineRule="auto"/>
        <w:rPr>
          <w:color w:val="44546A" w:themeColor="text2"/>
        </w:rPr>
      </w:pPr>
      <w:r w:rsidRPr="00BB44BD">
        <w:rPr>
          <w:color w:val="44546A" w:themeColor="text2"/>
        </w:rPr>
        <w:t xml:space="preserve">The average cost per GWAU in SA was </w:t>
      </w:r>
      <w:r w:rsidRPr="00BB44BD">
        <w:rPr>
          <w:b/>
          <w:color w:val="44546A" w:themeColor="text2"/>
        </w:rPr>
        <w:t xml:space="preserve">$7,253 </w:t>
      </w:r>
      <w:r w:rsidRPr="00BB44BD">
        <w:rPr>
          <w:color w:val="44546A" w:themeColor="text2"/>
        </w:rPr>
        <w:t xml:space="preserve">in 2023-24, representing growth of </w:t>
      </w:r>
      <w:r w:rsidRPr="00BB44BD">
        <w:rPr>
          <w:b/>
          <w:color w:val="44546A" w:themeColor="text2"/>
        </w:rPr>
        <w:t>5.1%</w:t>
      </w:r>
      <w:r w:rsidRPr="00BB44BD">
        <w:rPr>
          <w:color w:val="44546A" w:themeColor="text2"/>
        </w:rPr>
        <w:t xml:space="preserve"> since 2022-23.</w:t>
      </w:r>
    </w:p>
    <w:p w14:paraId="1BCB2CDC" w14:textId="3E00C7D6" w:rsidR="00581F9F" w:rsidRDefault="00581F9F" w:rsidP="00581F9F">
      <w:pPr>
        <w:spacing w:line="240" w:lineRule="auto"/>
        <w:rPr>
          <w:color w:val="44546A" w:themeColor="text2"/>
        </w:rPr>
      </w:pPr>
      <w:r w:rsidRPr="004F39AF">
        <w:rPr>
          <w:color w:val="44546A" w:themeColor="text2"/>
        </w:rPr>
        <w:t>Overall, SA has had considerable growth in episodes (13.1%) matched by lower growth in GWAU (6.3%)</w:t>
      </w:r>
      <w:r>
        <w:rPr>
          <w:color w:val="44546A" w:themeColor="text2"/>
        </w:rPr>
        <w:t>. The growth in episodes is both an increase in the reporting of activity (non-admitted and mental health) and</w:t>
      </w:r>
      <w:r w:rsidRPr="004F39AF">
        <w:rPr>
          <w:color w:val="44546A" w:themeColor="text2"/>
        </w:rPr>
        <w:t xml:space="preserve"> a</w:t>
      </w:r>
      <w:r>
        <w:rPr>
          <w:color w:val="44546A" w:themeColor="text2"/>
        </w:rPr>
        <w:t>n</w:t>
      </w:r>
      <w:r w:rsidRPr="004F39AF">
        <w:rPr>
          <w:color w:val="44546A" w:themeColor="text2"/>
        </w:rPr>
        <w:t xml:space="preserve"> </w:t>
      </w:r>
      <w:r>
        <w:rPr>
          <w:color w:val="44546A" w:themeColor="text2"/>
        </w:rPr>
        <w:t>increase in the</w:t>
      </w:r>
      <w:r w:rsidRPr="004F39AF">
        <w:rPr>
          <w:color w:val="44546A" w:themeColor="text2"/>
        </w:rPr>
        <w:t xml:space="preserve"> </w:t>
      </w:r>
      <w:r w:rsidRPr="00CA6A5F">
        <w:rPr>
          <w:color w:val="44546A" w:themeColor="text2"/>
        </w:rPr>
        <w:t xml:space="preserve">volume of activity that has been delivered. A shift towards lower patient complexity in </w:t>
      </w:r>
      <w:r w:rsidR="0030100D">
        <w:rPr>
          <w:color w:val="44546A" w:themeColor="text2"/>
        </w:rPr>
        <w:t>mental health</w:t>
      </w:r>
      <w:r w:rsidRPr="00CA6A5F">
        <w:rPr>
          <w:color w:val="44546A" w:themeColor="text2"/>
        </w:rPr>
        <w:t xml:space="preserve"> and improved reporting in mental health &amp; non-admitted care type have contributed to the lower growth rate in GWAU</w:t>
      </w:r>
      <w:r>
        <w:rPr>
          <w:color w:val="44546A" w:themeColor="text2"/>
        </w:rPr>
        <w:t>.</w:t>
      </w:r>
    </w:p>
    <w:p w14:paraId="5C84B46F" w14:textId="43487F57" w:rsidR="00581F9F" w:rsidRPr="00BB44BD" w:rsidRDefault="00581F9F" w:rsidP="00581F9F">
      <w:pPr>
        <w:spacing w:line="240" w:lineRule="auto"/>
        <w:rPr>
          <w:color w:val="44546A" w:themeColor="text2"/>
        </w:rPr>
      </w:pPr>
      <w:r w:rsidRPr="004F39AF">
        <w:rPr>
          <w:color w:val="44546A" w:themeColor="text2"/>
        </w:rPr>
        <w:t>Cost growth per GWAU in the range of 3-4% is expected in the context of an inflationary environment and year</w:t>
      </w:r>
      <w:r w:rsidR="007050E3">
        <w:rPr>
          <w:color w:val="44546A" w:themeColor="text2"/>
        </w:rPr>
        <w:t>-</w:t>
      </w:r>
      <w:r w:rsidRPr="004F39AF">
        <w:rPr>
          <w:color w:val="44546A" w:themeColor="text2"/>
        </w:rPr>
        <w:t>on</w:t>
      </w:r>
      <w:r w:rsidR="007050E3">
        <w:rPr>
          <w:color w:val="44546A" w:themeColor="text2"/>
        </w:rPr>
        <w:t>-</w:t>
      </w:r>
      <w:r w:rsidRPr="004F39AF">
        <w:rPr>
          <w:color w:val="44546A" w:themeColor="text2"/>
        </w:rPr>
        <w:t xml:space="preserve">year EBA wage rises for healthcare workers. </w:t>
      </w:r>
      <w:r w:rsidR="000F4349">
        <w:rPr>
          <w:color w:val="44546A" w:themeColor="text2"/>
        </w:rPr>
        <w:t>SA</w:t>
      </w:r>
      <w:r w:rsidRPr="004F39AF">
        <w:rPr>
          <w:color w:val="44546A" w:themeColor="text2"/>
        </w:rPr>
        <w:t xml:space="preserve">’s growth of 5.1% is slightly higher which </w:t>
      </w:r>
      <w:r w:rsidR="0021143E">
        <w:rPr>
          <w:color w:val="44546A" w:themeColor="text2"/>
        </w:rPr>
        <w:t>could be due to</w:t>
      </w:r>
      <w:r w:rsidRPr="004F39AF">
        <w:rPr>
          <w:color w:val="44546A" w:themeColor="text2"/>
        </w:rPr>
        <w:t xml:space="preserve"> factors</w:t>
      </w:r>
      <w:r w:rsidR="0021143E">
        <w:rPr>
          <w:color w:val="44546A" w:themeColor="text2"/>
        </w:rPr>
        <w:t xml:space="preserve"> including</w:t>
      </w:r>
      <w:r>
        <w:rPr>
          <w:color w:val="44546A" w:themeColor="text2"/>
        </w:rPr>
        <w:t xml:space="preserve"> </w:t>
      </w:r>
      <w:r w:rsidRPr="004F39AF">
        <w:rPr>
          <w:color w:val="44546A" w:themeColor="text2"/>
        </w:rPr>
        <w:t>higher EBA rises or one-off incentive payments; higher costs associated with a different workforce mix or increased use of agency/casuals; or other operational drivers of higher costs.</w:t>
      </w:r>
    </w:p>
    <w:p w14:paraId="669CDCC6" w14:textId="11A53590" w:rsidR="00DF7263" w:rsidRDefault="00581F9F" w:rsidP="004C51A1">
      <w:pPr>
        <w:pStyle w:val="Heading3"/>
      </w:pPr>
      <w:r>
        <w:lastRenderedPageBreak/>
        <w:t xml:space="preserve">Cost </w:t>
      </w:r>
      <w:r w:rsidR="00EF7DDE">
        <w:t>D</w:t>
      </w:r>
      <w:r>
        <w:t>river analysis by activity stream</w:t>
      </w:r>
    </w:p>
    <w:p w14:paraId="185B5148" w14:textId="77777777" w:rsidR="008B674D" w:rsidRPr="00BB44BD" w:rsidRDefault="008B674D" w:rsidP="00D74EAA">
      <w:pPr>
        <w:rPr>
          <w:color w:val="44546A" w:themeColor="text2"/>
        </w:rPr>
      </w:pPr>
      <w:r w:rsidRPr="00BB44BD">
        <w:t xml:space="preserve">Analysis was undertaken on the </w:t>
      </w:r>
      <w:r>
        <w:rPr>
          <w:color w:val="44546A" w:themeColor="text2"/>
        </w:rPr>
        <w:t>NHCDC 2023-24</w:t>
      </w:r>
      <w:r w:rsidRPr="00BB44BD">
        <w:rPr>
          <w:color w:val="44546A" w:themeColor="text2"/>
        </w:rPr>
        <w:t xml:space="preserve"> submission to understand how submitted activity and cost have changed since 2022-23 and whether any drivers of change could be identified. This analysis considered a subset of the submitted cost data, focusing on 5 key activity streams: </w:t>
      </w:r>
    </w:p>
    <w:p w14:paraId="0249EE15" w14:textId="77777777" w:rsidR="008B674D" w:rsidRPr="00BB44BD" w:rsidRDefault="008B674D" w:rsidP="00CD718C">
      <w:pPr>
        <w:pStyle w:val="ListParagraph"/>
        <w:numPr>
          <w:ilvl w:val="0"/>
          <w:numId w:val="46"/>
        </w:numPr>
        <w:rPr>
          <w:color w:val="44546A" w:themeColor="text2"/>
        </w:rPr>
      </w:pPr>
      <w:r w:rsidRPr="00BB44BD">
        <w:t>Admitted acute</w:t>
      </w:r>
      <w:r>
        <w:rPr>
          <w:color w:val="44546A" w:themeColor="text2"/>
        </w:rPr>
        <w:t>,</w:t>
      </w:r>
    </w:p>
    <w:p w14:paraId="693F5492" w14:textId="77777777" w:rsidR="008B674D" w:rsidRPr="00BB44BD" w:rsidRDefault="008B674D" w:rsidP="00CD718C">
      <w:pPr>
        <w:pStyle w:val="ListParagraph"/>
        <w:numPr>
          <w:ilvl w:val="0"/>
          <w:numId w:val="46"/>
        </w:numPr>
      </w:pPr>
      <w:r w:rsidRPr="00BB44BD">
        <w:t xml:space="preserve">Non-admitted care, </w:t>
      </w:r>
    </w:p>
    <w:p w14:paraId="3D9C670B" w14:textId="77777777" w:rsidR="008B674D" w:rsidRPr="00BB44BD" w:rsidRDefault="008B674D" w:rsidP="00CD718C">
      <w:pPr>
        <w:pStyle w:val="ListParagraph"/>
        <w:numPr>
          <w:ilvl w:val="0"/>
          <w:numId w:val="46"/>
        </w:numPr>
      </w:pPr>
      <w:r w:rsidRPr="00BB44BD">
        <w:t>Subacute and non-acute care,</w:t>
      </w:r>
    </w:p>
    <w:p w14:paraId="3429E118" w14:textId="4BBE1999" w:rsidR="008B674D" w:rsidRPr="00BB44BD" w:rsidRDefault="005E5D7C" w:rsidP="00CD718C">
      <w:pPr>
        <w:pStyle w:val="ListParagraph"/>
        <w:numPr>
          <w:ilvl w:val="0"/>
          <w:numId w:val="46"/>
        </w:numPr>
      </w:pPr>
      <w:r>
        <w:t>ED</w:t>
      </w:r>
      <w:r w:rsidR="008B674D" w:rsidRPr="00BB44BD">
        <w:t xml:space="preserve"> care and, </w:t>
      </w:r>
    </w:p>
    <w:p w14:paraId="45AD363A" w14:textId="77777777" w:rsidR="008B674D" w:rsidRPr="00BB44BD" w:rsidRDefault="008B674D" w:rsidP="00CD718C">
      <w:pPr>
        <w:pStyle w:val="ListParagraph"/>
        <w:numPr>
          <w:ilvl w:val="0"/>
          <w:numId w:val="46"/>
        </w:numPr>
      </w:pPr>
      <w:r w:rsidRPr="00BB44BD">
        <w:t xml:space="preserve">Mental health care (with mental health split by admitted and community). </w:t>
      </w:r>
    </w:p>
    <w:p w14:paraId="2106271D" w14:textId="77777777" w:rsidR="008B674D" w:rsidRPr="00BB44BD" w:rsidRDefault="008B674D" w:rsidP="00D74EAA">
      <w:pPr>
        <w:rPr>
          <w:color w:val="44546A" w:themeColor="text2"/>
        </w:rPr>
      </w:pPr>
      <w:r w:rsidRPr="00BB44BD">
        <w:t xml:space="preserve">A summary of the </w:t>
      </w:r>
      <w:r>
        <w:rPr>
          <w:color w:val="44546A" w:themeColor="text2"/>
        </w:rPr>
        <w:t xml:space="preserve">activity and costs across all streams except community mental health </w:t>
      </w:r>
      <w:r w:rsidRPr="00BB44BD">
        <w:rPr>
          <w:color w:val="44546A" w:themeColor="text2"/>
        </w:rPr>
        <w:t>is presented in the sections below. In this analysis, GWAU w</w:t>
      </w:r>
      <w:r>
        <w:rPr>
          <w:color w:val="44546A" w:themeColor="text2"/>
        </w:rPr>
        <w:t>as</w:t>
      </w:r>
      <w:r w:rsidRPr="00BB44BD">
        <w:rPr>
          <w:color w:val="44546A" w:themeColor="text2"/>
        </w:rPr>
        <w:t xml:space="preserve"> used as a standardised activity unit, accounting for the relative complexity and resource intensity associated with treating patients. Furthermore, the results below are related to activity and cost submitted for </w:t>
      </w:r>
      <w:r w:rsidRPr="00BB44BD">
        <w:rPr>
          <w:b/>
          <w:color w:val="44546A" w:themeColor="text2"/>
        </w:rPr>
        <w:t>ABF hospitals only</w:t>
      </w:r>
      <w:r w:rsidRPr="00BB44BD">
        <w:rPr>
          <w:color w:val="44546A" w:themeColor="text2"/>
        </w:rPr>
        <w:t xml:space="preserve"> unless stated otherwise. </w:t>
      </w:r>
    </w:p>
    <w:bookmarkStart w:id="38" w:name="_Ref208584040"/>
    <w:p w14:paraId="55DDCA0C" w14:textId="2E5E5107" w:rsidR="00C510D3" w:rsidRDefault="007C3CCD" w:rsidP="00EC0C63">
      <w:pPr>
        <w:pStyle w:val="Caption"/>
        <w:keepNext/>
      </w:pPr>
      <w:r>
        <w:rPr>
          <w:noProof/>
        </w:rPr>
        <mc:AlternateContent>
          <mc:Choice Requires="wpg">
            <w:drawing>
              <wp:anchor distT="0" distB="0" distL="114300" distR="114300" simplePos="0" relativeHeight="251658317" behindDoc="0" locked="0" layoutInCell="1" allowOverlap="1" wp14:anchorId="1D8D7D2E" wp14:editId="12356DDC">
                <wp:simplePos x="0" y="0"/>
                <wp:positionH relativeFrom="column">
                  <wp:posOffset>4221480</wp:posOffset>
                </wp:positionH>
                <wp:positionV relativeFrom="paragraph">
                  <wp:posOffset>276860</wp:posOffset>
                </wp:positionV>
                <wp:extent cx="1259840" cy="770255"/>
                <wp:effectExtent l="0" t="0" r="16510" b="10795"/>
                <wp:wrapTopAndBottom/>
                <wp:docPr id="998589465" name="Group 8" descr="P276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55"/>
                          <a:chOff x="0" y="0"/>
                          <a:chExt cx="1260000" cy="770314"/>
                        </a:xfrm>
                      </wpg:grpSpPr>
                      <pic:pic xmlns:pic="http://schemas.openxmlformats.org/drawingml/2006/picture">
                        <pic:nvPicPr>
                          <pic:cNvPr id="1401314824" name="Graphic 2" descr="Dollar outline"/>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429167" y="0"/>
                            <a:ext cx="402590" cy="393065"/>
                          </a:xfrm>
                          <a:prstGeom prst="rect">
                            <a:avLst/>
                          </a:prstGeom>
                        </pic:spPr>
                      </pic:pic>
                      <wps:wsp>
                        <wps:cNvPr id="1309733939" name="TextBox 6"/>
                        <wps:cNvSpPr txBox="1"/>
                        <wps:spPr>
                          <a:xfrm>
                            <a:off x="0" y="413417"/>
                            <a:ext cx="1260000" cy="356897"/>
                          </a:xfrm>
                          <a:prstGeom prst="rect">
                            <a:avLst/>
                          </a:prstGeom>
                          <a:noFill/>
                          <a:ln>
                            <a:noFill/>
                          </a:ln>
                        </wps:spPr>
                        <wps:txbx>
                          <w:txbxContent>
                            <w:p w14:paraId="67ADC125" w14:textId="20D88072" w:rsidR="00C510D3" w:rsidRPr="001729F2" w:rsidRDefault="00EB4090"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23-24 costs</w:t>
                              </w:r>
                            </w:p>
                            <w:p w14:paraId="0FD79504" w14:textId="77777777" w:rsidR="00C510D3" w:rsidRPr="001729F2" w:rsidRDefault="00C510D3" w:rsidP="00C510D3">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1D8D7D2E" id="_x0000_s1280" alt="P2766#y1" style="position:absolute;margin-left:332.4pt;margin-top:21.8pt;width:99.2pt;height:60.65pt;z-index:251658317;mso-position-horizontal-relative:text;mso-position-vertical-relative:text" coordsize="12600,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">
                <v:shape id="Graphic 2" o:spid="_x0000_s1281" type="#_x0000_t75" alt="Dollar outline" style="position:absolute;left:4291;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">
                  <v:imagedata r:id="rId35" o:title="Dollar outline"/>
                </v:shape>
                <v:shape id="TextBox 6" o:spid="_x0000_s1282" type="#_x0000_t202" style="position:absolute;top:4134;width:12600;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" filled="f" stroked="f">
                  <v:textbox style="mso-fit-shape-to-text:t" inset="0,0,0,0">
                    <w:txbxContent>
                      <w:p w14:paraId="67ADC125" w14:textId="20D88072" w:rsidR="00C510D3" w:rsidRPr="001729F2" w:rsidRDefault="00EB4090"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23-24 costs</w:t>
                        </w:r>
                      </w:p>
                      <w:p w14:paraId="0FD79504" w14:textId="77777777" w:rsidR="00C510D3" w:rsidRPr="001729F2" w:rsidRDefault="00C510D3" w:rsidP="00C510D3">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w10:wrap type="topAndBottom"/>
              </v:group>
            </w:pict>
          </mc:Fallback>
        </mc:AlternateContent>
      </w:r>
      <w:r w:rsidR="00921A3C">
        <w:rPr>
          <w:noProof/>
        </w:rPr>
        <mc:AlternateContent>
          <mc:Choice Requires="wpg">
            <w:drawing>
              <wp:anchor distT="0" distB="0" distL="114300" distR="114300" simplePos="0" relativeHeight="251658318" behindDoc="0" locked="0" layoutInCell="1" allowOverlap="1" wp14:anchorId="33638217" wp14:editId="26C449A5">
                <wp:simplePos x="0" y="0"/>
                <wp:positionH relativeFrom="column">
                  <wp:posOffset>723900</wp:posOffset>
                </wp:positionH>
                <wp:positionV relativeFrom="paragraph">
                  <wp:posOffset>189230</wp:posOffset>
                </wp:positionV>
                <wp:extent cx="1259840" cy="762065"/>
                <wp:effectExtent l="0" t="0" r="16510" b="0"/>
                <wp:wrapTopAndBottom/>
                <wp:docPr id="678031217" name="Group 10" descr="P2766#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62065"/>
                          <a:chOff x="0" y="0"/>
                          <a:chExt cx="1262597" cy="762257"/>
                        </a:xfrm>
                      </wpg:grpSpPr>
                      <pic:pic xmlns:pic="http://schemas.openxmlformats.org/drawingml/2006/picture">
                        <pic:nvPicPr>
                          <pic:cNvPr id="1747710261" name="Graphic 3" descr="Inpatient outline"/>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430242" y="0"/>
                            <a:ext cx="402590" cy="393065"/>
                          </a:xfrm>
                          <a:prstGeom prst="rect">
                            <a:avLst/>
                          </a:prstGeom>
                        </pic:spPr>
                      </pic:pic>
                      <wps:wsp>
                        <wps:cNvPr id="1463629852" name="TextBox 4"/>
                        <wps:cNvSpPr txBox="1"/>
                        <wps:spPr>
                          <a:xfrm>
                            <a:off x="0" y="405297"/>
                            <a:ext cx="1262597" cy="356960"/>
                          </a:xfrm>
                          <a:prstGeom prst="rect">
                            <a:avLst/>
                          </a:prstGeom>
                          <a:noFill/>
                          <a:ln>
                            <a:noFill/>
                          </a:ln>
                        </wps:spPr>
                        <wps:txbx>
                          <w:txbxContent>
                            <w:p w14:paraId="2E352EFF" w14:textId="305987C1" w:rsidR="00C510D3" w:rsidRDefault="00EB4090"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Episodes</w:t>
                              </w:r>
                              <w:r w:rsidR="00C510D3">
                                <w:rPr>
                                  <w:rFonts w:asciiTheme="minorHAnsi"/>
                                  <w:b/>
                                  <w:bCs/>
                                  <w:color w:val="404040" w:themeColor="text1" w:themeTint="BF"/>
                                  <w:kern w:val="24"/>
                                </w:rPr>
                                <w:t xml:space="preserve"> </w:t>
                              </w:r>
                            </w:p>
                            <w:p w14:paraId="4958AE0D" w14:textId="77777777" w:rsidR="00C510D3" w:rsidRDefault="00C510D3"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wps:txbx>
                        <wps:bodyPr wrap="square" lIns="0" tIns="0" rIns="0" bIns="0" rtlCol="0">
                          <a:spAutoFit/>
                        </wps:bodyPr>
                      </wps:wsp>
                    </wpg:wgp>
                  </a:graphicData>
                </a:graphic>
              </wp:anchor>
            </w:drawing>
          </mc:Choice>
          <mc:Fallback>
            <w:pict>
              <v:group w14:anchorId="33638217" id="_x0000_s1283" alt="P2766#y2" style="position:absolute;margin-left:57pt;margin-top:14.9pt;width:99.2pt;height:60pt;z-index:251658318;mso-position-horizontal-relative:text;mso-position-vertical-relative:text" coordsize="12625,76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">
                <v:shape id="Graphic 3" o:spid="_x0000_s1284" type="#_x0000_t75" alt="Inpatient outline" style="position:absolute;left:4302;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">
                  <v:imagedata r:id="rId41" o:title="Inpatient outline"/>
                </v:shape>
                <v:shape id="TextBox 4" o:spid="_x0000_s1285" type="#_x0000_t202" style="position:absolute;top:4052;width:1262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" filled="f" stroked="f">
                  <v:textbox style="mso-fit-shape-to-text:t" inset="0,0,0,0">
                    <w:txbxContent>
                      <w:p w14:paraId="2E352EFF" w14:textId="305987C1" w:rsidR="00C510D3" w:rsidRDefault="00EB4090"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Pr>
                            <w:rFonts w:asciiTheme="minorHAnsi"/>
                            <w:b/>
                            <w:bCs/>
                            <w:color w:val="404040" w:themeColor="text1" w:themeTint="BF"/>
                            <w:kern w:val="24"/>
                          </w:rPr>
                          <w:t>23-24 Episodes</w:t>
                        </w:r>
                        <w:r w:rsidR="00C510D3">
                          <w:rPr>
                            <w:rFonts w:asciiTheme="minorHAnsi"/>
                            <w:b/>
                            <w:bCs/>
                            <w:color w:val="404040" w:themeColor="text1" w:themeTint="BF"/>
                            <w:kern w:val="24"/>
                          </w:rPr>
                          <w:t xml:space="preserve"> </w:t>
                        </w:r>
                      </w:p>
                      <w:p w14:paraId="4958AE0D" w14:textId="77777777" w:rsidR="00C510D3" w:rsidRDefault="00C510D3"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(and growth)</w:t>
                        </w:r>
                      </w:p>
                    </w:txbxContent>
                  </v:textbox>
                </v:shape>
                <w10:wrap type="topAndBottom"/>
              </v:group>
            </w:pict>
          </mc:Fallback>
        </mc:AlternateContent>
      </w:r>
      <w:r>
        <w:rPr>
          <w:noProof/>
        </w:rPr>
        <mc:AlternateContent>
          <mc:Choice Requires="wpg">
            <w:drawing>
              <wp:anchor distT="0" distB="0" distL="114300" distR="114300" simplePos="0" relativeHeight="251658319" behindDoc="0" locked="0" layoutInCell="1" allowOverlap="1" wp14:anchorId="27C23097" wp14:editId="534A05AC">
                <wp:simplePos x="0" y="0"/>
                <wp:positionH relativeFrom="column">
                  <wp:posOffset>2449830</wp:posOffset>
                </wp:positionH>
                <wp:positionV relativeFrom="paragraph">
                  <wp:posOffset>276860</wp:posOffset>
                </wp:positionV>
                <wp:extent cx="1259840" cy="770255"/>
                <wp:effectExtent l="0" t="0" r="16510" b="10795"/>
                <wp:wrapTopAndBottom/>
                <wp:docPr id="319807066" name="Group 9" descr="P2766#y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9840" cy="770255"/>
                          <a:chOff x="0" y="0"/>
                          <a:chExt cx="1260224" cy="770314"/>
                        </a:xfrm>
                      </wpg:grpSpPr>
                      <wps:wsp>
                        <wps:cNvPr id="188308126" name="TextBox 5"/>
                        <wps:cNvSpPr txBox="1"/>
                        <wps:spPr>
                          <a:xfrm>
                            <a:off x="0" y="413417"/>
                            <a:ext cx="1260224" cy="356897"/>
                          </a:xfrm>
                          <a:prstGeom prst="rect">
                            <a:avLst/>
                          </a:prstGeom>
                          <a:noFill/>
                          <a:ln>
                            <a:noFill/>
                          </a:ln>
                        </wps:spPr>
                        <wps:txbx>
                          <w:txbxContent>
                            <w:p w14:paraId="4C48DBF3" w14:textId="4D5D5ECD" w:rsidR="00431855" w:rsidRDefault="00EB4090"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23-24 GWAU</w:t>
                              </w:r>
                            </w:p>
                            <w:p w14:paraId="7D0959B2" w14:textId="77777777" w:rsidR="00C510D3" w:rsidRPr="001729F2" w:rsidRDefault="00C510D3" w:rsidP="00C510D3">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wps:txbx>
                        <wps:bodyPr wrap="square" lIns="0" tIns="0" rIns="0" bIns="0" rtlCol="0">
                          <a:spAutoFit/>
                        </wps:bodyPr>
                      </wps:wsp>
                      <pic:pic xmlns:pic="http://schemas.openxmlformats.org/drawingml/2006/picture">
                        <pic:nvPicPr>
                          <pic:cNvPr id="15608184" name="Graphic 7" descr="Scales of justice with solid fill"/>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428894" y="0"/>
                            <a:ext cx="402590" cy="393065"/>
                          </a:xfrm>
                          <a:prstGeom prst="rect">
                            <a:avLst/>
                          </a:prstGeom>
                        </pic:spPr>
                      </pic:pic>
                    </wpg:wgp>
                  </a:graphicData>
                </a:graphic>
              </wp:anchor>
            </w:drawing>
          </mc:Choice>
          <mc:Fallback>
            <w:pict>
              <v:group w14:anchorId="27C23097" id="_x0000_s1286" alt="P2766#y3" style="position:absolute;margin-left:192.9pt;margin-top:21.8pt;width:99.2pt;height:60.65pt;z-index:251658319;mso-position-horizontal-relative:text;mso-position-vertical-relative:text" coordsize="12602,7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">
                <v:shape id="TextBox 5" o:spid="_x0000_s1287" type="#_x0000_t202" style="position:absolute;top:4134;width:12602;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" filled="f" stroked="f">
                  <v:textbox style="mso-fit-shape-to-text:t" inset="0,0,0,0">
                    <w:txbxContent>
                      <w:p w14:paraId="4C48DBF3" w14:textId="4D5D5ECD" w:rsidR="00431855" w:rsidRDefault="00EB4090" w:rsidP="00C510D3">
                        <w:pPr>
                          <w:spacing w:after="0"/>
                          <w:jc w:val="center"/>
                          <w:rPr>
                            <w:rFonts w:asciiTheme="minorHAnsi"/>
                            <w:b/>
                            <w:bCs/>
                            <w:color w:val="404040" w:themeColor="text1" w:themeTint="BF"/>
                            <w:kern w:val="24"/>
                          </w:rPr>
                        </w:pPr>
                        <w:r>
                          <w:rPr>
                            <w:rFonts w:asciiTheme="minorHAnsi"/>
                            <w:b/>
                            <w:bCs/>
                            <w:color w:val="404040" w:themeColor="text1" w:themeTint="BF"/>
                            <w:kern w:val="24"/>
                          </w:rPr>
                          <w:t>20</w:t>
                        </w:r>
                        <w:r w:rsidR="00594F1B" w:rsidRPr="001729F2">
                          <w:rPr>
                            <w:rFonts w:asciiTheme="minorHAnsi"/>
                            <w:b/>
                            <w:bCs/>
                            <w:color w:val="404040" w:themeColor="text1" w:themeTint="BF"/>
                            <w:kern w:val="24"/>
                          </w:rPr>
                          <w:t>23-24 GWAU</w:t>
                        </w:r>
                      </w:p>
                      <w:p w14:paraId="7D0959B2" w14:textId="77777777" w:rsidR="00C510D3" w:rsidRPr="001729F2" w:rsidRDefault="00C510D3" w:rsidP="00C510D3">
                        <w:pPr>
                          <w:spacing w:after="0"/>
                          <w:jc w:val="center"/>
                          <w:rPr>
                            <w:rFonts w:asciiTheme="minorHAnsi"/>
                            <w:b/>
                            <w:bCs/>
                            <w:color w:val="404040" w:themeColor="text1" w:themeTint="BF"/>
                            <w:kern w:val="24"/>
                          </w:rPr>
                        </w:pPr>
                        <w:r w:rsidRPr="001729F2">
                          <w:rPr>
                            <w:rFonts w:asciiTheme="minorHAnsi"/>
                            <w:b/>
                            <w:bCs/>
                            <w:color w:val="404040" w:themeColor="text1" w:themeTint="BF"/>
                            <w:kern w:val="24"/>
                          </w:rPr>
                          <w:t>(and growth)</w:t>
                        </w:r>
                      </w:p>
                    </w:txbxContent>
                  </v:textbox>
                </v:shape>
                <v:shape id="Graphic 7" o:spid="_x0000_s1288" type="#_x0000_t75" alt="Scales of justice with solid fill" style="position:absolute;left:4288;width:4026;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">
                  <v:imagedata r:id="rId38" o:title="Scales of justice with solid fill"/>
                </v:shape>
                <w10:wrap type="topAndBottom"/>
              </v:group>
            </w:pict>
          </mc:Fallback>
        </mc:AlternateContent>
      </w:r>
      <w:r w:rsidR="00D05BA2">
        <w:t xml:space="preserve">Figure </w:t>
      </w:r>
      <w:r w:rsidR="00BD5B5E">
        <w:fldChar w:fldCharType="begin"/>
      </w:r>
      <w:r w:rsidR="00BD5B5E">
        <w:instrText xml:space="preserve"> SEQ Figure \* ARABIC </w:instrText>
      </w:r>
      <w:r w:rsidR="00BD5B5E">
        <w:fldChar w:fldCharType="separate"/>
      </w:r>
      <w:r w:rsidR="00CE6F96">
        <w:rPr>
          <w:noProof/>
        </w:rPr>
        <w:t>37</w:t>
      </w:r>
      <w:r w:rsidR="00BD5B5E">
        <w:fldChar w:fldCharType="end"/>
      </w:r>
      <w:r w:rsidR="00D05BA2">
        <w:t>:</w:t>
      </w:r>
      <w:bookmarkStart w:id="39" w:name="_Ref208584032"/>
      <w:bookmarkEnd w:id="38"/>
      <w:r w:rsidR="00D05BA2">
        <w:t xml:space="preserve"> </w:t>
      </w:r>
      <w:r w:rsidR="00D05BA2" w:rsidRPr="008707AD">
        <w:t>Growth in activity, GWAU and total cost for SA 2023-24</w:t>
      </w:r>
      <w:bookmarkEnd w:id="39"/>
    </w:p>
    <w:p w14:paraId="28CA93A9" w14:textId="12382F7B" w:rsidR="008B674D" w:rsidRDefault="00C510D3" w:rsidP="00856ABF">
      <w:r w:rsidRPr="00C510D3">
        <w:rPr>
          <w:noProof/>
        </w:rPr>
        <w:drawing>
          <wp:inline distT="0" distB="0" distL="0" distR="0" wp14:anchorId="10823F47" wp14:editId="25BA42EC">
            <wp:extent cx="5731510" cy="3348000"/>
            <wp:effectExtent l="0" t="0" r="2540" b="5080"/>
            <wp:docPr id="444334989" name="Chart 1" descr="P2767#yIS1">
              <a:extLst xmlns:a="http://schemas.openxmlformats.org/drawingml/2006/main">
                <a:ext uri="{FF2B5EF4-FFF2-40B4-BE49-F238E27FC236}">
                  <a16:creationId xmlns:a16="http://schemas.microsoft.com/office/drawing/2014/main" id="{E3B3FAD3-1D2A-A27C-F790-FE41EFEEA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1BE5B6E" w14:textId="24628BC7" w:rsidR="008B674D" w:rsidRDefault="00FC5F18" w:rsidP="00EC0C63">
      <w:pPr>
        <w:pStyle w:val="Caption"/>
        <w:keepNext/>
      </w:pPr>
      <w:bookmarkStart w:id="40" w:name="_Ref208584043"/>
      <w:r>
        <w:lastRenderedPageBreak/>
        <w:t xml:space="preserve">Figure </w:t>
      </w:r>
      <w:r w:rsidR="00BD5B5E">
        <w:fldChar w:fldCharType="begin"/>
      </w:r>
      <w:r w:rsidR="00BD5B5E">
        <w:instrText xml:space="preserve"> SEQ Figure \* ARABIC </w:instrText>
      </w:r>
      <w:r w:rsidR="00BD5B5E">
        <w:fldChar w:fldCharType="separate"/>
      </w:r>
      <w:r w:rsidR="00CE6F96">
        <w:rPr>
          <w:noProof/>
        </w:rPr>
        <w:t>38</w:t>
      </w:r>
      <w:r w:rsidR="00BD5B5E">
        <w:fldChar w:fldCharType="end"/>
      </w:r>
      <w:bookmarkEnd w:id="40"/>
      <w:r>
        <w:t>: Average cost per GWAU</w:t>
      </w:r>
      <w:r w:rsidR="003D5B8C">
        <w:t xml:space="preserve"> - </w:t>
      </w:r>
      <w:r w:rsidR="006A03D3">
        <w:t>S</w:t>
      </w:r>
      <w:r w:rsidR="003D5B8C">
        <w:t>A</w:t>
      </w:r>
    </w:p>
    <w:p w14:paraId="0736D819" w14:textId="0F8062F7" w:rsidR="008B674D" w:rsidRDefault="008D3659" w:rsidP="00856ABF">
      <w:r>
        <w:rPr>
          <w:noProof/>
        </w:rPr>
        <w:drawing>
          <wp:inline distT="0" distB="0" distL="0" distR="0" wp14:anchorId="38BF3D7C" wp14:editId="23037D43">
            <wp:extent cx="5886797" cy="2993366"/>
            <wp:effectExtent l="0" t="0" r="0" b="0"/>
            <wp:docPr id="213483418" name="Picture 4" descr="P276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3418" name="Picture 4" descr="P2769#yIS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14892" cy="3007652"/>
                    </a:xfrm>
                    <a:prstGeom prst="rect">
                      <a:avLst/>
                    </a:prstGeom>
                    <a:noFill/>
                  </pic:spPr>
                </pic:pic>
              </a:graphicData>
            </a:graphic>
          </wp:inline>
        </w:drawing>
      </w:r>
    </w:p>
    <w:p w14:paraId="4B65AF5B" w14:textId="181E06A4" w:rsidR="00D144BE" w:rsidRDefault="00D144BE" w:rsidP="00D144BE">
      <w:pPr>
        <w:pStyle w:val="Caption"/>
      </w:pPr>
      <w:r w:rsidRPr="00D144BE">
        <w:t>*Mental health analysis includes admitted only. Community mental health GWAU was not available as it was not priced in</w:t>
      </w:r>
      <w:r>
        <w:t xml:space="preserve"> </w:t>
      </w:r>
      <w:r w:rsidRPr="00D144BE">
        <w:t>2023-24</w:t>
      </w:r>
    </w:p>
    <w:p w14:paraId="2F16B290" w14:textId="58C0338F" w:rsidR="008B674D" w:rsidRDefault="008B674D" w:rsidP="00F943C2">
      <w:r>
        <w:t>Key findings by stream include:</w:t>
      </w:r>
      <w:r w:rsidR="00F943C2">
        <w:tab/>
      </w:r>
    </w:p>
    <w:p w14:paraId="444A14B8" w14:textId="618AEC86" w:rsidR="00EB4090" w:rsidRDefault="00EB4090" w:rsidP="00EB4090">
      <w:pPr>
        <w:pStyle w:val="Caption"/>
      </w:pPr>
      <w:r>
        <w:t xml:space="preserve">Table </w:t>
      </w:r>
      <w:r>
        <w:fldChar w:fldCharType="begin"/>
      </w:r>
      <w:r>
        <w:instrText xml:space="preserve"> SEQ Table \* ARABIC </w:instrText>
      </w:r>
      <w:r>
        <w:fldChar w:fldCharType="separate"/>
      </w:r>
      <w:r w:rsidR="00CE6F96">
        <w:rPr>
          <w:noProof/>
        </w:rPr>
        <w:t>27</w:t>
      </w:r>
      <w:r>
        <w:fldChar w:fldCharType="end"/>
      </w:r>
      <w:r>
        <w:t xml:space="preserve">: </w:t>
      </w:r>
      <w:r w:rsidR="000A12A7">
        <w:t>Key findings by stream in SA</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113" w:type="dxa"/>
          <w:bottom w:w="113" w:type="dxa"/>
        </w:tblCellMar>
        <w:tblLook w:val="04A0" w:firstRow="1" w:lastRow="0" w:firstColumn="1" w:lastColumn="0" w:noHBand="0" w:noVBand="1"/>
      </w:tblPr>
      <w:tblGrid>
        <w:gridCol w:w="1451"/>
        <w:gridCol w:w="7529"/>
      </w:tblGrid>
      <w:tr w:rsidR="00FC5F18" w:rsidRPr="002C3BA4" w14:paraId="6DC6193C" w14:textId="77777777">
        <w:trPr>
          <w:cantSplit/>
          <w:trHeight w:val="2530"/>
        </w:trPr>
        <w:tc>
          <w:tcPr>
            <w:tcW w:w="1451" w:type="dxa"/>
            <w:shd w:val="clear" w:color="auto" w:fill="220054" w:themeFill="accent1"/>
            <w:vAlign w:val="center"/>
          </w:tcPr>
          <w:p w14:paraId="6AA8DC09" w14:textId="77777777" w:rsidR="00FC5F18" w:rsidRPr="003B01D5" w:rsidRDefault="00FC5F18">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Admitted acute</w:t>
            </w:r>
          </w:p>
        </w:tc>
        <w:tc>
          <w:tcPr>
            <w:tcW w:w="7529" w:type="dxa"/>
            <w:shd w:val="clear" w:color="auto" w:fill="D8D9E1" w:themeFill="accent3" w:themeFillTint="33"/>
          </w:tcPr>
          <w:p w14:paraId="6F0EC9FE" w14:textId="77777777" w:rsidR="00061712" w:rsidRPr="00260478" w:rsidRDefault="00061712" w:rsidP="00061712">
            <w:pPr>
              <w:pStyle w:val="Tablebulletpoint"/>
              <w:rPr>
                <w:rFonts w:eastAsiaTheme="minorEastAsia"/>
                <w:lang w:eastAsia="ja-JP"/>
              </w:rPr>
            </w:pPr>
            <w:r w:rsidRPr="00260478">
              <w:rPr>
                <w:rFonts w:eastAsiaTheme="minorEastAsia"/>
                <w:lang w:eastAsia="ja-JP"/>
              </w:rPr>
              <w:t xml:space="preserve">The admitted acute stream is the most resource intensive stream in a hospital. In 2023-24, there were </w:t>
            </w:r>
            <w:r>
              <w:rPr>
                <w:rFonts w:eastAsiaTheme="minorEastAsia"/>
                <w:lang w:eastAsia="ja-JP"/>
              </w:rPr>
              <w:t xml:space="preserve">approximately 436,000 </w:t>
            </w:r>
            <w:r w:rsidRPr="00260478">
              <w:rPr>
                <w:rFonts w:eastAsiaTheme="minorEastAsia"/>
                <w:lang w:eastAsia="ja-JP"/>
              </w:rPr>
              <w:t xml:space="preserve">costed </w:t>
            </w:r>
            <w:r w:rsidRPr="004F39AF">
              <w:rPr>
                <w:bCs/>
              </w:rPr>
              <w:t>episodes</w:t>
            </w:r>
            <w:r w:rsidRPr="00260478">
              <w:rPr>
                <w:rFonts w:eastAsiaTheme="minorEastAsia"/>
                <w:lang w:eastAsia="ja-JP"/>
              </w:rPr>
              <w:t xml:space="preserve"> </w:t>
            </w:r>
            <w:r>
              <w:rPr>
                <w:rFonts w:eastAsiaTheme="minorEastAsia"/>
                <w:lang w:eastAsia="ja-JP"/>
              </w:rPr>
              <w:t>with almost 80% of episodes delivered across the 4 metropolitan LHNs</w:t>
            </w:r>
            <w:r w:rsidRPr="00260478">
              <w:rPr>
                <w:rFonts w:eastAsiaTheme="minorEastAsia"/>
                <w:lang w:eastAsia="ja-JP"/>
              </w:rPr>
              <w:t xml:space="preserve">. </w:t>
            </w:r>
            <w:r>
              <w:rPr>
                <w:rFonts w:eastAsiaTheme="minorEastAsia"/>
                <w:lang w:eastAsia="ja-JP"/>
              </w:rPr>
              <w:t xml:space="preserve">Episodes </w:t>
            </w:r>
            <w:r w:rsidRPr="00260478">
              <w:rPr>
                <w:rFonts w:eastAsiaTheme="minorEastAsia"/>
                <w:lang w:eastAsia="ja-JP"/>
              </w:rPr>
              <w:t>increase</w:t>
            </w:r>
            <w:r>
              <w:rPr>
                <w:rFonts w:eastAsiaTheme="minorEastAsia"/>
                <w:lang w:eastAsia="ja-JP"/>
              </w:rPr>
              <w:t>d</w:t>
            </w:r>
            <w:r w:rsidRPr="00260478">
              <w:rPr>
                <w:rFonts w:eastAsiaTheme="minorEastAsia"/>
                <w:lang w:eastAsia="ja-JP"/>
              </w:rPr>
              <w:t xml:space="preserve"> </w:t>
            </w:r>
            <w:r>
              <w:rPr>
                <w:rFonts w:eastAsiaTheme="minorEastAsia"/>
                <w:lang w:eastAsia="ja-JP"/>
              </w:rPr>
              <w:t>4.1%</w:t>
            </w:r>
            <w:r w:rsidRPr="00260478">
              <w:rPr>
                <w:rFonts w:eastAsiaTheme="minorEastAsia"/>
                <w:lang w:eastAsia="ja-JP"/>
              </w:rPr>
              <w:t xml:space="preserve"> from the prior year</w:t>
            </w:r>
            <w:r>
              <w:rPr>
                <w:rFonts w:eastAsiaTheme="minorEastAsia"/>
                <w:lang w:eastAsia="ja-JP"/>
              </w:rPr>
              <w:t>, while growth</w:t>
            </w:r>
            <w:r w:rsidRPr="00260478">
              <w:rPr>
                <w:rFonts w:eastAsiaTheme="minorEastAsia"/>
                <w:lang w:eastAsia="ja-JP"/>
              </w:rPr>
              <w:t xml:space="preserve"> in GWAU was </w:t>
            </w:r>
            <w:r>
              <w:rPr>
                <w:rFonts w:eastAsiaTheme="minorEastAsia"/>
                <w:lang w:eastAsia="ja-JP"/>
              </w:rPr>
              <w:t xml:space="preserve">slightly lower </w:t>
            </w:r>
            <w:r w:rsidRPr="00260478">
              <w:rPr>
                <w:rFonts w:eastAsiaTheme="minorEastAsia"/>
                <w:lang w:eastAsia="ja-JP"/>
              </w:rPr>
              <w:t>(3.</w:t>
            </w:r>
            <w:r>
              <w:rPr>
                <w:rFonts w:eastAsiaTheme="minorEastAsia"/>
                <w:lang w:eastAsia="ja-JP"/>
              </w:rPr>
              <w:t>4</w:t>
            </w:r>
            <w:r w:rsidRPr="00260478">
              <w:rPr>
                <w:rFonts w:eastAsiaTheme="minorEastAsia"/>
                <w:lang w:eastAsia="ja-JP"/>
              </w:rPr>
              <w:t xml:space="preserve">%), </w:t>
            </w:r>
            <w:r>
              <w:rPr>
                <w:rFonts w:eastAsiaTheme="minorEastAsia"/>
                <w:lang w:eastAsia="ja-JP"/>
              </w:rPr>
              <w:t xml:space="preserve">which could indicate a slightly lower </w:t>
            </w:r>
            <w:r w:rsidRPr="00260478">
              <w:rPr>
                <w:rFonts w:eastAsiaTheme="minorEastAsia"/>
                <w:lang w:eastAsia="ja-JP"/>
              </w:rPr>
              <w:t xml:space="preserve">patient complexity between the </w:t>
            </w:r>
            <w:r>
              <w:rPr>
                <w:rFonts w:eastAsiaTheme="minorEastAsia"/>
                <w:lang w:eastAsia="ja-JP"/>
              </w:rPr>
              <w:t>2</w:t>
            </w:r>
            <w:r w:rsidRPr="00260478">
              <w:rPr>
                <w:rFonts w:eastAsiaTheme="minorEastAsia"/>
                <w:lang w:eastAsia="ja-JP"/>
              </w:rPr>
              <w:t xml:space="preserve"> years. </w:t>
            </w:r>
          </w:p>
          <w:p w14:paraId="25681361" w14:textId="0A0487F8" w:rsidR="00061712" w:rsidRDefault="00061712" w:rsidP="00061712">
            <w:pPr>
              <w:pStyle w:val="Tablebulletpoint"/>
              <w:rPr>
                <w:rFonts w:eastAsiaTheme="minorEastAsia"/>
                <w:lang w:eastAsia="ja-JP"/>
              </w:rPr>
            </w:pPr>
            <w:r w:rsidRPr="00260478">
              <w:rPr>
                <w:rFonts w:eastAsiaTheme="minorEastAsia"/>
                <w:lang w:eastAsia="ja-JP"/>
              </w:rPr>
              <w:t>Although admitted acute episodes made up 14% of total episodes for 2023</w:t>
            </w:r>
            <w:r w:rsidR="006F3BE3">
              <w:rPr>
                <w:rFonts w:eastAsiaTheme="minorEastAsia"/>
                <w:lang w:eastAsia="ja-JP"/>
              </w:rPr>
              <w:noBreakHyphen/>
            </w:r>
            <w:r w:rsidRPr="00260478">
              <w:rPr>
                <w:rFonts w:eastAsiaTheme="minorEastAsia"/>
                <w:lang w:eastAsia="ja-JP"/>
              </w:rPr>
              <w:t xml:space="preserve">24, it accounted for 57% of </w:t>
            </w:r>
            <w:r w:rsidRPr="004F39AF">
              <w:rPr>
                <w:bCs/>
              </w:rPr>
              <w:t>total costs</w:t>
            </w:r>
            <w:r w:rsidRPr="00260478">
              <w:rPr>
                <w:rFonts w:eastAsiaTheme="minorEastAsia"/>
                <w:lang w:eastAsia="ja-JP"/>
              </w:rPr>
              <w:t xml:space="preserve"> with $</w:t>
            </w:r>
            <w:r>
              <w:rPr>
                <w:rFonts w:eastAsiaTheme="minorEastAsia"/>
                <w:lang w:eastAsia="ja-JP"/>
              </w:rPr>
              <w:t>3</w:t>
            </w:r>
            <w:r w:rsidRPr="00260478">
              <w:rPr>
                <w:rFonts w:eastAsiaTheme="minorEastAsia"/>
                <w:lang w:eastAsia="ja-JP"/>
              </w:rPr>
              <w:t>.</w:t>
            </w:r>
            <w:r>
              <w:rPr>
                <w:rFonts w:eastAsiaTheme="minorEastAsia"/>
                <w:lang w:eastAsia="ja-JP"/>
              </w:rPr>
              <w:t>39</w:t>
            </w:r>
            <w:r w:rsidRPr="00260478">
              <w:rPr>
                <w:rFonts w:eastAsiaTheme="minorEastAsia"/>
                <w:lang w:eastAsia="ja-JP"/>
              </w:rPr>
              <w:t xml:space="preserve"> billion submitted. This was an increase of </w:t>
            </w:r>
            <w:r>
              <w:rPr>
                <w:rFonts w:eastAsiaTheme="minorEastAsia"/>
                <w:lang w:eastAsia="ja-JP"/>
              </w:rPr>
              <w:t>8.6</w:t>
            </w:r>
            <w:r w:rsidRPr="00260478">
              <w:rPr>
                <w:rFonts w:eastAsiaTheme="minorEastAsia"/>
                <w:lang w:eastAsia="ja-JP"/>
              </w:rPr>
              <w:t>% compared to 2022-23</w:t>
            </w:r>
            <w:r>
              <w:rPr>
                <w:rFonts w:eastAsiaTheme="minorEastAsia"/>
                <w:lang w:eastAsia="ja-JP"/>
              </w:rPr>
              <w:t>.</w:t>
            </w:r>
          </w:p>
          <w:p w14:paraId="56BB62B2" w14:textId="24BC3EB1" w:rsidR="00FC5F18" w:rsidRPr="005657C4" w:rsidRDefault="00061712" w:rsidP="005657C4">
            <w:pPr>
              <w:pStyle w:val="Tablebulletpoint"/>
              <w:rPr>
                <w:rFonts w:eastAsiaTheme="minorEastAsia"/>
              </w:rPr>
            </w:pPr>
            <w:r w:rsidRPr="005657C4">
              <w:rPr>
                <w:rFonts w:eastAsiaTheme="minorEastAsia"/>
                <w:lang w:eastAsia="ja-JP"/>
              </w:rPr>
              <w:t>As a result, average cost to deliver services to the same casemix of patients (as measured by average cost per GWAU) increased by 5.1% between 2022-23 and 2023-24.</w:t>
            </w:r>
          </w:p>
        </w:tc>
      </w:tr>
      <w:tr w:rsidR="00FC5F18" w:rsidRPr="002C3BA4" w14:paraId="6AE1BEB5" w14:textId="77777777" w:rsidTr="009443F3">
        <w:trPr>
          <w:cantSplit/>
          <w:trHeight w:val="1984"/>
        </w:trPr>
        <w:tc>
          <w:tcPr>
            <w:tcW w:w="1451" w:type="dxa"/>
            <w:shd w:val="clear" w:color="auto" w:fill="464E7E" w:themeFill="accent2"/>
            <w:vAlign w:val="center"/>
          </w:tcPr>
          <w:p w14:paraId="63C2F314" w14:textId="77777777" w:rsidR="00FC5F18" w:rsidRPr="003B01D5" w:rsidRDefault="00FC5F18">
            <w:pPr>
              <w:pStyle w:val="TableHeadingtext"/>
              <w:framePr w:hSpace="0" w:wrap="auto" w:vAnchor="margin" w:hAnchor="text" w:yAlign="inline"/>
              <w:jc w:val="center"/>
              <w:rPr>
                <w:rFonts w:asciiTheme="majorHAnsi" w:hAnsiTheme="majorHAnsi"/>
              </w:rPr>
            </w:pPr>
            <w:r>
              <w:rPr>
                <w:rFonts w:asciiTheme="majorHAnsi" w:hAnsiTheme="majorHAnsi"/>
                <w:color w:val="FFFFFF" w:themeColor="background1"/>
              </w:rPr>
              <w:t>Emergency Department</w:t>
            </w:r>
          </w:p>
        </w:tc>
        <w:tc>
          <w:tcPr>
            <w:tcW w:w="7529" w:type="dxa"/>
            <w:shd w:val="clear" w:color="auto" w:fill="D6D9E8" w:themeFill="accent2" w:themeFillTint="33"/>
          </w:tcPr>
          <w:p w14:paraId="67469114" w14:textId="7E782BAC" w:rsidR="0025348E" w:rsidRPr="00260478" w:rsidRDefault="0025348E" w:rsidP="0025348E">
            <w:pPr>
              <w:pStyle w:val="Tablebulletpoint"/>
              <w:rPr>
                <w:rFonts w:eastAsiaTheme="minorEastAsia"/>
                <w:lang w:eastAsia="ja-JP"/>
              </w:rPr>
            </w:pPr>
            <w:r w:rsidRPr="00260478">
              <w:rPr>
                <w:rFonts w:eastAsiaTheme="minorEastAsia"/>
                <w:lang w:eastAsia="ja-JP"/>
              </w:rPr>
              <w:t>The ED stream represented 18.</w:t>
            </w:r>
            <w:r>
              <w:rPr>
                <w:rFonts w:eastAsiaTheme="minorEastAsia"/>
                <w:lang w:eastAsia="ja-JP"/>
              </w:rPr>
              <w:t>7</w:t>
            </w:r>
            <w:r w:rsidRPr="00260478">
              <w:rPr>
                <w:rFonts w:eastAsiaTheme="minorEastAsia"/>
                <w:lang w:eastAsia="ja-JP"/>
              </w:rPr>
              <w:t xml:space="preserve">% of total </w:t>
            </w:r>
            <w:r>
              <w:rPr>
                <w:rFonts w:eastAsiaTheme="minorEastAsia"/>
                <w:lang w:eastAsia="ja-JP"/>
              </w:rPr>
              <w:t>costed activity</w:t>
            </w:r>
            <w:r w:rsidRPr="00260478">
              <w:rPr>
                <w:rFonts w:eastAsiaTheme="minorEastAsia"/>
                <w:lang w:eastAsia="ja-JP"/>
              </w:rPr>
              <w:t xml:space="preserve">, with </w:t>
            </w:r>
            <w:r>
              <w:rPr>
                <w:rFonts w:eastAsiaTheme="minorEastAsia"/>
                <w:lang w:eastAsia="ja-JP"/>
              </w:rPr>
              <w:t xml:space="preserve">approximately 603,000 </w:t>
            </w:r>
            <w:r w:rsidRPr="00260478">
              <w:rPr>
                <w:rFonts w:eastAsiaTheme="minorEastAsia"/>
                <w:lang w:eastAsia="ja-JP"/>
              </w:rPr>
              <w:t xml:space="preserve">costed </w:t>
            </w:r>
            <w:r>
              <w:rPr>
                <w:rFonts w:eastAsiaTheme="minorEastAsia"/>
                <w:lang w:eastAsia="ja-JP"/>
              </w:rPr>
              <w:t>separations</w:t>
            </w:r>
            <w:r w:rsidRPr="00260478">
              <w:rPr>
                <w:rFonts w:eastAsiaTheme="minorEastAsia"/>
                <w:lang w:eastAsia="ja-JP"/>
              </w:rPr>
              <w:t xml:space="preserve"> submitted for 2023-24, an increase of </w:t>
            </w:r>
            <w:r>
              <w:rPr>
                <w:rFonts w:eastAsiaTheme="minorEastAsia"/>
                <w:lang w:eastAsia="ja-JP"/>
              </w:rPr>
              <w:t>1.0</w:t>
            </w:r>
            <w:r w:rsidRPr="00260478">
              <w:rPr>
                <w:rFonts w:eastAsiaTheme="minorEastAsia"/>
                <w:lang w:eastAsia="ja-JP"/>
              </w:rPr>
              <w:t xml:space="preserve">% compared to 2022-23. Growth in GWAU was slightly higher at </w:t>
            </w:r>
            <w:r>
              <w:rPr>
                <w:rFonts w:eastAsiaTheme="minorEastAsia"/>
                <w:lang w:eastAsia="ja-JP"/>
              </w:rPr>
              <w:t>2.3</w:t>
            </w:r>
            <w:r w:rsidRPr="00260478">
              <w:rPr>
                <w:rFonts w:eastAsiaTheme="minorEastAsia"/>
                <w:lang w:eastAsia="ja-JP"/>
              </w:rPr>
              <w:t xml:space="preserve">%, indicating a slightly more complex casemix of patients </w:t>
            </w:r>
            <w:r>
              <w:rPr>
                <w:rFonts w:eastAsiaTheme="minorEastAsia"/>
                <w:lang w:eastAsia="ja-JP"/>
              </w:rPr>
              <w:t xml:space="preserve">presenting to ED </w:t>
            </w:r>
            <w:r w:rsidRPr="00260478">
              <w:rPr>
                <w:rFonts w:eastAsiaTheme="minorEastAsia"/>
                <w:lang w:eastAsia="ja-JP"/>
              </w:rPr>
              <w:t xml:space="preserve">for the year. </w:t>
            </w:r>
          </w:p>
          <w:p w14:paraId="4A1D8E1D" w14:textId="6AE0E07A" w:rsidR="00FC5F18" w:rsidRPr="003B46EA" w:rsidRDefault="0025348E">
            <w:pPr>
              <w:pStyle w:val="Tablebulletpoint"/>
              <w:rPr>
                <w:lang w:eastAsia="ja-JP"/>
              </w:rPr>
            </w:pPr>
            <w:r w:rsidRPr="00260478">
              <w:rPr>
                <w:rFonts w:eastAsiaTheme="minorEastAsia"/>
                <w:lang w:eastAsia="ja-JP"/>
              </w:rPr>
              <w:t xml:space="preserve">The average cost per GWAU for ED increased by </w:t>
            </w:r>
            <w:r>
              <w:rPr>
                <w:rFonts w:eastAsiaTheme="minorEastAsia"/>
                <w:lang w:eastAsia="ja-JP"/>
              </w:rPr>
              <w:t>4.4</w:t>
            </w:r>
            <w:r w:rsidRPr="00260478">
              <w:rPr>
                <w:rFonts w:eastAsiaTheme="minorEastAsia"/>
                <w:lang w:eastAsia="ja-JP"/>
              </w:rPr>
              <w:t>%</w:t>
            </w:r>
            <w:r>
              <w:rPr>
                <w:rFonts w:eastAsiaTheme="minorEastAsia"/>
                <w:lang w:eastAsia="ja-JP"/>
              </w:rPr>
              <w:t>. T</w:t>
            </w:r>
            <w:r w:rsidRPr="00260478">
              <w:rPr>
                <w:rFonts w:eastAsiaTheme="minorEastAsia"/>
                <w:lang w:eastAsia="ja-JP"/>
              </w:rPr>
              <w:t>otal</w:t>
            </w:r>
            <w:r w:rsidR="00FC5F18" w:rsidRPr="0046606B">
              <w:rPr>
                <w:rFonts w:eastAsiaTheme="minorEastAsia"/>
                <w:lang w:eastAsia="ja-JP"/>
              </w:rPr>
              <w:t xml:space="preserve"> </w:t>
            </w:r>
            <w:r w:rsidR="00FC5F18" w:rsidRPr="003B46EA">
              <w:rPr>
                <w:rFonts w:eastAsiaTheme="minorEastAsia"/>
                <w:lang w:eastAsia="ja-JP"/>
              </w:rPr>
              <w:t xml:space="preserve">costs </w:t>
            </w:r>
            <w:r w:rsidRPr="00260478" w:rsidDel="005A3065">
              <w:rPr>
                <w:rFonts w:eastAsiaTheme="minorEastAsia"/>
                <w:lang w:eastAsia="ja-JP"/>
              </w:rPr>
              <w:t xml:space="preserve">grew </w:t>
            </w:r>
            <w:r w:rsidRPr="00260478">
              <w:rPr>
                <w:rFonts w:eastAsiaTheme="minorEastAsia"/>
                <w:lang w:eastAsia="ja-JP"/>
              </w:rPr>
              <w:t>by</w:t>
            </w:r>
            <w:r w:rsidR="00FC5F18" w:rsidRPr="003B46EA">
              <w:rPr>
                <w:rFonts w:eastAsiaTheme="minorEastAsia"/>
                <w:lang w:eastAsia="ja-JP"/>
              </w:rPr>
              <w:t xml:space="preserve"> over and above the increase in activity volumes, </w:t>
            </w:r>
            <w:r w:rsidRPr="00260478">
              <w:rPr>
                <w:rFonts w:eastAsiaTheme="minorEastAsia"/>
                <w:lang w:eastAsia="ja-JP"/>
              </w:rPr>
              <w:t xml:space="preserve">increasing by </w:t>
            </w:r>
            <w:r>
              <w:rPr>
                <w:rFonts w:eastAsiaTheme="minorEastAsia"/>
                <w:lang w:eastAsia="ja-JP"/>
              </w:rPr>
              <w:t>6</w:t>
            </w:r>
            <w:r w:rsidR="00FC5F18" w:rsidRPr="0046606B">
              <w:rPr>
                <w:rFonts w:eastAsiaTheme="minorEastAsia"/>
                <w:lang w:eastAsia="ja-JP"/>
              </w:rPr>
              <w:t>.8</w:t>
            </w:r>
            <w:r w:rsidR="00FC5F18" w:rsidRPr="003B46EA">
              <w:rPr>
                <w:rFonts w:eastAsiaTheme="minorEastAsia"/>
                <w:lang w:eastAsia="ja-JP"/>
              </w:rPr>
              <w:t>% in 2023</w:t>
            </w:r>
            <w:r w:rsidR="00C8154C">
              <w:rPr>
                <w:rFonts w:eastAsiaTheme="minorEastAsia"/>
                <w:lang w:eastAsia="ja-JP"/>
              </w:rPr>
              <w:noBreakHyphen/>
            </w:r>
            <w:r w:rsidR="00FC5F18" w:rsidRPr="003B46EA">
              <w:rPr>
                <w:rFonts w:eastAsiaTheme="minorEastAsia"/>
                <w:lang w:eastAsia="ja-JP"/>
              </w:rPr>
              <w:t>24</w:t>
            </w:r>
            <w:r w:rsidR="00FC5F18" w:rsidRPr="0046606B">
              <w:rPr>
                <w:rFonts w:eastAsiaTheme="minorEastAsia"/>
                <w:lang w:eastAsia="ja-JP"/>
              </w:rPr>
              <w:t>.</w:t>
            </w:r>
          </w:p>
        </w:tc>
      </w:tr>
      <w:tr w:rsidR="00FC5F18" w:rsidRPr="002C3BA4" w14:paraId="26D3F90B" w14:textId="77777777">
        <w:trPr>
          <w:cantSplit/>
          <w:trHeight w:val="2530"/>
        </w:trPr>
        <w:tc>
          <w:tcPr>
            <w:tcW w:w="1451" w:type="dxa"/>
            <w:shd w:val="clear" w:color="auto" w:fill="F7BE85" w:themeFill="accent5"/>
            <w:vAlign w:val="center"/>
          </w:tcPr>
          <w:p w14:paraId="715E0D3A" w14:textId="77777777" w:rsidR="00FC5F18" w:rsidRPr="002C3BA4" w:rsidRDefault="00FC5F18">
            <w:pPr>
              <w:pStyle w:val="TableHeadingtext"/>
              <w:framePr w:hSpace="0" w:wrap="auto" w:vAnchor="margin" w:hAnchor="text" w:yAlign="inline"/>
              <w:jc w:val="center"/>
              <w:rPr>
                <w:rFonts w:asciiTheme="majorHAnsi" w:hAnsiTheme="majorHAnsi"/>
              </w:rPr>
            </w:pPr>
            <w:r>
              <w:rPr>
                <w:rFonts w:asciiTheme="majorHAnsi" w:hAnsiTheme="majorHAnsi"/>
              </w:rPr>
              <w:lastRenderedPageBreak/>
              <w:t>Non-admitted</w:t>
            </w:r>
          </w:p>
        </w:tc>
        <w:tc>
          <w:tcPr>
            <w:tcW w:w="7529" w:type="dxa"/>
            <w:shd w:val="clear" w:color="auto" w:fill="FDF1E6" w:themeFill="accent5" w:themeFillTint="33"/>
          </w:tcPr>
          <w:p w14:paraId="20D73596" w14:textId="77777777" w:rsidR="00810395" w:rsidRDefault="00810395" w:rsidP="00810395">
            <w:pPr>
              <w:pStyle w:val="Tablebulletpoint"/>
              <w:rPr>
                <w:rFonts w:eastAsiaTheme="minorEastAsia"/>
                <w:lang w:eastAsia="ja-JP"/>
              </w:rPr>
            </w:pPr>
            <w:r w:rsidRPr="006D4076">
              <w:rPr>
                <w:rFonts w:eastAsiaTheme="minorEastAsia"/>
                <w:lang w:eastAsia="ja-JP"/>
              </w:rPr>
              <w:t xml:space="preserve">The non-admitted stream makes up the largest proportion of submitted </w:t>
            </w:r>
            <w:r>
              <w:rPr>
                <w:rFonts w:eastAsiaTheme="minorEastAsia"/>
                <w:lang w:eastAsia="ja-JP"/>
              </w:rPr>
              <w:t>service event</w:t>
            </w:r>
            <w:r w:rsidRPr="006D4076">
              <w:rPr>
                <w:rFonts w:eastAsiaTheme="minorEastAsia"/>
                <w:lang w:eastAsia="ja-JP"/>
              </w:rPr>
              <w:t xml:space="preserve">s, with 2.15 million service events in 2023-24. </w:t>
            </w:r>
          </w:p>
          <w:p w14:paraId="7B2F8585" w14:textId="77777777" w:rsidR="00810395" w:rsidRPr="006D4076" w:rsidRDefault="00810395" w:rsidP="00810395">
            <w:pPr>
              <w:pStyle w:val="Tablebulletpoint"/>
              <w:rPr>
                <w:rFonts w:eastAsiaTheme="minorEastAsia"/>
                <w:lang w:eastAsia="ja-JP"/>
              </w:rPr>
            </w:pPr>
            <w:r w:rsidRPr="006D4076">
              <w:rPr>
                <w:rFonts w:eastAsiaTheme="minorEastAsia"/>
                <w:lang w:eastAsia="ja-JP"/>
              </w:rPr>
              <w:t xml:space="preserve">This stream also had the largest growth in costed </w:t>
            </w:r>
            <w:r>
              <w:rPr>
                <w:rFonts w:eastAsiaTheme="minorEastAsia"/>
                <w:lang w:eastAsia="ja-JP"/>
              </w:rPr>
              <w:t>activity (service events)</w:t>
            </w:r>
            <w:r w:rsidRPr="006D4076">
              <w:rPr>
                <w:rFonts w:eastAsiaTheme="minorEastAsia"/>
                <w:lang w:eastAsia="ja-JP"/>
              </w:rPr>
              <w:t xml:space="preserve"> of any stream, increasing 19.1</w:t>
            </w:r>
            <w:r w:rsidRPr="00806082">
              <w:rPr>
                <w:rFonts w:eastAsiaTheme="minorEastAsia"/>
                <w:lang w:eastAsia="ja-JP"/>
              </w:rPr>
              <w:t>% from the previous year</w:t>
            </w:r>
            <w:r>
              <w:rPr>
                <w:rFonts w:eastAsiaTheme="minorEastAsia"/>
                <w:lang w:eastAsia="ja-JP"/>
              </w:rPr>
              <w:t>, with significant increases in all the metropolitan LHNs</w:t>
            </w:r>
            <w:r w:rsidRPr="00806082">
              <w:rPr>
                <w:rFonts w:eastAsiaTheme="minorEastAsia"/>
                <w:lang w:eastAsia="ja-JP"/>
              </w:rPr>
              <w:t>. Over the same period, the volume of GWAU also increased significantly by 1</w:t>
            </w:r>
            <w:r w:rsidRPr="006D4076">
              <w:rPr>
                <w:rFonts w:eastAsiaTheme="minorEastAsia"/>
                <w:lang w:eastAsia="ja-JP"/>
              </w:rPr>
              <w:t>9.6</w:t>
            </w:r>
            <w:r w:rsidRPr="00806082">
              <w:rPr>
                <w:rFonts w:eastAsiaTheme="minorEastAsia"/>
                <w:lang w:eastAsia="ja-JP"/>
              </w:rPr>
              <w:t>%.</w:t>
            </w:r>
            <w:r>
              <w:rPr>
                <w:rFonts w:eastAsiaTheme="minorEastAsia"/>
                <w:lang w:eastAsia="ja-JP"/>
              </w:rPr>
              <w:t xml:space="preserve"> P</w:t>
            </w:r>
            <w:r w:rsidRPr="002A324E">
              <w:rPr>
                <w:rFonts w:eastAsiaTheme="minorEastAsia"/>
                <w:lang w:eastAsia="ja-JP"/>
              </w:rPr>
              <w:t>rior to 2023-24, non-admitted data was submitted by some LHNs in aggregated form</w:t>
            </w:r>
            <w:r>
              <w:rPr>
                <w:rFonts w:eastAsiaTheme="minorEastAsia"/>
                <w:lang w:eastAsia="ja-JP"/>
              </w:rPr>
              <w:t xml:space="preserve"> and would </w:t>
            </w:r>
            <w:r w:rsidRPr="002A324E">
              <w:rPr>
                <w:rFonts w:eastAsiaTheme="minorEastAsia"/>
                <w:lang w:eastAsia="ja-JP"/>
              </w:rPr>
              <w:t>not have been captured in the 2022-23 service event level data</w:t>
            </w:r>
            <w:r>
              <w:rPr>
                <w:rFonts w:eastAsiaTheme="minorEastAsia"/>
                <w:lang w:eastAsia="ja-JP"/>
              </w:rPr>
              <w:t>. Hence, some of the growth in activity for non-admitted is a result of better patient level costing and reporting.</w:t>
            </w:r>
          </w:p>
          <w:p w14:paraId="69222AD6" w14:textId="520C8209" w:rsidR="00810395" w:rsidRDefault="00810395" w:rsidP="00810395">
            <w:pPr>
              <w:pStyle w:val="Tablebulletpoint"/>
              <w:rPr>
                <w:rFonts w:eastAsiaTheme="minorEastAsia"/>
                <w:lang w:eastAsia="ja-JP"/>
              </w:rPr>
            </w:pPr>
            <w:r>
              <w:rPr>
                <w:rFonts w:eastAsiaTheme="minorEastAsia"/>
                <w:lang w:eastAsia="ja-JP"/>
              </w:rPr>
              <w:t>The increase in activity led to a significant increase in t</w:t>
            </w:r>
            <w:r w:rsidRPr="008A3727">
              <w:rPr>
                <w:rFonts w:eastAsiaTheme="minorEastAsia"/>
                <w:lang w:eastAsia="ja-JP"/>
              </w:rPr>
              <w:t xml:space="preserve">otal submitted </w:t>
            </w:r>
            <w:r w:rsidRPr="004F39AF">
              <w:t>costs</w:t>
            </w:r>
            <w:r w:rsidRPr="00920BBE">
              <w:rPr>
                <w:rFonts w:eastAsiaTheme="minorEastAsia"/>
                <w:lang w:eastAsia="ja-JP"/>
              </w:rPr>
              <w:t xml:space="preserve">, </w:t>
            </w:r>
            <w:r w:rsidR="00C610CC">
              <w:rPr>
                <w:rFonts w:eastAsiaTheme="minorEastAsia"/>
                <w:lang w:eastAsia="ja-JP"/>
              </w:rPr>
              <w:t>growing</w:t>
            </w:r>
            <w:r w:rsidRPr="008A3727">
              <w:rPr>
                <w:rFonts w:eastAsiaTheme="minorEastAsia"/>
                <w:lang w:eastAsia="ja-JP"/>
              </w:rPr>
              <w:t xml:space="preserve"> by </w:t>
            </w:r>
            <w:r w:rsidRPr="007D102F">
              <w:rPr>
                <w:rFonts w:eastAsiaTheme="minorEastAsia"/>
                <w:lang w:eastAsia="ja-JP"/>
              </w:rPr>
              <w:t>23.8%</w:t>
            </w:r>
            <w:r>
              <w:rPr>
                <w:rFonts w:eastAsiaTheme="minorEastAsia"/>
                <w:lang w:eastAsia="ja-JP"/>
              </w:rPr>
              <w:t xml:space="preserve"> to $1.23</w:t>
            </w:r>
            <w:r w:rsidR="00F67E5B">
              <w:rPr>
                <w:rFonts w:eastAsiaTheme="minorEastAsia"/>
                <w:lang w:eastAsia="ja-JP"/>
              </w:rPr>
              <w:t xml:space="preserve"> billion</w:t>
            </w:r>
            <w:r>
              <w:rPr>
                <w:rFonts w:eastAsiaTheme="minorEastAsia"/>
                <w:lang w:eastAsia="ja-JP"/>
              </w:rPr>
              <w:t xml:space="preserve"> in 2023-24. The non-admitted stream represented approximately 20.7% of submitted costs for this analysis, the largest increase across all streams. </w:t>
            </w:r>
          </w:p>
          <w:p w14:paraId="0D84483D" w14:textId="6264D5BB" w:rsidR="00FC5F18" w:rsidRPr="003B46EA" w:rsidRDefault="00810395">
            <w:pPr>
              <w:pStyle w:val="Tablebulletpoint"/>
              <w:rPr>
                <w:lang w:eastAsia="ja-JP"/>
              </w:rPr>
            </w:pPr>
            <w:r>
              <w:rPr>
                <w:rFonts w:eastAsiaTheme="minorEastAsia"/>
                <w:lang w:eastAsia="ja-JP"/>
              </w:rPr>
              <w:t>There was an increase of 3.4% in the average cost per GWAU for 2023-24 due to the corresponding growth in costs and activity.</w:t>
            </w:r>
            <w:r w:rsidR="001A63F7">
              <w:rPr>
                <w:rFonts w:eastAsiaTheme="minorEastAsia"/>
                <w:lang w:eastAsia="ja-JP"/>
              </w:rPr>
              <w:t xml:space="preserve"> This suggests that </w:t>
            </w:r>
            <w:r w:rsidR="00DF71D0">
              <w:rPr>
                <w:rFonts w:eastAsiaTheme="minorEastAsia"/>
                <w:lang w:eastAsia="ja-JP"/>
              </w:rPr>
              <w:t xml:space="preserve">the majority of the cost growth was volume driven. </w:t>
            </w:r>
          </w:p>
        </w:tc>
      </w:tr>
      <w:tr w:rsidR="00FC5F18" w:rsidRPr="002C3BA4" w14:paraId="65D88F4C" w14:textId="77777777" w:rsidTr="004B2A0B">
        <w:trPr>
          <w:cantSplit/>
          <w:trHeight w:val="703"/>
        </w:trPr>
        <w:tc>
          <w:tcPr>
            <w:tcW w:w="1451" w:type="dxa"/>
            <w:shd w:val="clear" w:color="auto" w:fill="B4B5DB" w:themeFill="accent4"/>
            <w:vAlign w:val="center"/>
          </w:tcPr>
          <w:p w14:paraId="2D05ED45" w14:textId="77777777" w:rsidR="00FC5F18" w:rsidRPr="00AD1F32" w:rsidRDefault="00FC5F18">
            <w:pPr>
              <w:pStyle w:val="TableHeadingtext"/>
              <w:framePr w:hSpace="0" w:wrap="auto" w:vAnchor="margin" w:hAnchor="text" w:yAlign="inline"/>
              <w:jc w:val="center"/>
              <w:rPr>
                <w:rFonts w:asciiTheme="majorHAnsi" w:hAnsiTheme="majorHAnsi"/>
                <w:color w:val="363845" w:themeColor="accent3" w:themeShade="BF"/>
              </w:rPr>
            </w:pPr>
            <w:r w:rsidRPr="00AD1F32">
              <w:rPr>
                <w:rFonts w:asciiTheme="majorHAnsi" w:hAnsiTheme="majorHAnsi"/>
                <w:color w:val="363845" w:themeColor="accent3" w:themeShade="BF"/>
              </w:rPr>
              <w:t>Subacute</w:t>
            </w:r>
          </w:p>
        </w:tc>
        <w:tc>
          <w:tcPr>
            <w:tcW w:w="7529" w:type="dxa"/>
            <w:shd w:val="clear" w:color="auto" w:fill="EFF0F7" w:themeFill="accent4" w:themeFillTint="33"/>
          </w:tcPr>
          <w:p w14:paraId="3AAC77FA" w14:textId="77777777" w:rsidR="00975E50" w:rsidRPr="002C57AF" w:rsidRDefault="00975E50" w:rsidP="009443F3">
            <w:pPr>
              <w:pStyle w:val="Tablebulletpoint"/>
              <w:rPr>
                <w:rFonts w:eastAsiaTheme="minorEastAsia"/>
                <w:lang w:eastAsia="ja-JP"/>
              </w:rPr>
            </w:pPr>
            <w:r w:rsidRPr="002C57AF">
              <w:rPr>
                <w:rFonts w:eastAsiaTheme="minorEastAsia"/>
                <w:lang w:eastAsia="ja-JP"/>
              </w:rPr>
              <w:t xml:space="preserve">Costed subacute episodes increased by 11.1% in 2023-24, with approximately 22,000 subacute episodes. GWAU volumes increased by 16.9% to 72,000, reflecting a higher patient complexity. </w:t>
            </w:r>
          </w:p>
          <w:p w14:paraId="6D25FFF0" w14:textId="7B76E3D2" w:rsidR="00FC5F18" w:rsidRPr="003B46EA" w:rsidRDefault="005B4235" w:rsidP="009443F3">
            <w:pPr>
              <w:pStyle w:val="Tablebulletpoint"/>
              <w:rPr>
                <w:lang w:eastAsia="ja-JP"/>
              </w:rPr>
            </w:pPr>
            <w:r>
              <w:rPr>
                <w:rFonts w:eastAsiaTheme="minorEastAsia"/>
                <w:lang w:eastAsia="ja-JP"/>
              </w:rPr>
              <w:t xml:space="preserve">There was a </w:t>
            </w:r>
            <w:r w:rsidR="00975E50" w:rsidRPr="002C57AF">
              <w:rPr>
                <w:rFonts w:eastAsiaTheme="minorEastAsia"/>
                <w:lang w:eastAsia="ja-JP"/>
              </w:rPr>
              <w:t xml:space="preserve">high growth in total cost for this stream over and above the increase in episodes. There was $462 million of submitted costs in 2023-24, representing a 23.3% increase </w:t>
            </w:r>
            <w:r w:rsidR="00975E50">
              <w:rPr>
                <w:rFonts w:eastAsiaTheme="minorEastAsia"/>
                <w:lang w:eastAsia="ja-JP"/>
              </w:rPr>
              <w:t xml:space="preserve">in total costs </w:t>
            </w:r>
            <w:r w:rsidR="00975E50" w:rsidRPr="002C57AF">
              <w:rPr>
                <w:rFonts w:eastAsiaTheme="minorEastAsia"/>
                <w:lang w:eastAsia="ja-JP"/>
              </w:rPr>
              <w:t>compared to 202</w:t>
            </w:r>
            <w:r w:rsidR="00975E50">
              <w:rPr>
                <w:rFonts w:eastAsiaTheme="minorEastAsia"/>
                <w:lang w:eastAsia="ja-JP"/>
              </w:rPr>
              <w:t>2-</w:t>
            </w:r>
            <w:r w:rsidR="00975E50" w:rsidRPr="002C57AF">
              <w:rPr>
                <w:rFonts w:eastAsiaTheme="minorEastAsia"/>
                <w:lang w:eastAsia="ja-JP"/>
              </w:rPr>
              <w:t>23.</w:t>
            </w:r>
            <w:r>
              <w:rPr>
                <w:rFonts w:eastAsiaTheme="minorEastAsia"/>
                <w:lang w:eastAsia="ja-JP"/>
              </w:rPr>
              <w:t xml:space="preserve"> </w:t>
            </w:r>
            <w:r w:rsidRPr="002C57AF">
              <w:rPr>
                <w:rFonts w:eastAsiaTheme="minorEastAsia"/>
                <w:lang w:eastAsia="ja-JP"/>
              </w:rPr>
              <w:t xml:space="preserve">The </w:t>
            </w:r>
            <w:r w:rsidRPr="004F39AF">
              <w:rPr>
                <w:bCs/>
              </w:rPr>
              <w:t>average cost per GWAU</w:t>
            </w:r>
            <w:r w:rsidRPr="002C57AF">
              <w:rPr>
                <w:rFonts w:eastAsiaTheme="minorEastAsia"/>
                <w:lang w:eastAsia="ja-JP"/>
              </w:rPr>
              <w:t xml:space="preserve"> grew by 5.5% over the year</w:t>
            </w:r>
            <w:r>
              <w:rPr>
                <w:rFonts w:eastAsiaTheme="minorEastAsia"/>
                <w:lang w:eastAsia="ja-JP"/>
              </w:rPr>
              <w:t>.</w:t>
            </w:r>
          </w:p>
        </w:tc>
      </w:tr>
      <w:tr w:rsidR="00FC5F18" w:rsidRPr="002C3BA4" w14:paraId="37BE7CCD" w14:textId="77777777">
        <w:trPr>
          <w:cantSplit/>
          <w:trHeight w:val="1543"/>
        </w:trPr>
        <w:tc>
          <w:tcPr>
            <w:tcW w:w="1451" w:type="dxa"/>
            <w:shd w:val="clear" w:color="auto" w:fill="80C0B0"/>
            <w:vAlign w:val="center"/>
          </w:tcPr>
          <w:p w14:paraId="1ACB4172" w14:textId="2E080308" w:rsidR="00FC5F18" w:rsidRPr="00AD1F32" w:rsidRDefault="00FC5F18">
            <w:pPr>
              <w:pStyle w:val="TableHeadingtext"/>
              <w:framePr w:hSpace="0" w:wrap="auto" w:vAnchor="margin" w:hAnchor="text" w:yAlign="inline"/>
              <w:jc w:val="center"/>
              <w:rPr>
                <w:rFonts w:asciiTheme="minorHAnsi" w:hAnsiTheme="minorHAnsi"/>
                <w:b w:val="0"/>
                <w:bCs w:val="0"/>
                <w:i/>
                <w:iCs/>
                <w:color w:val="363845" w:themeColor="accent3" w:themeShade="BF"/>
              </w:rPr>
            </w:pPr>
            <w:r w:rsidRPr="00AD1F32">
              <w:rPr>
                <w:rFonts w:asciiTheme="majorHAnsi" w:hAnsiTheme="majorHAnsi"/>
                <w:color w:val="363845" w:themeColor="accent3" w:themeShade="BF"/>
              </w:rPr>
              <w:t>Admitted mental health</w:t>
            </w:r>
          </w:p>
        </w:tc>
        <w:tc>
          <w:tcPr>
            <w:tcW w:w="7529" w:type="dxa"/>
            <w:shd w:val="clear" w:color="auto" w:fill="BCDED5"/>
          </w:tcPr>
          <w:p w14:paraId="42CA0C8C" w14:textId="44E56970" w:rsidR="004B2A0B" w:rsidRPr="004131D8" w:rsidRDefault="004B2A0B" w:rsidP="009443F3">
            <w:pPr>
              <w:pStyle w:val="Tablebulletpoint"/>
              <w:rPr>
                <w:rFonts w:eastAsiaTheme="minorEastAsia"/>
                <w:lang w:eastAsia="ja-JP"/>
              </w:rPr>
            </w:pPr>
            <w:r w:rsidRPr="004131D8">
              <w:rPr>
                <w:rFonts w:eastAsiaTheme="minorEastAsia"/>
                <w:lang w:eastAsia="ja-JP"/>
              </w:rPr>
              <w:t>The majority of admitted mental health activity</w:t>
            </w:r>
            <w:r>
              <w:rPr>
                <w:rFonts w:eastAsiaTheme="minorEastAsia"/>
                <w:lang w:eastAsia="ja-JP"/>
              </w:rPr>
              <w:t xml:space="preserve"> in SA</w:t>
            </w:r>
            <w:r w:rsidRPr="004131D8">
              <w:rPr>
                <w:rFonts w:eastAsiaTheme="minorEastAsia"/>
                <w:lang w:eastAsia="ja-JP"/>
              </w:rPr>
              <w:t xml:space="preserve"> was submitted as </w:t>
            </w:r>
            <w:r w:rsidRPr="004F39AF">
              <w:rPr>
                <w:bCs/>
              </w:rPr>
              <w:t>phases of care</w:t>
            </w:r>
            <w:r w:rsidRPr="004131D8">
              <w:rPr>
                <w:rFonts w:eastAsiaTheme="minorEastAsia"/>
                <w:lang w:eastAsia="ja-JP"/>
              </w:rPr>
              <w:t xml:space="preserve">, </w:t>
            </w:r>
            <w:r w:rsidR="00C610CC">
              <w:rPr>
                <w:rFonts w:eastAsiaTheme="minorEastAsia"/>
                <w:lang w:eastAsia="ja-JP"/>
              </w:rPr>
              <w:t>growing</w:t>
            </w:r>
            <w:r w:rsidRPr="004131D8">
              <w:rPr>
                <w:rFonts w:eastAsiaTheme="minorEastAsia"/>
                <w:lang w:eastAsia="ja-JP"/>
              </w:rPr>
              <w:t xml:space="preserve"> by 1</w:t>
            </w:r>
            <w:r>
              <w:rPr>
                <w:rFonts w:eastAsiaTheme="minorEastAsia"/>
                <w:lang w:eastAsia="ja-JP"/>
              </w:rPr>
              <w:t>3.7</w:t>
            </w:r>
            <w:r w:rsidRPr="004131D8">
              <w:rPr>
                <w:rFonts w:eastAsiaTheme="minorEastAsia"/>
                <w:lang w:eastAsia="ja-JP"/>
              </w:rPr>
              <w:t>% in 2023-</w:t>
            </w:r>
            <w:r w:rsidRPr="00D81308">
              <w:rPr>
                <w:rFonts w:eastAsiaTheme="minorEastAsia"/>
                <w:lang w:eastAsia="ja-JP"/>
              </w:rPr>
              <w:t xml:space="preserve">24. Despite the increase in phases of care, there was an 8.3% reduction in </w:t>
            </w:r>
            <w:r w:rsidRPr="004F39AF">
              <w:t>GWAU</w:t>
            </w:r>
            <w:r w:rsidRPr="00D81308">
              <w:rPr>
                <w:rFonts w:eastAsiaTheme="minorEastAsia"/>
                <w:lang w:eastAsia="ja-JP"/>
              </w:rPr>
              <w:t xml:space="preserve"> over the same period, with shifts in the reporting </w:t>
            </w:r>
            <w:r w:rsidR="00DC6964">
              <w:rPr>
                <w:rFonts w:eastAsiaTheme="minorEastAsia"/>
                <w:lang w:eastAsia="ja-JP"/>
              </w:rPr>
              <w:t>Australian Mental Health Care Classification (</w:t>
            </w:r>
            <w:r w:rsidRPr="00D81308">
              <w:rPr>
                <w:rFonts w:eastAsiaTheme="minorEastAsia"/>
                <w:lang w:eastAsia="ja-JP"/>
              </w:rPr>
              <w:t>AMHCC</w:t>
            </w:r>
            <w:r w:rsidR="00DC6964">
              <w:rPr>
                <w:rFonts w:eastAsiaTheme="minorEastAsia"/>
                <w:lang w:eastAsia="ja-JP"/>
              </w:rPr>
              <w:t>)</w:t>
            </w:r>
            <w:r w:rsidRPr="00D81308">
              <w:rPr>
                <w:rFonts w:eastAsiaTheme="minorEastAsia"/>
                <w:lang w:eastAsia="ja-JP"/>
              </w:rPr>
              <w:t xml:space="preserve"> end</w:t>
            </w:r>
            <w:r>
              <w:rPr>
                <w:rFonts w:eastAsiaTheme="minorEastAsia"/>
                <w:lang w:eastAsia="ja-JP"/>
              </w:rPr>
              <w:noBreakHyphen/>
            </w:r>
            <w:r w:rsidRPr="00D81308">
              <w:rPr>
                <w:rFonts w:eastAsiaTheme="minorEastAsia"/>
                <w:lang w:eastAsia="ja-JP"/>
              </w:rPr>
              <w:t>classes potentially contributing to the changing GWAU casemix</w:t>
            </w:r>
            <w:r w:rsidRPr="00D81308">
              <w:t>.</w:t>
            </w:r>
            <w:r w:rsidRPr="004131D8">
              <w:t xml:space="preserve"> </w:t>
            </w:r>
          </w:p>
          <w:p w14:paraId="791863ED" w14:textId="300AC32F" w:rsidR="00FC5F18" w:rsidRPr="003B46EA" w:rsidRDefault="004B2A0B" w:rsidP="009443F3">
            <w:pPr>
              <w:pStyle w:val="Tablebulletpoint"/>
            </w:pPr>
            <w:r>
              <w:rPr>
                <w:rFonts w:eastAsiaTheme="minorEastAsia"/>
                <w:lang w:eastAsia="ja-JP"/>
              </w:rPr>
              <w:t xml:space="preserve">The </w:t>
            </w:r>
            <w:r w:rsidRPr="004F39AF">
              <w:t>average cost per GWAU</w:t>
            </w:r>
            <w:r>
              <w:rPr>
                <w:rFonts w:eastAsiaTheme="minorEastAsia"/>
                <w:lang w:eastAsia="ja-JP"/>
              </w:rPr>
              <w:t xml:space="preserve"> increased by 6.1%, </w:t>
            </w:r>
            <w:r w:rsidR="00C610CC">
              <w:rPr>
                <w:rFonts w:eastAsiaTheme="minorEastAsia"/>
                <w:lang w:eastAsia="ja-JP"/>
              </w:rPr>
              <w:t>contributing</w:t>
            </w:r>
            <w:r>
              <w:rPr>
                <w:rFonts w:eastAsiaTheme="minorEastAsia"/>
                <w:lang w:eastAsia="ja-JP"/>
              </w:rPr>
              <w:t xml:space="preserve"> to the overall increase in </w:t>
            </w:r>
            <w:r w:rsidRPr="004131D8">
              <w:rPr>
                <w:rFonts w:eastAsiaTheme="minorEastAsia"/>
                <w:lang w:eastAsia="ja-JP"/>
              </w:rPr>
              <w:t xml:space="preserve">admitted mental health costs </w:t>
            </w:r>
            <w:r>
              <w:rPr>
                <w:rFonts w:eastAsiaTheme="minorEastAsia"/>
                <w:lang w:eastAsia="ja-JP"/>
              </w:rPr>
              <w:t>of 23.3</w:t>
            </w:r>
            <w:r w:rsidRPr="004131D8">
              <w:rPr>
                <w:rFonts w:eastAsiaTheme="minorEastAsia"/>
                <w:lang w:eastAsia="ja-JP"/>
              </w:rPr>
              <w:t>%.</w:t>
            </w:r>
          </w:p>
        </w:tc>
      </w:tr>
      <w:tr w:rsidR="00FC5F18" w:rsidRPr="002C3BA4" w14:paraId="3CE3A1E0" w14:textId="77777777">
        <w:trPr>
          <w:cantSplit/>
          <w:trHeight w:val="1847"/>
        </w:trPr>
        <w:tc>
          <w:tcPr>
            <w:tcW w:w="1451" w:type="dxa"/>
            <w:shd w:val="clear" w:color="auto" w:fill="220054" w:themeFill="accent1"/>
            <w:vAlign w:val="center"/>
          </w:tcPr>
          <w:p w14:paraId="21C69F10" w14:textId="73EB8786" w:rsidR="00FC5F18" w:rsidRDefault="00FC5F18">
            <w:pPr>
              <w:pStyle w:val="TableHeadingtext"/>
              <w:framePr w:hSpace="0" w:wrap="auto" w:vAnchor="margin" w:hAnchor="text" w:yAlign="inline"/>
              <w:jc w:val="center"/>
              <w:rPr>
                <w:rFonts w:asciiTheme="majorHAnsi" w:hAnsiTheme="majorHAnsi"/>
                <w:color w:val="FFFFFF" w:themeColor="background1"/>
              </w:rPr>
            </w:pPr>
            <w:r w:rsidRPr="003B46EA">
              <w:rPr>
                <w:rFonts w:asciiTheme="majorHAnsi" w:hAnsiTheme="majorHAnsi"/>
                <w:color w:val="FFFFFF" w:themeColor="background1"/>
              </w:rPr>
              <w:lastRenderedPageBreak/>
              <w:t>Community mental health</w:t>
            </w:r>
            <w:r w:rsidR="00CE6F96">
              <w:rPr>
                <w:rFonts w:ascii="ZWAdobeF" w:hAnsi="ZWAdobeF" w:cs="ZWAdobeF"/>
                <w:b w:val="0"/>
                <w:color w:val="auto"/>
                <w:sz w:val="2"/>
                <w:szCs w:val="2"/>
              </w:rPr>
              <w:t>26F</w:t>
            </w:r>
            <w:r w:rsidR="00046D31">
              <w:rPr>
                <w:rStyle w:val="FootnoteReference"/>
                <w:rFonts w:asciiTheme="majorHAnsi" w:hAnsiTheme="majorHAnsi"/>
                <w:color w:val="FFFFFF" w:themeColor="background1"/>
              </w:rPr>
              <w:footnoteReference w:id="28"/>
            </w:r>
          </w:p>
          <w:p w14:paraId="5BD0F371" w14:textId="5FDE1A5E" w:rsidR="00FC5F18" w:rsidRDefault="00FC5F18">
            <w:pPr>
              <w:pStyle w:val="TableHeadingtext"/>
              <w:framePr w:hSpace="0" w:wrap="auto" w:vAnchor="margin" w:hAnchor="text" w:yAlign="inline"/>
              <w:jc w:val="center"/>
              <w:rPr>
                <w:rFonts w:asciiTheme="majorHAnsi" w:hAnsiTheme="majorHAnsi"/>
              </w:rPr>
            </w:pPr>
          </w:p>
        </w:tc>
        <w:tc>
          <w:tcPr>
            <w:tcW w:w="7529" w:type="dxa"/>
            <w:shd w:val="clear" w:color="auto" w:fill="D8D9E1" w:themeFill="accent3" w:themeFillTint="33"/>
          </w:tcPr>
          <w:p w14:paraId="6048185D" w14:textId="49E31406" w:rsidR="005657C4" w:rsidRPr="005657C4" w:rsidRDefault="005657C4" w:rsidP="009443F3">
            <w:pPr>
              <w:pStyle w:val="Tablebulletpoint"/>
            </w:pPr>
            <w:r w:rsidRPr="005657C4">
              <w:t xml:space="preserve">The data for community mental health was sourced from IHACPA’s </w:t>
            </w:r>
            <w:r w:rsidR="00CB64BE">
              <w:t>QA</w:t>
            </w:r>
            <w:r w:rsidRPr="005657C4">
              <w:t xml:space="preserve"> reports.</w:t>
            </w:r>
          </w:p>
          <w:p w14:paraId="48DB83B9" w14:textId="4BD8F1A4" w:rsidR="005657C4" w:rsidRPr="005657C4" w:rsidRDefault="005657C4" w:rsidP="009443F3">
            <w:pPr>
              <w:pStyle w:val="Tablebulletpoint"/>
            </w:pPr>
            <w:r w:rsidRPr="005657C4">
              <w:t>S</w:t>
            </w:r>
            <w:r w:rsidR="000F4349">
              <w:t>A</w:t>
            </w:r>
            <w:r w:rsidRPr="005657C4">
              <w:t xml:space="preserve"> submitted community mental health data for the first time in the NHCDC 2023-24 submission. </w:t>
            </w:r>
          </w:p>
          <w:p w14:paraId="2859252D" w14:textId="460E34EE" w:rsidR="005657C4" w:rsidRPr="005657C4" w:rsidRDefault="005657C4" w:rsidP="009443F3">
            <w:pPr>
              <w:pStyle w:val="Tablebulletpoint"/>
            </w:pPr>
            <w:r w:rsidRPr="005657C4">
              <w:t>Community mental health activity is not restricted to ABF hospitals</w:t>
            </w:r>
            <w:r w:rsidR="000A12A7">
              <w:t xml:space="preserve"> (unlike the rest of the Cost Driver analysis)</w:t>
            </w:r>
            <w:r w:rsidRPr="005657C4">
              <w:t xml:space="preserve">, and considering submitted activity across all facilities, there was approximately $182 million in costed activity (split between episodic and phase level mental health data). </w:t>
            </w:r>
          </w:p>
          <w:p w14:paraId="517627D9" w14:textId="7EF4086F" w:rsidR="00FC5F18" w:rsidRPr="003B46EA" w:rsidRDefault="005657C4" w:rsidP="009443F3">
            <w:pPr>
              <w:pStyle w:val="Tablebulletpoint"/>
            </w:pPr>
            <w:r w:rsidRPr="005657C4">
              <w:t>The average cost per phase was $3,374. The majority of costs were submitted at the phase level.</w:t>
            </w:r>
          </w:p>
        </w:tc>
      </w:tr>
    </w:tbl>
    <w:p w14:paraId="4B6BB9A5" w14:textId="7C66348F" w:rsidR="008B674D" w:rsidRDefault="000F4349" w:rsidP="008B674D">
      <w:pPr>
        <w:pStyle w:val="Heading3"/>
      </w:pPr>
      <w:r>
        <w:t>SA</w:t>
      </w:r>
      <w:r w:rsidR="008B674D">
        <w:t xml:space="preserve"> Costing Summary</w:t>
      </w:r>
    </w:p>
    <w:p w14:paraId="7EC993FF" w14:textId="68ABF299" w:rsidR="008B674D" w:rsidRPr="00AD1F32" w:rsidRDefault="000F4349" w:rsidP="009F419F">
      <w:pPr>
        <w:pStyle w:val="Heading4"/>
        <w:rPr>
          <w:color w:val="484B5D" w:themeColor="accent3"/>
        </w:rPr>
      </w:pPr>
      <w:r w:rsidRPr="00AD1F32">
        <w:rPr>
          <w:color w:val="484B5D" w:themeColor="accent3"/>
        </w:rPr>
        <w:t>SA</w:t>
      </w:r>
      <w:r w:rsidR="008B674D" w:rsidRPr="00AD1F32">
        <w:rPr>
          <w:color w:val="484B5D" w:themeColor="accent3"/>
        </w:rPr>
        <w:t xml:space="preserve"> costing process</w:t>
      </w:r>
    </w:p>
    <w:p w14:paraId="481993B0" w14:textId="085EE337" w:rsidR="001D0F92" w:rsidRDefault="001D0F92" w:rsidP="00D144BE">
      <w:r w:rsidRPr="00607437">
        <w:t xml:space="preserve">The SA Department of Health (the department) Commissioning and Performance Division – </w:t>
      </w:r>
      <w:r w:rsidR="00254F12" w:rsidRPr="00607437">
        <w:t xml:space="preserve">Activity Based Management </w:t>
      </w:r>
      <w:r w:rsidR="00B1348D" w:rsidRPr="00607437">
        <w:t>a</w:t>
      </w:r>
      <w:r w:rsidRPr="00607437">
        <w:t xml:space="preserve">nd Funding, Patient Costing team collects data for ABF costing purposes on behalf of 4 metropolitan </w:t>
      </w:r>
      <w:r w:rsidRPr="00D07E25">
        <w:t xml:space="preserve">LHNs and Country Health. </w:t>
      </w:r>
      <w:r w:rsidRPr="00AF2115">
        <w:t xml:space="preserve">Costing is performed centrally by the </w:t>
      </w:r>
      <w:r w:rsidR="007941EC">
        <w:t>department</w:t>
      </w:r>
      <w:r w:rsidRPr="00AF2115">
        <w:t xml:space="preserve"> on a quarterly basis </w:t>
      </w:r>
      <w:r>
        <w:t xml:space="preserve">(for the year-to-date) </w:t>
      </w:r>
      <w:r w:rsidRPr="00AF2115">
        <w:t>and the costing system in use is PPM</w:t>
      </w:r>
      <w:r>
        <w:t>2</w:t>
      </w:r>
      <w:r w:rsidRPr="00AF2115">
        <w:t xml:space="preserve">. The </w:t>
      </w:r>
      <w:r>
        <w:t>department</w:t>
      </w:r>
      <w:r w:rsidRPr="00AF2115">
        <w:t xml:space="preserve"> </w:t>
      </w:r>
      <w:r>
        <w:t xml:space="preserve">is also responsible for the generation of </w:t>
      </w:r>
      <w:r w:rsidRPr="00AF2115">
        <w:t>inpatient</w:t>
      </w:r>
      <w:r>
        <w:t xml:space="preserve">, </w:t>
      </w:r>
      <w:r w:rsidRPr="00AF2115">
        <w:t>emergency</w:t>
      </w:r>
      <w:r>
        <w:t>, outpatient and community mental health</w:t>
      </w:r>
      <w:r w:rsidRPr="00AF2115">
        <w:t xml:space="preserve"> data centrally from statewide data warehouses</w:t>
      </w:r>
      <w:r w:rsidR="00E96993">
        <w:t xml:space="preserve"> that </w:t>
      </w:r>
      <w:r>
        <w:t xml:space="preserve">are used in the costing process. </w:t>
      </w:r>
      <w:r w:rsidRPr="00AF2115">
        <w:t xml:space="preserve">There are statewide systems </w:t>
      </w:r>
      <w:r>
        <w:t xml:space="preserve">used </w:t>
      </w:r>
      <w:r w:rsidRPr="00AF2115">
        <w:t>for pharmacy, imaging</w:t>
      </w:r>
      <w:r>
        <w:t>, blood products</w:t>
      </w:r>
      <w:r w:rsidR="002E6E93">
        <w:t>,</w:t>
      </w:r>
      <w:r>
        <w:t xml:space="preserve"> and</w:t>
      </w:r>
      <w:r w:rsidRPr="00AF2115">
        <w:t xml:space="preserve"> pathology</w:t>
      </w:r>
      <w:r>
        <w:t xml:space="preserve"> with feeder files generated from these systems for costing.</w:t>
      </w:r>
    </w:p>
    <w:p w14:paraId="1843A75F" w14:textId="3B3F6D7A" w:rsidR="001D0F92" w:rsidRDefault="001D0F92" w:rsidP="001D0F92">
      <w:r>
        <w:t xml:space="preserve">LHNs are responsible for providing service files </w:t>
      </w:r>
      <w:r w:rsidR="00E96993">
        <w:t xml:space="preserve">that </w:t>
      </w:r>
      <w:r>
        <w:t>map costs from the GL to cost areas in PPM2 and allows the creation of intermediate products which are matched to patient activity for costing. Once information has been provided, the department sets up the costing files in PPM2. The LHN costing teams then review the costing outputs and have read-only access in PPM2 to run QA reports and conduct a series of checks.</w:t>
      </w:r>
      <w:r w:rsidRPr="00DE13D2">
        <w:rPr>
          <w:rFonts w:hint="eastAsia"/>
        </w:rPr>
        <w:t xml:space="preserve"> </w:t>
      </w:r>
      <w:r>
        <w:t xml:space="preserve">LHNs will </w:t>
      </w:r>
      <w:r w:rsidRPr="008D57EA">
        <w:t xml:space="preserve">attempt to link </w:t>
      </w:r>
      <w:r>
        <w:t xml:space="preserve">costs </w:t>
      </w:r>
      <w:r w:rsidRPr="008D57EA">
        <w:t>to patient episodes, and in</w:t>
      </w:r>
      <w:r w:rsidRPr="00C976F0">
        <w:t xml:space="preserve">vestigate any differences identified to maximise cost and activity matching rates. </w:t>
      </w:r>
      <w:r>
        <w:t xml:space="preserve">The types of QA performed by the LHN utilise the standard reports set up within PPM2 and includes a review for records with nil cost, loading and linking reports, year-on-year analysis into clinic costs, theatre costs per hour, ward costs per </w:t>
      </w:r>
      <w:r w:rsidRPr="008D57EA">
        <w:t>occupied bed day (OBD),</w:t>
      </w:r>
      <w:r>
        <w:t xml:space="preserve"> </w:t>
      </w:r>
      <w:r w:rsidRPr="008D57EA">
        <w:t>allied health costs per hour</w:t>
      </w:r>
      <w:r>
        <w:t>, etc.</w:t>
      </w:r>
    </w:p>
    <w:p w14:paraId="7678B895" w14:textId="0B57B984" w:rsidR="001D0F92" w:rsidRDefault="001D0F92" w:rsidP="001D0F92">
      <w:r w:rsidRPr="00C976F0">
        <w:rPr>
          <w:rFonts w:hint="eastAsia"/>
        </w:rPr>
        <w:t>The</w:t>
      </w:r>
      <w:r w:rsidRPr="00C976F0" w:rsidDel="0042287F">
        <w:t xml:space="preserve"> </w:t>
      </w:r>
      <w:r w:rsidR="007941EC">
        <w:t>department</w:t>
      </w:r>
      <w:r w:rsidRPr="00C976F0">
        <w:t xml:space="preserve"> team perform further QA and liaise with LHNs to resolve queries. </w:t>
      </w:r>
      <w:r>
        <w:t>As part of this</w:t>
      </w:r>
      <w:r w:rsidRPr="00C976F0">
        <w:t xml:space="preserve">, the costed datasets are uploaded </w:t>
      </w:r>
      <w:r>
        <w:t>o</w:t>
      </w:r>
      <w:r w:rsidRPr="00C976F0">
        <w:t xml:space="preserve">nto </w:t>
      </w:r>
      <w:r w:rsidRPr="00626B88">
        <w:t>Power BI dashboard</w:t>
      </w:r>
      <w:r>
        <w:t>s as part of a move towards statewide</w:t>
      </w:r>
      <w:r w:rsidRPr="00C976F0">
        <w:t xml:space="preserve"> </w:t>
      </w:r>
      <w:r w:rsidRPr="004F39AF">
        <w:t xml:space="preserve">central data reporting. </w:t>
      </w:r>
      <w:r>
        <w:t xml:space="preserve">The dashboards include several metrics such as cost per service, cost per day, cost per National Weighted Activity Unit (NWAU) </w:t>
      </w:r>
      <w:r w:rsidR="00E96993">
        <w:t xml:space="preserve">that </w:t>
      </w:r>
      <w:r>
        <w:t xml:space="preserve">are used for QA and benchmarking. </w:t>
      </w:r>
      <w:r w:rsidRPr="004F39AF">
        <w:t xml:space="preserve">The department then </w:t>
      </w:r>
      <w:r w:rsidRPr="00C976F0">
        <w:t>submit the dataset to IHACPA.</w:t>
      </w:r>
    </w:p>
    <w:p w14:paraId="104E1A80" w14:textId="77777777" w:rsidR="001D0F92" w:rsidRPr="00B54383" w:rsidRDefault="001D0F92" w:rsidP="001D0F92">
      <w:r w:rsidRPr="00B54383">
        <w:t>SA has implemented several changes for the 2023-24 year:</w:t>
      </w:r>
    </w:p>
    <w:p w14:paraId="1F5B6968" w14:textId="21471246" w:rsidR="001D0F92" w:rsidRPr="008D57EA" w:rsidRDefault="001D0F92" w:rsidP="006044E0">
      <w:pPr>
        <w:pStyle w:val="ListParagraph"/>
        <w:numPr>
          <w:ilvl w:val="0"/>
          <w:numId w:val="6"/>
        </w:numPr>
      </w:pPr>
      <w:r w:rsidRPr="008D57EA">
        <w:t xml:space="preserve">A statewide dashboard has been developed by the </w:t>
      </w:r>
      <w:r>
        <w:t>d</w:t>
      </w:r>
      <w:r w:rsidRPr="008D57EA">
        <w:t xml:space="preserve">epartment that provides comparison and benchmarking of costs per service, costs per NWAU against state or </w:t>
      </w:r>
      <w:r w:rsidR="00AE776C">
        <w:t>NEP</w:t>
      </w:r>
      <w:r w:rsidRPr="008D57EA">
        <w:t xml:space="preserve">s. This </w:t>
      </w:r>
      <w:r w:rsidRPr="008D57EA">
        <w:lastRenderedPageBreak/>
        <w:t>dashboard is used to conduct a state level review of costs around November as an annual QA exercise.</w:t>
      </w:r>
    </w:p>
    <w:p w14:paraId="10E78A82" w14:textId="03F6FB90" w:rsidR="001D0F92" w:rsidRPr="00B54383" w:rsidRDefault="001D0F92" w:rsidP="001D0F92">
      <w:pPr>
        <w:spacing w:line="240" w:lineRule="auto"/>
      </w:pPr>
      <w:r w:rsidRPr="00B54383">
        <w:t>SA has reported variance from AHPCS v4.2 in the following areas:</w:t>
      </w:r>
    </w:p>
    <w:p w14:paraId="1DB95AE5" w14:textId="77777777" w:rsidR="001D0F92" w:rsidRDefault="001D0F92" w:rsidP="006044E0">
      <w:pPr>
        <w:pStyle w:val="ListParagraph"/>
        <w:numPr>
          <w:ilvl w:val="0"/>
          <w:numId w:val="6"/>
        </w:numPr>
      </w:pPr>
      <w:r w:rsidRPr="000E0D60">
        <w:t>Pathology services for private and compensable patients are held centrally and do not flow into costing ledgers.</w:t>
      </w:r>
    </w:p>
    <w:p w14:paraId="08EBDF01" w14:textId="2172C664" w:rsidR="008B674D" w:rsidRDefault="001D0F92" w:rsidP="00856ABF">
      <w:r>
        <w:t>SA excluded contracted outpatient community care services (200,000 activity records totalling $</w:t>
      </w:r>
      <w:r w:rsidR="009B6C67">
        <w:t>35 </w:t>
      </w:r>
      <w:r>
        <w:t>million) due to insufficient data quality.</w:t>
      </w:r>
    </w:p>
    <w:p w14:paraId="5E836C7D" w14:textId="76EC16B4" w:rsidR="001D0F92" w:rsidRPr="00AD1F32" w:rsidRDefault="001D0F92" w:rsidP="009F419F">
      <w:pPr>
        <w:pStyle w:val="Heading4"/>
        <w:rPr>
          <w:color w:val="484B5D" w:themeColor="accent3"/>
        </w:rPr>
      </w:pPr>
      <w:r w:rsidRPr="00AD1F32">
        <w:rPr>
          <w:color w:val="484B5D" w:themeColor="accent3"/>
        </w:rPr>
        <w:t>SA structural arrangements and inclusion in costing outputs</w:t>
      </w:r>
    </w:p>
    <w:p w14:paraId="4AA83F3A" w14:textId="12546852" w:rsidR="00EF05A4" w:rsidRPr="0065115B" w:rsidRDefault="00EF05A4" w:rsidP="00EF05A4">
      <w:r>
        <w:t>S</w:t>
      </w:r>
      <w:r w:rsidRPr="0065115B">
        <w:t xml:space="preserve">A has shared services arrangements for </w:t>
      </w:r>
      <w:r w:rsidR="00607437" w:rsidRPr="0065115B">
        <w:t>several</w:t>
      </w:r>
      <w:r w:rsidRPr="0065115B">
        <w:t xml:space="preserve"> clinical and corporate expenses:</w:t>
      </w:r>
    </w:p>
    <w:p w14:paraId="338E7B36" w14:textId="76AF8081" w:rsidR="00EF05A4" w:rsidRDefault="00EF05A4" w:rsidP="006044E0">
      <w:pPr>
        <w:pStyle w:val="ListParagraph"/>
        <w:numPr>
          <w:ilvl w:val="0"/>
          <w:numId w:val="6"/>
        </w:numPr>
      </w:pPr>
      <w:r w:rsidRPr="0065115B">
        <w:t>Imaging, pharmacy</w:t>
      </w:r>
      <w:r w:rsidR="002E6E93">
        <w:t>,</w:t>
      </w:r>
      <w:r w:rsidRPr="0065115B">
        <w:t xml:space="preserve"> and pathology are provide</w:t>
      </w:r>
      <w:r>
        <w:t>d</w:t>
      </w:r>
      <w:r w:rsidRPr="0065115B">
        <w:t xml:space="preserve"> as a statewide service. These are hosted by Central Adelaide LHN </w:t>
      </w:r>
      <w:r>
        <w:t xml:space="preserve">(CALHN) </w:t>
      </w:r>
      <w:r w:rsidRPr="0065115B">
        <w:t xml:space="preserve">under a </w:t>
      </w:r>
      <w:r>
        <w:t>separate</w:t>
      </w:r>
      <w:r w:rsidRPr="0065115B">
        <w:t xml:space="preserve"> </w:t>
      </w:r>
      <w:r>
        <w:t xml:space="preserve">GL </w:t>
      </w:r>
      <w:r w:rsidRPr="0065115B">
        <w:t>titled Business 55.</w:t>
      </w:r>
      <w:r>
        <w:t xml:space="preserve"> These services are recharged to LHNs via a monthly recharge.</w:t>
      </w:r>
    </w:p>
    <w:p w14:paraId="7C198E65" w14:textId="0D0DB5CB" w:rsidR="00EF05A4" w:rsidRDefault="00EF05A4" w:rsidP="006044E0">
      <w:pPr>
        <w:pStyle w:val="ListParagraph"/>
        <w:numPr>
          <w:ilvl w:val="0"/>
          <w:numId w:val="6"/>
        </w:numPr>
      </w:pPr>
      <w:r>
        <w:t>The department provides IT, library services (doctor subscription services)</w:t>
      </w:r>
      <w:r w:rsidR="00E65678">
        <w:t>,</w:t>
      </w:r>
      <w:r>
        <w:t xml:space="preserve"> and procurement. This is recharged to LHNs.</w:t>
      </w:r>
    </w:p>
    <w:p w14:paraId="7B78B957" w14:textId="77777777" w:rsidR="00EF05A4" w:rsidRPr="00607437" w:rsidRDefault="00EF05A4" w:rsidP="006044E0">
      <w:pPr>
        <w:pStyle w:val="ListParagraph"/>
        <w:numPr>
          <w:ilvl w:val="0"/>
          <w:numId w:val="6"/>
        </w:numPr>
      </w:pPr>
      <w:r>
        <w:t xml:space="preserve">Payroll and Accounts Receivable are provided by Shared Services South Australia, with a </w:t>
      </w:r>
      <w:r w:rsidRPr="00607437">
        <w:t>recharge allocated to the LHNs’ GL.</w:t>
      </w:r>
    </w:p>
    <w:p w14:paraId="616B3A29" w14:textId="77777777" w:rsidR="00EF05A4" w:rsidRPr="00607437" w:rsidRDefault="00EF05A4" w:rsidP="00EF05A4">
      <w:r w:rsidRPr="00607437">
        <w:t xml:space="preserve">Each LHN has outsourced to a third-party food, linen and cleaning services. </w:t>
      </w:r>
    </w:p>
    <w:p w14:paraId="796BDFBB" w14:textId="1AFA92B5" w:rsidR="001D0F92" w:rsidRPr="00AD1F32" w:rsidRDefault="00EF05A4" w:rsidP="009F419F">
      <w:pPr>
        <w:pStyle w:val="Heading4"/>
        <w:rPr>
          <w:color w:val="484B5D" w:themeColor="accent3"/>
        </w:rPr>
      </w:pPr>
      <w:r w:rsidRPr="00AD1F32">
        <w:rPr>
          <w:color w:val="484B5D" w:themeColor="accent3"/>
        </w:rPr>
        <w:t>Contracted care costs included in costed records</w:t>
      </w:r>
    </w:p>
    <w:p w14:paraId="7F571038" w14:textId="4B31AA77" w:rsidR="00EF05A4" w:rsidRDefault="0073746E" w:rsidP="00CD718C">
      <w:pPr>
        <w:pStyle w:val="ListParagraph"/>
        <w:numPr>
          <w:ilvl w:val="0"/>
          <w:numId w:val="42"/>
        </w:numPr>
      </w:pPr>
      <w:r w:rsidRPr="00607437">
        <w:t xml:space="preserve">There are a number of contracted care arrangements within </w:t>
      </w:r>
      <w:r w:rsidR="000F4349" w:rsidRPr="00607437">
        <w:t>SA</w:t>
      </w:r>
      <w:r w:rsidRPr="00607437">
        <w:t xml:space="preserve">, with reported activity of 21,737 episodes (across </w:t>
      </w:r>
      <w:r w:rsidRPr="00EF3923">
        <w:t xml:space="preserve">all streams) </w:t>
      </w:r>
      <w:r>
        <w:t xml:space="preserve">and reported </w:t>
      </w:r>
      <w:r w:rsidRPr="00EF3923">
        <w:t>costs of $</w:t>
      </w:r>
      <w:r>
        <w:t>1</w:t>
      </w:r>
      <w:r w:rsidRPr="00EF3923">
        <w:t>55.</w:t>
      </w:r>
      <w:r>
        <w:t>43</w:t>
      </w:r>
      <w:r w:rsidRPr="00EF3923">
        <w:t xml:space="preserve"> million in SA in 2023</w:t>
      </w:r>
      <w:r w:rsidR="009B6C67">
        <w:noBreakHyphen/>
      </w:r>
      <w:r w:rsidRPr="00EF3923">
        <w:t xml:space="preserve">24. </w:t>
      </w:r>
      <w:r>
        <w:t>These arrangements covered dialysis services, subacute capacity, surgery, ED diversion, preadmission and post</w:t>
      </w:r>
      <w:r>
        <w:noBreakHyphen/>
        <w:t>surgical clinics. The department also oversees some contracted arrangements for admitted and non</w:t>
      </w:r>
      <w:r>
        <w:noBreakHyphen/>
        <w:t>admitted services. Generally, this</w:t>
      </w:r>
      <w:r w:rsidRPr="00EF3923">
        <w:t xml:space="preserve"> was costed at a</w:t>
      </w:r>
      <w:r>
        <w:t>n episodic</w:t>
      </w:r>
      <w:r w:rsidRPr="00EF3923">
        <w:t xml:space="preserve"> level at the agreed price with individual private hospitals, with the costs reported under the </w:t>
      </w:r>
      <w:r w:rsidR="003B59A0" w:rsidRPr="003B59A0">
        <w:rPr>
          <w:i/>
          <w:iCs/>
        </w:rPr>
        <w:t>G</w:t>
      </w:r>
      <w:r w:rsidRPr="003B59A0">
        <w:rPr>
          <w:i/>
          <w:iCs/>
        </w:rPr>
        <w:t xml:space="preserve">oods </w:t>
      </w:r>
      <w:r w:rsidR="003B59A0" w:rsidRPr="003B59A0">
        <w:rPr>
          <w:i/>
          <w:iCs/>
        </w:rPr>
        <w:t>&amp; S</w:t>
      </w:r>
      <w:r w:rsidRPr="003B59A0">
        <w:rPr>
          <w:i/>
          <w:iCs/>
        </w:rPr>
        <w:t>ervices</w:t>
      </w:r>
      <w:r w:rsidRPr="00EF3923">
        <w:t xml:space="preserve"> line item. The average cost per GWAU for contracted activity in SA was $</w:t>
      </w:r>
      <w:r>
        <w:t>8,280</w:t>
      </w:r>
      <w:r w:rsidRPr="00EF3923">
        <w:t xml:space="preserve">, </w:t>
      </w:r>
      <w:r>
        <w:t>14.5</w:t>
      </w:r>
      <w:r w:rsidRPr="00EF3923">
        <w:t>% higher than non-contracted care.</w:t>
      </w:r>
    </w:p>
    <w:p w14:paraId="345AE07C" w14:textId="4E45082E" w:rsidR="00DA2A6F" w:rsidRDefault="00DA2A6F" w:rsidP="00CD718C">
      <w:pPr>
        <w:pStyle w:val="ListParagraph"/>
        <w:numPr>
          <w:ilvl w:val="0"/>
          <w:numId w:val="42"/>
        </w:numPr>
      </w:pPr>
      <w:r>
        <w:t>Some contracted services were not costed and reported as mentioned in the Costing Process section above. These include emergency virtual care services at South</w:t>
      </w:r>
      <w:r w:rsidR="00E624C7">
        <w:t>ern</w:t>
      </w:r>
      <w:r>
        <w:t xml:space="preserve"> Adelaide LHN (SALHN) and outpatient community care services commissioned by the department. </w:t>
      </w:r>
    </w:p>
    <w:p w14:paraId="26047085" w14:textId="0BA626BE" w:rsidR="006B6F97" w:rsidRDefault="006B6F97" w:rsidP="001D0F92">
      <w:r>
        <w:rPr>
          <w:noProof/>
        </w:rPr>
        <w:lastRenderedPageBreak/>
        <mc:AlternateContent>
          <mc:Choice Requires="wps">
            <w:drawing>
              <wp:inline distT="0" distB="0" distL="0" distR="0" wp14:anchorId="0028F64F" wp14:editId="65D77183">
                <wp:extent cx="5715000" cy="1447800"/>
                <wp:effectExtent l="0" t="0" r="0" b="4445"/>
                <wp:docPr id="1975090990" name="Text Box 2" descr="P2822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54F9215C" w14:textId="177E3F32" w:rsidR="006B6F97" w:rsidRPr="001729F2" w:rsidRDefault="006B6F97" w:rsidP="006B6F97">
                            <w:pPr>
                              <w:pStyle w:val="Tablebulletpoint"/>
                              <w:numPr>
                                <w:ilvl w:val="0"/>
                                <w:numId w:val="0"/>
                              </w:numPr>
                              <w:spacing w:after="120"/>
                              <w:contextualSpacing w:val="0"/>
                              <w:rPr>
                                <w:color w:val="FFFFFF" w:themeColor="background1"/>
                              </w:rPr>
                            </w:pPr>
                            <w:r w:rsidRPr="001729F2">
                              <w:rPr>
                                <w:b/>
                                <w:bCs/>
                                <w:color w:val="FFFFFF" w:themeColor="background1"/>
                              </w:rPr>
                              <w:t>Comparability of SA’s costing outputs to other states</w:t>
                            </w:r>
                          </w:p>
                          <w:p w14:paraId="599C98AA" w14:textId="77777777" w:rsidR="008135BB" w:rsidRPr="001729F2" w:rsidRDefault="008135BB" w:rsidP="008135BB">
                            <w:pPr>
                              <w:pStyle w:val="Tablebulletpoint"/>
                              <w:rPr>
                                <w:color w:val="FFFFFF" w:themeColor="background1"/>
                              </w:rPr>
                            </w:pPr>
                            <w:r w:rsidRPr="001729F2">
                              <w:rPr>
                                <w:color w:val="FFFFFF" w:themeColor="background1"/>
                              </w:rPr>
                              <w:t>Food, linen and cleaning are managed at the LHN level and costed as overheads. These costs may be higher for SA than other jurisdictions where these are managed as statewide contracts with benefits of economies of scale.</w:t>
                            </w:r>
                          </w:p>
                          <w:p w14:paraId="6799915D" w14:textId="77777777" w:rsidR="008135BB" w:rsidRPr="001729F2" w:rsidRDefault="008135BB" w:rsidP="008135BB">
                            <w:pPr>
                              <w:pStyle w:val="Tablebulletpoint"/>
                              <w:rPr>
                                <w:color w:val="FFFFFF" w:themeColor="background1"/>
                              </w:rPr>
                            </w:pPr>
                            <w:r w:rsidRPr="001729F2">
                              <w:rPr>
                                <w:color w:val="FFFFFF" w:themeColor="background1"/>
                              </w:rPr>
                              <w:t>$35 million of contracted care relating to outpatient community care services was excluded in 2023-24 due to insufficient data quality.</w:t>
                            </w:r>
                          </w:p>
                          <w:p w14:paraId="096A944D" w14:textId="25AA0A72" w:rsidR="008135BB" w:rsidRPr="001729F2" w:rsidRDefault="008135BB" w:rsidP="008135BB">
                            <w:pPr>
                              <w:pStyle w:val="Tablebulletpoint"/>
                              <w:rPr>
                                <w:color w:val="FFFFFF" w:themeColor="background1"/>
                              </w:rPr>
                            </w:pPr>
                            <w:r w:rsidRPr="001729F2">
                              <w:rPr>
                                <w:color w:val="FFFFFF" w:themeColor="background1"/>
                              </w:rPr>
                              <w:t xml:space="preserve">Agency nursing contracts are recorded as </w:t>
                            </w:r>
                            <w:r w:rsidRPr="001729F2">
                              <w:rPr>
                                <w:i/>
                                <w:iCs/>
                                <w:color w:val="FFFFFF" w:themeColor="background1"/>
                              </w:rPr>
                              <w:t>Goods &amp; Services</w:t>
                            </w:r>
                            <w:r w:rsidRPr="001729F2">
                              <w:rPr>
                                <w:color w:val="FFFFFF" w:themeColor="background1"/>
                              </w:rPr>
                              <w:t xml:space="preserve"> in the GL and costing process in SA, so where agency staff were used, the </w:t>
                            </w:r>
                            <w:r w:rsidR="006959BE" w:rsidRPr="00CF78F9">
                              <w:rPr>
                                <w:i/>
                                <w:iCs/>
                                <w:color w:val="FFFFFF" w:themeColor="background1"/>
                              </w:rPr>
                              <w:t>Nursing</w:t>
                            </w:r>
                            <w:r w:rsidR="006959BE" w:rsidRPr="002A311F">
                              <w:rPr>
                                <w:i/>
                                <w:iCs/>
                                <w:color w:val="FFFFFF" w:themeColor="background1"/>
                              </w:rPr>
                              <w:t xml:space="preserve"> </w:t>
                            </w:r>
                            <w:r w:rsidR="00AA1CBE" w:rsidRPr="00CF78F9">
                              <w:rPr>
                                <w:i/>
                                <w:iCs/>
                                <w:color w:val="FFFFFF" w:themeColor="background1"/>
                              </w:rPr>
                              <w:t>S&amp;W</w:t>
                            </w:r>
                            <w:r w:rsidRPr="001729F2">
                              <w:rPr>
                                <w:i/>
                                <w:color w:val="FFFFFF" w:themeColor="background1"/>
                              </w:rPr>
                              <w:t xml:space="preserve"> </w:t>
                            </w:r>
                            <w:r w:rsidR="00261CCB">
                              <w:rPr>
                                <w:color w:val="FFFFFF" w:themeColor="background1"/>
                              </w:rPr>
                              <w:t>line item</w:t>
                            </w:r>
                            <w:r w:rsidRPr="001729F2">
                              <w:rPr>
                                <w:color w:val="FFFFFF" w:themeColor="background1"/>
                              </w:rPr>
                              <w:t xml:space="preserve"> will be lower and the </w:t>
                            </w:r>
                            <w:r w:rsidRPr="001729F2">
                              <w:rPr>
                                <w:i/>
                                <w:iCs/>
                                <w:color w:val="FFFFFF" w:themeColor="background1"/>
                              </w:rPr>
                              <w:t>Goods &amp; Services</w:t>
                            </w:r>
                            <w:r w:rsidRPr="001729F2">
                              <w:rPr>
                                <w:color w:val="FFFFFF" w:themeColor="background1"/>
                              </w:rPr>
                              <w:t xml:space="preserve"> </w:t>
                            </w:r>
                            <w:r w:rsidR="00261CCB">
                              <w:rPr>
                                <w:color w:val="FFFFFF" w:themeColor="background1"/>
                              </w:rPr>
                              <w:t>line item</w:t>
                            </w:r>
                            <w:r w:rsidRPr="001729F2">
                              <w:rPr>
                                <w:color w:val="FFFFFF" w:themeColor="background1"/>
                              </w:rPr>
                              <w:t xml:space="preserve"> higher than other jurisdictions.</w:t>
                            </w:r>
                          </w:p>
                          <w:p w14:paraId="03DB2A2F" w14:textId="116CE7ED" w:rsidR="006B6F97" w:rsidRDefault="008135BB" w:rsidP="006B6F97">
                            <w:pPr>
                              <w:pStyle w:val="Tablebulletpoint"/>
                              <w:rPr>
                                <w:color w:val="FFFFFF" w:themeColor="background1"/>
                              </w:rPr>
                            </w:pPr>
                            <w:r w:rsidRPr="001729F2">
                              <w:rPr>
                                <w:color w:val="FFFFFF" w:themeColor="background1"/>
                              </w:rPr>
                              <w:t xml:space="preserve">SA include superannuation, workers compensation, long service leave, incentive payments and annual leave in the </w:t>
                            </w:r>
                            <w:r w:rsidR="00255ADF">
                              <w:rPr>
                                <w:i/>
                                <w:iCs/>
                                <w:color w:val="FFFFFF" w:themeColor="background1"/>
                              </w:rPr>
                              <w:t>O</w:t>
                            </w:r>
                            <w:r w:rsidRPr="008135BB">
                              <w:rPr>
                                <w:i/>
                                <w:iCs/>
                                <w:color w:val="FFFFFF" w:themeColor="background1"/>
                              </w:rPr>
                              <w:t>ncost</w:t>
                            </w:r>
                            <w:r w:rsidRPr="001729F2">
                              <w:rPr>
                                <w:color w:val="FFFFFF" w:themeColor="background1"/>
                              </w:rPr>
                              <w:t xml:space="preserve"> line item. This is an area of variation to other jurisdictions which include annual leave in </w:t>
                            </w:r>
                            <w:r w:rsidR="00AA1CBE">
                              <w:rPr>
                                <w:i/>
                                <w:iCs/>
                                <w:color w:val="FFFFFF" w:themeColor="background1"/>
                              </w:rPr>
                              <w:t>S&amp;W</w:t>
                            </w:r>
                            <w:r w:rsidRPr="001729F2">
                              <w:rPr>
                                <w:color w:val="FFFFFF" w:themeColor="background1"/>
                              </w:rPr>
                              <w:t xml:space="preserve"> line item.</w:t>
                            </w:r>
                          </w:p>
                          <w:p w14:paraId="550FC566" w14:textId="5476F541" w:rsidR="006B6F97" w:rsidRPr="001729F2" w:rsidRDefault="00E025BF" w:rsidP="006B6F97">
                            <w:pPr>
                              <w:pStyle w:val="Tablebulletpoint"/>
                              <w:rPr>
                                <w:color w:val="FFFFFF" w:themeColor="background1"/>
                              </w:rPr>
                            </w:pPr>
                            <w:r>
                              <w:rPr>
                                <w:color w:val="FFFFFF" w:themeColor="background1"/>
                              </w:rPr>
                              <w:t>For imaging</w:t>
                            </w:r>
                            <w:r w:rsidR="0089777E">
                              <w:rPr>
                                <w:color w:val="FFFFFF" w:themeColor="background1"/>
                              </w:rPr>
                              <w:t xml:space="preserve"> and </w:t>
                            </w:r>
                            <w:r>
                              <w:rPr>
                                <w:color w:val="FFFFFF" w:themeColor="background1"/>
                              </w:rPr>
                              <w:t>pathology unlinked costs, these are pooled and spread to linked patients rather than excluded. This is an area of variation to other jurisdictions.</w:t>
                            </w:r>
                          </w:p>
                        </w:txbxContent>
                      </wps:txbx>
                      <wps:bodyPr rot="0" vert="horz" wrap="square" lIns="180000" tIns="180000" rIns="180000" bIns="180000" anchor="t" anchorCtr="0">
                        <a:spAutoFit/>
                      </wps:bodyPr>
                    </wps:wsp>
                  </a:graphicData>
                </a:graphic>
              </wp:inline>
            </w:drawing>
          </mc:Choice>
          <mc:Fallback>
            <w:pict>
              <v:shape w14:anchorId="0028F64F" id="_x0000_s1289" type="#_x0000_t202" alt="P2822TB13#y1" style="width:450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" fillcolor="#343a5e [2405]" stroked="f" strokeweight="1pt">
                <v:textbox style="mso-fit-shape-to-text:t" inset="5mm,5mm,5mm,5mm">
                  <w:txbxContent>
                    <w:p w14:paraId="54F9215C" w14:textId="177E3F32" w:rsidR="006B6F97" w:rsidRPr="001729F2" w:rsidRDefault="006B6F97" w:rsidP="006B6F97">
                      <w:pPr>
                        <w:pStyle w:val="Tablebulletpoint"/>
                        <w:numPr>
                          <w:ilvl w:val="0"/>
                          <w:numId w:val="0"/>
                        </w:numPr>
                        <w:spacing w:after="120"/>
                        <w:contextualSpacing w:val="0"/>
                        <w:rPr>
                          <w:color w:val="FFFFFF" w:themeColor="background1"/>
                        </w:rPr>
                      </w:pPr>
                      <w:r w:rsidRPr="001729F2">
                        <w:rPr>
                          <w:b/>
                          <w:bCs/>
                          <w:color w:val="FFFFFF" w:themeColor="background1"/>
                        </w:rPr>
                        <w:t>Comparability of SA’s costing outputs to other states</w:t>
                      </w:r>
                    </w:p>
                    <w:p w14:paraId="599C98AA" w14:textId="77777777" w:rsidR="008135BB" w:rsidRPr="001729F2" w:rsidRDefault="008135BB" w:rsidP="008135BB">
                      <w:pPr>
                        <w:pStyle w:val="Tablebulletpoint"/>
                        <w:rPr>
                          <w:color w:val="FFFFFF" w:themeColor="background1"/>
                        </w:rPr>
                      </w:pPr>
                      <w:r w:rsidRPr="001729F2">
                        <w:rPr>
                          <w:color w:val="FFFFFF" w:themeColor="background1"/>
                        </w:rPr>
                        <w:t>Food, linen and cleaning are managed at the LHN level and costed as overheads. These costs may be higher for SA than other jurisdictions where these are managed as statewide contracts with benefits of economies of scale.</w:t>
                      </w:r>
                    </w:p>
                    <w:p w14:paraId="6799915D" w14:textId="77777777" w:rsidR="008135BB" w:rsidRPr="001729F2" w:rsidRDefault="008135BB" w:rsidP="008135BB">
                      <w:pPr>
                        <w:pStyle w:val="Tablebulletpoint"/>
                        <w:rPr>
                          <w:color w:val="FFFFFF" w:themeColor="background1"/>
                        </w:rPr>
                      </w:pPr>
                      <w:r w:rsidRPr="001729F2">
                        <w:rPr>
                          <w:color w:val="FFFFFF" w:themeColor="background1"/>
                        </w:rPr>
                        <w:t>$35 million of contracted care relating to outpatient community care services was excluded in 2023-24 due to insufficient data quality.</w:t>
                      </w:r>
                    </w:p>
                    <w:p w14:paraId="096A944D" w14:textId="25AA0A72" w:rsidR="008135BB" w:rsidRPr="001729F2" w:rsidRDefault="008135BB" w:rsidP="008135BB">
                      <w:pPr>
                        <w:pStyle w:val="Tablebulletpoint"/>
                        <w:rPr>
                          <w:color w:val="FFFFFF" w:themeColor="background1"/>
                        </w:rPr>
                      </w:pPr>
                      <w:r w:rsidRPr="001729F2">
                        <w:rPr>
                          <w:color w:val="FFFFFF" w:themeColor="background1"/>
                        </w:rPr>
                        <w:t xml:space="preserve">Agency nursing contracts are recorded as </w:t>
                      </w:r>
                      <w:r w:rsidRPr="001729F2">
                        <w:rPr>
                          <w:i/>
                          <w:iCs/>
                          <w:color w:val="FFFFFF" w:themeColor="background1"/>
                        </w:rPr>
                        <w:t>Goods &amp; Services</w:t>
                      </w:r>
                      <w:r w:rsidRPr="001729F2">
                        <w:rPr>
                          <w:color w:val="FFFFFF" w:themeColor="background1"/>
                        </w:rPr>
                        <w:t xml:space="preserve"> in the GL and costing process in SA, so where agency staff were used, the </w:t>
                      </w:r>
                      <w:r w:rsidR="006959BE" w:rsidRPr="00CF78F9">
                        <w:rPr>
                          <w:i/>
                          <w:iCs/>
                          <w:color w:val="FFFFFF" w:themeColor="background1"/>
                        </w:rPr>
                        <w:t>Nursing</w:t>
                      </w:r>
                      <w:r w:rsidR="006959BE" w:rsidRPr="002A311F">
                        <w:rPr>
                          <w:i/>
                          <w:iCs/>
                          <w:color w:val="FFFFFF" w:themeColor="background1"/>
                        </w:rPr>
                        <w:t xml:space="preserve"> </w:t>
                      </w:r>
                      <w:r w:rsidR="00AA1CBE" w:rsidRPr="00CF78F9">
                        <w:rPr>
                          <w:i/>
                          <w:iCs/>
                          <w:color w:val="FFFFFF" w:themeColor="background1"/>
                        </w:rPr>
                        <w:t>S&amp;W</w:t>
                      </w:r>
                      <w:r w:rsidRPr="001729F2">
                        <w:rPr>
                          <w:i/>
                          <w:color w:val="FFFFFF" w:themeColor="background1"/>
                        </w:rPr>
                        <w:t xml:space="preserve"> </w:t>
                      </w:r>
                      <w:r w:rsidR="00261CCB">
                        <w:rPr>
                          <w:color w:val="FFFFFF" w:themeColor="background1"/>
                        </w:rPr>
                        <w:t>line item</w:t>
                      </w:r>
                      <w:r w:rsidRPr="001729F2">
                        <w:rPr>
                          <w:color w:val="FFFFFF" w:themeColor="background1"/>
                        </w:rPr>
                        <w:t xml:space="preserve"> will be lower and the </w:t>
                      </w:r>
                      <w:r w:rsidRPr="001729F2">
                        <w:rPr>
                          <w:i/>
                          <w:iCs/>
                          <w:color w:val="FFFFFF" w:themeColor="background1"/>
                        </w:rPr>
                        <w:t>Goods &amp; Services</w:t>
                      </w:r>
                      <w:r w:rsidRPr="001729F2">
                        <w:rPr>
                          <w:color w:val="FFFFFF" w:themeColor="background1"/>
                        </w:rPr>
                        <w:t xml:space="preserve"> </w:t>
                      </w:r>
                      <w:r w:rsidR="00261CCB">
                        <w:rPr>
                          <w:color w:val="FFFFFF" w:themeColor="background1"/>
                        </w:rPr>
                        <w:t>line item</w:t>
                      </w:r>
                      <w:r w:rsidRPr="001729F2">
                        <w:rPr>
                          <w:color w:val="FFFFFF" w:themeColor="background1"/>
                        </w:rPr>
                        <w:t xml:space="preserve"> higher than other jurisdictions.</w:t>
                      </w:r>
                    </w:p>
                    <w:p w14:paraId="03DB2A2F" w14:textId="116CE7ED" w:rsidR="006B6F97" w:rsidRDefault="008135BB" w:rsidP="006B6F97">
                      <w:pPr>
                        <w:pStyle w:val="Tablebulletpoint"/>
                        <w:rPr>
                          <w:color w:val="FFFFFF" w:themeColor="background1"/>
                        </w:rPr>
                      </w:pPr>
                      <w:r w:rsidRPr="001729F2">
                        <w:rPr>
                          <w:color w:val="FFFFFF" w:themeColor="background1"/>
                        </w:rPr>
                        <w:t xml:space="preserve">SA include superannuation, workers compensation, long service leave, incentive payments and annual leave in the </w:t>
                      </w:r>
                      <w:r w:rsidR="00255ADF">
                        <w:rPr>
                          <w:i/>
                          <w:iCs/>
                          <w:color w:val="FFFFFF" w:themeColor="background1"/>
                        </w:rPr>
                        <w:t>O</w:t>
                      </w:r>
                      <w:r w:rsidRPr="008135BB">
                        <w:rPr>
                          <w:i/>
                          <w:iCs/>
                          <w:color w:val="FFFFFF" w:themeColor="background1"/>
                        </w:rPr>
                        <w:t>ncost</w:t>
                      </w:r>
                      <w:r w:rsidRPr="001729F2">
                        <w:rPr>
                          <w:color w:val="FFFFFF" w:themeColor="background1"/>
                        </w:rPr>
                        <w:t xml:space="preserve"> line item. This is an area of variation to other jurisdictions which include annual leave in </w:t>
                      </w:r>
                      <w:r w:rsidR="00AA1CBE">
                        <w:rPr>
                          <w:i/>
                          <w:iCs/>
                          <w:color w:val="FFFFFF" w:themeColor="background1"/>
                        </w:rPr>
                        <w:t>S&amp;W</w:t>
                      </w:r>
                      <w:r w:rsidRPr="001729F2">
                        <w:rPr>
                          <w:color w:val="FFFFFF" w:themeColor="background1"/>
                        </w:rPr>
                        <w:t xml:space="preserve"> line item.</w:t>
                      </w:r>
                    </w:p>
                    <w:p w14:paraId="550FC566" w14:textId="5476F541" w:rsidR="006B6F97" w:rsidRPr="001729F2" w:rsidRDefault="00E025BF" w:rsidP="006B6F97">
                      <w:pPr>
                        <w:pStyle w:val="Tablebulletpoint"/>
                        <w:rPr>
                          <w:color w:val="FFFFFF" w:themeColor="background1"/>
                        </w:rPr>
                      </w:pPr>
                      <w:r>
                        <w:rPr>
                          <w:color w:val="FFFFFF" w:themeColor="background1"/>
                        </w:rPr>
                        <w:t>For imaging</w:t>
                      </w:r>
                      <w:r w:rsidR="0089777E">
                        <w:rPr>
                          <w:color w:val="FFFFFF" w:themeColor="background1"/>
                        </w:rPr>
                        <w:t xml:space="preserve"> and </w:t>
                      </w:r>
                      <w:r>
                        <w:rPr>
                          <w:color w:val="FFFFFF" w:themeColor="background1"/>
                        </w:rPr>
                        <w:t>pathology unlinked costs, these are pooled and spread to linked patients rather than excluded. This is an area of variation to other jurisdictions.</w:t>
                      </w:r>
                    </w:p>
                  </w:txbxContent>
                </v:textbox>
                <w10:anchorlock/>
              </v:shape>
            </w:pict>
          </mc:Fallback>
        </mc:AlternateContent>
      </w:r>
    </w:p>
    <w:p w14:paraId="28FF1659" w14:textId="6E8D2900" w:rsidR="00DA2A6F" w:rsidRPr="00AD1F32" w:rsidRDefault="00DA2A6F" w:rsidP="009F419F">
      <w:pPr>
        <w:pStyle w:val="Heading4"/>
        <w:rPr>
          <w:color w:val="484B5D" w:themeColor="accent3"/>
        </w:rPr>
      </w:pPr>
      <w:r w:rsidRPr="00AD1F32">
        <w:rPr>
          <w:color w:val="484B5D" w:themeColor="accent3"/>
        </w:rPr>
        <w:t>Corporate costs included in costed records</w:t>
      </w:r>
    </w:p>
    <w:p w14:paraId="5E53D304" w14:textId="4B42333D" w:rsidR="00DA2A6F" w:rsidRDefault="00ED6698" w:rsidP="001D0F92">
      <w:r w:rsidRPr="006502A3">
        <w:t>The AHPCS v4.2 provide guidance on the inclusion of corporate overhead expenses. Business Rule 3.1C.3.2 states that ‘</w:t>
      </w:r>
      <w:r w:rsidRPr="006502A3">
        <w:rPr>
          <w:b/>
          <w:bCs/>
          <w:i/>
          <w:iCs/>
        </w:rPr>
        <w:t xml:space="preserve">corporate overhead expenses should not be included for more than one level above the management of the hospital. Expenses related to the direct management of the LHN or corporate management are within scope.’ </w:t>
      </w:r>
      <w:r w:rsidRPr="006502A3">
        <w:t>The table below shows how SA LHNs</w:t>
      </w:r>
      <w:r w:rsidR="00C63E8D">
        <w:t>,</w:t>
      </w:r>
      <w:r w:rsidRPr="006502A3">
        <w:t xml:space="preserve"> are treating corporate costs and allocating them to patients in the costing process.</w:t>
      </w:r>
    </w:p>
    <w:p w14:paraId="0B4E9292" w14:textId="3001937E" w:rsidR="00EB4090" w:rsidRDefault="00EB4090" w:rsidP="00EB4090">
      <w:pPr>
        <w:pStyle w:val="Caption"/>
        <w:keepNext/>
      </w:pPr>
      <w:r>
        <w:t xml:space="preserve">Table </w:t>
      </w:r>
      <w:r>
        <w:fldChar w:fldCharType="begin"/>
      </w:r>
      <w:r>
        <w:instrText xml:space="preserve"> SEQ Table \* ARABIC </w:instrText>
      </w:r>
      <w:r>
        <w:fldChar w:fldCharType="separate"/>
      </w:r>
      <w:r w:rsidR="00CE6F96">
        <w:rPr>
          <w:noProof/>
        </w:rPr>
        <w:t>28</w:t>
      </w:r>
      <w:r>
        <w:fldChar w:fldCharType="end"/>
      </w:r>
      <w:r>
        <w:t xml:space="preserve">: </w:t>
      </w:r>
      <w:r w:rsidRPr="003B2E13">
        <w:t>S</w:t>
      </w:r>
      <w:r w:rsidR="00E65678">
        <w:t>A</w:t>
      </w:r>
      <w:r w:rsidRPr="003B2E13">
        <w:t>LHN treatment of corporate costs and patient allocation costing process</w:t>
      </w:r>
    </w:p>
    <w:tbl>
      <w:tblPr>
        <w:tblStyle w:val="ScyneTable"/>
        <w:tblW w:w="4978"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957"/>
        <w:gridCol w:w="2977"/>
        <w:gridCol w:w="1559"/>
        <w:gridCol w:w="1493"/>
      </w:tblGrid>
      <w:tr w:rsidR="003964D6" w:rsidRPr="00D422F0" w14:paraId="5C0B7650" w14:textId="77777777">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645" w:type="pct"/>
            <w:tcBorders>
              <w:bottom w:val="single" w:sz="18" w:space="0" w:color="EFF0F7" w:themeColor="accent4" w:themeTint="33"/>
            </w:tcBorders>
            <w:shd w:val="clear" w:color="auto" w:fill="464E7E" w:themeFill="accent2"/>
            <w:vAlign w:val="center"/>
            <w:hideMark/>
          </w:tcPr>
          <w:p w14:paraId="53CA9388" w14:textId="77777777" w:rsidR="008135BB" w:rsidRPr="00D422F0" w:rsidRDefault="008135BB">
            <w:pPr>
              <w:pStyle w:val="TableNormalColumnHeading"/>
              <w:rPr>
                <w:rFonts w:asciiTheme="majorHAnsi" w:hAnsiTheme="majorHAnsi"/>
                <w:snapToGrid/>
                <w:sz w:val="20"/>
                <w:lang w:eastAsia="en-AU"/>
              </w:rPr>
            </w:pPr>
            <w:r w:rsidRPr="00D422F0">
              <w:rPr>
                <w:rFonts w:asciiTheme="majorHAnsi" w:hAnsiTheme="majorHAnsi"/>
                <w:sz w:val="20"/>
              </w:rPr>
              <w:t>Type of corporate cost</w:t>
            </w:r>
          </w:p>
        </w:tc>
        <w:tc>
          <w:tcPr>
            <w:tcW w:w="1656" w:type="pct"/>
            <w:tcBorders>
              <w:bottom w:val="single" w:sz="18" w:space="0" w:color="EFF0F7" w:themeColor="accent4" w:themeTint="33"/>
            </w:tcBorders>
            <w:shd w:val="clear" w:color="auto" w:fill="464E7E" w:themeFill="accent2"/>
            <w:vAlign w:val="center"/>
            <w:hideMark/>
          </w:tcPr>
          <w:p w14:paraId="1D8A9F1A" w14:textId="17E51D39" w:rsidR="008135BB" w:rsidRPr="00D422F0" w:rsidRDefault="008135BB">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 xml:space="preserve">Details of whether these are passed onto </w:t>
            </w:r>
            <w:r w:rsidR="00BB2793">
              <w:rPr>
                <w:rFonts w:asciiTheme="majorHAnsi" w:hAnsiTheme="majorHAnsi"/>
                <w:sz w:val="20"/>
              </w:rPr>
              <w:t>LHN</w:t>
            </w:r>
            <w:r w:rsidRPr="00D422F0">
              <w:rPr>
                <w:rFonts w:asciiTheme="majorHAnsi" w:hAnsiTheme="majorHAnsi"/>
                <w:sz w:val="20"/>
              </w:rPr>
              <w:t>s</w:t>
            </w:r>
          </w:p>
        </w:tc>
        <w:tc>
          <w:tcPr>
            <w:tcW w:w="867" w:type="pct"/>
            <w:tcBorders>
              <w:bottom w:val="single" w:sz="18" w:space="0" w:color="EFF0F7" w:themeColor="accent4" w:themeTint="33"/>
            </w:tcBorders>
            <w:shd w:val="clear" w:color="auto" w:fill="464E7E" w:themeFill="accent2"/>
            <w:vAlign w:val="center"/>
            <w:hideMark/>
          </w:tcPr>
          <w:p w14:paraId="6A0661FD" w14:textId="77777777" w:rsidR="008135BB" w:rsidRPr="00D422F0" w:rsidRDefault="008135BB">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Included in patient level costing</w:t>
            </w:r>
          </w:p>
        </w:tc>
        <w:tc>
          <w:tcPr>
            <w:tcW w:w="831" w:type="pct"/>
            <w:tcBorders>
              <w:bottom w:val="single" w:sz="18" w:space="0" w:color="EFF0F7" w:themeColor="accent4" w:themeTint="33"/>
            </w:tcBorders>
            <w:shd w:val="clear" w:color="auto" w:fill="464E7E" w:themeFill="accent2"/>
            <w:vAlign w:val="center"/>
            <w:hideMark/>
          </w:tcPr>
          <w:p w14:paraId="11EA13EF" w14:textId="77777777" w:rsidR="008135BB" w:rsidRPr="00D422F0" w:rsidRDefault="008135BB">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 line with the guidance in the AHPCS</w:t>
            </w:r>
          </w:p>
        </w:tc>
      </w:tr>
      <w:tr w:rsidR="00034380" w:rsidRPr="00D422F0" w14:paraId="04CC227C" w14:textId="77777777">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3EC6C7A2" w14:textId="77777777" w:rsidR="008135BB" w:rsidRPr="00D422F0" w:rsidRDefault="008135BB">
            <w:pPr>
              <w:spacing w:before="120" w:after="120"/>
              <w:rPr>
                <w:lang w:val="en-GB"/>
              </w:rPr>
            </w:pPr>
            <w:r w:rsidRPr="0046606B">
              <w:rPr>
                <w:color w:val="44546A" w:themeColor="text2"/>
              </w:rPr>
              <w:t>Corporate costs at the facility</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AE57342" w14:textId="77777777" w:rsidR="008135BB" w:rsidRPr="00D422F0" w:rsidRDefault="008135BB">
            <w:pPr>
              <w:spacing w:before="120" w:after="120"/>
              <w:cnfStyle w:val="000000000000" w:firstRow="0" w:lastRow="0" w:firstColumn="0" w:lastColumn="0" w:oddVBand="0" w:evenVBand="0" w:oddHBand="0" w:evenHBand="0" w:firstRowFirstColumn="0" w:firstRowLastColumn="0" w:lastRowFirstColumn="0" w:lastRowLastColumn="0"/>
            </w:pPr>
            <w:r w:rsidRPr="0046606B">
              <w:rPr>
                <w:color w:val="44546A" w:themeColor="text2"/>
              </w:rPr>
              <w:t>Included in HSP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F8389E8" w14:textId="77777777" w:rsidR="008135BB" w:rsidRPr="00D422F0" w:rsidRDefault="008135B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44E8EE0" w14:textId="77777777" w:rsidR="008135BB" w:rsidRPr="00D422F0" w:rsidRDefault="008135BB">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017F3AA0" w14:textId="77777777">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2653B34F" w14:textId="763D176C" w:rsidR="008135BB" w:rsidRPr="00D422F0" w:rsidRDefault="008135BB">
            <w:pPr>
              <w:spacing w:before="120" w:after="120"/>
              <w:rPr>
                <w:lang w:val="en-GB"/>
              </w:rPr>
            </w:pPr>
            <w:r w:rsidRPr="0046606B">
              <w:rPr>
                <w:color w:val="44546A" w:themeColor="text2"/>
              </w:rPr>
              <w:t xml:space="preserve">Corporate costs at the </w:t>
            </w:r>
            <w:r w:rsidR="00797773" w:rsidRPr="00BB44BD">
              <w:rPr>
                <w:color w:val="44546A" w:themeColor="text2"/>
              </w:rPr>
              <w:t>facility</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412A361" w14:textId="6233A167" w:rsidR="008135BB" w:rsidRPr="00D422F0" w:rsidRDefault="008135BB">
            <w:pPr>
              <w:spacing w:before="120" w:after="120"/>
              <w:cnfStyle w:val="000000000000" w:firstRow="0" w:lastRow="0" w:firstColumn="0" w:lastColumn="0" w:oddVBand="0" w:evenVBand="0" w:oddHBand="0" w:evenHBand="0" w:firstRowFirstColumn="0" w:firstRowLastColumn="0" w:lastRowFirstColumn="0" w:lastRowLastColumn="0"/>
            </w:pPr>
            <w:r w:rsidRPr="0046606B">
              <w:rPr>
                <w:color w:val="44546A" w:themeColor="text2"/>
              </w:rPr>
              <w:t xml:space="preserve">Included in </w:t>
            </w:r>
            <w:r w:rsidR="00797773" w:rsidRPr="00BB44BD">
              <w:rPr>
                <w:color w:val="44546A" w:themeColor="text2"/>
              </w:rPr>
              <w:t>LHN</w:t>
            </w:r>
            <w:r w:rsidRPr="0046606B">
              <w:rPr>
                <w:color w:val="44546A" w:themeColor="text2"/>
              </w:rPr>
              <w:t xml:space="preserve">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A12BD99" w14:textId="77777777" w:rsidR="008135BB" w:rsidRPr="00D422F0" w:rsidRDefault="008135BB">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C0045B7" w14:textId="77777777" w:rsidR="008135BB" w:rsidRPr="00D422F0" w:rsidRDefault="008135BB">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4B29003E" w14:textId="77777777">
        <w:trPr>
          <w:cantSplit/>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08F8C7FF" w14:textId="7F9F37E0" w:rsidR="008135BB" w:rsidRPr="00D422F0" w:rsidRDefault="008135BB">
            <w:pPr>
              <w:spacing w:before="120" w:after="120"/>
            </w:pPr>
            <w:r w:rsidRPr="0046606B">
              <w:rPr>
                <w:color w:val="44546A" w:themeColor="text2"/>
              </w:rPr>
              <w:t xml:space="preserve">Corporate costs at </w:t>
            </w:r>
            <w:r w:rsidR="00797773" w:rsidRPr="00BB44BD">
              <w:rPr>
                <w:color w:val="44546A" w:themeColor="text2"/>
              </w:rPr>
              <w:t>the LHN</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B4C0E0B" w14:textId="2E6D0D4A" w:rsidR="008135BB" w:rsidRPr="00D422F0" w:rsidRDefault="00797773">
            <w:pPr>
              <w:spacing w:before="120" w:after="120"/>
              <w:cnfStyle w:val="000000000000" w:firstRow="0" w:lastRow="0" w:firstColumn="0" w:lastColumn="0" w:oddVBand="0" w:evenVBand="0" w:oddHBand="0" w:evenHBand="0" w:firstRowFirstColumn="0" w:firstRowLastColumn="0" w:lastRowFirstColumn="0" w:lastRowLastColumn="0"/>
            </w:pPr>
            <w:r w:rsidRPr="00BB44BD">
              <w:rPr>
                <w:color w:val="44546A" w:themeColor="text2"/>
              </w:rPr>
              <w:t>Included in LHN GL</w:t>
            </w:r>
            <w:r>
              <w:rPr>
                <w:color w:val="44546A" w:themeColor="text2"/>
              </w:rPr>
              <w:t>, with exception of special projects and research</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FC39C80" w14:textId="5F041BAA" w:rsidR="008135BB" w:rsidRPr="00D422F0" w:rsidRDefault="00797773">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E57D8E8" w14:textId="77777777" w:rsidR="008135BB" w:rsidRPr="00D422F0" w:rsidRDefault="008135BB">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605863EA" w14:textId="77777777">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7EFB1AB1" w14:textId="25FB7AB0" w:rsidR="008135BB" w:rsidRPr="00B05116" w:rsidRDefault="008135BB">
            <w:pPr>
              <w:spacing w:before="120" w:after="120"/>
              <w:rPr>
                <w:b w:val="0"/>
                <w:bCs/>
              </w:rPr>
            </w:pPr>
            <w:r w:rsidRPr="00B05116">
              <w:rPr>
                <w:b w:val="0"/>
                <w:bCs/>
                <w:color w:val="44546A" w:themeColor="text2"/>
              </w:rPr>
              <w:t xml:space="preserve">Corporate costs at </w:t>
            </w:r>
            <w:r w:rsidR="00797773" w:rsidRPr="00797773">
              <w:rPr>
                <w:b w:val="0"/>
                <w:bCs/>
                <w:color w:val="44546A" w:themeColor="text2"/>
              </w:rPr>
              <w:t>share service functions</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23C0625" w14:textId="49C76119" w:rsidR="008135BB" w:rsidRPr="00B05116" w:rsidRDefault="00797773">
            <w:pPr>
              <w:spacing w:before="120" w:after="120"/>
              <w:cnfStyle w:val="010000000000" w:firstRow="0" w:lastRow="1" w:firstColumn="0" w:lastColumn="0" w:oddVBand="0" w:evenVBand="0" w:oddHBand="0" w:evenHBand="0" w:firstRowFirstColumn="0" w:firstRowLastColumn="0" w:lastRowFirstColumn="0" w:lastRowLastColumn="0"/>
              <w:rPr>
                <w:b w:val="0"/>
                <w:bCs/>
              </w:rPr>
            </w:pPr>
            <w:r w:rsidRPr="00797773">
              <w:rPr>
                <w:b w:val="0"/>
                <w:bCs/>
                <w:color w:val="44546A" w:themeColor="text2"/>
              </w:rPr>
              <w:t>Only corporate costs for the function delivering the direct services (i.e. the laboratory performing tests, not the whole shared function)</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3C46712" w14:textId="77777777" w:rsidR="008135BB" w:rsidRPr="00B05116" w:rsidRDefault="008135BB">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b w:val="0"/>
                <w:bCs/>
              </w:rPr>
            </w:pPr>
            <w:r w:rsidRPr="00B05116">
              <w:rPr>
                <w:rFonts w:ascii="Segoe UI Symbol" w:hAnsi="Segoe UI Symbol" w:cs="Segoe UI Symbol"/>
                <w:b w:val="0"/>
                <w:bC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0B30F22" w14:textId="77777777" w:rsidR="008135BB" w:rsidRPr="00B05116" w:rsidRDefault="008135BB">
            <w:pPr>
              <w:spacing w:before="120" w:after="120"/>
              <w:jc w:val="center"/>
              <w:cnfStyle w:val="010000000000" w:firstRow="0" w:lastRow="1" w:firstColumn="0" w:lastColumn="0" w:oddVBand="0" w:evenVBand="0" w:oddHBand="0" w:evenHBand="0" w:firstRowFirstColumn="0" w:firstRowLastColumn="0" w:lastRowFirstColumn="0" w:lastRowLastColumn="0"/>
              <w:rPr>
                <w:b w:val="0"/>
                <w:bCs/>
              </w:rPr>
            </w:pPr>
            <w:r w:rsidRPr="00B05116">
              <w:rPr>
                <w:rFonts w:ascii="Segoe UI Symbol" w:hAnsi="Segoe UI Symbol" w:cs="Segoe UI Symbol"/>
                <w:b w:val="0"/>
                <w:bCs/>
                <w:lang w:val="en-US"/>
              </w:rPr>
              <w:t>✔</w:t>
            </w:r>
          </w:p>
        </w:tc>
      </w:tr>
    </w:tbl>
    <w:p w14:paraId="31AC7BB5" w14:textId="77777777" w:rsidR="00ED6698" w:rsidRDefault="00ED6698" w:rsidP="001D0F92"/>
    <w:p w14:paraId="6C7859C6" w14:textId="6FD18B43" w:rsidR="00982B27" w:rsidRDefault="00982B27" w:rsidP="00982B27">
      <w:pPr>
        <w:spacing w:before="120"/>
      </w:pPr>
      <w:r w:rsidRPr="00876688">
        <w:lastRenderedPageBreak/>
        <w:t xml:space="preserve">Further work is being undertaken at the department to understand whether any of the </w:t>
      </w:r>
      <w:r>
        <w:t>department’s</w:t>
      </w:r>
      <w:r w:rsidRPr="00876688">
        <w:t xml:space="preserve"> corporate costs should be recharged to LHN’s </w:t>
      </w:r>
      <w:r>
        <w:t>and be included</w:t>
      </w:r>
      <w:r w:rsidRPr="00876688">
        <w:t xml:space="preserve"> in costing submissions (in line with </w:t>
      </w:r>
      <w:r>
        <w:t>AHPCS v4.2</w:t>
      </w:r>
      <w:r w:rsidRPr="00876688">
        <w:t>).</w:t>
      </w:r>
    </w:p>
    <w:p w14:paraId="0F7B09C4" w14:textId="672695D9" w:rsidR="00982B27" w:rsidRDefault="00982B27" w:rsidP="00982B27">
      <w:pPr>
        <w:pStyle w:val="Heading3"/>
      </w:pPr>
      <w:r>
        <w:t>Reconciliation from GL to submitted costs</w:t>
      </w:r>
    </w:p>
    <w:p w14:paraId="3C22E96A" w14:textId="153006E6" w:rsidR="00ED6698" w:rsidRDefault="00A707A1" w:rsidP="00982B27">
      <w:pPr>
        <w:spacing w:before="120"/>
      </w:pPr>
      <w:r w:rsidRPr="00BB44BD">
        <w:rPr>
          <w:color w:val="44546A" w:themeColor="text2"/>
        </w:rPr>
        <w:t>One SA LHN participated in the IFR</w:t>
      </w:r>
      <w:r w:rsidR="001A2B89">
        <w:rPr>
          <w:color w:val="44546A" w:themeColor="text2"/>
        </w:rPr>
        <w:t>:</w:t>
      </w:r>
      <w:r w:rsidRPr="00BB44BD">
        <w:rPr>
          <w:color w:val="44546A" w:themeColor="text2"/>
        </w:rPr>
        <w:t xml:space="preserve"> </w:t>
      </w:r>
      <w:r>
        <w:rPr>
          <w:color w:val="44546A" w:themeColor="text2"/>
        </w:rPr>
        <w:t>SALHN</w:t>
      </w:r>
      <w:r w:rsidRPr="00BB44BD">
        <w:rPr>
          <w:color w:val="44546A" w:themeColor="text2"/>
        </w:rPr>
        <w:t>.</w:t>
      </w:r>
      <w:r w:rsidRPr="00BB44BD">
        <w:t xml:space="preserve"> This section discusses major variances, reconciling items and adjustments from the </w:t>
      </w:r>
      <w:r>
        <w:t>GL</w:t>
      </w:r>
      <w:r w:rsidRPr="00BB44BD">
        <w:t xml:space="preserve"> of the participating </w:t>
      </w:r>
      <w:r w:rsidR="00985D51">
        <w:t>LHN</w:t>
      </w:r>
      <w:r w:rsidRPr="00BB44BD">
        <w:t xml:space="preserve"> from SA, through to the costed products submitted to IHACPA in the NHCDC submission.</w:t>
      </w:r>
    </w:p>
    <w:p w14:paraId="71468AB1" w14:textId="46220347" w:rsidR="00A707A1" w:rsidRPr="00AD1F32" w:rsidRDefault="00A707A1" w:rsidP="009F419F">
      <w:pPr>
        <w:pStyle w:val="Heading4"/>
        <w:rPr>
          <w:color w:val="484B5D" w:themeColor="accent3"/>
        </w:rPr>
      </w:pPr>
      <w:r w:rsidRPr="00AD1F32">
        <w:rPr>
          <w:color w:val="484B5D" w:themeColor="accent3"/>
        </w:rPr>
        <w:t>Reconciliation from GL to NHCDC – Southern Adelaide LHN</w:t>
      </w:r>
    </w:p>
    <w:p w14:paraId="18F86958" w14:textId="77777777" w:rsidR="006F2E6D" w:rsidRPr="003226E9" w:rsidRDefault="006F2E6D" w:rsidP="006F2E6D">
      <w:r w:rsidRPr="003226E9">
        <w:t xml:space="preserve">SA’s total reported costs were </w:t>
      </w:r>
      <w:r w:rsidRPr="00AD1F32">
        <w:t>$6.23 billion (representing 8.4% of national costs).</w:t>
      </w:r>
    </w:p>
    <w:p w14:paraId="0CEE2153" w14:textId="77777777" w:rsidR="006F2E6D" w:rsidRPr="003226E9" w:rsidRDefault="006F2E6D" w:rsidP="006044E0">
      <w:pPr>
        <w:pStyle w:val="ListParagraph"/>
        <w:numPr>
          <w:ilvl w:val="0"/>
          <w:numId w:val="8"/>
        </w:numPr>
      </w:pPr>
      <w:r w:rsidRPr="003226E9">
        <w:t>SALHN’s GL was $1.60 billion.</w:t>
      </w:r>
    </w:p>
    <w:p w14:paraId="26812427" w14:textId="77777777" w:rsidR="006F2E6D" w:rsidRPr="003226E9" w:rsidRDefault="006F2E6D" w:rsidP="006044E0">
      <w:pPr>
        <w:pStyle w:val="ListParagraph"/>
        <w:numPr>
          <w:ilvl w:val="1"/>
          <w:numId w:val="8"/>
        </w:numPr>
      </w:pPr>
      <w:r w:rsidRPr="003226E9">
        <w:t xml:space="preserve">Their submitted costs to the NHCDC were </w:t>
      </w:r>
      <w:r w:rsidRPr="003226E9">
        <w:rPr>
          <w:rFonts w:asciiTheme="minorHAnsi" w:hAnsiTheme="minorHAnsi" w:cs="Arial"/>
        </w:rPr>
        <w:t>$1.44 billion</w:t>
      </w:r>
      <w:r w:rsidRPr="003226E9">
        <w:t xml:space="preserve"> (representing 23.1% of SA costs).</w:t>
      </w:r>
    </w:p>
    <w:p w14:paraId="4354AC15" w14:textId="77777777" w:rsidR="006F2E6D" w:rsidRPr="00863CA8" w:rsidRDefault="006F2E6D" w:rsidP="006044E0">
      <w:pPr>
        <w:pStyle w:val="ListParagraph"/>
        <w:numPr>
          <w:ilvl w:val="1"/>
          <w:numId w:val="8"/>
        </w:numPr>
      </w:pPr>
      <w:r w:rsidRPr="00863CA8">
        <w:t>Overall, SALHN submitted 90% of their GL to the NHCDC.</w:t>
      </w:r>
    </w:p>
    <w:p w14:paraId="225A7926" w14:textId="77777777" w:rsidR="006F2E6D" w:rsidRPr="00863CA8" w:rsidRDefault="006F2E6D" w:rsidP="006044E0">
      <w:pPr>
        <w:pStyle w:val="ListParagraph"/>
        <w:numPr>
          <w:ilvl w:val="1"/>
          <w:numId w:val="8"/>
        </w:numPr>
      </w:pPr>
      <w:r w:rsidRPr="00863CA8">
        <w:t>$1</w:t>
      </w:r>
      <w:r>
        <w:t>6</w:t>
      </w:r>
      <w:r w:rsidRPr="00863CA8">
        <w:t>0 million costs (10% of GL) were not included in NHCDC submissions for a variety of reasons including being out</w:t>
      </w:r>
      <w:r>
        <w:t>-</w:t>
      </w:r>
      <w:r w:rsidRPr="00863CA8">
        <w:t>of</w:t>
      </w:r>
      <w:r>
        <w:t>-</w:t>
      </w:r>
      <w:r w:rsidRPr="00863CA8">
        <w:t>scope, or an inability to link costs and activity due to data quality issues.</w:t>
      </w:r>
    </w:p>
    <w:p w14:paraId="5840E6DE" w14:textId="258C0755" w:rsidR="00A707A1" w:rsidRDefault="005A703A" w:rsidP="00EC0C63">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39</w:t>
      </w:r>
      <w:r w:rsidR="00BD5B5E">
        <w:fldChar w:fldCharType="end"/>
      </w:r>
      <w:r>
        <w:t xml:space="preserve">: </w:t>
      </w:r>
      <w:r w:rsidRPr="00F23AC1">
        <w:t>Waterfall from GL to NHCDC submitted costs – Southern Adelaide LHN</w:t>
      </w:r>
    </w:p>
    <w:p w14:paraId="3A9EF431" w14:textId="006B9C50" w:rsidR="003604F0" w:rsidRPr="00C44CA4" w:rsidRDefault="00F975A9" w:rsidP="00156AA0">
      <w:pPr>
        <w:spacing w:before="120"/>
      </w:pPr>
      <w:r>
        <w:rPr>
          <w:noProof/>
        </w:rPr>
        <mc:AlternateContent>
          <mc:Choice Requires="wpg">
            <w:drawing>
              <wp:anchor distT="0" distB="0" distL="114300" distR="114300" simplePos="0" relativeHeight="251658320" behindDoc="0" locked="0" layoutInCell="1" allowOverlap="1" wp14:anchorId="57B67CAB" wp14:editId="2CE0B73B">
                <wp:simplePos x="0" y="0"/>
                <wp:positionH relativeFrom="column">
                  <wp:posOffset>403761</wp:posOffset>
                </wp:positionH>
                <wp:positionV relativeFrom="paragraph">
                  <wp:posOffset>2291938</wp:posOffset>
                </wp:positionV>
                <wp:extent cx="5517152" cy="583565"/>
                <wp:effectExtent l="0" t="0" r="0" b="0"/>
                <wp:wrapTopAndBottom/>
                <wp:docPr id="1817826851" name="Group 10" descr="P2862#y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7152" cy="583565"/>
                          <a:chOff x="0" y="0"/>
                          <a:chExt cx="5517152" cy="583565"/>
                        </a:xfrm>
                      </wpg:grpSpPr>
                      <wps:wsp>
                        <wps:cNvPr id="1144894993" name="TextBox 5"/>
                        <wps:cNvSpPr txBox="1"/>
                        <wps:spPr>
                          <a:xfrm>
                            <a:off x="0" y="0"/>
                            <a:ext cx="683895" cy="262255"/>
                          </a:xfrm>
                          <a:prstGeom prst="rect">
                            <a:avLst/>
                          </a:prstGeom>
                          <a:noFill/>
                        </wps:spPr>
                        <wps:txbx>
                          <w:txbxContent>
                            <w:p w14:paraId="5CC88C5C"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SAHLN GL</w:t>
                              </w:r>
                            </w:p>
                          </w:txbxContent>
                        </wps:txbx>
                        <wps:bodyPr wrap="square" lIns="0" tIns="0" rIns="0" bIns="0" rtlCol="0">
                          <a:noAutofit/>
                        </wps:bodyPr>
                      </wps:wsp>
                      <wps:wsp>
                        <wps:cNvPr id="93153183" name="TextBox 6"/>
                        <wps:cNvSpPr txBox="1"/>
                        <wps:spPr>
                          <a:xfrm>
                            <a:off x="688769" y="0"/>
                            <a:ext cx="683895" cy="262255"/>
                          </a:xfrm>
                          <a:prstGeom prst="rect">
                            <a:avLst/>
                          </a:prstGeom>
                          <a:noFill/>
                        </wps:spPr>
                        <wps:txbx>
                          <w:txbxContent>
                            <w:p w14:paraId="49262CB4"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Inclusions</w:t>
                              </w:r>
                            </w:p>
                          </w:txbxContent>
                        </wps:txbx>
                        <wps:bodyPr wrap="square" lIns="0" tIns="0" rIns="0" bIns="0" rtlCol="0">
                          <a:noAutofit/>
                        </wps:bodyPr>
                      </wps:wsp>
                      <wps:wsp>
                        <wps:cNvPr id="159104235" name="TextBox 7"/>
                        <wps:cNvSpPr txBox="1"/>
                        <wps:spPr>
                          <a:xfrm>
                            <a:off x="1377538" y="0"/>
                            <a:ext cx="683895" cy="262255"/>
                          </a:xfrm>
                          <a:prstGeom prst="rect">
                            <a:avLst/>
                          </a:prstGeom>
                          <a:noFill/>
                        </wps:spPr>
                        <wps:txbx>
                          <w:txbxContent>
                            <w:p w14:paraId="547BEEC9"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Restated GL</w:t>
                              </w:r>
                            </w:p>
                          </w:txbxContent>
                        </wps:txbx>
                        <wps:bodyPr wrap="square" lIns="0" tIns="0" rIns="0" bIns="0" rtlCol="0">
                          <a:noAutofit/>
                        </wps:bodyPr>
                      </wps:wsp>
                      <wps:wsp>
                        <wps:cNvPr id="347220923" name="TextBox 8"/>
                        <wps:cNvSpPr txBox="1"/>
                        <wps:spPr>
                          <a:xfrm>
                            <a:off x="2066307" y="0"/>
                            <a:ext cx="683895" cy="262255"/>
                          </a:xfrm>
                          <a:prstGeom prst="rect">
                            <a:avLst/>
                          </a:prstGeom>
                          <a:noFill/>
                        </wps:spPr>
                        <wps:txbx>
                          <w:txbxContent>
                            <w:p w14:paraId="402DA4A3"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Non-ABF</w:t>
                              </w:r>
                            </w:p>
                          </w:txbxContent>
                        </wps:txbx>
                        <wps:bodyPr wrap="square" lIns="0" tIns="0" rIns="0" bIns="0" rtlCol="0">
                          <a:noAutofit/>
                        </wps:bodyPr>
                      </wps:wsp>
                      <wps:wsp>
                        <wps:cNvPr id="1978891822" name="TextBox 9"/>
                        <wps:cNvSpPr txBox="1"/>
                        <wps:spPr>
                          <a:xfrm>
                            <a:off x="2766951" y="0"/>
                            <a:ext cx="683895" cy="422910"/>
                          </a:xfrm>
                          <a:prstGeom prst="rect">
                            <a:avLst/>
                          </a:prstGeom>
                          <a:noFill/>
                        </wps:spPr>
                        <wps:txbx>
                          <w:txbxContent>
                            <w:p w14:paraId="73130DFD"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Jurisdiction exclusions</w:t>
                              </w:r>
                            </w:p>
                          </w:txbxContent>
                        </wps:txbx>
                        <wps:bodyPr wrap="square" lIns="0" tIns="0" rIns="0" bIns="0" rtlCol="0">
                          <a:noAutofit/>
                        </wps:bodyPr>
                      </wps:wsp>
                      <wps:wsp>
                        <wps:cNvPr id="471013603" name="TextBox 10"/>
                        <wps:cNvSpPr txBox="1"/>
                        <wps:spPr>
                          <a:xfrm>
                            <a:off x="4144488" y="0"/>
                            <a:ext cx="683895" cy="422910"/>
                          </a:xfrm>
                          <a:prstGeom prst="rect">
                            <a:avLst/>
                          </a:prstGeom>
                          <a:noFill/>
                        </wps:spPr>
                        <wps:txbx>
                          <w:txbxContent>
                            <w:p w14:paraId="2453F554"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Other exclusions</w:t>
                              </w:r>
                            </w:p>
                          </w:txbxContent>
                        </wps:txbx>
                        <wps:bodyPr wrap="square" lIns="0" tIns="0" rIns="0" bIns="0" rtlCol="0">
                          <a:noAutofit/>
                        </wps:bodyPr>
                      </wps:wsp>
                      <wps:wsp>
                        <wps:cNvPr id="1559791385" name="TextBox 11"/>
                        <wps:cNvSpPr txBox="1"/>
                        <wps:spPr>
                          <a:xfrm>
                            <a:off x="4833257" y="0"/>
                            <a:ext cx="683895" cy="422910"/>
                          </a:xfrm>
                          <a:prstGeom prst="rect">
                            <a:avLst/>
                          </a:prstGeom>
                          <a:noFill/>
                        </wps:spPr>
                        <wps:txbx>
                          <w:txbxContent>
                            <w:p w14:paraId="029FD175"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Submitted to IHACPA</w:t>
                              </w:r>
                            </w:p>
                          </w:txbxContent>
                        </wps:txbx>
                        <wps:bodyPr wrap="square" lIns="0" tIns="0" rIns="0" bIns="0" rtlCol="0">
                          <a:noAutofit/>
                        </wps:bodyPr>
                      </wps:wsp>
                      <wps:wsp>
                        <wps:cNvPr id="245377069" name="TextBox 12"/>
                        <wps:cNvSpPr txBox="1"/>
                        <wps:spPr>
                          <a:xfrm>
                            <a:off x="3455720" y="0"/>
                            <a:ext cx="683895" cy="583565"/>
                          </a:xfrm>
                          <a:prstGeom prst="rect">
                            <a:avLst/>
                          </a:prstGeom>
                          <a:noFill/>
                        </wps:spPr>
                        <wps:txbx>
                          <w:txbxContent>
                            <w:p w14:paraId="6B92EF8F"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Transfers / costed elsewhere</w:t>
                              </w:r>
                            </w:p>
                          </w:txbxContent>
                        </wps:txbx>
                        <wps:bodyPr wrap="square" lIns="0" tIns="0" rIns="0" bIns="0" rtlCol="0">
                          <a:noAutofit/>
                        </wps:bodyPr>
                      </wps:wsp>
                    </wpg:wgp>
                  </a:graphicData>
                </a:graphic>
              </wp:anchor>
            </w:drawing>
          </mc:Choice>
          <mc:Fallback>
            <w:pict>
              <v:group w14:anchorId="57B67CAB" id="_x0000_s1290" alt="P2862#y2" style="position:absolute;margin-left:31.8pt;margin-top:180.45pt;width:434.4pt;height:45.95pt;z-index:251658320;mso-position-horizontal-relative:text;mso-position-vertical-relative:text" coordsize="55171,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">
                <v:shape id="TextBox 5" o:spid="_x0000_s1291" type="#_x0000_t202" style="position:absolute;width:683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" filled="f" stroked="f">
                  <v:textbox inset="0,0,0,0">
                    <w:txbxContent>
                      <w:p w14:paraId="5CC88C5C"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SAHLN GL</w:t>
                        </w:r>
                      </w:p>
                    </w:txbxContent>
                  </v:textbox>
                </v:shape>
                <v:shape id="TextBox 6" o:spid="_x0000_s1292" type="#_x0000_t202" style="position:absolute;left:6887;width:683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" filled="f" stroked="f">
                  <v:textbox inset="0,0,0,0">
                    <w:txbxContent>
                      <w:p w14:paraId="49262CB4"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Inclusions</w:t>
                        </w:r>
                      </w:p>
                    </w:txbxContent>
                  </v:textbox>
                </v:shape>
                <v:shape id="TextBox 7" o:spid="_x0000_s1293" type="#_x0000_t202" style="position:absolute;left:13775;width:683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" filled="f" stroked="f">
                  <v:textbox inset="0,0,0,0">
                    <w:txbxContent>
                      <w:p w14:paraId="547BEEC9"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Restated GL</w:t>
                        </w:r>
                      </w:p>
                    </w:txbxContent>
                  </v:textbox>
                </v:shape>
                <v:shape id="TextBox 8" o:spid="_x0000_s1294" type="#_x0000_t202" style="position:absolute;left:20663;width:683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" filled="f" stroked="f">
                  <v:textbox inset="0,0,0,0">
                    <w:txbxContent>
                      <w:p w14:paraId="402DA4A3"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Non-ABF</w:t>
                        </w:r>
                      </w:p>
                    </w:txbxContent>
                  </v:textbox>
                </v:shape>
                <v:shape id="TextBox 9" o:spid="_x0000_s1295" type="#_x0000_t202" style="position:absolute;left:27669;width:683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" filled="f" stroked="f">
                  <v:textbox inset="0,0,0,0">
                    <w:txbxContent>
                      <w:p w14:paraId="73130DFD"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Jurisdiction exclusions</w:t>
                        </w:r>
                      </w:p>
                    </w:txbxContent>
                  </v:textbox>
                </v:shape>
                <v:shape id="TextBox 10" o:spid="_x0000_s1296" type="#_x0000_t202" style="position:absolute;left:41444;width:683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" filled="f" stroked="f">
                  <v:textbox inset="0,0,0,0">
                    <w:txbxContent>
                      <w:p w14:paraId="2453F554"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Other exclusions</w:t>
                        </w:r>
                      </w:p>
                    </w:txbxContent>
                  </v:textbox>
                </v:shape>
                <v:shape id="TextBox 11" o:spid="_x0000_s1297" type="#_x0000_t202" style="position:absolute;left:48332;width:683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" filled="f" stroked="f">
                  <v:textbox inset="0,0,0,0">
                    <w:txbxContent>
                      <w:p w14:paraId="029FD175"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Submitted to IHACPA</w:t>
                        </w:r>
                      </w:p>
                    </w:txbxContent>
                  </v:textbox>
                </v:shape>
                <v:shape id="TextBox 12" o:spid="_x0000_s1298" type="#_x0000_t202" style="position:absolute;left:34557;width:6839;height:5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" filled="f" stroked="f">
                  <v:textbox inset="0,0,0,0">
                    <w:txbxContent>
                      <w:p w14:paraId="6B92EF8F" w14:textId="77777777" w:rsidR="00156AA0" w:rsidRPr="00921A3C" w:rsidRDefault="00156AA0" w:rsidP="00E6217E">
                        <w:pPr>
                          <w:spacing w:line="240" w:lineRule="auto"/>
                          <w:jc w:val="center"/>
                          <w:rPr>
                            <w:rFonts w:asciiTheme="minorHAnsi"/>
                            <w:color w:val="404040" w:themeColor="text1" w:themeTint="BF"/>
                            <w:kern w:val="24"/>
                          </w:rPr>
                        </w:pPr>
                        <w:r w:rsidRPr="00921A3C">
                          <w:rPr>
                            <w:rFonts w:asciiTheme="minorHAnsi"/>
                            <w:color w:val="404040" w:themeColor="text1" w:themeTint="BF"/>
                            <w:kern w:val="24"/>
                          </w:rPr>
                          <w:t>Transfers / costed elsewhere</w:t>
                        </w:r>
                      </w:p>
                    </w:txbxContent>
                  </v:textbox>
                </v:shape>
                <w10:wrap type="topAndBottom"/>
              </v:group>
            </w:pict>
          </mc:Fallback>
        </mc:AlternateContent>
      </w:r>
      <w:r w:rsidR="00D93A72" w:rsidRPr="00D93A72">
        <w:rPr>
          <w:noProof/>
        </w:rPr>
        <mc:AlternateContent>
          <mc:Choice Requires="cx1">
            <w:drawing>
              <wp:anchor distT="0" distB="0" distL="114300" distR="114300" simplePos="0" relativeHeight="251658269" behindDoc="0" locked="0" layoutInCell="1" allowOverlap="1" wp14:anchorId="6C31D8DD" wp14:editId="1F4D042A">
                <wp:simplePos x="0" y="0"/>
                <wp:positionH relativeFrom="margin">
                  <wp:align>center</wp:align>
                </wp:positionH>
                <wp:positionV relativeFrom="paragraph">
                  <wp:posOffset>0</wp:posOffset>
                </wp:positionV>
                <wp:extent cx="6294120" cy="2353310"/>
                <wp:effectExtent l="0" t="0" r="11430" b="0"/>
                <wp:wrapTopAndBottom/>
                <wp:docPr id="541194713" name="Chart 1" descr="P2862#y1">
                  <a:extLst xmlns:a="http://schemas.openxmlformats.org/drawingml/2006/main">
                    <a:ext uri="{FF2B5EF4-FFF2-40B4-BE49-F238E27FC236}">
                      <a16:creationId xmlns:a16="http://schemas.microsoft.com/office/drawing/2014/main" id="{FCFA429A-817A-4C5F-B003-9B5F17D5016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3"/>
                  </a:graphicData>
                </a:graphic>
              </wp:anchor>
            </w:drawing>
          </mc:Choice>
          <mc:Fallback>
            <w:drawing>
              <wp:anchor distT="0" distB="0" distL="114300" distR="114300" simplePos="0" relativeHeight="251658269" behindDoc="0" locked="0" layoutInCell="1" allowOverlap="1" wp14:anchorId="6C31D8DD" wp14:editId="1F4D042A">
                <wp:simplePos x="0" y="0"/>
                <wp:positionH relativeFrom="margin">
                  <wp:align>center</wp:align>
                </wp:positionH>
                <wp:positionV relativeFrom="paragraph">
                  <wp:posOffset>0</wp:posOffset>
                </wp:positionV>
                <wp:extent cx="6294120" cy="2353310"/>
                <wp:effectExtent l="0" t="0" r="11430" b="0"/>
                <wp:wrapTopAndBottom/>
                <wp:docPr id="541194713" name="Chart 1" descr="The image is a waterfall chart showing adjustments from initial GL to final submitted costs. Starting value: SALHN GL is $1,603M. Inclusions add $71M; Restated GL is $1,674M. Non-ABF adjustments subtract $26m; Jurisdiction exclusions subtract $45m, Transfers subtract 25m, other exclusions subtract $137m. Submitted to IHACPA costs are $1,440m.">
                  <a:extLst xmlns:a="http://schemas.openxmlformats.org/drawingml/2006/main">
                    <a:ext uri="{FF2B5EF4-FFF2-40B4-BE49-F238E27FC236}">
                      <a16:creationId xmlns:a16="http://schemas.microsoft.com/office/drawing/2014/main" id="{FCFA429A-817A-4C5F-B003-9B5F17D5016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1194713" name="Chart 1" descr="The image is a waterfall chart showing adjustments from initial GL to final submitted costs. Starting value: SALHN GL is $1,603M. Inclusions add $71M; Restated GL is $1,674M. Non-ABF adjustments subtract $26m; Jurisdiction exclusions subtract $45m, Transfers subtract 25m, other exclusions subtract $137m. Submitted to IHACPA costs are $1,440m.">
                          <a:extLst>
                            <a:ext uri="{FF2B5EF4-FFF2-40B4-BE49-F238E27FC236}">
                              <a16:creationId xmlns:a16="http://schemas.microsoft.com/office/drawing/2014/main" id="{FCFA429A-817A-4C5F-B003-9B5F17D5016D}"/>
                            </a:ext>
                          </a:extLst>
                        </pic:cNvPr>
                        <pic:cNvPicPr>
                          <a:picLocks noGrp="1" noRot="1" noChangeAspect="1" noMove="1" noResize="1" noEditPoints="1" noAdjustHandles="1" noChangeArrowheads="1" noChangeShapeType="1"/>
                        </pic:cNvPicPr>
                      </pic:nvPicPr>
                      <pic:blipFill>
                        <a:blip r:embed="rId104"/>
                        <a:stretch>
                          <a:fillRect/>
                        </a:stretch>
                      </pic:blipFill>
                      <pic:spPr>
                        <a:xfrm>
                          <a:off x="0" y="0"/>
                          <a:ext cx="6294120" cy="2353310"/>
                        </a:xfrm>
                        <a:prstGeom prst="rect">
                          <a:avLst/>
                        </a:prstGeom>
                      </pic:spPr>
                    </pic:pic>
                  </a:graphicData>
                </a:graphic>
              </wp:anchor>
            </w:drawing>
          </mc:Fallback>
        </mc:AlternateContent>
      </w:r>
      <w:r w:rsidR="003604F0" w:rsidRPr="00C44CA4">
        <w:t xml:space="preserve">This section discusses adjustments from </w:t>
      </w:r>
      <w:r w:rsidR="003604F0">
        <w:t>SALHN’s</w:t>
      </w:r>
      <w:r w:rsidR="003604F0" w:rsidRPr="00C44CA4">
        <w:t xml:space="preserve"> </w:t>
      </w:r>
      <w:r w:rsidR="003604F0">
        <w:t>GL</w:t>
      </w:r>
      <w:r w:rsidR="003604F0" w:rsidRPr="00C44CA4">
        <w:t>, through to the costed products ($) submitted to IHACPA in the NHCDC submission.</w:t>
      </w:r>
    </w:p>
    <w:p w14:paraId="7F0AC29B" w14:textId="77777777" w:rsidR="003604F0" w:rsidRDefault="003604F0" w:rsidP="006044E0">
      <w:pPr>
        <w:pStyle w:val="ListParagraph"/>
        <w:numPr>
          <w:ilvl w:val="0"/>
          <w:numId w:val="9"/>
        </w:numPr>
      </w:pPr>
      <w:r w:rsidRPr="00C44CA4">
        <w:rPr>
          <w:b/>
          <w:bCs/>
        </w:rPr>
        <w:t>Inclusions</w:t>
      </w:r>
      <w:r w:rsidRPr="00C44CA4">
        <w:t xml:space="preserve"> – $</w:t>
      </w:r>
      <w:r>
        <w:t>71 million</w:t>
      </w:r>
      <w:r w:rsidRPr="00C44CA4">
        <w:t xml:space="preserve"> </w:t>
      </w:r>
      <w:r>
        <w:t xml:space="preserve">of costs were added to the SALHN </w:t>
      </w:r>
      <w:r w:rsidRPr="00C44CA4">
        <w:t xml:space="preserve">GL </w:t>
      </w:r>
      <w:r>
        <w:t>amount. This was made up of:</w:t>
      </w:r>
    </w:p>
    <w:p w14:paraId="5AD8A719" w14:textId="3F74A869" w:rsidR="003604F0" w:rsidRDefault="003604F0" w:rsidP="006044E0">
      <w:pPr>
        <w:pStyle w:val="ListParagraph"/>
        <w:numPr>
          <w:ilvl w:val="1"/>
          <w:numId w:val="9"/>
        </w:numPr>
      </w:pPr>
      <w:r w:rsidRPr="00C44CA4">
        <w:t>Blood Products ($9</w:t>
      </w:r>
      <w:r>
        <w:t xml:space="preserve"> million</w:t>
      </w:r>
      <w:r w:rsidRPr="00C44CA4">
        <w:t xml:space="preserve">) </w:t>
      </w:r>
      <w:r w:rsidR="00E96993">
        <w:t>that</w:t>
      </w:r>
      <w:r w:rsidR="00E96993" w:rsidRPr="00C44CA4">
        <w:t xml:space="preserve"> </w:t>
      </w:r>
      <w:r>
        <w:t>are held</w:t>
      </w:r>
      <w:r w:rsidRPr="00C44CA4">
        <w:t xml:space="preserve"> in the </w:t>
      </w:r>
      <w:r>
        <w:t>department’s</w:t>
      </w:r>
      <w:r w:rsidRPr="00C44CA4">
        <w:t xml:space="preserve"> GL</w:t>
      </w:r>
      <w:r>
        <w:t>,</w:t>
      </w:r>
      <w:r w:rsidRPr="00C44CA4">
        <w:t xml:space="preserve"> </w:t>
      </w:r>
    </w:p>
    <w:p w14:paraId="448F4E69" w14:textId="45B47FE7" w:rsidR="003604F0" w:rsidRDefault="003604F0" w:rsidP="006044E0">
      <w:pPr>
        <w:pStyle w:val="ListParagraph"/>
        <w:numPr>
          <w:ilvl w:val="1"/>
          <w:numId w:val="9"/>
        </w:numPr>
      </w:pPr>
      <w:r>
        <w:t xml:space="preserve">Costs relating to the </w:t>
      </w:r>
      <w:r w:rsidRPr="00C44CA4">
        <w:t>Rights of Private Practice</w:t>
      </w:r>
      <w:r>
        <w:t xml:space="preserve"> ($10</w:t>
      </w:r>
      <w:r w:rsidR="005D787B">
        <w:t xml:space="preserve"> million</w:t>
      </w:r>
      <w:r>
        <w:t>), which are held in a separate administrative ledger,</w:t>
      </w:r>
    </w:p>
    <w:p w14:paraId="48BFF44D" w14:textId="796DAB78" w:rsidR="003604F0" w:rsidRDefault="003604F0" w:rsidP="006044E0">
      <w:pPr>
        <w:pStyle w:val="ListParagraph"/>
        <w:numPr>
          <w:ilvl w:val="1"/>
          <w:numId w:val="9"/>
        </w:numPr>
      </w:pPr>
      <w:r>
        <w:t xml:space="preserve">Pharmacy services relating to SALHN ($41 million), </w:t>
      </w:r>
      <w:r w:rsidR="00E96993">
        <w:t xml:space="preserve">that </w:t>
      </w:r>
      <w:r>
        <w:t>sit within the CALHN GL,</w:t>
      </w:r>
    </w:p>
    <w:p w14:paraId="070C05DE" w14:textId="6F0F1833" w:rsidR="003604F0" w:rsidRPr="000B6F81" w:rsidRDefault="003604F0" w:rsidP="006044E0">
      <w:pPr>
        <w:pStyle w:val="ListParagraph"/>
        <w:numPr>
          <w:ilvl w:val="1"/>
          <w:numId w:val="9"/>
        </w:numPr>
      </w:pPr>
      <w:r>
        <w:lastRenderedPageBreak/>
        <w:t xml:space="preserve">The remaining $11 million related to costs </w:t>
      </w:r>
      <w:r w:rsidR="00E96993">
        <w:t xml:space="preserve">that </w:t>
      </w:r>
      <w:r>
        <w:t xml:space="preserve">are held in the GL of other LHNs but relate to SALHN activities including the Glenside facility </w:t>
      </w:r>
      <w:r w:rsidR="00E96993">
        <w:t xml:space="preserve">that </w:t>
      </w:r>
      <w:r>
        <w:t>sits in CALHN’s GL with activity delivered by SALHN.</w:t>
      </w:r>
    </w:p>
    <w:p w14:paraId="7349CB98" w14:textId="312055D6" w:rsidR="003604F0" w:rsidRPr="000B6F81" w:rsidRDefault="003604F0" w:rsidP="006044E0">
      <w:pPr>
        <w:pStyle w:val="ListParagraph"/>
        <w:numPr>
          <w:ilvl w:val="0"/>
          <w:numId w:val="9"/>
        </w:numPr>
      </w:pPr>
      <w:r w:rsidRPr="000B6F81">
        <w:rPr>
          <w:b/>
          <w:bCs/>
        </w:rPr>
        <w:t>Non-ABF</w:t>
      </w:r>
      <w:r w:rsidRPr="000B6F81">
        <w:t xml:space="preserve"> – SALHN removed out-of-scope costs</w:t>
      </w:r>
      <w:r>
        <w:t xml:space="preserve"> totalling $26 million. </w:t>
      </w:r>
      <w:r w:rsidRPr="000B6F81">
        <w:t>$19</w:t>
      </w:r>
      <w:r>
        <w:t xml:space="preserve"> million</w:t>
      </w:r>
      <w:r w:rsidRPr="000B6F81">
        <w:t xml:space="preserve"> related to non-ABF service delivery (including </w:t>
      </w:r>
      <w:r w:rsidRPr="0025113A">
        <w:t>primary care, A</w:t>
      </w:r>
      <w:r>
        <w:t>ged Care Assessment Team (</w:t>
      </w:r>
      <w:r w:rsidRPr="0025113A">
        <w:t>ACAT</w:t>
      </w:r>
      <w:r>
        <w:t>), Drug and Alcohol Service South Australia</w:t>
      </w:r>
      <w:r w:rsidRPr="0025113A">
        <w:t xml:space="preserve">, Flinders University, </w:t>
      </w:r>
      <w:r>
        <w:t>T</w:t>
      </w:r>
      <w:r w:rsidRPr="0025113A">
        <w:t>ransition services, Aboriginal health care</w:t>
      </w:r>
      <w:r>
        <w:t xml:space="preserve">). $7 million relates to the WIP adjustment, </w:t>
      </w:r>
      <w:r w:rsidR="00E96993">
        <w:t>representing</w:t>
      </w:r>
      <w:r>
        <w:t xml:space="preserve"> costs relating to patients who were not discharged in this financial year</w:t>
      </w:r>
      <w:r w:rsidRPr="000B6F81">
        <w:t>.</w:t>
      </w:r>
    </w:p>
    <w:p w14:paraId="71147E07" w14:textId="0C3628C1" w:rsidR="003604F0" w:rsidRDefault="003604F0" w:rsidP="006044E0">
      <w:pPr>
        <w:pStyle w:val="ListParagraph"/>
        <w:numPr>
          <w:ilvl w:val="0"/>
          <w:numId w:val="9"/>
        </w:numPr>
      </w:pPr>
      <w:r w:rsidRPr="000B6F81">
        <w:rPr>
          <w:b/>
        </w:rPr>
        <w:t>Jurisdiction exclusions</w:t>
      </w:r>
      <w:r w:rsidRPr="000B6F81">
        <w:t xml:space="preserve"> – SALHN removed $</w:t>
      </w:r>
      <w:r>
        <w:t>45 million</w:t>
      </w:r>
      <w:r w:rsidRPr="000B6F81">
        <w:t xml:space="preserve"> in line with </w:t>
      </w:r>
      <w:r w:rsidR="00D901DD">
        <w:t>the department’s</w:t>
      </w:r>
      <w:r w:rsidRPr="000B6F81">
        <w:t xml:space="preserve"> costing practices</w:t>
      </w:r>
      <w:r w:rsidR="00D901DD">
        <w:t>,</w:t>
      </w:r>
      <w:r w:rsidRPr="000B6F81">
        <w:t xml:space="preserve"> including: </w:t>
      </w:r>
    </w:p>
    <w:p w14:paraId="3A33BD77" w14:textId="77777777" w:rsidR="003604F0" w:rsidRDefault="003604F0" w:rsidP="006044E0">
      <w:pPr>
        <w:pStyle w:val="ListParagraph"/>
        <w:numPr>
          <w:ilvl w:val="1"/>
          <w:numId w:val="9"/>
        </w:numPr>
      </w:pPr>
      <w:r w:rsidRPr="000B6F81">
        <w:t>$8</w:t>
      </w:r>
      <w:r>
        <w:t xml:space="preserve"> million</w:t>
      </w:r>
      <w:r w:rsidRPr="000B6F81">
        <w:t xml:space="preserve"> </w:t>
      </w:r>
      <w:r>
        <w:t>of o</w:t>
      </w:r>
      <w:r w:rsidRPr="000B6F81">
        <w:t xml:space="preserve">perating </w:t>
      </w:r>
      <w:r>
        <w:t>e</w:t>
      </w:r>
      <w:r w:rsidRPr="000B6F81">
        <w:t>xpense</w:t>
      </w:r>
      <w:r>
        <w:t xml:space="preserve">s that were associated with research and own source revenue generation, </w:t>
      </w:r>
    </w:p>
    <w:p w14:paraId="6DF85FDC" w14:textId="77777777" w:rsidR="003604F0" w:rsidRDefault="003604F0" w:rsidP="006044E0">
      <w:pPr>
        <w:pStyle w:val="ListParagraph"/>
        <w:numPr>
          <w:ilvl w:val="1"/>
          <w:numId w:val="9"/>
        </w:numPr>
      </w:pPr>
      <w:r>
        <w:t xml:space="preserve">$33 million relating to research and teaching costs, </w:t>
      </w:r>
    </w:p>
    <w:p w14:paraId="6C826EC2" w14:textId="59852AF8" w:rsidR="003604F0" w:rsidRDefault="003604F0" w:rsidP="006044E0">
      <w:pPr>
        <w:pStyle w:val="ListParagraph"/>
        <w:numPr>
          <w:ilvl w:val="1"/>
          <w:numId w:val="9"/>
        </w:numPr>
      </w:pPr>
      <w:r w:rsidRPr="000B6F81">
        <w:t>$4</w:t>
      </w:r>
      <w:r>
        <w:t xml:space="preserve"> million</w:t>
      </w:r>
      <w:r w:rsidRPr="000B6F81">
        <w:t xml:space="preserve"> </w:t>
      </w:r>
      <w:r>
        <w:t xml:space="preserve">relating to </w:t>
      </w:r>
      <w:r w:rsidRPr="000B6F81">
        <w:t>residential mental health activity</w:t>
      </w:r>
      <w:r w:rsidR="00D901DD">
        <w:t>,</w:t>
      </w:r>
      <w:r w:rsidRPr="000B6F81">
        <w:t xml:space="preserve"> </w:t>
      </w:r>
      <w:r>
        <w:t xml:space="preserve">and </w:t>
      </w:r>
    </w:p>
    <w:p w14:paraId="62E001C9" w14:textId="77777777" w:rsidR="003604F0" w:rsidRPr="000B6F81" w:rsidRDefault="003604F0" w:rsidP="006044E0">
      <w:pPr>
        <w:pStyle w:val="ListParagraph"/>
        <w:numPr>
          <w:ilvl w:val="1"/>
          <w:numId w:val="9"/>
        </w:numPr>
      </w:pPr>
      <w:r w:rsidRPr="000B6F81">
        <w:t>$0.3</w:t>
      </w:r>
      <w:r>
        <w:t>1 million</w:t>
      </w:r>
      <w:r w:rsidRPr="000B6F81">
        <w:t xml:space="preserve"> </w:t>
      </w:r>
      <w:r>
        <w:t xml:space="preserve">relating to </w:t>
      </w:r>
      <w:r w:rsidRPr="000B6F81">
        <w:t>revaluations, impairments and bad debt write offs</w:t>
      </w:r>
      <w:r>
        <w:t xml:space="preserve"> were excluded</w:t>
      </w:r>
      <w:r w:rsidRPr="000B6F81">
        <w:t>.</w:t>
      </w:r>
    </w:p>
    <w:p w14:paraId="46B158DB" w14:textId="77777777" w:rsidR="003604F0" w:rsidRPr="00D24097" w:rsidRDefault="003604F0" w:rsidP="006044E0">
      <w:pPr>
        <w:pStyle w:val="ListParagraph"/>
        <w:numPr>
          <w:ilvl w:val="0"/>
          <w:numId w:val="9"/>
        </w:numPr>
      </w:pPr>
      <w:r w:rsidRPr="00D24097">
        <w:rPr>
          <w:b/>
          <w:bCs/>
        </w:rPr>
        <w:t xml:space="preserve">Transferred costs </w:t>
      </w:r>
      <w:r w:rsidRPr="00D24097">
        <w:t>– SALHN transferred costs of $25</w:t>
      </w:r>
      <w:r>
        <w:t xml:space="preserve"> million</w:t>
      </w:r>
      <w:r w:rsidRPr="00D24097">
        <w:t xml:space="preserve"> to other LHNs relating to SALHN staff providing services t</w:t>
      </w:r>
      <w:r>
        <w:t>o</w:t>
      </w:r>
      <w:r w:rsidRPr="00D24097">
        <w:t xml:space="preserve"> other LHNs. </w:t>
      </w:r>
    </w:p>
    <w:p w14:paraId="1CAAA56C" w14:textId="77777777" w:rsidR="003604F0" w:rsidRPr="00D24097" w:rsidRDefault="003604F0" w:rsidP="006044E0">
      <w:pPr>
        <w:pStyle w:val="ListParagraph"/>
        <w:numPr>
          <w:ilvl w:val="0"/>
          <w:numId w:val="9"/>
        </w:numPr>
      </w:pPr>
      <w:r w:rsidRPr="00D24097">
        <w:rPr>
          <w:b/>
          <w:bCs/>
        </w:rPr>
        <w:t xml:space="preserve">Other exclusions </w:t>
      </w:r>
      <w:r w:rsidRPr="00D24097">
        <w:t>– totalled $137 million. These are made up of both out-of-scope costs and excluded costs that are within the scope of the NHCDC and could not be matched to a record based on data quality. The exclusions are made up of:</w:t>
      </w:r>
    </w:p>
    <w:p w14:paraId="5998EE3C" w14:textId="77777777" w:rsidR="003604F0" w:rsidRDefault="003604F0" w:rsidP="006044E0">
      <w:pPr>
        <w:pStyle w:val="ListParagraph"/>
        <w:numPr>
          <w:ilvl w:val="1"/>
          <w:numId w:val="9"/>
        </w:numPr>
      </w:pPr>
      <w:r>
        <w:t>D</w:t>
      </w:r>
      <w:r w:rsidRPr="00D24097">
        <w:t>rug and alcohol services ($55 million)</w:t>
      </w:r>
      <w:r>
        <w:t xml:space="preserve"> which was out-of-scope for ABF,</w:t>
      </w:r>
    </w:p>
    <w:p w14:paraId="1FEDDE09" w14:textId="4089CF94" w:rsidR="003604F0" w:rsidRDefault="003604F0" w:rsidP="006044E0">
      <w:pPr>
        <w:pStyle w:val="ListParagraph"/>
        <w:numPr>
          <w:ilvl w:val="1"/>
          <w:numId w:val="9"/>
        </w:numPr>
      </w:pPr>
      <w:r>
        <w:t>D</w:t>
      </w:r>
      <w:r w:rsidRPr="00D24097">
        <w:t xml:space="preserve">ummy encounters </w:t>
      </w:r>
      <w:r w:rsidR="00E96993">
        <w:t xml:space="preserve">that </w:t>
      </w:r>
      <w:r w:rsidRPr="00D24097">
        <w:t xml:space="preserve">are intermediate products that cannot be linked to </w:t>
      </w:r>
      <w:r>
        <w:t>a patient</w:t>
      </w:r>
      <w:r w:rsidRPr="00D24097">
        <w:t xml:space="preserve"> encounter</w:t>
      </w:r>
      <w:r>
        <w:t xml:space="preserve"> ($7 million, of which unmatched pharmacy costs represented $</w:t>
      </w:r>
      <w:r w:rsidR="00EF5DD4">
        <w:t>4 </w:t>
      </w:r>
      <w:r>
        <w:t>million)</w:t>
      </w:r>
      <w:r w:rsidRPr="00D24097">
        <w:t>,</w:t>
      </w:r>
    </w:p>
    <w:p w14:paraId="59A08B25" w14:textId="5FD109AE" w:rsidR="006F2E6D" w:rsidRDefault="003604F0" w:rsidP="006044E0">
      <w:pPr>
        <w:pStyle w:val="ListParagraph"/>
        <w:numPr>
          <w:ilvl w:val="1"/>
          <w:numId w:val="9"/>
        </w:numPr>
      </w:pPr>
      <w:r>
        <w:t xml:space="preserve">The remaining $75 million could not be broken down further. The </w:t>
      </w:r>
      <w:r w:rsidR="006B7D9F">
        <w:t>department</w:t>
      </w:r>
      <w:r>
        <w:t xml:space="preserve"> reported that this figure included a mix of </w:t>
      </w:r>
      <w:r w:rsidRPr="00D24097">
        <w:t>Program level expenditure, termed as “Z” encounters</w:t>
      </w:r>
      <w:r w:rsidRPr="00D24097" w:rsidDel="0029419C">
        <w:t xml:space="preserve"> </w:t>
      </w:r>
      <w:r>
        <w:t>and other non</w:t>
      </w:r>
      <w:r>
        <w:noBreakHyphen/>
        <w:t>patient products, including costs that could not be matched due to lack of patient level datasets.</w:t>
      </w:r>
    </w:p>
    <w:p w14:paraId="781A5914" w14:textId="2B387895" w:rsidR="001D0F92" w:rsidRDefault="003604F0" w:rsidP="00AD5DC1">
      <w:pPr>
        <w:pStyle w:val="Heading3"/>
      </w:pPr>
      <w:r>
        <w:lastRenderedPageBreak/>
        <w:t>ICU and Critical Care Focused Review</w:t>
      </w:r>
    </w:p>
    <w:p w14:paraId="178DD5A8" w14:textId="470DD94F" w:rsidR="00AD5DC1" w:rsidRPr="00327B3C" w:rsidRDefault="00E5199D" w:rsidP="00327B3C">
      <w:pPr>
        <w:pStyle w:val="ListParagraph"/>
        <w:ind w:left="0"/>
        <w:contextualSpacing w:val="0"/>
      </w:pPr>
      <w:r w:rsidRPr="00327B3C">
        <w:rPr>
          <w:noProof/>
        </w:rPr>
        <mc:AlternateContent>
          <mc:Choice Requires="wpg">
            <w:drawing>
              <wp:anchor distT="0" distB="0" distL="114300" distR="114300" simplePos="0" relativeHeight="251658274" behindDoc="0" locked="0" layoutInCell="1" allowOverlap="1" wp14:anchorId="6FFA2E25" wp14:editId="0F9F6285">
                <wp:simplePos x="0" y="0"/>
                <wp:positionH relativeFrom="column">
                  <wp:posOffset>3044190</wp:posOffset>
                </wp:positionH>
                <wp:positionV relativeFrom="paragraph">
                  <wp:posOffset>74295</wp:posOffset>
                </wp:positionV>
                <wp:extent cx="2704465" cy="3678555"/>
                <wp:effectExtent l="0" t="0" r="635" b="0"/>
                <wp:wrapTight wrapText="bothSides">
                  <wp:wrapPolygon edited="0">
                    <wp:start x="0" y="0"/>
                    <wp:lineTo x="0" y="21477"/>
                    <wp:lineTo x="21453" y="21477"/>
                    <wp:lineTo x="21453" y="0"/>
                    <wp:lineTo x="0" y="0"/>
                  </wp:wrapPolygon>
                </wp:wrapTight>
                <wp:docPr id="1249247010" name="Group 5" descr="P2880#y1"/>
                <wp:cNvGraphicFramePr/>
                <a:graphic xmlns:a="http://schemas.openxmlformats.org/drawingml/2006/main">
                  <a:graphicData uri="http://schemas.microsoft.com/office/word/2010/wordprocessingGroup">
                    <wpg:wgp>
                      <wpg:cNvGrpSpPr/>
                      <wpg:grpSpPr>
                        <a:xfrm>
                          <a:off x="0" y="0"/>
                          <a:ext cx="2704465" cy="3678555"/>
                          <a:chOff x="0" y="0"/>
                          <a:chExt cx="2704989" cy="3679042"/>
                        </a:xfrm>
                      </wpg:grpSpPr>
                      <pic:pic xmlns:pic="http://schemas.openxmlformats.org/drawingml/2006/picture">
                        <pic:nvPicPr>
                          <pic:cNvPr id="1375451194" name="Picture 3"/>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10049" y="330687"/>
                            <a:ext cx="2694940" cy="3348355"/>
                          </a:xfrm>
                          <a:prstGeom prst="rect">
                            <a:avLst/>
                          </a:prstGeom>
                          <a:noFill/>
                          <a:ln>
                            <a:noFill/>
                          </a:ln>
                        </pic:spPr>
                      </pic:pic>
                      <wps:wsp>
                        <wps:cNvPr id="1064040479" name="Text Box 1"/>
                        <wps:cNvSpPr txBox="1"/>
                        <wps:spPr>
                          <a:xfrm>
                            <a:off x="0" y="0"/>
                            <a:ext cx="2694940" cy="281391"/>
                          </a:xfrm>
                          <a:prstGeom prst="rect">
                            <a:avLst/>
                          </a:prstGeom>
                          <a:solidFill>
                            <a:prstClr val="white"/>
                          </a:solidFill>
                          <a:ln>
                            <a:noFill/>
                          </a:ln>
                        </wps:spPr>
                        <wps:txbx>
                          <w:txbxContent>
                            <w:p w14:paraId="3D483B33" w14:textId="4B83AE8F" w:rsidR="00E5199D" w:rsidRPr="00F0262F" w:rsidRDefault="00E5199D" w:rsidP="00E5199D">
                              <w:pPr>
                                <w:pStyle w:val="Caption"/>
                                <w:rPr>
                                  <w:noProof/>
                                  <w:color w:val="484B5D" w:themeColor="accent3"/>
                                  <w:sz w:val="20"/>
                                  <w:szCs w:val="20"/>
                                </w:rPr>
                              </w:pPr>
                              <w:r w:rsidRPr="00163777">
                                <w:t xml:space="preserve">Figure </w:t>
                              </w:r>
                              <w:r w:rsidR="00BD5B5E" w:rsidRPr="00163777">
                                <w:fldChar w:fldCharType="begin"/>
                              </w:r>
                              <w:r w:rsidR="00BD5B5E" w:rsidRPr="00163777">
                                <w:instrText xml:space="preserve"> SEQ Figure \* ARABIC </w:instrText>
                              </w:r>
                              <w:r w:rsidR="00BD5B5E" w:rsidRPr="00163777">
                                <w:fldChar w:fldCharType="separate"/>
                              </w:r>
                              <w:r w:rsidR="00CE6F96">
                                <w:rPr>
                                  <w:noProof/>
                                </w:rPr>
                                <w:t>40</w:t>
                              </w:r>
                              <w:r w:rsidR="00BD5B5E" w:rsidRPr="00163777">
                                <w:fldChar w:fldCharType="end"/>
                              </w:r>
                              <w:r w:rsidRPr="00163777">
                                <w:t xml:space="preserve">: </w:t>
                              </w:r>
                              <w:r w:rsidR="00163777" w:rsidRPr="00EC0C63">
                                <w:t>Critical care services at South Australia’s participating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FA2E25" id="_x0000_s1299" alt="P2880#y1" style="position:absolute;margin-left:239.7pt;margin-top:5.85pt;width:212.95pt;height:289.65pt;z-index:251658274;mso-position-horizontal-relative:text;mso-position-vertical-relative:text;mso-width-relative:margin;mso-height-relative:margin" coordsize="27049,3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">
                <v:shape id="Picture 3" o:spid="_x0000_s1300" type="#_x0000_t75" style="position:absolute;left:100;top:3306;width:26949;height:3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">
                  <v:imagedata r:id="rId106" o:title=""/>
                </v:shape>
                <v:shape id="_x0000_s1301" type="#_x0000_t202" style="position:absolute;width:26949;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" stroked="f">
                  <v:textbox inset="0,0,0,0">
                    <w:txbxContent>
                      <w:p w14:paraId="3D483B33" w14:textId="4B83AE8F" w:rsidR="00E5199D" w:rsidRPr="00F0262F" w:rsidRDefault="00E5199D" w:rsidP="00E5199D">
                        <w:pPr>
                          <w:pStyle w:val="Caption"/>
                          <w:rPr>
                            <w:noProof/>
                            <w:color w:val="484B5D" w:themeColor="accent3"/>
                            <w:sz w:val="20"/>
                            <w:szCs w:val="20"/>
                          </w:rPr>
                        </w:pPr>
                        <w:r w:rsidRPr="00163777">
                          <w:t xml:space="preserve">Figure </w:t>
                        </w:r>
                        <w:r w:rsidR="00BD5B5E" w:rsidRPr="00163777">
                          <w:fldChar w:fldCharType="begin"/>
                        </w:r>
                        <w:r w:rsidR="00BD5B5E" w:rsidRPr="00163777">
                          <w:instrText xml:space="preserve"> SEQ Figure \* ARABIC </w:instrText>
                        </w:r>
                        <w:r w:rsidR="00BD5B5E" w:rsidRPr="00163777">
                          <w:fldChar w:fldCharType="separate"/>
                        </w:r>
                        <w:r w:rsidR="00CE6F96">
                          <w:rPr>
                            <w:noProof/>
                          </w:rPr>
                          <w:t>40</w:t>
                        </w:r>
                        <w:r w:rsidR="00BD5B5E" w:rsidRPr="00163777">
                          <w:fldChar w:fldCharType="end"/>
                        </w:r>
                        <w:r w:rsidRPr="00163777">
                          <w:t xml:space="preserve">: </w:t>
                        </w:r>
                        <w:r w:rsidR="00163777" w:rsidRPr="00EC0C63">
                          <w:t>Critical care services at South Australia’s participating site</w:t>
                        </w:r>
                      </w:p>
                    </w:txbxContent>
                  </v:textbox>
                </v:shape>
                <w10:wrap type="tight"/>
              </v:group>
            </w:pict>
          </mc:Fallback>
        </mc:AlternateContent>
      </w:r>
      <w:r w:rsidR="00AD5DC1" w:rsidRPr="00327B3C">
        <w:t xml:space="preserve">The Intensive and Critical Care Unit (ICCU) at Flinders Medical Centre (FMC) in Bedford Park, </w:t>
      </w:r>
      <w:r w:rsidR="00EF5DD4">
        <w:t>SA</w:t>
      </w:r>
      <w:r w:rsidR="00AD5DC1" w:rsidRPr="00327B3C">
        <w:t xml:space="preserve"> serves as a general medical and surgical ICU. It also serves as the state referral centre for critically ill pregnant women, liver and post-liver transplant patients, trauma cases and complex cardiac surgical patients. The unit handles approximately 2,200 admissions annually. Its Critical Care services include:</w:t>
      </w:r>
    </w:p>
    <w:p w14:paraId="374A4FF8" w14:textId="01ED3CA2" w:rsidR="00AD5DC1" w:rsidRPr="00327B3C" w:rsidRDefault="00327B3C" w:rsidP="00327B3C">
      <w:pPr>
        <w:pStyle w:val="ListParagraph"/>
        <w:numPr>
          <w:ilvl w:val="0"/>
          <w:numId w:val="75"/>
        </w:numPr>
      </w:pPr>
      <w:r w:rsidRPr="00327B3C">
        <w:t xml:space="preserve">A </w:t>
      </w:r>
      <w:r w:rsidR="00AD5DC1" w:rsidRPr="00327B3C">
        <w:t>32</w:t>
      </w:r>
      <w:r w:rsidRPr="00327B3C">
        <w:t>-</w:t>
      </w:r>
      <w:r w:rsidR="00AD5DC1" w:rsidRPr="00327B3C">
        <w:t xml:space="preserve">bed ICU, </w:t>
      </w:r>
      <w:r w:rsidR="00E96993">
        <w:t>that</w:t>
      </w:r>
      <w:r w:rsidR="00E96993" w:rsidRPr="00327B3C">
        <w:t xml:space="preserve"> </w:t>
      </w:r>
      <w:r w:rsidR="00AD5DC1" w:rsidRPr="00327B3C">
        <w:t>can be utilised as full ICU or Step Down beds. The unit will occasionally provide services to paediatric patients. There is an arrangement to purchase ICU bed capacity from Flinders Private Hospital.</w:t>
      </w:r>
    </w:p>
    <w:p w14:paraId="38EAB0F0" w14:textId="70E2DF6B" w:rsidR="00AD5DC1" w:rsidRPr="00327B3C" w:rsidRDefault="00327B3C" w:rsidP="00327B3C">
      <w:pPr>
        <w:pStyle w:val="ListParagraph"/>
        <w:numPr>
          <w:ilvl w:val="0"/>
          <w:numId w:val="75"/>
        </w:numPr>
      </w:pPr>
      <w:r w:rsidRPr="00327B3C">
        <w:t xml:space="preserve">A </w:t>
      </w:r>
      <w:r w:rsidR="00AD5DC1" w:rsidRPr="00327B3C">
        <w:t>20</w:t>
      </w:r>
      <w:r w:rsidRPr="00327B3C">
        <w:t>-</w:t>
      </w:r>
      <w:r w:rsidR="00AD5DC1" w:rsidRPr="00327B3C">
        <w:t>bed CCU. Additionally, FMC has arrangements with Flinders Private Hospital to purchase additional CCU capacity under a full package of care (including nursing).</w:t>
      </w:r>
    </w:p>
    <w:p w14:paraId="1E92CAD8" w14:textId="5F09E8AA" w:rsidR="00AD5DC1" w:rsidRPr="00327B3C" w:rsidRDefault="00327B3C" w:rsidP="00327B3C">
      <w:pPr>
        <w:pStyle w:val="ListParagraph"/>
        <w:numPr>
          <w:ilvl w:val="0"/>
          <w:numId w:val="75"/>
        </w:numPr>
      </w:pPr>
      <w:r w:rsidRPr="00327B3C">
        <w:t xml:space="preserve">A </w:t>
      </w:r>
      <w:r w:rsidR="00AD5DC1" w:rsidRPr="00327B3C">
        <w:t>16</w:t>
      </w:r>
      <w:r w:rsidRPr="00327B3C">
        <w:t>-</w:t>
      </w:r>
      <w:r w:rsidR="00926040" w:rsidRPr="00327B3C">
        <w:t>bed NICU</w:t>
      </w:r>
      <w:r w:rsidR="00AD5DC1" w:rsidRPr="00327B3C">
        <w:t xml:space="preserve"> beds</w:t>
      </w:r>
      <w:r>
        <w:t xml:space="preserve"> and</w:t>
      </w:r>
      <w:r w:rsidR="00926040" w:rsidRPr="00327B3C">
        <w:t xml:space="preserve"> </w:t>
      </w:r>
      <w:r w:rsidR="00926040">
        <w:t>a</w:t>
      </w:r>
      <w:r w:rsidR="00AD5DC1">
        <w:t xml:space="preserve"> </w:t>
      </w:r>
      <w:r w:rsidR="00AD5DC1" w:rsidRPr="00327B3C">
        <w:t>34</w:t>
      </w:r>
      <w:r>
        <w:t>-</w:t>
      </w:r>
      <w:r w:rsidR="00926040" w:rsidRPr="00327B3C">
        <w:t>bed SCN</w:t>
      </w:r>
      <w:r w:rsidR="00AD5DC1" w:rsidRPr="00327B3C">
        <w:t xml:space="preserve">. </w:t>
      </w:r>
    </w:p>
    <w:p w14:paraId="007C8A47" w14:textId="0E237279" w:rsidR="00AD5DC1" w:rsidRPr="00327B3C" w:rsidRDefault="00AD5DC1" w:rsidP="00327B3C">
      <w:r w:rsidRPr="00327B3C">
        <w:t xml:space="preserve">The ICU and CCU clinicians provide some other services in addition to treating the patients in their ward. These include MET calls within the hospital, and surgical nursing support to Flinders Private </w:t>
      </w:r>
      <w:r w:rsidR="001863C8">
        <w:t xml:space="preserve">Hospital </w:t>
      </w:r>
      <w:r w:rsidRPr="00327B3C">
        <w:t>for Transcatheter Aortic Valve Implantation (TAVI) theatre list, and provision of an outpatient Tier 2 service for home TPN</w:t>
      </w:r>
      <w:r w:rsidR="00325751">
        <w:t>.</w:t>
      </w:r>
      <w:r w:rsidRPr="00327B3C">
        <w:t xml:space="preserve"> Within CCU, </w:t>
      </w:r>
      <w:r w:rsidR="00C517F6">
        <w:t>one</w:t>
      </w:r>
      <w:r w:rsidRPr="00327B3C">
        <w:t xml:space="preserve"> consultant is seconded to Darwin for </w:t>
      </w:r>
      <w:r w:rsidR="00996163">
        <w:t>6</w:t>
      </w:r>
      <w:r w:rsidRPr="00327B3C">
        <w:t xml:space="preserve"> months.</w:t>
      </w:r>
    </w:p>
    <w:p w14:paraId="44D1760C" w14:textId="39D289EC" w:rsidR="00AD5DC1" w:rsidRPr="00327B3C" w:rsidRDefault="00AD5DC1" w:rsidP="00327B3C">
      <w:r w:rsidRPr="00327B3C">
        <w:t xml:space="preserve">There are 6 different ‘level of care needs’ which are recorded in the eMR for each patient in the ICU. There are different nursing ratios required for patients based on their level of care need. This eMR data is not utilised for either cost allocation purposes or ICU activity reporting. </w:t>
      </w:r>
    </w:p>
    <w:p w14:paraId="32AA834D" w14:textId="6C835AFB" w:rsidR="00AD5DC1" w:rsidRPr="00327B3C" w:rsidRDefault="00AD5DC1" w:rsidP="00327B3C">
      <w:r w:rsidRPr="00327B3C">
        <w:t xml:space="preserve">There is a high volume of ‘continuous observation’ or patients requiring ‘specialling’ in the CCU, where additional resources are required for the patients care over and above the standard nursing levels. Specialling use in ICU is limited. Where the requirement is behavioural, an enrolled nurse (EN), AIN or security guard is used. When the requirement is clinical in nature, a RN is utilised. While there is a nursing roster system that identifies the wards that require specialling and the type of additional workforce, this information is not at a patient level and so is not used to allocate the additional specialling costs to </w:t>
      </w:r>
      <w:r w:rsidR="00850900">
        <w:t>individual</w:t>
      </w:r>
      <w:r w:rsidRPr="00327B3C">
        <w:t xml:space="preserve"> patients</w:t>
      </w:r>
      <w:r w:rsidR="00850900">
        <w:t>, with costs instead being spread to</w:t>
      </w:r>
      <w:r w:rsidR="001E4CD2">
        <w:t xml:space="preserve"> patients in the ward where the nursing specialling costs were incurred</w:t>
      </w:r>
      <w:r w:rsidRPr="00327B3C">
        <w:t>.</w:t>
      </w:r>
      <w:r w:rsidR="001145D6">
        <w:t xml:space="preserve"> This differs from where security personnel provide specialling, where this is captured and allocated at a patient level.</w:t>
      </w:r>
    </w:p>
    <w:p w14:paraId="50E8D75A" w14:textId="76B669FC" w:rsidR="003604F0" w:rsidRPr="003226E9" w:rsidRDefault="00AD5DC1" w:rsidP="001D0F92">
      <w:r w:rsidRPr="00327B3C">
        <w:t xml:space="preserve">SALHN purchase ICU and CCU bed capacity from Flinders Private Hospital (692 hours in 2023-24) and receive information from the private hospital after the end of the financial year. The only information provided are the total costs paid for the arrangement and the total number of patients who utilised the contracted services. As such, the costs are spread across all patients admitted </w:t>
      </w:r>
      <w:r w:rsidRPr="00327B3C">
        <w:lastRenderedPageBreak/>
        <w:t xml:space="preserve">under this arrangement, based on stay (captured in 15-minute increments), and are costed to the </w:t>
      </w:r>
      <w:r w:rsidRPr="003226E9">
        <w:rPr>
          <w:i/>
        </w:rPr>
        <w:t xml:space="preserve">Goods </w:t>
      </w:r>
      <w:r w:rsidR="003B59A0" w:rsidRPr="003226E9">
        <w:rPr>
          <w:i/>
        </w:rPr>
        <w:t>&amp;</w:t>
      </w:r>
      <w:r w:rsidRPr="003226E9">
        <w:rPr>
          <w:i/>
        </w:rPr>
        <w:t xml:space="preserve"> Services </w:t>
      </w:r>
      <w:r w:rsidRPr="003226E9">
        <w:t>line item.</w:t>
      </w:r>
    </w:p>
    <w:p w14:paraId="3465C717" w14:textId="77777777" w:rsidR="00ED0E24" w:rsidRPr="00AD1F32" w:rsidRDefault="00ED0E24" w:rsidP="00ED0E24">
      <w:pPr>
        <w:pStyle w:val="Heading4"/>
        <w:rPr>
          <w:color w:val="484B5D" w:themeColor="accent3"/>
        </w:rPr>
      </w:pPr>
      <w:r w:rsidRPr="00AD1F32">
        <w:rPr>
          <w:color w:val="484B5D" w:themeColor="accent3"/>
        </w:rPr>
        <w:t xml:space="preserve">Critical Care Cost and </w:t>
      </w:r>
      <w:r w:rsidR="00AD5DC1" w:rsidRPr="00AD1F32">
        <w:rPr>
          <w:color w:val="484B5D" w:themeColor="accent3"/>
        </w:rPr>
        <w:t>Activity Reporting</w:t>
      </w:r>
    </w:p>
    <w:p w14:paraId="3F9384D6" w14:textId="077EAE9C" w:rsidR="00ED0E24" w:rsidRPr="003226E9" w:rsidRDefault="00ED0E24" w:rsidP="00ED0E24">
      <w:r w:rsidRPr="003226E9">
        <w:t>IHACPA provides definitions in its DRS for the reporting of critical care costs and activity. These include:</w:t>
      </w:r>
    </w:p>
    <w:p w14:paraId="195BEA86" w14:textId="0E03DA9E" w:rsidR="00ED0E24" w:rsidRPr="003226E9" w:rsidRDefault="00ED0E24" w:rsidP="00ED0E24">
      <w:pPr>
        <w:pStyle w:val="ListParagraph"/>
        <w:numPr>
          <w:ilvl w:val="0"/>
          <w:numId w:val="23"/>
        </w:numPr>
        <w:ind w:left="714" w:hanging="357"/>
        <w:rPr>
          <w:i/>
        </w:rPr>
      </w:pPr>
      <w:r w:rsidRPr="003226E9">
        <w:t>The NHCDC</w:t>
      </w:r>
      <w:r w:rsidRPr="003226E9">
        <w:rPr>
          <w:i/>
        </w:rPr>
        <w:t xml:space="preserve"> </w:t>
      </w:r>
      <w:r w:rsidR="00DD0157" w:rsidRPr="003226E9">
        <w:rPr>
          <w:iCs/>
        </w:rPr>
        <w:t>P</w:t>
      </w:r>
      <w:r w:rsidRPr="003226E9">
        <w:rPr>
          <w:iCs/>
        </w:rPr>
        <w:t xml:space="preserve">ublic </w:t>
      </w:r>
      <w:r w:rsidR="00DD0157" w:rsidRPr="003226E9">
        <w:rPr>
          <w:iCs/>
        </w:rPr>
        <w:t>S</w:t>
      </w:r>
      <w:r w:rsidRPr="003226E9">
        <w:rPr>
          <w:iCs/>
        </w:rPr>
        <w:t xml:space="preserve">ector DRS </w:t>
      </w:r>
      <w:r w:rsidRPr="003226E9">
        <w:rPr>
          <w:i/>
        </w:rPr>
        <w:t>Critical</w:t>
      </w:r>
      <w:r w:rsidRPr="003226E9">
        <w:rPr>
          <w:iCs/>
        </w:rPr>
        <w:t xml:space="preserve"> Cost Centre Group contains 10 codes to capture the types of critical care costs: </w:t>
      </w:r>
      <w:r w:rsidRPr="003226E9">
        <w:rPr>
          <w:i/>
        </w:rPr>
        <w:t>Ccu, Hdicu, Aicu, Cticu, Gencritcare, Nicu, OtherCritCare, Paedicu, Psychicu, Scnicu.</w:t>
      </w:r>
    </w:p>
    <w:p w14:paraId="7640D5EB" w14:textId="77777777" w:rsidR="00ED0E24" w:rsidRPr="007D316B" w:rsidRDefault="00ED0E24" w:rsidP="00ED0E24">
      <w:pPr>
        <w:pStyle w:val="ListParagraph"/>
        <w:numPr>
          <w:ilvl w:val="0"/>
          <w:numId w:val="23"/>
        </w:numPr>
      </w:pPr>
      <w:r w:rsidRPr="003226E9">
        <w:rPr>
          <w:iCs/>
        </w:rPr>
        <w:t>The ABF Admitted Patient</w:t>
      </w:r>
      <w:r w:rsidRPr="003226E9">
        <w:t xml:space="preserve"> Care DRS contains 2 data items </w:t>
      </w:r>
      <w:r w:rsidRPr="007D316B">
        <w:t>for ICU hours. These are:</w:t>
      </w:r>
    </w:p>
    <w:p w14:paraId="305B7DE6" w14:textId="77777777" w:rsidR="00ED0E24" w:rsidRPr="007D316B" w:rsidRDefault="00ED0E24" w:rsidP="00ED0E24">
      <w:pPr>
        <w:pStyle w:val="ListParagraph"/>
        <w:numPr>
          <w:ilvl w:val="1"/>
          <w:numId w:val="23"/>
        </w:numPr>
      </w:pPr>
      <w:r w:rsidRPr="007D316B">
        <w:t xml:space="preserve"> </w:t>
      </w:r>
      <w:r w:rsidRPr="007D316B">
        <w:rPr>
          <w:i/>
        </w:rPr>
        <w:t xml:space="preserve">Length of stay in </w:t>
      </w:r>
      <w:r w:rsidRPr="007D316B">
        <w:rPr>
          <w:i/>
          <w:iCs/>
        </w:rPr>
        <w:t>ICU,</w:t>
      </w:r>
      <w:r w:rsidRPr="007D316B">
        <w:t xml:space="preserve"> defined as the number of hours reported by a hospital with approved Adult ICU Level 3 or Paediatric ICU, and</w:t>
      </w:r>
    </w:p>
    <w:p w14:paraId="40F9BF30" w14:textId="77777777" w:rsidR="00ED0E24" w:rsidRPr="007D316B" w:rsidRDefault="00ED0E24" w:rsidP="00ED0E24">
      <w:pPr>
        <w:pStyle w:val="ListParagraph"/>
        <w:numPr>
          <w:ilvl w:val="1"/>
          <w:numId w:val="23"/>
        </w:numPr>
      </w:pPr>
      <w:r w:rsidRPr="004E7C26">
        <w:rPr>
          <w:i/>
        </w:rPr>
        <w:t>Length of stay in ICU – Other</w:t>
      </w:r>
      <w:r w:rsidRPr="007D316B">
        <w:t>, defined as hours reported by hospitals with approved ICUs other than Level 3 or Paediatric ICU.</w:t>
      </w:r>
    </w:p>
    <w:p w14:paraId="4AC6E251" w14:textId="5C69AF60" w:rsidR="00AD5DC1" w:rsidRPr="00454BA3" w:rsidRDefault="00ED0E24" w:rsidP="00CC61E1">
      <w:r w:rsidRPr="007D316B">
        <w:t xml:space="preserve">One of the findings of this IFR was that the definitions and guidance for both </w:t>
      </w:r>
      <w:r w:rsidRPr="007D316B">
        <w:rPr>
          <w:i/>
          <w:iCs/>
        </w:rPr>
        <w:t>Critical</w:t>
      </w:r>
      <w:r w:rsidRPr="007D316B">
        <w:t xml:space="preserve"> NHCDC </w:t>
      </w:r>
      <w:r w:rsidR="00DD0157">
        <w:t>C</w:t>
      </w:r>
      <w:r w:rsidRPr="007D316B">
        <w:t xml:space="preserve">ost </w:t>
      </w:r>
      <w:r w:rsidR="00DD0157">
        <w:t>C</w:t>
      </w:r>
      <w:r w:rsidRPr="007D316B">
        <w:t xml:space="preserve">entres and ICU hours require clarity and alignment to each other, as they are treated differently by every jurisdiction. This section of the report seeks to provide information on how </w:t>
      </w:r>
      <w:r>
        <w:t>SA</w:t>
      </w:r>
      <w:r w:rsidRPr="007D316B">
        <w:t xml:space="preserve"> is reporting this information, noting there is ambiguity in the current definitions.</w:t>
      </w:r>
    </w:p>
    <w:p w14:paraId="17E0DEC0" w14:textId="2DBB0F19" w:rsidR="007C4F68" w:rsidRDefault="005D4875" w:rsidP="007C4F68">
      <w:r>
        <w:t xml:space="preserve">FMC </w:t>
      </w:r>
      <w:r w:rsidR="007C4F68" w:rsidRPr="006D2EC8">
        <w:t>is a Level 3 ICU facilities and meet the criteria</w:t>
      </w:r>
      <w:r w:rsidR="00CE6F96">
        <w:rPr>
          <w:rFonts w:ascii="ZWAdobeF" w:hAnsi="ZWAdobeF" w:cs="ZWAdobeF"/>
          <w:color w:val="auto"/>
          <w:sz w:val="2"/>
          <w:szCs w:val="2"/>
        </w:rPr>
        <w:t>27F</w:t>
      </w:r>
      <w:r w:rsidR="00CE69E4">
        <w:rPr>
          <w:rStyle w:val="FootnoteReference"/>
        </w:rPr>
        <w:footnoteReference w:id="29"/>
      </w:r>
      <w:r w:rsidR="007C4F68" w:rsidRPr="006D2EC8">
        <w:t xml:space="preserve"> for IHACPA’s ICU adjustment for the NEP. </w:t>
      </w:r>
      <w:r w:rsidR="007C4F68">
        <w:t xml:space="preserve">ICU hours within FMC were reported to IHACPA as </w:t>
      </w:r>
      <w:r w:rsidR="007C4F68" w:rsidRPr="00EB20D0">
        <w:rPr>
          <w:i/>
          <w:iCs/>
        </w:rPr>
        <w:t xml:space="preserve">Level 3 ICU </w:t>
      </w:r>
      <w:r w:rsidR="00AB4EC0">
        <w:rPr>
          <w:i/>
          <w:iCs/>
        </w:rPr>
        <w:t>H</w:t>
      </w:r>
      <w:r w:rsidR="007C4F68" w:rsidRPr="00EB20D0">
        <w:rPr>
          <w:i/>
          <w:iCs/>
        </w:rPr>
        <w:t>ours</w:t>
      </w:r>
      <w:r w:rsidR="007C4F68">
        <w:t xml:space="preserve"> based on the existence of a FMC ICU ward code in the PAS</w:t>
      </w:r>
      <w:r w:rsidR="00CD1340">
        <w:t xml:space="preserve"> </w:t>
      </w:r>
      <w:r w:rsidR="007C4F68">
        <w:t>/</w:t>
      </w:r>
      <w:r w:rsidR="00CD1340">
        <w:t xml:space="preserve"> </w:t>
      </w:r>
      <w:r w:rsidR="007C4F68">
        <w:t xml:space="preserve">eMR system. </w:t>
      </w:r>
    </w:p>
    <w:p w14:paraId="28CE2B37" w14:textId="268C6932" w:rsidR="007C4F68" w:rsidRPr="006D2EC8" w:rsidRDefault="007C4F68" w:rsidP="007C4F68">
      <w:r>
        <w:t>In 2023-24, SALHN entered into a bed-buy arrangement with Flinders Private Hospital (FPH) to contract additional ICU capacity. While FPH is a Level 3 ICU facility, the ICU hours for patients under this bed-buy arrangement were not reported as ICU activity, as they did not have the FMC ICU ward code in the PAS</w:t>
      </w:r>
      <w:r w:rsidR="00EB276C">
        <w:t xml:space="preserve"> </w:t>
      </w:r>
      <w:r>
        <w:t>/</w:t>
      </w:r>
      <w:r w:rsidR="00EB276C">
        <w:t xml:space="preserve"> </w:t>
      </w:r>
      <w:r>
        <w:t xml:space="preserve">eMR system. The costs incurred for this arrangement were reported as in the </w:t>
      </w:r>
      <w:r w:rsidRPr="008C34DC">
        <w:rPr>
          <w:i/>
          <w:iCs/>
        </w:rPr>
        <w:t>Aicu</w:t>
      </w:r>
      <w:r>
        <w:t xml:space="preserve"> cost centre (as shown in the table below) and totalled $0.94 million</w:t>
      </w:r>
      <w:r w:rsidRPr="006D2EC8">
        <w:t xml:space="preserve"> in 2023-24</w:t>
      </w:r>
      <w:r>
        <w:t>.</w:t>
      </w:r>
    </w:p>
    <w:p w14:paraId="7D106350" w14:textId="230FD71B" w:rsidR="005507AD" w:rsidRPr="00C06EE3" w:rsidRDefault="007C4F68" w:rsidP="00C06EE3">
      <w:pPr>
        <w:rPr>
          <w:color w:val="44546A" w:themeColor="text2"/>
        </w:rPr>
      </w:pPr>
      <w:r w:rsidRPr="006D2EC8">
        <w:rPr>
          <w:color w:val="44546A" w:themeColor="text2"/>
        </w:rPr>
        <w:t xml:space="preserve">The table below shows how </w:t>
      </w:r>
      <w:r>
        <w:rPr>
          <w:color w:val="44546A" w:themeColor="text2"/>
        </w:rPr>
        <w:t>SA</w:t>
      </w:r>
      <w:r w:rsidRPr="006D2EC8">
        <w:rPr>
          <w:color w:val="44546A" w:themeColor="text2"/>
        </w:rPr>
        <w:t xml:space="preserve"> map</w:t>
      </w:r>
      <w:r>
        <w:rPr>
          <w:color w:val="44546A" w:themeColor="text2"/>
        </w:rPr>
        <w:t>s</w:t>
      </w:r>
      <w:r w:rsidRPr="006D2EC8">
        <w:rPr>
          <w:color w:val="44546A" w:themeColor="text2"/>
        </w:rPr>
        <w:t xml:space="preserve"> ICU costs and activity to IHACPA’s cost and activity types.</w:t>
      </w:r>
      <w:r w:rsidR="005507AD">
        <w:t xml:space="preserve"> </w:t>
      </w:r>
    </w:p>
    <w:p w14:paraId="05FA2DE7" w14:textId="04F12C3C" w:rsidR="00C06EE3" w:rsidRDefault="00C06EE3" w:rsidP="00C06EE3">
      <w:pPr>
        <w:pStyle w:val="Caption"/>
        <w:keepNext/>
      </w:pPr>
      <w:r>
        <w:t xml:space="preserve">Table </w:t>
      </w:r>
      <w:r>
        <w:fldChar w:fldCharType="begin"/>
      </w:r>
      <w:r>
        <w:instrText xml:space="preserve"> SEQ Table \* ARABIC </w:instrText>
      </w:r>
      <w:r>
        <w:fldChar w:fldCharType="separate"/>
      </w:r>
      <w:r w:rsidR="00CE6F96">
        <w:rPr>
          <w:noProof/>
        </w:rPr>
        <w:t>29</w:t>
      </w:r>
      <w:r>
        <w:fldChar w:fldCharType="end"/>
      </w:r>
      <w:r>
        <w:t xml:space="preserve">: </w:t>
      </w:r>
      <w:r w:rsidR="00C30234">
        <w:t>SA</w:t>
      </w:r>
      <w:r w:rsidRPr="00B31DFD">
        <w:t xml:space="preserve"> ICU costs and activity mapped to IHACPA cost and activity types</w:t>
      </w:r>
    </w:p>
    <w:tbl>
      <w:tblPr>
        <w:tblStyle w:val="ScyneTable"/>
        <w:tblW w:w="5000" w:type="pct"/>
        <w:tblInd w:w="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948"/>
        <w:gridCol w:w="1700"/>
        <w:gridCol w:w="2190"/>
        <w:gridCol w:w="2188"/>
      </w:tblGrid>
      <w:tr w:rsidR="003964D6" w:rsidRPr="00D422F0" w14:paraId="3A754593" w14:textId="77777777" w:rsidTr="0098749E">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633" w:type="pct"/>
            <w:tcBorders>
              <w:bottom w:val="single" w:sz="18" w:space="0" w:color="EFF0F7" w:themeColor="accent4" w:themeTint="33"/>
            </w:tcBorders>
            <w:shd w:val="clear" w:color="auto" w:fill="464E7E" w:themeFill="accent2"/>
            <w:vAlign w:val="center"/>
            <w:hideMark/>
          </w:tcPr>
          <w:p w14:paraId="4ED60D68" w14:textId="4629DE0B" w:rsidR="00082FBF" w:rsidRPr="00D422F0" w:rsidRDefault="00082FBF">
            <w:pPr>
              <w:pStyle w:val="TableNormalColumnHeading"/>
              <w:rPr>
                <w:rFonts w:asciiTheme="majorHAnsi" w:hAnsiTheme="majorHAnsi"/>
                <w:snapToGrid/>
                <w:sz w:val="20"/>
                <w:lang w:eastAsia="en-AU"/>
              </w:rPr>
            </w:pPr>
            <w:r>
              <w:rPr>
                <w:rFonts w:asciiTheme="majorHAnsi" w:hAnsiTheme="majorHAnsi"/>
                <w:sz w:val="20"/>
              </w:rPr>
              <w:t>South Australia Critical Care Type (Ward Type)</w:t>
            </w:r>
          </w:p>
        </w:tc>
        <w:tc>
          <w:tcPr>
            <w:tcW w:w="942" w:type="pct"/>
            <w:tcBorders>
              <w:bottom w:val="single" w:sz="18" w:space="0" w:color="EFF0F7" w:themeColor="accent4" w:themeTint="33"/>
            </w:tcBorders>
            <w:shd w:val="clear" w:color="auto" w:fill="464E7E" w:themeFill="accent2"/>
            <w:vAlign w:val="center"/>
            <w:hideMark/>
          </w:tcPr>
          <w:p w14:paraId="04CD2C25" w14:textId="30126445" w:rsidR="00082FBF" w:rsidRPr="00D422F0" w:rsidRDefault="00082FBF" w:rsidP="0098749E">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z w:val="20"/>
              </w:rPr>
              <w:t xml:space="preserve">NHCDC </w:t>
            </w:r>
            <w:r w:rsidR="0098749E">
              <w:rPr>
                <w:rFonts w:asciiTheme="majorHAnsi" w:hAnsiTheme="majorHAnsi"/>
                <w:sz w:val="20"/>
              </w:rPr>
              <w:t xml:space="preserve">Critical </w:t>
            </w:r>
            <w:r>
              <w:rPr>
                <w:rFonts w:asciiTheme="majorHAnsi" w:hAnsiTheme="majorHAnsi"/>
                <w:sz w:val="20"/>
              </w:rPr>
              <w:t>Cost Centre</w:t>
            </w:r>
          </w:p>
        </w:tc>
        <w:tc>
          <w:tcPr>
            <w:tcW w:w="1213" w:type="pct"/>
            <w:tcBorders>
              <w:bottom w:val="single" w:sz="18" w:space="0" w:color="EFF0F7" w:themeColor="accent4" w:themeTint="33"/>
            </w:tcBorders>
            <w:shd w:val="clear" w:color="auto" w:fill="464E7E" w:themeFill="accent2"/>
          </w:tcPr>
          <w:p w14:paraId="00C63E8E" w14:textId="4CC2314A" w:rsidR="00082FBF" w:rsidRDefault="00082FBF">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 xml:space="preserve">Reported as </w:t>
            </w:r>
            <w:r w:rsidRPr="001B5AFA">
              <w:rPr>
                <w:rFonts w:asciiTheme="majorHAnsi" w:hAnsiTheme="majorHAnsi"/>
                <w:i/>
                <w:snapToGrid/>
                <w:sz w:val="20"/>
                <w:lang w:eastAsia="en-AU"/>
              </w:rPr>
              <w:t>L3 ICU Hours</w:t>
            </w:r>
          </w:p>
        </w:tc>
        <w:tc>
          <w:tcPr>
            <w:tcW w:w="1213" w:type="pct"/>
            <w:tcBorders>
              <w:bottom w:val="single" w:sz="18" w:space="0" w:color="EFF0F7" w:themeColor="accent4" w:themeTint="33"/>
            </w:tcBorders>
            <w:shd w:val="clear" w:color="auto" w:fill="464E7E" w:themeFill="accent2"/>
            <w:vAlign w:val="center"/>
            <w:hideMark/>
          </w:tcPr>
          <w:p w14:paraId="4E23475B" w14:textId="60AAAC48" w:rsidR="00082FBF" w:rsidRPr="00D422F0" w:rsidRDefault="00082FBF">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snapToGrid/>
                <w:sz w:val="20"/>
                <w:lang w:eastAsia="en-AU"/>
              </w:rPr>
              <w:t xml:space="preserve">Reported as </w:t>
            </w:r>
            <w:r w:rsidRPr="001B5AFA">
              <w:rPr>
                <w:rFonts w:asciiTheme="majorHAnsi" w:hAnsiTheme="majorHAnsi"/>
                <w:i/>
                <w:snapToGrid/>
                <w:sz w:val="20"/>
                <w:lang w:eastAsia="en-AU"/>
              </w:rPr>
              <w:t>Other ICU Hours</w:t>
            </w:r>
          </w:p>
        </w:tc>
      </w:tr>
      <w:tr w:rsidR="00034380" w:rsidRPr="00D422F0" w14:paraId="3C477708" w14:textId="77777777" w:rsidTr="0098749E">
        <w:trPr>
          <w:trHeight w:val="290"/>
        </w:trPr>
        <w:tc>
          <w:tcPr>
            <w:cnfStyle w:val="001000000000" w:firstRow="0" w:lastRow="0" w:firstColumn="1" w:lastColumn="0" w:oddVBand="0" w:evenVBand="0" w:oddHBand="0" w:evenHBand="0" w:firstRowFirstColumn="0" w:firstRowLastColumn="0" w:lastRowFirstColumn="0"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3FFAF83C" w14:textId="71E27587" w:rsidR="00082FBF" w:rsidRPr="00FC6B54" w:rsidRDefault="002F7C92">
            <w:pPr>
              <w:spacing w:before="120" w:after="120"/>
            </w:pPr>
            <w:r>
              <w:rPr>
                <w:color w:val="44546A" w:themeColor="text2"/>
              </w:rPr>
              <w:t>ICU</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A11FBDA" w14:textId="12C1CDB1" w:rsidR="00082FBF" w:rsidRPr="00D422F0" w:rsidRDefault="004A2476" w:rsidP="0098749E">
            <w:pPr>
              <w:spacing w:before="120" w:after="120"/>
              <w:jc w:val="center"/>
              <w:cnfStyle w:val="000000000000" w:firstRow="0" w:lastRow="0" w:firstColumn="0" w:lastColumn="0" w:oddVBand="0" w:evenVBand="0" w:oddHBand="0" w:evenHBand="0" w:firstRowFirstColumn="0" w:firstRowLastColumn="0" w:lastRowFirstColumn="0" w:lastRowLastColumn="0"/>
            </w:pPr>
            <w:r w:rsidRPr="003F3C9F">
              <w:rPr>
                <w:i/>
                <w:iCs/>
                <w:color w:val="44546A" w:themeColor="text2"/>
              </w:rPr>
              <w:t>Aicu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571E632" w14:textId="68C82F77" w:rsidR="00082FBF" w:rsidRPr="00D422F0" w:rsidRDefault="004A2476">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115FA9">
              <w:rPr>
                <w:rFonts w:ascii="Segoe UI Symbol" w:hAnsi="Segoe UI Symbol" w:cs="Segoe UI Symbol"/>
                <w:lang w:val="en-U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EF79CCF" w14:textId="27020680" w:rsidR="00082FBF" w:rsidRPr="00D422F0" w:rsidRDefault="004A2476">
            <w:pPr>
              <w:spacing w:before="120" w:after="120"/>
              <w:jc w:val="center"/>
              <w:cnfStyle w:val="000000000000" w:firstRow="0" w:lastRow="0" w:firstColumn="0" w:lastColumn="0" w:oddVBand="0" w:evenVBand="0" w:oddHBand="0" w:evenHBand="0" w:firstRowFirstColumn="0" w:firstRowLastColumn="0" w:lastRowFirstColumn="0" w:lastRowLastColumn="0"/>
            </w:pPr>
            <w:r w:rsidRPr="00362B1B">
              <w:rPr>
                <w:rFonts w:ascii="Segoe UI Symbol" w:hAnsi="Segoe UI Symbol" w:cs="Segoe UI Symbol"/>
                <w:bCs/>
              </w:rPr>
              <w:t>✖</w:t>
            </w:r>
          </w:p>
        </w:tc>
      </w:tr>
      <w:tr w:rsidR="00034380" w:rsidRPr="00D422F0" w14:paraId="0C2D3858" w14:textId="77777777" w:rsidTr="0098749E">
        <w:trPr>
          <w:trHeight w:val="290"/>
        </w:trPr>
        <w:tc>
          <w:tcPr>
            <w:cnfStyle w:val="001000000000" w:firstRow="0" w:lastRow="0" w:firstColumn="1" w:lastColumn="0" w:oddVBand="0" w:evenVBand="0" w:oddHBand="0" w:evenHBand="0" w:firstRowFirstColumn="0" w:firstRowLastColumn="0" w:lastRowFirstColumn="0"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CAE52D6" w14:textId="2FFCBFBE" w:rsidR="00082FBF" w:rsidRPr="00D422F0" w:rsidRDefault="004A2476">
            <w:pPr>
              <w:spacing w:before="120" w:after="120"/>
            </w:pPr>
            <w:r>
              <w:rPr>
                <w:color w:val="44546A" w:themeColor="text2"/>
              </w:rPr>
              <w:t>Paediatric patients in ICU</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6ACA8EB" w14:textId="0E549798" w:rsidR="00082FBF" w:rsidRPr="00D422F0" w:rsidRDefault="004A2476" w:rsidP="0098749E">
            <w:pPr>
              <w:spacing w:before="120" w:after="120"/>
              <w:jc w:val="center"/>
              <w:cnfStyle w:val="000000000000" w:firstRow="0" w:lastRow="0" w:firstColumn="0" w:lastColumn="0" w:oddVBand="0" w:evenVBand="0" w:oddHBand="0" w:evenHBand="0" w:firstRowFirstColumn="0" w:firstRowLastColumn="0" w:lastRowFirstColumn="0" w:lastRowLastColumn="0"/>
            </w:pPr>
            <w:r w:rsidRPr="003F3C9F">
              <w:rPr>
                <w:i/>
                <w:iCs/>
                <w:color w:val="44546A" w:themeColor="text2"/>
              </w:rPr>
              <w:t>Aicu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08CFF2A" w14:textId="62D1C883" w:rsidR="00082FBF" w:rsidRPr="00362B1B" w:rsidRDefault="004A2476">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115FA9">
              <w:rPr>
                <w:rFonts w:ascii="Segoe UI Symbol" w:hAnsi="Segoe UI Symbol" w:cs="Segoe UI Symbol"/>
                <w:lang w:val="en-U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8D91CA9" w14:textId="01673C9D" w:rsidR="00082FBF" w:rsidRPr="00D422F0" w:rsidRDefault="00082FBF">
            <w:pPr>
              <w:spacing w:before="120" w:after="120"/>
              <w:jc w:val="center"/>
              <w:cnfStyle w:val="000000000000" w:firstRow="0" w:lastRow="0" w:firstColumn="0" w:lastColumn="0" w:oddVBand="0" w:evenVBand="0" w:oddHBand="0" w:evenHBand="0" w:firstRowFirstColumn="0" w:firstRowLastColumn="0" w:lastRowFirstColumn="0" w:lastRowLastColumn="0"/>
            </w:pPr>
            <w:r w:rsidRPr="00362B1B">
              <w:rPr>
                <w:rFonts w:ascii="Segoe UI Symbol" w:hAnsi="Segoe UI Symbol" w:cs="Segoe UI Symbol"/>
                <w:bCs/>
              </w:rPr>
              <w:t>✖</w:t>
            </w:r>
          </w:p>
        </w:tc>
      </w:tr>
      <w:tr w:rsidR="00034380" w:rsidRPr="00D422F0" w14:paraId="57EFF9B1" w14:textId="77777777" w:rsidTr="0098749E">
        <w:trPr>
          <w:trHeight w:val="290"/>
        </w:trPr>
        <w:tc>
          <w:tcPr>
            <w:cnfStyle w:val="001000000000" w:firstRow="0" w:lastRow="0" w:firstColumn="1" w:lastColumn="0" w:oddVBand="0" w:evenVBand="0" w:oddHBand="0" w:evenHBand="0" w:firstRowFirstColumn="0" w:firstRowLastColumn="0" w:lastRowFirstColumn="0"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3DD73D3E" w14:textId="5E486534" w:rsidR="00082FBF" w:rsidRPr="00FC6B54" w:rsidRDefault="004A2476">
            <w:pPr>
              <w:spacing w:before="120" w:after="120"/>
            </w:pPr>
            <w:r w:rsidRPr="000D2EEA">
              <w:rPr>
                <w:color w:val="44546A" w:themeColor="text2"/>
              </w:rPr>
              <w:t>Step Down Care</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55552FC" w14:textId="1A5F6491" w:rsidR="00082FBF" w:rsidRPr="00FC6B54" w:rsidRDefault="004A2476" w:rsidP="0098749E">
            <w:pPr>
              <w:spacing w:before="120" w:after="120"/>
              <w:jc w:val="center"/>
              <w:cnfStyle w:val="000000000000" w:firstRow="0" w:lastRow="0" w:firstColumn="0" w:lastColumn="0" w:oddVBand="0" w:evenVBand="0" w:oddHBand="0" w:evenHBand="0" w:firstRowFirstColumn="0" w:firstRowLastColumn="0" w:lastRowFirstColumn="0" w:lastRowLastColumn="0"/>
            </w:pPr>
            <w:r w:rsidRPr="003F3C9F">
              <w:rPr>
                <w:i/>
                <w:iCs/>
                <w:color w:val="44546A" w:themeColor="text2"/>
              </w:rPr>
              <w:t>Aicu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7C17584" w14:textId="25063317" w:rsidR="00082FBF" w:rsidRPr="00362B1B" w:rsidRDefault="004A2476">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115FA9">
              <w:rPr>
                <w:rFonts w:ascii="Segoe UI Symbol" w:hAnsi="Segoe UI Symbol" w:cs="Segoe UI Symbol"/>
                <w:lang w:val="en-U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55D50C2" w14:textId="7681AC72" w:rsidR="00082FBF" w:rsidRPr="008E61F2" w:rsidRDefault="00082FBF">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362B1B">
              <w:rPr>
                <w:rFonts w:ascii="Segoe UI Symbol" w:hAnsi="Segoe UI Symbol" w:cs="Segoe UI Symbol"/>
                <w:bCs/>
              </w:rPr>
              <w:t>✖</w:t>
            </w:r>
          </w:p>
        </w:tc>
      </w:tr>
      <w:tr w:rsidR="00034380" w:rsidRPr="00D422F0" w14:paraId="5C6871E9" w14:textId="77777777" w:rsidTr="0098749E">
        <w:trPr>
          <w:trHeight w:val="290"/>
        </w:trPr>
        <w:tc>
          <w:tcPr>
            <w:cnfStyle w:val="001000000000" w:firstRow="0" w:lastRow="0" w:firstColumn="1" w:lastColumn="0" w:oddVBand="0" w:evenVBand="0" w:oddHBand="0" w:evenHBand="0" w:firstRowFirstColumn="0" w:firstRowLastColumn="0" w:lastRowFirstColumn="0"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2C4AE5A0" w14:textId="58A1DEFF" w:rsidR="00082FBF" w:rsidRPr="00FC6B54" w:rsidRDefault="004A2476">
            <w:pPr>
              <w:spacing w:before="120" w:after="120"/>
            </w:pPr>
            <w:r w:rsidRPr="000D2EEA">
              <w:rPr>
                <w:color w:val="44546A" w:themeColor="text2"/>
              </w:rPr>
              <w:lastRenderedPageBreak/>
              <w:t>ICU</w:t>
            </w:r>
            <w:r>
              <w:rPr>
                <w:color w:val="44546A" w:themeColor="text2"/>
              </w:rPr>
              <w:t xml:space="preserve"> </w:t>
            </w:r>
            <w:r w:rsidRPr="000D2EEA">
              <w:rPr>
                <w:color w:val="44546A" w:themeColor="text2"/>
              </w:rPr>
              <w:t>provided at Flinders Private Hospital</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057FB4C" w14:textId="54F4D20C" w:rsidR="00082FBF" w:rsidRPr="00FC6B54" w:rsidRDefault="004A2476" w:rsidP="0098749E">
            <w:pPr>
              <w:spacing w:before="120" w:after="120"/>
              <w:jc w:val="center"/>
              <w:cnfStyle w:val="000000000000" w:firstRow="0" w:lastRow="0" w:firstColumn="0" w:lastColumn="0" w:oddVBand="0" w:evenVBand="0" w:oddHBand="0" w:evenHBand="0" w:firstRowFirstColumn="0" w:firstRowLastColumn="0" w:lastRowFirstColumn="0" w:lastRowLastColumn="0"/>
            </w:pPr>
            <w:r w:rsidRPr="003F3C9F">
              <w:rPr>
                <w:i/>
                <w:iCs/>
                <w:color w:val="44546A" w:themeColor="text2"/>
              </w:rPr>
              <w:t>Aicu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4174751" w14:textId="258CC2BB" w:rsidR="00082FBF" w:rsidRPr="00362B1B" w:rsidRDefault="004A2476">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BC2659">
              <w:rPr>
                <w:rFonts w:ascii="Segoe UI Symbol" w:hAnsi="Segoe UI Symbol" w:cs="Segoe UI Symbol"/>
                <w:bC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A507A16" w14:textId="2F2907A6" w:rsidR="00082FBF" w:rsidRPr="008E61F2" w:rsidRDefault="00082FBF">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62B1B">
              <w:rPr>
                <w:rFonts w:ascii="Segoe UI Symbol" w:hAnsi="Segoe UI Symbol" w:cs="Segoe UI Symbol"/>
                <w:bCs/>
              </w:rPr>
              <w:t>✖</w:t>
            </w:r>
          </w:p>
        </w:tc>
      </w:tr>
      <w:tr w:rsidR="00034380" w:rsidRPr="00D422F0" w14:paraId="6B526070" w14:textId="77777777" w:rsidTr="0098749E">
        <w:trPr>
          <w:trHeight w:val="290"/>
        </w:trPr>
        <w:tc>
          <w:tcPr>
            <w:cnfStyle w:val="001000000000" w:firstRow="0" w:lastRow="0" w:firstColumn="1" w:lastColumn="0" w:oddVBand="0" w:evenVBand="0" w:oddHBand="0" w:evenHBand="0" w:firstRowFirstColumn="0" w:firstRowLastColumn="0" w:lastRowFirstColumn="0"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2DE6E245" w14:textId="4F2B0866" w:rsidR="00082FBF" w:rsidRPr="00FC6B54" w:rsidRDefault="004A2476">
            <w:pPr>
              <w:spacing w:before="120" w:after="120"/>
            </w:pPr>
            <w:r w:rsidRPr="000D2EEA">
              <w:rPr>
                <w:color w:val="44546A" w:themeColor="text2"/>
              </w:rPr>
              <w:t>Level 6 NICU</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D8336C1" w14:textId="40EE1C6D" w:rsidR="00082FBF" w:rsidRPr="00FC6B54" w:rsidRDefault="004A2476" w:rsidP="0098749E">
            <w:pPr>
              <w:spacing w:before="120" w:after="120"/>
              <w:jc w:val="center"/>
              <w:cnfStyle w:val="000000000000" w:firstRow="0" w:lastRow="0" w:firstColumn="0" w:lastColumn="0" w:oddVBand="0" w:evenVBand="0" w:oddHBand="0" w:evenHBand="0" w:firstRowFirstColumn="0" w:firstRowLastColumn="0" w:lastRowFirstColumn="0" w:lastRowLastColumn="0"/>
            </w:pPr>
            <w:r w:rsidRPr="003F3C9F">
              <w:rPr>
                <w:i/>
                <w:iCs/>
                <w:color w:val="44546A" w:themeColor="text2"/>
              </w:rPr>
              <w:t>Nicu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37E0A9C" w14:textId="24174073" w:rsidR="00082FBF" w:rsidRPr="00362B1B" w:rsidRDefault="004A2476">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BC2659">
              <w:rPr>
                <w:rFonts w:ascii="Segoe UI Symbol" w:hAnsi="Segoe UI Symbol" w:cs="Segoe UI Symbol"/>
                <w:bC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DD83ABD" w14:textId="41CA9334" w:rsidR="00082FBF" w:rsidRPr="008E61F2" w:rsidRDefault="00082FBF">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62B1B">
              <w:rPr>
                <w:rFonts w:ascii="Segoe UI Symbol" w:hAnsi="Segoe UI Symbol" w:cs="Segoe UI Symbol"/>
                <w:bCs/>
              </w:rPr>
              <w:t>✖</w:t>
            </w:r>
          </w:p>
        </w:tc>
      </w:tr>
      <w:tr w:rsidR="00034380" w:rsidRPr="00D422F0" w14:paraId="0E82593F" w14:textId="77777777" w:rsidTr="0098749E">
        <w:trPr>
          <w:trHeight w:val="290"/>
        </w:trPr>
        <w:tc>
          <w:tcPr>
            <w:cnfStyle w:val="001000000000" w:firstRow="0" w:lastRow="0" w:firstColumn="1" w:lastColumn="0" w:oddVBand="0" w:evenVBand="0" w:oddHBand="0" w:evenHBand="0" w:firstRowFirstColumn="0" w:firstRowLastColumn="0" w:lastRowFirstColumn="0"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24AAB96" w14:textId="09C5669B" w:rsidR="00082FBF" w:rsidRPr="00FC6B54" w:rsidRDefault="004A2476">
            <w:pPr>
              <w:spacing w:before="120" w:after="120"/>
            </w:pPr>
            <w:r w:rsidRPr="000D2EEA">
              <w:rPr>
                <w:color w:val="44546A" w:themeColor="text2"/>
              </w:rPr>
              <w:t>Level 5,</w:t>
            </w:r>
            <w:r>
              <w:rPr>
                <w:color w:val="44546A" w:themeColor="text2"/>
              </w:rPr>
              <w:t xml:space="preserve"> </w:t>
            </w:r>
            <w:r w:rsidRPr="000D2EEA">
              <w:rPr>
                <w:color w:val="44546A" w:themeColor="text2"/>
              </w:rPr>
              <w:t>4,</w:t>
            </w:r>
            <w:r>
              <w:rPr>
                <w:color w:val="44546A" w:themeColor="text2"/>
              </w:rPr>
              <w:t xml:space="preserve"> </w:t>
            </w:r>
            <w:r w:rsidRPr="000D2EEA">
              <w:rPr>
                <w:color w:val="44546A" w:themeColor="text2"/>
              </w:rPr>
              <w:t>3 (Special Care</w:t>
            </w:r>
            <w:r>
              <w:rPr>
                <w:color w:val="44546A" w:themeColor="text2"/>
              </w:rPr>
              <w:t xml:space="preserve"> - NISCU</w:t>
            </w:r>
            <w:r w:rsidRPr="000D2EEA">
              <w:rPr>
                <w:color w:val="44546A" w:themeColor="text2"/>
              </w:rPr>
              <w:t>)</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5A57FEC" w14:textId="74FDF616" w:rsidR="00082FBF" w:rsidRPr="00FC6B54" w:rsidRDefault="004A2476" w:rsidP="0098749E">
            <w:pPr>
              <w:spacing w:before="120" w:after="120"/>
              <w:jc w:val="center"/>
              <w:cnfStyle w:val="000000000000" w:firstRow="0" w:lastRow="0" w:firstColumn="0" w:lastColumn="0" w:oddVBand="0" w:evenVBand="0" w:oddHBand="0" w:evenHBand="0" w:firstRowFirstColumn="0" w:firstRowLastColumn="0" w:lastRowFirstColumn="0" w:lastRowLastColumn="0"/>
            </w:pPr>
            <w:r w:rsidRPr="003F3C9F">
              <w:rPr>
                <w:i/>
                <w:iCs/>
                <w:color w:val="44546A" w:themeColor="text2"/>
              </w:rPr>
              <w:t>Nicu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3A6780D5" w14:textId="2B103E51" w:rsidR="00082FBF" w:rsidRPr="00362B1B" w:rsidRDefault="004A2476">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BC2659">
              <w:rPr>
                <w:rFonts w:ascii="Segoe UI Symbol" w:hAnsi="Segoe UI Symbol" w:cs="Segoe UI Symbol"/>
                <w:bC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9293FD4" w14:textId="6E75DB35" w:rsidR="00082FBF" w:rsidRPr="008E61F2" w:rsidRDefault="00082FBF">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62B1B">
              <w:rPr>
                <w:rFonts w:ascii="Segoe UI Symbol" w:hAnsi="Segoe UI Symbol" w:cs="Segoe UI Symbol"/>
                <w:bCs/>
              </w:rPr>
              <w:t>✖</w:t>
            </w:r>
          </w:p>
        </w:tc>
      </w:tr>
      <w:tr w:rsidR="00034380" w:rsidRPr="00D422F0" w14:paraId="2377757F" w14:textId="77777777" w:rsidTr="0098749E">
        <w:trPr>
          <w:trHeight w:val="290"/>
        </w:trPr>
        <w:tc>
          <w:tcPr>
            <w:cnfStyle w:val="001000000000" w:firstRow="0" w:lastRow="0" w:firstColumn="1" w:lastColumn="0" w:oddVBand="0" w:evenVBand="0" w:oddHBand="0" w:evenHBand="0" w:firstRowFirstColumn="0" w:firstRowLastColumn="0" w:lastRowFirstColumn="0"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39A68653" w14:textId="4DD6A985" w:rsidR="00082FBF" w:rsidRPr="00FC6B54" w:rsidRDefault="004A2476">
            <w:pPr>
              <w:spacing w:before="120" w:after="120"/>
            </w:pPr>
            <w:r w:rsidRPr="000D2EEA">
              <w:rPr>
                <w:color w:val="44546A" w:themeColor="text2"/>
              </w:rPr>
              <w:t>Coronary Care Unit</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47C0015" w14:textId="3F323326" w:rsidR="00082FBF" w:rsidRPr="00FC6B54" w:rsidRDefault="004A2476" w:rsidP="0098749E">
            <w:pPr>
              <w:spacing w:before="120" w:after="120"/>
              <w:jc w:val="center"/>
              <w:cnfStyle w:val="000000000000" w:firstRow="0" w:lastRow="0" w:firstColumn="0" w:lastColumn="0" w:oddVBand="0" w:evenVBand="0" w:oddHBand="0" w:evenHBand="0" w:firstRowFirstColumn="0" w:firstRowLastColumn="0" w:lastRowFirstColumn="0" w:lastRowLastColumn="0"/>
            </w:pPr>
            <w:r w:rsidRPr="003F3C9F">
              <w:rPr>
                <w:i/>
                <w:iCs/>
                <w:color w:val="44546A" w:themeColor="text2"/>
              </w:rPr>
              <w:t>Ccu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55C77610" w14:textId="2933684B" w:rsidR="00082FBF" w:rsidRPr="00362B1B" w:rsidRDefault="004A2476">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BC2659">
              <w:rPr>
                <w:rFonts w:ascii="Segoe UI Symbol" w:hAnsi="Segoe UI Symbol" w:cs="Segoe UI Symbol"/>
                <w:bC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41C0EFA" w14:textId="437AB6E6" w:rsidR="00082FBF" w:rsidRPr="008E61F2" w:rsidRDefault="00082FBF">
            <w:pPr>
              <w:spacing w:before="120" w:after="120"/>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362B1B">
              <w:rPr>
                <w:rFonts w:ascii="Segoe UI Symbol" w:hAnsi="Segoe UI Symbol" w:cs="Segoe UI Symbol"/>
                <w:bCs/>
              </w:rPr>
              <w:t>✖</w:t>
            </w:r>
          </w:p>
        </w:tc>
      </w:tr>
      <w:tr w:rsidR="00034380" w:rsidRPr="00D422F0" w14:paraId="4123B0BB" w14:textId="77777777" w:rsidTr="0098749E">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63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38E35976" w14:textId="03E11EDC" w:rsidR="00082FBF" w:rsidRPr="004A2476" w:rsidRDefault="004A2476">
            <w:pPr>
              <w:spacing w:before="120" w:after="120"/>
              <w:rPr>
                <w:b w:val="0"/>
              </w:rPr>
            </w:pPr>
            <w:r w:rsidRPr="004A2476">
              <w:rPr>
                <w:b w:val="0"/>
                <w:bCs/>
                <w:color w:val="44546A" w:themeColor="text2"/>
              </w:rPr>
              <w:t>CCU provided at Flinders Private Hospital</w:t>
            </w:r>
          </w:p>
        </w:tc>
        <w:tc>
          <w:tcPr>
            <w:tcW w:w="94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4EBD2EC" w14:textId="6E69A088" w:rsidR="00082FBF" w:rsidRPr="004A2476" w:rsidRDefault="004A2476" w:rsidP="0098749E">
            <w:pPr>
              <w:spacing w:before="120" w:after="120"/>
              <w:jc w:val="center"/>
              <w:cnfStyle w:val="010000000000" w:firstRow="0" w:lastRow="1" w:firstColumn="0" w:lastColumn="0" w:oddVBand="0" w:evenVBand="0" w:oddHBand="0" w:evenHBand="0" w:firstRowFirstColumn="0" w:firstRowLastColumn="0" w:lastRowFirstColumn="0" w:lastRowLastColumn="0"/>
              <w:rPr>
                <w:b w:val="0"/>
              </w:rPr>
            </w:pPr>
            <w:r w:rsidRPr="004A2476">
              <w:rPr>
                <w:b w:val="0"/>
                <w:bCs/>
                <w:i/>
                <w:iCs/>
                <w:color w:val="44546A" w:themeColor="text2"/>
              </w:rPr>
              <w:t>Ccu</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B02C2FF" w14:textId="3434C7EF" w:rsidR="00082FBF" w:rsidRPr="004A2476" w:rsidRDefault="004A2476">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4A2476">
              <w:rPr>
                <w:rFonts w:ascii="Segoe UI Symbol" w:hAnsi="Segoe UI Symbol" w:cs="Segoe UI Symbol"/>
                <w:b w:val="0"/>
                <w:bCs/>
              </w:rPr>
              <w:t>✖</w:t>
            </w:r>
          </w:p>
        </w:tc>
        <w:tc>
          <w:tcPr>
            <w:tcW w:w="121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66074D0C" w14:textId="03E0329F" w:rsidR="00082FBF" w:rsidRPr="004A2476" w:rsidRDefault="00082FBF">
            <w:pPr>
              <w:spacing w:before="120" w:after="120"/>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4A2476">
              <w:rPr>
                <w:rFonts w:ascii="Segoe UI Symbol" w:hAnsi="Segoe UI Symbol" w:cs="Segoe UI Symbol"/>
                <w:b w:val="0"/>
              </w:rPr>
              <w:t>✖</w:t>
            </w:r>
          </w:p>
        </w:tc>
      </w:tr>
    </w:tbl>
    <w:p w14:paraId="52D10DA7" w14:textId="77777777" w:rsidR="007C4F68" w:rsidRDefault="007C4F68" w:rsidP="007C4F68">
      <w:pPr>
        <w:rPr>
          <w:color w:val="44546A" w:themeColor="text2"/>
        </w:rPr>
      </w:pPr>
    </w:p>
    <w:p w14:paraId="5FD34704" w14:textId="0586BFEF" w:rsidR="00890FB1" w:rsidRDefault="00890FB1" w:rsidP="00890FB1">
      <w:pPr>
        <w:rPr>
          <w:i/>
          <w:iCs/>
          <w:color w:val="44546A" w:themeColor="text2"/>
        </w:rPr>
      </w:pPr>
      <w:r>
        <w:rPr>
          <w:color w:val="44546A" w:themeColor="text2"/>
        </w:rPr>
        <w:t>FMC</w:t>
      </w:r>
      <w:r w:rsidRPr="00D83714">
        <w:rPr>
          <w:color w:val="44546A" w:themeColor="text2"/>
        </w:rPr>
        <w:t xml:space="preserve"> only report</w:t>
      </w:r>
      <w:r>
        <w:rPr>
          <w:color w:val="44546A" w:themeColor="text2"/>
        </w:rPr>
        <w:t>s</w:t>
      </w:r>
      <w:r w:rsidRPr="00D83714">
        <w:rPr>
          <w:color w:val="44546A" w:themeColor="text2"/>
        </w:rPr>
        <w:t xml:space="preserve"> costs against 3 of IHACPA’s 10 </w:t>
      </w:r>
      <w:r w:rsidRPr="00B54383">
        <w:rPr>
          <w:i/>
          <w:iCs/>
          <w:color w:val="44546A" w:themeColor="text2"/>
        </w:rPr>
        <w:t>Critical</w:t>
      </w:r>
      <w:r>
        <w:rPr>
          <w:color w:val="44546A" w:themeColor="text2"/>
        </w:rPr>
        <w:t xml:space="preserve"> </w:t>
      </w:r>
      <w:r w:rsidR="00CD1340">
        <w:rPr>
          <w:color w:val="44546A" w:themeColor="text2"/>
        </w:rPr>
        <w:t xml:space="preserve">NHCDC </w:t>
      </w:r>
      <w:r>
        <w:rPr>
          <w:color w:val="44546A" w:themeColor="text2"/>
        </w:rPr>
        <w:t xml:space="preserve">Cost </w:t>
      </w:r>
      <w:r w:rsidRPr="00D83714">
        <w:rPr>
          <w:color w:val="44546A" w:themeColor="text2"/>
        </w:rPr>
        <w:t>Centres (</w:t>
      </w:r>
      <w:r w:rsidRPr="002949C6">
        <w:rPr>
          <w:i/>
          <w:iCs/>
          <w:color w:val="44546A" w:themeColor="text2"/>
        </w:rPr>
        <w:t>Aicu, Ccu and Nicu</w:t>
      </w:r>
      <w:r>
        <w:rPr>
          <w:color w:val="44546A" w:themeColor="text2"/>
        </w:rPr>
        <w:t>)</w:t>
      </w:r>
      <w:r w:rsidRPr="00D83714">
        <w:rPr>
          <w:color w:val="44546A" w:themeColor="text2"/>
        </w:rPr>
        <w:t xml:space="preserve"> and do</w:t>
      </w:r>
      <w:r w:rsidR="0098749E">
        <w:rPr>
          <w:color w:val="44546A" w:themeColor="text2"/>
        </w:rPr>
        <w:t>es</w:t>
      </w:r>
      <w:r w:rsidRPr="00D83714">
        <w:rPr>
          <w:color w:val="44546A" w:themeColor="text2"/>
        </w:rPr>
        <w:t xml:space="preserve"> not report any costs under </w:t>
      </w:r>
      <w:r w:rsidRPr="00D83714">
        <w:rPr>
          <w:i/>
          <w:iCs/>
          <w:color w:val="44546A" w:themeColor="text2"/>
        </w:rPr>
        <w:t>Hdicu, Cticu, Gencritcare, OtherCritCare, Paedicu, Psychicu, Scnicu.</w:t>
      </w:r>
    </w:p>
    <w:p w14:paraId="4758531F" w14:textId="4AEA1636" w:rsidR="00890FB1" w:rsidRDefault="00890FB1" w:rsidP="00890FB1">
      <w:pPr>
        <w:rPr>
          <w:color w:val="44546A" w:themeColor="text2"/>
        </w:rPr>
      </w:pPr>
      <w:r>
        <w:rPr>
          <w:color w:val="44546A" w:themeColor="text2"/>
        </w:rPr>
        <w:t xml:space="preserve">There are mismatches between SA’s ICU costs and activity. The following critical care services have costs reported under </w:t>
      </w:r>
      <w:r w:rsidRPr="00A07313">
        <w:rPr>
          <w:i/>
          <w:iCs/>
          <w:color w:val="44546A" w:themeColor="text2"/>
        </w:rPr>
        <w:t>Critical</w:t>
      </w:r>
      <w:r>
        <w:rPr>
          <w:color w:val="44546A" w:themeColor="text2"/>
        </w:rPr>
        <w:t xml:space="preserve"> </w:t>
      </w:r>
      <w:r w:rsidR="007E0409">
        <w:rPr>
          <w:color w:val="44546A" w:themeColor="text2"/>
        </w:rPr>
        <w:t xml:space="preserve">NHCDC </w:t>
      </w:r>
      <w:r>
        <w:rPr>
          <w:color w:val="44546A" w:themeColor="text2"/>
        </w:rPr>
        <w:t>Cost Centre Group, with no ICU hours reported:</w:t>
      </w:r>
    </w:p>
    <w:p w14:paraId="2279B0F8" w14:textId="260B59D6" w:rsidR="00890FB1" w:rsidRDefault="00890FB1" w:rsidP="00CD718C">
      <w:pPr>
        <w:pStyle w:val="ListParagraph"/>
        <w:numPr>
          <w:ilvl w:val="0"/>
          <w:numId w:val="43"/>
        </w:numPr>
        <w:rPr>
          <w:color w:val="44546A" w:themeColor="text2"/>
        </w:rPr>
      </w:pPr>
      <w:r>
        <w:rPr>
          <w:color w:val="44546A" w:themeColor="text2"/>
        </w:rPr>
        <w:t xml:space="preserve">ICU services contracted at </w:t>
      </w:r>
      <w:r w:rsidR="00014975">
        <w:rPr>
          <w:color w:val="44546A" w:themeColor="text2"/>
        </w:rPr>
        <w:t>FPH</w:t>
      </w:r>
    </w:p>
    <w:p w14:paraId="3186D25E" w14:textId="77777777" w:rsidR="00890FB1" w:rsidRDefault="00890FB1" w:rsidP="00CD718C">
      <w:pPr>
        <w:pStyle w:val="ListParagraph"/>
        <w:numPr>
          <w:ilvl w:val="0"/>
          <w:numId w:val="43"/>
        </w:numPr>
        <w:rPr>
          <w:color w:val="44546A" w:themeColor="text2"/>
        </w:rPr>
      </w:pPr>
      <w:r>
        <w:rPr>
          <w:color w:val="44546A" w:themeColor="text2"/>
        </w:rPr>
        <w:t>NICU / Special Care</w:t>
      </w:r>
    </w:p>
    <w:p w14:paraId="1C412370" w14:textId="0050600D" w:rsidR="00890FB1" w:rsidRPr="00CA6A5F" w:rsidRDefault="00F43E1F" w:rsidP="00CD718C">
      <w:pPr>
        <w:pStyle w:val="ListParagraph"/>
        <w:numPr>
          <w:ilvl w:val="0"/>
          <w:numId w:val="43"/>
        </w:numPr>
        <w:rPr>
          <w:color w:val="44546A" w:themeColor="text2"/>
        </w:rPr>
      </w:pPr>
      <w:r>
        <w:rPr>
          <w:color w:val="44546A" w:themeColor="text2"/>
        </w:rPr>
        <w:t>CCU</w:t>
      </w:r>
    </w:p>
    <w:p w14:paraId="09F93783" w14:textId="1B03DE74" w:rsidR="00890FB1" w:rsidRDefault="00890FB1" w:rsidP="00890FB1">
      <w:pPr>
        <w:rPr>
          <w:color w:val="44546A" w:themeColor="text2"/>
        </w:rPr>
      </w:pPr>
      <w:r w:rsidRPr="000017EA">
        <w:rPr>
          <w:color w:val="44546A" w:themeColor="text2"/>
        </w:rPr>
        <w:t xml:space="preserve">All of </w:t>
      </w:r>
      <w:r>
        <w:rPr>
          <w:color w:val="44546A" w:themeColor="text2"/>
        </w:rPr>
        <w:t>SA’s</w:t>
      </w:r>
      <w:r w:rsidRPr="000017EA">
        <w:rPr>
          <w:color w:val="44546A" w:themeColor="text2"/>
        </w:rPr>
        <w:t xml:space="preserve"> ICU hours are reported as </w:t>
      </w:r>
      <w:r w:rsidRPr="00CA6A5F">
        <w:rPr>
          <w:i/>
          <w:iCs/>
          <w:color w:val="44546A" w:themeColor="text2"/>
        </w:rPr>
        <w:t xml:space="preserve">Level 3 ICU </w:t>
      </w:r>
      <w:r w:rsidR="00AB4EC0">
        <w:rPr>
          <w:i/>
          <w:iCs/>
          <w:color w:val="44546A" w:themeColor="text2"/>
        </w:rPr>
        <w:t>H</w:t>
      </w:r>
      <w:r w:rsidRPr="00CA6A5F">
        <w:rPr>
          <w:i/>
          <w:iCs/>
          <w:color w:val="44546A" w:themeColor="text2"/>
        </w:rPr>
        <w:t>ours</w:t>
      </w:r>
      <w:r>
        <w:rPr>
          <w:i/>
          <w:iCs/>
          <w:color w:val="44546A" w:themeColor="text2"/>
        </w:rPr>
        <w:t xml:space="preserve">, </w:t>
      </w:r>
      <w:r w:rsidRPr="00CA6A5F">
        <w:rPr>
          <w:color w:val="44546A" w:themeColor="text2"/>
        </w:rPr>
        <w:t>with no hours reported as</w:t>
      </w:r>
      <w:r>
        <w:rPr>
          <w:i/>
          <w:iCs/>
          <w:color w:val="44546A" w:themeColor="text2"/>
        </w:rPr>
        <w:t xml:space="preserve"> Other ICU Hours.</w:t>
      </w:r>
      <w:r w:rsidRPr="000017EA">
        <w:rPr>
          <w:color w:val="44546A" w:themeColor="text2"/>
        </w:rPr>
        <w:t xml:space="preserve"> The chart below shows the total volume of ICU Hours at </w:t>
      </w:r>
      <w:r>
        <w:rPr>
          <w:color w:val="44546A" w:themeColor="text2"/>
        </w:rPr>
        <w:t>FMC</w:t>
      </w:r>
      <w:r w:rsidRPr="000017EA">
        <w:rPr>
          <w:color w:val="44546A" w:themeColor="text2"/>
        </w:rPr>
        <w:t xml:space="preserve">, and total for </w:t>
      </w:r>
      <w:r>
        <w:rPr>
          <w:color w:val="44546A" w:themeColor="text2"/>
        </w:rPr>
        <w:t>a</w:t>
      </w:r>
      <w:r w:rsidRPr="000017EA">
        <w:rPr>
          <w:color w:val="44546A" w:themeColor="text2"/>
        </w:rPr>
        <w:t xml:space="preserve">ll </w:t>
      </w:r>
      <w:r>
        <w:rPr>
          <w:color w:val="44546A" w:themeColor="text2"/>
        </w:rPr>
        <w:t xml:space="preserve">SA </w:t>
      </w:r>
      <w:r w:rsidRPr="000017EA">
        <w:rPr>
          <w:color w:val="44546A" w:themeColor="text2"/>
        </w:rPr>
        <w:t>facilities.</w:t>
      </w:r>
    </w:p>
    <w:p w14:paraId="271B3F2F" w14:textId="119E4ACD" w:rsidR="007C4F68" w:rsidRDefault="00BE600F" w:rsidP="00EC0C63">
      <w:pPr>
        <w:pStyle w:val="Caption"/>
        <w:keepNext/>
      </w:pPr>
      <w:r w:rsidRPr="00AB4FAC">
        <w:rPr>
          <w:noProof/>
        </w:rPr>
        <w:lastRenderedPageBreak/>
        <w:drawing>
          <wp:anchor distT="0" distB="0" distL="114300" distR="114300" simplePos="0" relativeHeight="251658275" behindDoc="0" locked="0" layoutInCell="1" allowOverlap="1" wp14:anchorId="60DF3EB6" wp14:editId="3A351ADF">
            <wp:simplePos x="0" y="0"/>
            <wp:positionH relativeFrom="margin">
              <wp:posOffset>398780</wp:posOffset>
            </wp:positionH>
            <wp:positionV relativeFrom="paragraph">
              <wp:posOffset>396875</wp:posOffset>
            </wp:positionV>
            <wp:extent cx="4930140" cy="2540635"/>
            <wp:effectExtent l="0" t="0" r="3810" b="0"/>
            <wp:wrapTopAndBottom/>
            <wp:docPr id="1066497196" name="Picture 1" descr="P29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97196" name="Picture 1" descr="P2951#y1"/>
                    <pic:cNvPicPr/>
                  </pic:nvPicPr>
                  <pic:blipFill>
                    <a:blip r:embed="rId107">
                      <a:extLst>
                        <a:ext uri="{28A0092B-C50C-407E-A947-70E740481C1C}">
                          <a14:useLocalDpi xmlns:a14="http://schemas.microsoft.com/office/drawing/2010/main" val="0"/>
                        </a:ext>
                      </a:extLst>
                    </a:blip>
                    <a:stretch>
                      <a:fillRect/>
                    </a:stretch>
                  </pic:blipFill>
                  <pic:spPr>
                    <a:xfrm>
                      <a:off x="0" y="0"/>
                      <a:ext cx="4930140" cy="2540635"/>
                    </a:xfrm>
                    <a:prstGeom prst="rect">
                      <a:avLst/>
                    </a:prstGeom>
                  </pic:spPr>
                </pic:pic>
              </a:graphicData>
            </a:graphic>
            <wp14:sizeRelH relativeFrom="margin">
              <wp14:pctWidth>0</wp14:pctWidth>
            </wp14:sizeRelH>
          </wp:anchor>
        </w:drawing>
      </w:r>
      <w:r w:rsidR="001038AE">
        <w:t xml:space="preserve">Figure </w:t>
      </w:r>
      <w:r w:rsidR="00BD5B5E">
        <w:fldChar w:fldCharType="begin"/>
      </w:r>
      <w:r w:rsidR="00BD5B5E">
        <w:instrText xml:space="preserve"> SEQ Figure \* ARABIC </w:instrText>
      </w:r>
      <w:r w:rsidR="00BD5B5E">
        <w:fldChar w:fldCharType="separate"/>
      </w:r>
      <w:r w:rsidR="00CE6F96">
        <w:rPr>
          <w:noProof/>
        </w:rPr>
        <w:t>41</w:t>
      </w:r>
      <w:r w:rsidR="00BD5B5E">
        <w:fldChar w:fldCharType="end"/>
      </w:r>
      <w:r w:rsidR="001038AE">
        <w:t xml:space="preserve">: </w:t>
      </w:r>
      <w:r w:rsidR="001038AE" w:rsidRPr="00074382">
        <w:t xml:space="preserve">Volume and percentage of ICU hours, reported by Level 3 ICU Hours and Other ICU Hours, at Flinders Medical Centre and all </w:t>
      </w:r>
      <w:r w:rsidR="00CB5FA2">
        <w:t>SA</w:t>
      </w:r>
      <w:r w:rsidR="001038AE" w:rsidRPr="00074382">
        <w:t xml:space="preserve"> Hospitals</w:t>
      </w:r>
    </w:p>
    <w:p w14:paraId="04486BDA" w14:textId="4BCDF6BD" w:rsidR="00890FB1" w:rsidRPr="003226E9" w:rsidRDefault="00890FB1" w:rsidP="007C4F68"/>
    <w:p w14:paraId="61FA63ED" w14:textId="32EFC117" w:rsidR="00890FB1" w:rsidRPr="00AD1F32" w:rsidRDefault="00890FB1" w:rsidP="009F419F">
      <w:pPr>
        <w:pStyle w:val="Heading4"/>
        <w:rPr>
          <w:color w:val="484B5D" w:themeColor="accent3"/>
        </w:rPr>
      </w:pPr>
      <w:r w:rsidRPr="00AD1F32">
        <w:rPr>
          <w:color w:val="484B5D" w:themeColor="accent3"/>
        </w:rPr>
        <w:t xml:space="preserve">Costs included in the </w:t>
      </w:r>
      <w:r w:rsidRPr="00AD1F32">
        <w:rPr>
          <w:i/>
          <w:iCs/>
          <w:color w:val="484B5D" w:themeColor="accent3"/>
        </w:rPr>
        <w:t>Critical</w:t>
      </w:r>
      <w:r w:rsidRPr="00AD1F32">
        <w:rPr>
          <w:color w:val="484B5D" w:themeColor="accent3"/>
        </w:rPr>
        <w:t xml:space="preserve"> </w:t>
      </w:r>
      <w:r w:rsidR="007E0409" w:rsidRPr="00AD1F32">
        <w:rPr>
          <w:color w:val="484B5D" w:themeColor="accent3"/>
        </w:rPr>
        <w:t xml:space="preserve">NHCDC </w:t>
      </w:r>
      <w:r w:rsidRPr="00AD1F32">
        <w:rPr>
          <w:color w:val="484B5D" w:themeColor="accent3"/>
        </w:rPr>
        <w:t>Cost Centre Group</w:t>
      </w:r>
    </w:p>
    <w:p w14:paraId="50978117" w14:textId="5A64E78C" w:rsidR="009940F0" w:rsidRPr="003226E9" w:rsidRDefault="009940F0" w:rsidP="009940F0">
      <w:r w:rsidRPr="003226E9">
        <w:t xml:space="preserve">The Critical Care Focused Review aimed at understanding the resources consumed by patients admitted into the different critical care departments, and identifying how these were allocated to individual patients, and which costs were reported against the </w:t>
      </w:r>
      <w:r w:rsidRPr="003226E9">
        <w:rPr>
          <w:i/>
          <w:iCs/>
        </w:rPr>
        <w:t xml:space="preserve">Critical </w:t>
      </w:r>
      <w:r w:rsidR="007E0409" w:rsidRPr="003226E9">
        <w:t xml:space="preserve">NHCDC </w:t>
      </w:r>
      <w:r w:rsidRPr="003226E9">
        <w:t xml:space="preserve">Cost Centre Group within NHCDC reporting. </w:t>
      </w:r>
    </w:p>
    <w:p w14:paraId="5F402A51" w14:textId="572675D0" w:rsidR="009940F0" w:rsidRPr="003226E9" w:rsidRDefault="009940F0" w:rsidP="009940F0">
      <w:r w:rsidRPr="003226E9">
        <w:t xml:space="preserve">In general, SA includes the following costs in the </w:t>
      </w:r>
      <w:r w:rsidRPr="003226E9">
        <w:rPr>
          <w:i/>
          <w:iCs/>
        </w:rPr>
        <w:t>Critical</w:t>
      </w:r>
      <w:r w:rsidRPr="003226E9">
        <w:t xml:space="preserve"> </w:t>
      </w:r>
      <w:r w:rsidR="007E0409" w:rsidRPr="003226E9">
        <w:t xml:space="preserve">NHCDC </w:t>
      </w:r>
      <w:r w:rsidRPr="003226E9">
        <w:t>Cost Centre Group:</w:t>
      </w:r>
    </w:p>
    <w:p w14:paraId="3BA452E6" w14:textId="2B808867" w:rsidR="009940F0" w:rsidRPr="003226E9" w:rsidRDefault="009940F0" w:rsidP="006044E0">
      <w:pPr>
        <w:pStyle w:val="ListParagraph"/>
        <w:numPr>
          <w:ilvl w:val="0"/>
          <w:numId w:val="16"/>
        </w:numPr>
      </w:pPr>
      <w:r w:rsidRPr="003226E9">
        <w:t xml:space="preserve">the staffing costs for nurses, medical (only for intensivists and </w:t>
      </w:r>
      <w:r w:rsidR="00025DA0" w:rsidRPr="003226E9">
        <w:t>JMO</w:t>
      </w:r>
      <w:r w:rsidRPr="003226E9">
        <w:t xml:space="preserve">s working in ICUs), and admin staff allocated to the wards, </w:t>
      </w:r>
    </w:p>
    <w:p w14:paraId="2A0D037E" w14:textId="77777777" w:rsidR="009940F0" w:rsidRPr="003226E9" w:rsidRDefault="009940F0" w:rsidP="006044E0">
      <w:pPr>
        <w:pStyle w:val="ListParagraph"/>
        <w:numPr>
          <w:ilvl w:val="0"/>
          <w:numId w:val="16"/>
        </w:numPr>
      </w:pPr>
      <w:r w:rsidRPr="003226E9">
        <w:t xml:space="preserve">imprest drugs, medical consumables, hotel costs and overheads. </w:t>
      </w:r>
    </w:p>
    <w:p w14:paraId="504BCC9E" w14:textId="053BBA7E" w:rsidR="009940F0" w:rsidRPr="00D27043" w:rsidRDefault="009940F0" w:rsidP="009940F0">
      <w:r w:rsidRPr="003226E9">
        <w:t xml:space="preserve">The resources consumed by patients whilst in the ICU/critical care departments that are allocated to the patient but reported under a different NHCDC Cost Centre Group </w:t>
      </w:r>
      <w:r w:rsidR="00FE6488" w:rsidRPr="003226E9">
        <w:t xml:space="preserve">(e.g. not </w:t>
      </w:r>
      <w:r w:rsidR="00FE6488" w:rsidRPr="00AD1F32">
        <w:rPr>
          <w:i/>
          <w:iCs/>
        </w:rPr>
        <w:t>Critical</w:t>
      </w:r>
      <w:r w:rsidR="00FE6488" w:rsidRPr="003226E9">
        <w:t xml:space="preserve">) </w:t>
      </w:r>
      <w:r w:rsidRPr="003226E9">
        <w:t xml:space="preserve">include pathology, imaging, drugs, allied health, nursing specialling costs and </w:t>
      </w:r>
      <w:r w:rsidR="000A742D" w:rsidRPr="003226E9">
        <w:t xml:space="preserve">Medical </w:t>
      </w:r>
      <w:r w:rsidR="000A742D" w:rsidRPr="003226E9">
        <w:rPr>
          <w:i/>
          <w:iCs/>
        </w:rPr>
        <w:t>S&amp;W</w:t>
      </w:r>
      <w:r w:rsidR="000A742D" w:rsidRPr="003226E9">
        <w:t xml:space="preserve"> for CCU and NICU </w:t>
      </w:r>
      <w:r w:rsidR="00E96993">
        <w:t>that</w:t>
      </w:r>
      <w:r w:rsidR="00E96993" w:rsidRPr="003226E9">
        <w:t xml:space="preserve"> </w:t>
      </w:r>
      <w:r w:rsidR="000A742D" w:rsidRPr="003226E9">
        <w:t>are reported under</w:t>
      </w:r>
      <w:r w:rsidR="000A742D" w:rsidRPr="003226E9">
        <w:rPr>
          <w:i/>
          <w:iCs/>
        </w:rPr>
        <w:t xml:space="preserve"> Clinical</w:t>
      </w:r>
      <w:r w:rsidR="000A742D" w:rsidRPr="003226E9">
        <w:t xml:space="preserve"> NHCDC Cost Centre Group for </w:t>
      </w:r>
      <w:r w:rsidR="000A742D">
        <w:t>their</w:t>
      </w:r>
      <w:r w:rsidR="000A742D" w:rsidRPr="000A742D">
        <w:t xml:space="preserve"> respective areas (Cardiology / Perinatal Medicine).</w:t>
      </w:r>
    </w:p>
    <w:p w14:paraId="06F5AD0F" w14:textId="3BC35ED9" w:rsidR="009940F0" w:rsidRPr="00413055" w:rsidRDefault="009940F0" w:rsidP="009940F0">
      <w:r w:rsidRPr="00413055">
        <w:t xml:space="preserve">The </w:t>
      </w:r>
      <w:r w:rsidRPr="004F39AF">
        <w:t xml:space="preserve">analysis below </w:t>
      </w:r>
      <w:r w:rsidRPr="00413055">
        <w:t xml:space="preserve">of critical care costs has focused on the Adult ICU and Paediatric ICU reported costs, as corresponding ICU hours were reported for these episodes. Other critical care costs (such as CCU, NICU etc) cannot meaningfully be compared as no critical care hours for these episodes are reported.  </w:t>
      </w:r>
    </w:p>
    <w:p w14:paraId="19FCBBE5" w14:textId="59AD386A" w:rsidR="009940F0" w:rsidRPr="00413055" w:rsidRDefault="009940F0" w:rsidP="009940F0">
      <w:r w:rsidRPr="00413055">
        <w:t xml:space="preserve">An analysis into ICU Costs Per Hour – defined as </w:t>
      </w:r>
      <w:r>
        <w:rPr>
          <w:i/>
        </w:rPr>
        <w:t>Aicu + Paedicu</w:t>
      </w:r>
      <w:r w:rsidRPr="00413055">
        <w:rPr>
          <w:i/>
        </w:rPr>
        <w:t xml:space="preserve"> </w:t>
      </w:r>
      <w:r w:rsidRPr="00B54383">
        <w:rPr>
          <w:iCs/>
        </w:rPr>
        <w:t>in the</w:t>
      </w:r>
      <w:r w:rsidRPr="00413055">
        <w:rPr>
          <w:i/>
        </w:rPr>
        <w:t xml:space="preserve"> Critical </w:t>
      </w:r>
      <w:r w:rsidR="008B58C6" w:rsidRPr="00B54383">
        <w:rPr>
          <w:iCs/>
        </w:rPr>
        <w:t>NHCDC</w:t>
      </w:r>
      <w:r w:rsidRPr="00B54383">
        <w:rPr>
          <w:iCs/>
        </w:rPr>
        <w:t xml:space="preserve"> Cost Centre Group</w:t>
      </w:r>
      <w:r w:rsidRPr="00413055">
        <w:t xml:space="preserve"> costs, divided by </w:t>
      </w:r>
      <w:r w:rsidRPr="00CA6A5F">
        <w:rPr>
          <w:i/>
          <w:iCs/>
        </w:rPr>
        <w:t>Level 3 ICU Hours</w:t>
      </w:r>
      <w:r w:rsidRPr="00413055">
        <w:t>, shows the following:</w:t>
      </w:r>
    </w:p>
    <w:p w14:paraId="0FC0F073" w14:textId="73DF5FB8" w:rsidR="009940F0" w:rsidRPr="00413055" w:rsidRDefault="009940F0" w:rsidP="006044E0">
      <w:pPr>
        <w:pStyle w:val="ListParagraph"/>
        <w:numPr>
          <w:ilvl w:val="0"/>
          <w:numId w:val="15"/>
        </w:numPr>
      </w:pPr>
      <w:r w:rsidRPr="00413055">
        <w:t xml:space="preserve">The </w:t>
      </w:r>
      <w:r>
        <w:t>SA</w:t>
      </w:r>
      <w:r w:rsidRPr="00413055">
        <w:t xml:space="preserve"> Average </w:t>
      </w:r>
      <w:r>
        <w:t>Level 3</w:t>
      </w:r>
      <w:r w:rsidRPr="00413055">
        <w:t xml:space="preserve"> ICU </w:t>
      </w:r>
      <w:r w:rsidR="000275A4">
        <w:t>C</w:t>
      </w:r>
      <w:r w:rsidRPr="00413055">
        <w:t xml:space="preserve">ost </w:t>
      </w:r>
      <w:r w:rsidR="000275A4">
        <w:t>P</w:t>
      </w:r>
      <w:r w:rsidRPr="00413055">
        <w:t xml:space="preserve">er </w:t>
      </w:r>
      <w:r w:rsidR="000275A4">
        <w:t>H</w:t>
      </w:r>
      <w:r w:rsidRPr="00413055">
        <w:t>our is $</w:t>
      </w:r>
      <w:r>
        <w:t>216.21</w:t>
      </w:r>
      <w:r w:rsidRPr="00413055">
        <w:t xml:space="preserve"> </w:t>
      </w:r>
    </w:p>
    <w:p w14:paraId="77D51E5A" w14:textId="69E68440" w:rsidR="009940F0" w:rsidRDefault="009940F0" w:rsidP="006044E0">
      <w:pPr>
        <w:pStyle w:val="ListParagraph"/>
        <w:numPr>
          <w:ilvl w:val="0"/>
          <w:numId w:val="15"/>
        </w:numPr>
      </w:pPr>
      <w:r>
        <w:t>FMC’s</w:t>
      </w:r>
      <w:r w:rsidRPr="00413055">
        <w:t xml:space="preserve"> </w:t>
      </w:r>
      <w:r>
        <w:t>a</w:t>
      </w:r>
      <w:r w:rsidRPr="00413055">
        <w:t>verage</w:t>
      </w:r>
      <w:r w:rsidDel="00E84093">
        <w:t xml:space="preserve"> </w:t>
      </w:r>
      <w:r>
        <w:t xml:space="preserve">Level 3 ICU </w:t>
      </w:r>
      <w:r w:rsidR="000275A4">
        <w:t>C</w:t>
      </w:r>
      <w:r w:rsidRPr="00413055">
        <w:t xml:space="preserve">osts </w:t>
      </w:r>
      <w:r w:rsidR="000275A4">
        <w:t>P</w:t>
      </w:r>
      <w:r w:rsidRPr="00413055">
        <w:t xml:space="preserve">er </w:t>
      </w:r>
      <w:r w:rsidR="000275A4">
        <w:t>H</w:t>
      </w:r>
      <w:r w:rsidRPr="00413055">
        <w:t>our is $2</w:t>
      </w:r>
      <w:r>
        <w:t>09.56, 3.1% lower than the SA average.</w:t>
      </w:r>
    </w:p>
    <w:p w14:paraId="45FA53D6" w14:textId="77777777" w:rsidR="009940F0" w:rsidRDefault="009940F0" w:rsidP="009940F0">
      <w:r w:rsidRPr="00413055">
        <w:t>It should be noted that in this calculation there are mismatches between the costs and activity:</w:t>
      </w:r>
    </w:p>
    <w:p w14:paraId="2F6F1D5F" w14:textId="5244E4AF" w:rsidR="009940F0" w:rsidRDefault="009940F0" w:rsidP="00CD718C">
      <w:pPr>
        <w:pStyle w:val="ListParagraph"/>
        <w:numPr>
          <w:ilvl w:val="0"/>
          <w:numId w:val="44"/>
        </w:numPr>
      </w:pPr>
      <w:r w:rsidRPr="00EB77BD">
        <w:lastRenderedPageBreak/>
        <w:t xml:space="preserve">Contracted ICU at </w:t>
      </w:r>
      <w:r w:rsidR="00EF24D3">
        <w:t>FPH</w:t>
      </w:r>
      <w:r w:rsidRPr="00EB77BD">
        <w:t xml:space="preserve"> activity is excluded from hours but included in costs (</w:t>
      </w:r>
      <w:r w:rsidRPr="00EB20D0">
        <w:rPr>
          <w:i/>
        </w:rPr>
        <w:t>Aicu/Ccu</w:t>
      </w:r>
      <w:r w:rsidRPr="00EB77BD">
        <w:t>).</w:t>
      </w:r>
    </w:p>
    <w:p w14:paraId="01B6034A" w14:textId="40AD3C3A" w:rsidR="00890FB1" w:rsidRDefault="009940F0" w:rsidP="009940F0">
      <w:pPr>
        <w:pStyle w:val="ListParagraph"/>
        <w:numPr>
          <w:ilvl w:val="0"/>
          <w:numId w:val="44"/>
        </w:numPr>
      </w:pPr>
      <w:r w:rsidRPr="00EB77BD">
        <w:t>NICU costs are included</w:t>
      </w:r>
      <w:r>
        <w:t xml:space="preserve">, </w:t>
      </w:r>
      <w:r w:rsidR="001021C3">
        <w:t>but</w:t>
      </w:r>
      <w:r>
        <w:t xml:space="preserve"> hours are excluded</w:t>
      </w:r>
      <w:r w:rsidR="001021C3">
        <w:t>.</w:t>
      </w:r>
    </w:p>
    <w:p w14:paraId="2148DEBB" w14:textId="57DF1236" w:rsidR="009940F0" w:rsidRDefault="00F07291" w:rsidP="00F07291">
      <w:pPr>
        <w:pStyle w:val="Caption"/>
        <w:keepNext/>
      </w:pPr>
      <w:r>
        <w:t xml:space="preserve">Figure </w:t>
      </w:r>
      <w:r w:rsidR="00BD5B5E">
        <w:fldChar w:fldCharType="begin"/>
      </w:r>
      <w:r w:rsidR="00BD5B5E">
        <w:instrText xml:space="preserve"> SEQ Figure \* ARABIC </w:instrText>
      </w:r>
      <w:r w:rsidR="00BD5B5E">
        <w:fldChar w:fldCharType="separate"/>
      </w:r>
      <w:r w:rsidR="00CE6F96">
        <w:rPr>
          <w:noProof/>
        </w:rPr>
        <w:t>42</w:t>
      </w:r>
      <w:r w:rsidR="00BD5B5E">
        <w:fldChar w:fldCharType="end"/>
      </w:r>
      <w:r>
        <w:t>: Average Cost per ICU Hour</w:t>
      </w:r>
      <w:r w:rsidR="00103394">
        <w:t xml:space="preserve"> - SA</w:t>
      </w:r>
    </w:p>
    <w:p w14:paraId="37C719D3" w14:textId="25CE89A3" w:rsidR="009940F0" w:rsidRDefault="00BE600F" w:rsidP="009940F0">
      <w:r>
        <w:rPr>
          <w:noProof/>
        </w:rPr>
        <mc:AlternateContent>
          <mc:Choice Requires="wps">
            <w:drawing>
              <wp:anchor distT="0" distB="0" distL="114300" distR="114300" simplePos="0" relativeHeight="251658249" behindDoc="0" locked="0" layoutInCell="1" allowOverlap="1" wp14:anchorId="58241CFD" wp14:editId="3D105E78">
                <wp:simplePos x="0" y="0"/>
                <wp:positionH relativeFrom="margin">
                  <wp:align>left</wp:align>
                </wp:positionH>
                <wp:positionV relativeFrom="paragraph">
                  <wp:posOffset>2569845</wp:posOffset>
                </wp:positionV>
                <wp:extent cx="5715000" cy="1447800"/>
                <wp:effectExtent l="0" t="0" r="0" b="6350"/>
                <wp:wrapTopAndBottom/>
                <wp:docPr id="1549903436" name="Text Box 2" descr="P2967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2F9BEC9B" w14:textId="77777777" w:rsidR="00F07291" w:rsidRPr="001729F2" w:rsidRDefault="00F07291" w:rsidP="00F07291">
                            <w:pPr>
                              <w:pStyle w:val="Tablebulletpoint"/>
                              <w:numPr>
                                <w:ilvl w:val="0"/>
                                <w:numId w:val="0"/>
                              </w:numPr>
                              <w:spacing w:after="120"/>
                              <w:contextualSpacing w:val="0"/>
                              <w:rPr>
                                <w:color w:val="FFFFFF" w:themeColor="background1"/>
                              </w:rPr>
                            </w:pPr>
                            <w:r w:rsidRPr="001729F2">
                              <w:rPr>
                                <w:b/>
                                <w:bCs/>
                                <w:color w:val="FFFFFF" w:themeColor="background1"/>
                              </w:rPr>
                              <w:t>Critical Care – Average Cost Per Hour Insights:</w:t>
                            </w:r>
                          </w:p>
                          <w:p w14:paraId="7C76935A" w14:textId="0001AABE" w:rsidR="00432C6C" w:rsidRPr="001729F2" w:rsidRDefault="00432C6C" w:rsidP="00432C6C">
                            <w:pPr>
                              <w:pStyle w:val="Tablebulletpoint"/>
                              <w:rPr>
                                <w:color w:val="FFFFFF" w:themeColor="background1"/>
                              </w:rPr>
                            </w:pPr>
                            <w:r w:rsidRPr="001729F2">
                              <w:rPr>
                                <w:color w:val="FFFFFF" w:themeColor="background1"/>
                              </w:rPr>
                              <w:t xml:space="preserve">There is a mismatch between the costs and activity reported to IHACPA in </w:t>
                            </w:r>
                            <w:r w:rsidR="00EA2869">
                              <w:rPr>
                                <w:color w:val="FFFFFF" w:themeColor="background1"/>
                              </w:rPr>
                              <w:t>SA.</w:t>
                            </w:r>
                            <w:r w:rsidRPr="001729F2">
                              <w:rPr>
                                <w:color w:val="FFFFFF" w:themeColor="background1"/>
                              </w:rPr>
                              <w:t xml:space="preserve"> </w:t>
                            </w:r>
                            <w:r w:rsidR="009366BB">
                              <w:rPr>
                                <w:color w:val="FFFFFF" w:themeColor="background1"/>
                              </w:rPr>
                              <w:t>SA</w:t>
                            </w:r>
                            <w:r w:rsidRPr="001729F2">
                              <w:rPr>
                                <w:color w:val="FFFFFF" w:themeColor="background1"/>
                              </w:rPr>
                              <w:t xml:space="preserve"> does not report </w:t>
                            </w:r>
                            <w:r w:rsidR="00EF24D3">
                              <w:rPr>
                                <w:color w:val="FFFFFF" w:themeColor="background1"/>
                              </w:rPr>
                              <w:t>c</w:t>
                            </w:r>
                            <w:r w:rsidRPr="001729F2">
                              <w:rPr>
                                <w:color w:val="FFFFFF" w:themeColor="background1"/>
                              </w:rPr>
                              <w:t xml:space="preserve">ontracted ICU hours at </w:t>
                            </w:r>
                            <w:r w:rsidR="00EF24D3">
                              <w:rPr>
                                <w:color w:val="FFFFFF" w:themeColor="background1"/>
                              </w:rPr>
                              <w:t>FPH</w:t>
                            </w:r>
                            <w:r w:rsidR="0046602B" w:rsidRPr="001729F2">
                              <w:rPr>
                                <w:color w:val="FFFFFF" w:themeColor="background1"/>
                              </w:rPr>
                              <w:t xml:space="preserve"> and</w:t>
                            </w:r>
                            <w:r w:rsidRPr="001729F2">
                              <w:rPr>
                                <w:color w:val="FFFFFF" w:themeColor="background1"/>
                              </w:rPr>
                              <w:t xml:space="preserve"> does not report NICU hours but does report these costs.</w:t>
                            </w:r>
                          </w:p>
                          <w:p w14:paraId="0BD0C00B" w14:textId="6DDD45B1" w:rsidR="00F07291" w:rsidRPr="001729F2" w:rsidRDefault="00432C6C" w:rsidP="00432C6C">
                            <w:pPr>
                              <w:pStyle w:val="Tablebulletpoint"/>
                              <w:rPr>
                                <w:color w:val="FFFFFF" w:themeColor="background1"/>
                              </w:rPr>
                            </w:pPr>
                            <w:r w:rsidRPr="001729F2">
                              <w:rPr>
                                <w:color w:val="FFFFFF" w:themeColor="background1"/>
                              </w:rPr>
                              <w:t xml:space="preserve">Some costs incurred during an ICU stay (allied health, drugs, imaging and pathology) </w:t>
                            </w:r>
                            <w:r w:rsidR="00571060">
                              <w:rPr>
                                <w:color w:val="FFFFFF" w:themeColor="background1"/>
                              </w:rPr>
                              <w:t xml:space="preserve">are not reported within </w:t>
                            </w:r>
                            <w:r w:rsidRPr="001729F2">
                              <w:rPr>
                                <w:color w:val="FFFFFF" w:themeColor="background1"/>
                              </w:rPr>
                              <w:t xml:space="preserve">the </w:t>
                            </w:r>
                            <w:r w:rsidRPr="00C456DF">
                              <w:rPr>
                                <w:i/>
                                <w:iCs/>
                                <w:color w:val="FFFFFF" w:themeColor="background1"/>
                              </w:rPr>
                              <w:t>Critical</w:t>
                            </w:r>
                            <w:r w:rsidRPr="001729F2">
                              <w:rPr>
                                <w:color w:val="FFFFFF" w:themeColor="background1"/>
                              </w:rPr>
                              <w:t xml:space="preserve"> </w:t>
                            </w:r>
                            <w:r w:rsidR="00F55DB4">
                              <w:rPr>
                                <w:color w:val="FFFFFF" w:themeColor="background1"/>
                              </w:rPr>
                              <w:t xml:space="preserve">NHCDC </w:t>
                            </w:r>
                            <w:r w:rsidRPr="001729F2">
                              <w:rPr>
                                <w:color w:val="FFFFFF" w:themeColor="background1"/>
                              </w:rPr>
                              <w:t xml:space="preserve">Cost </w:t>
                            </w:r>
                            <w:r w:rsidR="00571060">
                              <w:rPr>
                                <w:color w:val="FFFFFF" w:themeColor="background1"/>
                              </w:rPr>
                              <w:t>Centre Group</w:t>
                            </w:r>
                            <w:r w:rsidR="00F0725C">
                              <w:rPr>
                                <w:color w:val="FFFFFF" w:themeColor="background1"/>
                              </w:rPr>
                              <w:t xml:space="preserve">. </w:t>
                            </w:r>
                            <w:r w:rsidR="00043485">
                              <w:rPr>
                                <w:color w:val="FFFFFF" w:themeColor="background1"/>
                              </w:rPr>
                              <w:t>South Australia’s treatment of these costs is in</w:t>
                            </w:r>
                            <w:r w:rsidRPr="001729F2">
                              <w:rPr>
                                <w:color w:val="FFFFFF" w:themeColor="background1"/>
                              </w:rPr>
                              <w:t xml:space="preserve"> line with other states and territories. </w:t>
                            </w:r>
                          </w:p>
                        </w:txbxContent>
                      </wps:txbx>
                      <wps:bodyPr rot="0" vert="horz" wrap="square" lIns="180000" tIns="180000" rIns="180000" bIns="180000" anchor="t" anchorCtr="0">
                        <a:spAutoFit/>
                      </wps:bodyPr>
                    </wps:wsp>
                  </a:graphicData>
                </a:graphic>
                <wp14:sizeRelH relativeFrom="page">
                  <wp14:pctWidth>0</wp14:pctWidth>
                </wp14:sizeRelH>
                <wp14:sizeRelV relativeFrom="page">
                  <wp14:pctHeight>0</wp14:pctHeight>
                </wp14:sizeRelV>
              </wp:anchor>
            </w:drawing>
          </mc:Choice>
          <mc:Fallback>
            <w:pict>
              <v:shape w14:anchorId="58241CFD" id="_x0000_s1302" type="#_x0000_t202" alt="P2967TB23#y1" style="position:absolute;margin-left:0;margin-top:202.35pt;width:450pt;height:114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" fillcolor="#343a5e [2405]" stroked="f" strokeweight="1pt">
                <v:textbox style="mso-fit-shape-to-text:t" inset="5mm,5mm,5mm,5mm">
                  <w:txbxContent>
                    <w:p w14:paraId="2F9BEC9B" w14:textId="77777777" w:rsidR="00F07291" w:rsidRPr="001729F2" w:rsidRDefault="00F07291" w:rsidP="00F07291">
                      <w:pPr>
                        <w:pStyle w:val="Tablebulletpoint"/>
                        <w:numPr>
                          <w:ilvl w:val="0"/>
                          <w:numId w:val="0"/>
                        </w:numPr>
                        <w:spacing w:after="120"/>
                        <w:contextualSpacing w:val="0"/>
                        <w:rPr>
                          <w:color w:val="FFFFFF" w:themeColor="background1"/>
                        </w:rPr>
                      </w:pPr>
                      <w:r w:rsidRPr="001729F2">
                        <w:rPr>
                          <w:b/>
                          <w:bCs/>
                          <w:color w:val="FFFFFF" w:themeColor="background1"/>
                        </w:rPr>
                        <w:t>Critical Care – Average Cost Per Hour Insights:</w:t>
                      </w:r>
                    </w:p>
                    <w:p w14:paraId="7C76935A" w14:textId="0001AABE" w:rsidR="00432C6C" w:rsidRPr="001729F2" w:rsidRDefault="00432C6C" w:rsidP="00432C6C">
                      <w:pPr>
                        <w:pStyle w:val="Tablebulletpoint"/>
                        <w:rPr>
                          <w:color w:val="FFFFFF" w:themeColor="background1"/>
                        </w:rPr>
                      </w:pPr>
                      <w:r w:rsidRPr="001729F2">
                        <w:rPr>
                          <w:color w:val="FFFFFF" w:themeColor="background1"/>
                        </w:rPr>
                        <w:t xml:space="preserve">There is a mismatch between the costs and activity reported to IHACPA in </w:t>
                      </w:r>
                      <w:r w:rsidR="00EA2869">
                        <w:rPr>
                          <w:color w:val="FFFFFF" w:themeColor="background1"/>
                        </w:rPr>
                        <w:t>SA.</w:t>
                      </w:r>
                      <w:r w:rsidRPr="001729F2">
                        <w:rPr>
                          <w:color w:val="FFFFFF" w:themeColor="background1"/>
                        </w:rPr>
                        <w:t xml:space="preserve"> </w:t>
                      </w:r>
                      <w:r w:rsidR="009366BB">
                        <w:rPr>
                          <w:color w:val="FFFFFF" w:themeColor="background1"/>
                        </w:rPr>
                        <w:t>SA</w:t>
                      </w:r>
                      <w:r w:rsidRPr="001729F2">
                        <w:rPr>
                          <w:color w:val="FFFFFF" w:themeColor="background1"/>
                        </w:rPr>
                        <w:t xml:space="preserve"> does not report </w:t>
                      </w:r>
                      <w:r w:rsidR="00EF24D3">
                        <w:rPr>
                          <w:color w:val="FFFFFF" w:themeColor="background1"/>
                        </w:rPr>
                        <w:t>c</w:t>
                      </w:r>
                      <w:r w:rsidRPr="001729F2">
                        <w:rPr>
                          <w:color w:val="FFFFFF" w:themeColor="background1"/>
                        </w:rPr>
                        <w:t xml:space="preserve">ontracted ICU hours at </w:t>
                      </w:r>
                      <w:r w:rsidR="00EF24D3">
                        <w:rPr>
                          <w:color w:val="FFFFFF" w:themeColor="background1"/>
                        </w:rPr>
                        <w:t>FPH</w:t>
                      </w:r>
                      <w:r w:rsidR="0046602B" w:rsidRPr="001729F2">
                        <w:rPr>
                          <w:color w:val="FFFFFF" w:themeColor="background1"/>
                        </w:rPr>
                        <w:t xml:space="preserve"> and</w:t>
                      </w:r>
                      <w:r w:rsidRPr="001729F2">
                        <w:rPr>
                          <w:color w:val="FFFFFF" w:themeColor="background1"/>
                        </w:rPr>
                        <w:t xml:space="preserve"> does not report NICU hours but does report these costs.</w:t>
                      </w:r>
                    </w:p>
                    <w:p w14:paraId="0BD0C00B" w14:textId="6DDD45B1" w:rsidR="00F07291" w:rsidRPr="001729F2" w:rsidRDefault="00432C6C" w:rsidP="00432C6C">
                      <w:pPr>
                        <w:pStyle w:val="Tablebulletpoint"/>
                        <w:rPr>
                          <w:color w:val="FFFFFF" w:themeColor="background1"/>
                        </w:rPr>
                      </w:pPr>
                      <w:r w:rsidRPr="001729F2">
                        <w:rPr>
                          <w:color w:val="FFFFFF" w:themeColor="background1"/>
                        </w:rPr>
                        <w:t xml:space="preserve">Some costs incurred during an ICU stay (allied health, drugs, imaging and pathology) </w:t>
                      </w:r>
                      <w:r w:rsidR="00571060">
                        <w:rPr>
                          <w:color w:val="FFFFFF" w:themeColor="background1"/>
                        </w:rPr>
                        <w:t xml:space="preserve">are not reported within </w:t>
                      </w:r>
                      <w:r w:rsidRPr="001729F2">
                        <w:rPr>
                          <w:color w:val="FFFFFF" w:themeColor="background1"/>
                        </w:rPr>
                        <w:t xml:space="preserve">the </w:t>
                      </w:r>
                      <w:r w:rsidRPr="00C456DF">
                        <w:rPr>
                          <w:i/>
                          <w:iCs/>
                          <w:color w:val="FFFFFF" w:themeColor="background1"/>
                        </w:rPr>
                        <w:t>Critical</w:t>
                      </w:r>
                      <w:r w:rsidRPr="001729F2">
                        <w:rPr>
                          <w:color w:val="FFFFFF" w:themeColor="background1"/>
                        </w:rPr>
                        <w:t xml:space="preserve"> </w:t>
                      </w:r>
                      <w:r w:rsidR="00F55DB4">
                        <w:rPr>
                          <w:color w:val="FFFFFF" w:themeColor="background1"/>
                        </w:rPr>
                        <w:t xml:space="preserve">NHCDC </w:t>
                      </w:r>
                      <w:r w:rsidRPr="001729F2">
                        <w:rPr>
                          <w:color w:val="FFFFFF" w:themeColor="background1"/>
                        </w:rPr>
                        <w:t xml:space="preserve">Cost </w:t>
                      </w:r>
                      <w:r w:rsidR="00571060">
                        <w:rPr>
                          <w:color w:val="FFFFFF" w:themeColor="background1"/>
                        </w:rPr>
                        <w:t>Centre Group</w:t>
                      </w:r>
                      <w:r w:rsidR="00F0725C">
                        <w:rPr>
                          <w:color w:val="FFFFFF" w:themeColor="background1"/>
                        </w:rPr>
                        <w:t xml:space="preserve">. </w:t>
                      </w:r>
                      <w:r w:rsidR="00043485">
                        <w:rPr>
                          <w:color w:val="FFFFFF" w:themeColor="background1"/>
                        </w:rPr>
                        <w:t>South Australia’s treatment of these costs is in</w:t>
                      </w:r>
                      <w:r w:rsidRPr="001729F2">
                        <w:rPr>
                          <w:color w:val="FFFFFF" w:themeColor="background1"/>
                        </w:rPr>
                        <w:t xml:space="preserve"> line with other states and territories. </w:t>
                      </w:r>
                    </w:p>
                  </w:txbxContent>
                </v:textbox>
                <w10:wrap type="topAndBottom" anchorx="margin"/>
              </v:shape>
            </w:pict>
          </mc:Fallback>
        </mc:AlternateContent>
      </w:r>
      <w:r w:rsidR="00F07291" w:rsidRPr="00F07291">
        <w:rPr>
          <w:noProof/>
        </w:rPr>
        <w:drawing>
          <wp:anchor distT="0" distB="0" distL="114300" distR="114300" simplePos="0" relativeHeight="251658276" behindDoc="0" locked="0" layoutInCell="1" allowOverlap="1" wp14:anchorId="66BE2043" wp14:editId="77FD8018">
            <wp:simplePos x="0" y="0"/>
            <wp:positionH relativeFrom="margin">
              <wp:align>center</wp:align>
            </wp:positionH>
            <wp:positionV relativeFrom="paragraph">
              <wp:posOffset>-635</wp:posOffset>
            </wp:positionV>
            <wp:extent cx="6299835" cy="2289175"/>
            <wp:effectExtent l="0" t="0" r="5715" b="0"/>
            <wp:wrapTopAndBottom/>
            <wp:docPr id="281557399" name="Picture 1" descr="P296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57399" name="Picture 1" descr="P2967#y1"/>
                    <pic:cNvPicPr/>
                  </pic:nvPicPr>
                  <pic:blipFill>
                    <a:blip r:embed="rId108">
                      <a:extLst>
                        <a:ext uri="{28A0092B-C50C-407E-A947-70E740481C1C}">
                          <a14:useLocalDpi xmlns:a14="http://schemas.microsoft.com/office/drawing/2010/main" val="0"/>
                        </a:ext>
                      </a:extLst>
                    </a:blip>
                    <a:stretch>
                      <a:fillRect/>
                    </a:stretch>
                  </pic:blipFill>
                  <pic:spPr>
                    <a:xfrm>
                      <a:off x="0" y="0"/>
                      <a:ext cx="6299835" cy="2289175"/>
                    </a:xfrm>
                    <a:prstGeom prst="rect">
                      <a:avLst/>
                    </a:prstGeom>
                  </pic:spPr>
                </pic:pic>
              </a:graphicData>
            </a:graphic>
          </wp:anchor>
        </w:drawing>
      </w:r>
    </w:p>
    <w:p w14:paraId="3A012567" w14:textId="77777777" w:rsidR="009940F0" w:rsidRPr="003226E9" w:rsidRDefault="009940F0" w:rsidP="009940F0"/>
    <w:p w14:paraId="23D4F9E3" w14:textId="49F85C25" w:rsidR="009940F0" w:rsidRPr="00AD1F32" w:rsidRDefault="009940F0" w:rsidP="009F419F">
      <w:pPr>
        <w:pStyle w:val="Heading4"/>
        <w:rPr>
          <w:color w:val="484B5D" w:themeColor="accent3"/>
        </w:rPr>
      </w:pPr>
      <w:r w:rsidRPr="00AD1F32">
        <w:rPr>
          <w:color w:val="484B5D" w:themeColor="accent3"/>
        </w:rPr>
        <w:t>ICU Cost Allocation Methodologies</w:t>
      </w:r>
    </w:p>
    <w:p w14:paraId="62BDD8F7" w14:textId="36FE0C42" w:rsidR="00F9472C" w:rsidRPr="003226E9" w:rsidRDefault="00F9472C" w:rsidP="00F9472C">
      <w:pPr>
        <w:tabs>
          <w:tab w:val="clear" w:pos="5309"/>
        </w:tabs>
        <w:spacing w:line="259" w:lineRule="auto"/>
      </w:pPr>
      <w:r w:rsidRPr="003226E9">
        <w:t>ICU and critical care costs sit across many different RIs (SA’s local terminology for Cost Centres within their GL):</w:t>
      </w:r>
    </w:p>
    <w:p w14:paraId="28396FA5" w14:textId="17BDBA11" w:rsidR="00F9472C" w:rsidRPr="003226E9" w:rsidRDefault="00F9472C" w:rsidP="00CD718C">
      <w:pPr>
        <w:pStyle w:val="ListParagraph"/>
        <w:numPr>
          <w:ilvl w:val="0"/>
          <w:numId w:val="45"/>
        </w:numPr>
        <w:tabs>
          <w:tab w:val="clear" w:pos="5309"/>
        </w:tabs>
        <w:spacing w:line="259" w:lineRule="auto"/>
      </w:pPr>
      <w:r w:rsidRPr="003226E9">
        <w:t xml:space="preserve">There are 7 RIs containing expenditure within </w:t>
      </w:r>
      <w:r w:rsidR="00F55DB4" w:rsidRPr="003226E9">
        <w:t>c</w:t>
      </w:r>
      <w:r w:rsidRPr="003226E9">
        <w:t xml:space="preserve">ritical </w:t>
      </w:r>
      <w:r w:rsidR="00F55DB4" w:rsidRPr="003226E9">
        <w:t>c</w:t>
      </w:r>
      <w:r w:rsidRPr="003226E9">
        <w:t xml:space="preserve">are services. </w:t>
      </w:r>
      <w:r w:rsidRPr="003226E9">
        <w:rPr>
          <w:rFonts w:eastAsia="Times New Roman"/>
        </w:rPr>
        <w:t xml:space="preserve">Of these, 3 RIs (ICU, </w:t>
      </w:r>
      <w:r w:rsidR="008620BE" w:rsidRPr="003226E9">
        <w:rPr>
          <w:rFonts w:eastAsia="Times New Roman"/>
        </w:rPr>
        <w:t>ECMO,</w:t>
      </w:r>
      <w:r w:rsidRPr="003226E9">
        <w:rPr>
          <w:rFonts w:eastAsia="Times New Roman"/>
        </w:rPr>
        <w:t xml:space="preserve"> </w:t>
      </w:r>
      <w:r w:rsidR="00FB2906" w:rsidRPr="003226E9">
        <w:rPr>
          <w:rFonts w:eastAsia="Times New Roman"/>
        </w:rPr>
        <w:t>Cardiovascular and Cath</w:t>
      </w:r>
      <w:r w:rsidR="00F30796" w:rsidRPr="003226E9">
        <w:rPr>
          <w:rFonts w:eastAsia="Times New Roman"/>
        </w:rPr>
        <w:t xml:space="preserve"> Lab</w:t>
      </w:r>
      <w:r w:rsidRPr="003226E9">
        <w:rPr>
          <w:rFonts w:eastAsia="Times New Roman"/>
        </w:rPr>
        <w:t xml:space="preserve"> Nursing) are into the </w:t>
      </w:r>
      <w:r w:rsidR="00F55DB4" w:rsidRPr="003226E9">
        <w:rPr>
          <w:rFonts w:eastAsia="Times New Roman"/>
        </w:rPr>
        <w:t>c</w:t>
      </w:r>
      <w:r w:rsidRPr="003226E9">
        <w:rPr>
          <w:rFonts w:eastAsia="Times New Roman"/>
        </w:rPr>
        <w:t xml:space="preserve">ritical </w:t>
      </w:r>
      <w:r w:rsidR="00F55DB4" w:rsidRPr="003226E9">
        <w:rPr>
          <w:rFonts w:eastAsia="Times New Roman"/>
        </w:rPr>
        <w:t>c</w:t>
      </w:r>
      <w:r w:rsidRPr="003226E9">
        <w:rPr>
          <w:rFonts w:eastAsia="Times New Roman"/>
        </w:rPr>
        <w:t>are cost area for NHCDC purposes. The remaining RIs are mapped to other cost areas during the costing process as they relate to other services (e.g. TPN, Home TPN</w:t>
      </w:r>
      <w:r w:rsidR="00AF788B" w:rsidRPr="003226E9">
        <w:rPr>
          <w:rFonts w:eastAsia="Times New Roman"/>
        </w:rPr>
        <w:t>,</w:t>
      </w:r>
      <w:r w:rsidRPr="003226E9">
        <w:rPr>
          <w:rFonts w:eastAsia="Times New Roman"/>
        </w:rPr>
        <w:t xml:space="preserve"> and organ and tissue retrieval). The 3 in-scope RIs include the costs of: </w:t>
      </w:r>
    </w:p>
    <w:p w14:paraId="3E7CE6B5" w14:textId="77777777" w:rsidR="00F9472C" w:rsidRPr="00EB20D0" w:rsidRDefault="00F9472C" w:rsidP="00CD718C">
      <w:pPr>
        <w:pStyle w:val="ListParagraph"/>
        <w:numPr>
          <w:ilvl w:val="1"/>
          <w:numId w:val="45"/>
        </w:numPr>
        <w:tabs>
          <w:tab w:val="clear" w:pos="5309"/>
        </w:tabs>
        <w:spacing w:line="259" w:lineRule="auto"/>
      </w:pPr>
      <w:r w:rsidRPr="003226E9">
        <w:rPr>
          <w:rFonts w:eastAsia="Times New Roman"/>
        </w:rPr>
        <w:t>ICU nursing (including casual</w:t>
      </w:r>
      <w:r>
        <w:rPr>
          <w:rFonts w:eastAsia="Times New Roman"/>
        </w:rPr>
        <w:t>)</w:t>
      </w:r>
      <w:r w:rsidRPr="00E85DAD">
        <w:rPr>
          <w:rFonts w:eastAsia="Times New Roman"/>
        </w:rPr>
        <w:t xml:space="preserve">, </w:t>
      </w:r>
    </w:p>
    <w:p w14:paraId="58AB7875" w14:textId="77777777" w:rsidR="00F9472C" w:rsidRPr="00EB20D0" w:rsidRDefault="00F9472C" w:rsidP="00CD718C">
      <w:pPr>
        <w:pStyle w:val="ListParagraph"/>
        <w:numPr>
          <w:ilvl w:val="1"/>
          <w:numId w:val="45"/>
        </w:numPr>
        <w:tabs>
          <w:tab w:val="clear" w:pos="5309"/>
        </w:tabs>
        <w:spacing w:line="259" w:lineRule="auto"/>
      </w:pPr>
      <w:r w:rsidRPr="00E85DAD">
        <w:rPr>
          <w:rFonts w:eastAsia="Times New Roman"/>
        </w:rPr>
        <w:t>medical cost</w:t>
      </w:r>
      <w:r>
        <w:rPr>
          <w:rFonts w:eastAsia="Times New Roman"/>
        </w:rPr>
        <w:t>s</w:t>
      </w:r>
      <w:r w:rsidRPr="00E85DAD">
        <w:rPr>
          <w:rFonts w:eastAsia="Times New Roman"/>
        </w:rPr>
        <w:t xml:space="preserve">, </w:t>
      </w:r>
    </w:p>
    <w:p w14:paraId="4538FE04" w14:textId="77777777" w:rsidR="00F9472C" w:rsidRPr="00EB20D0" w:rsidRDefault="00F9472C" w:rsidP="00CD718C">
      <w:pPr>
        <w:pStyle w:val="ListParagraph"/>
        <w:numPr>
          <w:ilvl w:val="1"/>
          <w:numId w:val="45"/>
        </w:numPr>
        <w:tabs>
          <w:tab w:val="clear" w:pos="5309"/>
        </w:tabs>
        <w:spacing w:line="259" w:lineRule="auto"/>
      </w:pPr>
      <w:r>
        <w:rPr>
          <w:rFonts w:eastAsia="Times New Roman"/>
        </w:rPr>
        <w:t xml:space="preserve">ad hoc </w:t>
      </w:r>
      <w:r w:rsidRPr="00E85DAD">
        <w:rPr>
          <w:rFonts w:eastAsia="Times New Roman"/>
        </w:rPr>
        <w:t>food supplies</w:t>
      </w:r>
      <w:r>
        <w:rPr>
          <w:rFonts w:eastAsia="Times New Roman"/>
        </w:rPr>
        <w:t xml:space="preserve">, </w:t>
      </w:r>
    </w:p>
    <w:p w14:paraId="3675AD4E" w14:textId="2E50A6C0" w:rsidR="00F9472C" w:rsidRPr="00EB20D0" w:rsidRDefault="00F9472C" w:rsidP="00CD718C">
      <w:pPr>
        <w:pStyle w:val="ListParagraph"/>
        <w:numPr>
          <w:ilvl w:val="1"/>
          <w:numId w:val="45"/>
        </w:numPr>
        <w:tabs>
          <w:tab w:val="clear" w:pos="5309"/>
        </w:tabs>
        <w:spacing w:line="259" w:lineRule="auto"/>
      </w:pPr>
      <w:r w:rsidRPr="00E85DAD">
        <w:rPr>
          <w:rFonts w:eastAsia="Times New Roman"/>
        </w:rPr>
        <w:t xml:space="preserve">drug supplies </w:t>
      </w:r>
      <w:r>
        <w:rPr>
          <w:rFonts w:eastAsia="Times New Roman"/>
        </w:rPr>
        <w:t xml:space="preserve">(for all drugs dispensed to ICU patients, </w:t>
      </w:r>
      <w:r w:rsidR="003D1A33">
        <w:rPr>
          <w:rFonts w:eastAsia="Times New Roman"/>
        </w:rPr>
        <w:t>as well as</w:t>
      </w:r>
      <w:r>
        <w:rPr>
          <w:rFonts w:eastAsia="Times New Roman"/>
        </w:rPr>
        <w:t xml:space="preserve"> imprest)</w:t>
      </w:r>
      <w:r w:rsidRPr="00E85DAD">
        <w:rPr>
          <w:rFonts w:eastAsia="Times New Roman"/>
        </w:rPr>
        <w:t xml:space="preserve">, </w:t>
      </w:r>
    </w:p>
    <w:p w14:paraId="5B86589C" w14:textId="30B84EA5" w:rsidR="00F9472C" w:rsidRPr="00EB20D0" w:rsidRDefault="00F9472C" w:rsidP="00CD718C">
      <w:pPr>
        <w:pStyle w:val="ListParagraph"/>
        <w:numPr>
          <w:ilvl w:val="1"/>
          <w:numId w:val="45"/>
        </w:numPr>
        <w:tabs>
          <w:tab w:val="clear" w:pos="5309"/>
        </w:tabs>
        <w:spacing w:line="259" w:lineRule="auto"/>
      </w:pPr>
      <w:r w:rsidRPr="00E85DAD">
        <w:rPr>
          <w:rFonts w:eastAsia="Times New Roman"/>
        </w:rPr>
        <w:t>med</w:t>
      </w:r>
      <w:r w:rsidR="00191EB2">
        <w:rPr>
          <w:rFonts w:eastAsia="Times New Roman"/>
        </w:rPr>
        <w:t>ical</w:t>
      </w:r>
      <w:r w:rsidRPr="00E85DAD">
        <w:rPr>
          <w:rFonts w:eastAsia="Times New Roman"/>
        </w:rPr>
        <w:t xml:space="preserve"> and lab</w:t>
      </w:r>
      <w:r w:rsidR="00F30796">
        <w:rPr>
          <w:rFonts w:eastAsia="Times New Roman"/>
        </w:rPr>
        <w:t>oratory</w:t>
      </w:r>
      <w:r w:rsidRPr="00E85DAD">
        <w:rPr>
          <w:rFonts w:eastAsia="Times New Roman"/>
        </w:rPr>
        <w:t xml:space="preserve"> patient consumables (includes </w:t>
      </w:r>
      <w:r>
        <w:rPr>
          <w:rFonts w:eastAsia="Times New Roman"/>
        </w:rPr>
        <w:t>nitric oxide gases</w:t>
      </w:r>
      <w:r w:rsidRPr="00E85DAD">
        <w:rPr>
          <w:rFonts w:eastAsia="Times New Roman"/>
        </w:rPr>
        <w:t xml:space="preserve">), </w:t>
      </w:r>
    </w:p>
    <w:p w14:paraId="4C023941" w14:textId="77777777" w:rsidR="00F9472C" w:rsidRPr="00EB20D0" w:rsidRDefault="00F9472C" w:rsidP="00CD718C">
      <w:pPr>
        <w:pStyle w:val="ListParagraph"/>
        <w:numPr>
          <w:ilvl w:val="1"/>
          <w:numId w:val="45"/>
        </w:numPr>
        <w:tabs>
          <w:tab w:val="clear" w:pos="5309"/>
        </w:tabs>
        <w:spacing w:line="259" w:lineRule="auto"/>
      </w:pPr>
      <w:r w:rsidRPr="00E85DAD">
        <w:rPr>
          <w:rFonts w:eastAsia="Times New Roman"/>
        </w:rPr>
        <w:t>pathology and imaging</w:t>
      </w:r>
      <w:r>
        <w:rPr>
          <w:rFonts w:eastAsia="Times New Roman"/>
        </w:rPr>
        <w:t xml:space="preserve"> for ICU patients</w:t>
      </w:r>
      <w:r w:rsidRPr="00E85DAD">
        <w:rPr>
          <w:rFonts w:eastAsia="Times New Roman"/>
        </w:rPr>
        <w:t xml:space="preserve">, </w:t>
      </w:r>
      <w:r>
        <w:rPr>
          <w:rFonts w:eastAsia="Times New Roman"/>
        </w:rPr>
        <w:t xml:space="preserve">and </w:t>
      </w:r>
    </w:p>
    <w:p w14:paraId="0C5B51A0" w14:textId="77777777" w:rsidR="00F9472C" w:rsidRDefault="00F9472C" w:rsidP="00CD718C">
      <w:pPr>
        <w:pStyle w:val="ListParagraph"/>
        <w:numPr>
          <w:ilvl w:val="1"/>
          <w:numId w:val="45"/>
        </w:numPr>
        <w:tabs>
          <w:tab w:val="clear" w:pos="5309"/>
        </w:tabs>
        <w:spacing w:line="259" w:lineRule="auto"/>
      </w:pPr>
      <w:r>
        <w:rPr>
          <w:rFonts w:eastAsia="Times New Roman"/>
        </w:rPr>
        <w:t xml:space="preserve">corporate recharges for </w:t>
      </w:r>
      <w:r w:rsidRPr="00E85DAD">
        <w:rPr>
          <w:rFonts w:eastAsia="Times New Roman"/>
        </w:rPr>
        <w:t xml:space="preserve">housekeeping </w:t>
      </w:r>
      <w:r>
        <w:rPr>
          <w:rFonts w:eastAsia="Times New Roman"/>
        </w:rPr>
        <w:t>(based on an allocation methodology).</w:t>
      </w:r>
    </w:p>
    <w:p w14:paraId="265726E4" w14:textId="3113312B" w:rsidR="00F9472C" w:rsidRDefault="00F9472C" w:rsidP="00CD718C">
      <w:pPr>
        <w:pStyle w:val="ListParagraph"/>
        <w:numPr>
          <w:ilvl w:val="0"/>
          <w:numId w:val="45"/>
        </w:numPr>
        <w:tabs>
          <w:tab w:val="clear" w:pos="5309"/>
        </w:tabs>
        <w:spacing w:line="259" w:lineRule="auto"/>
      </w:pPr>
      <w:r>
        <w:t xml:space="preserve">There are 4 RIs for NICU – for medical doctors, ward expenses (including nursing, consumables, pathology recharges), home oxygen (supplies and staffing) and Allied Health </w:t>
      </w:r>
      <w:r>
        <w:lastRenderedPageBreak/>
        <w:t>(negligible expenses</w:t>
      </w:r>
      <w:r w:rsidR="00F55DB4">
        <w:t>)</w:t>
      </w:r>
      <w:r w:rsidR="00E86932">
        <w:t>,</w:t>
      </w:r>
      <w:r>
        <w:t xml:space="preserve"> and </w:t>
      </w:r>
      <w:r w:rsidR="00E86932">
        <w:t>RI costs transferred</w:t>
      </w:r>
      <w:r>
        <w:t xml:space="preserve"> out</w:t>
      </w:r>
      <w:r w:rsidR="00E86932">
        <w:t xml:space="preserve"> of this due to a change in reporting structure in future periods.</w:t>
      </w:r>
      <w:r>
        <w:t xml:space="preserve"> All of these are mapped to </w:t>
      </w:r>
      <w:r w:rsidR="00C653B7">
        <w:t>c</w:t>
      </w:r>
      <w:r>
        <w:t xml:space="preserve">ritical </w:t>
      </w:r>
      <w:r w:rsidR="00C653B7">
        <w:t>c</w:t>
      </w:r>
      <w:r>
        <w:t>are cost areas.</w:t>
      </w:r>
    </w:p>
    <w:p w14:paraId="787BC268" w14:textId="5F6E2A9F" w:rsidR="00F9472C" w:rsidRDefault="00F9472C" w:rsidP="00CD718C">
      <w:pPr>
        <w:pStyle w:val="ListParagraph"/>
        <w:numPr>
          <w:ilvl w:val="0"/>
          <w:numId w:val="45"/>
        </w:numPr>
        <w:tabs>
          <w:tab w:val="clear" w:pos="5309"/>
        </w:tabs>
        <w:spacing w:line="259" w:lineRule="auto"/>
      </w:pPr>
      <w:r>
        <w:t xml:space="preserve">There is an RI for CCU, which is mapped to </w:t>
      </w:r>
      <w:r w:rsidR="00C653B7">
        <w:t>c</w:t>
      </w:r>
      <w:r>
        <w:t xml:space="preserve">ritical </w:t>
      </w:r>
      <w:r w:rsidR="00C653B7">
        <w:t>c</w:t>
      </w:r>
      <w:r>
        <w:t xml:space="preserve">are cost area, </w:t>
      </w:r>
      <w:r w:rsidR="001021C3">
        <w:t>but</w:t>
      </w:r>
      <w:r>
        <w:t xml:space="preserve"> this does not include CCU medical </w:t>
      </w:r>
      <w:r w:rsidR="00E86932">
        <w:t>staff salaries</w:t>
      </w:r>
      <w:r>
        <w:t xml:space="preserve"> (</w:t>
      </w:r>
      <w:r w:rsidR="00E96993">
        <w:t xml:space="preserve">these </w:t>
      </w:r>
      <w:r>
        <w:t>are held in the Cardiology RI).</w:t>
      </w:r>
    </w:p>
    <w:p w14:paraId="3EDDF7DB" w14:textId="00B27605" w:rsidR="00F9472C" w:rsidRDefault="00F9472C" w:rsidP="00CD718C">
      <w:pPr>
        <w:pStyle w:val="ListParagraph"/>
        <w:numPr>
          <w:ilvl w:val="0"/>
          <w:numId w:val="45"/>
        </w:numPr>
        <w:tabs>
          <w:tab w:val="clear" w:pos="5309"/>
        </w:tabs>
        <w:spacing w:line="259" w:lineRule="auto"/>
      </w:pPr>
      <w:r>
        <w:t xml:space="preserve">Flinders Private Hospital ICU costs are held into a separate RI, until a year end reconciliation of actual costs is performed. Then the elements relating to ICU and CCU are allocated to the </w:t>
      </w:r>
      <w:r w:rsidR="00C653B7">
        <w:t>c</w:t>
      </w:r>
      <w:r>
        <w:t xml:space="preserve">ritical </w:t>
      </w:r>
      <w:r w:rsidR="00C653B7">
        <w:t>c</w:t>
      </w:r>
      <w:r>
        <w:t>are cost areas.</w:t>
      </w:r>
    </w:p>
    <w:p w14:paraId="647A71EF" w14:textId="77777777" w:rsidR="00F9472C" w:rsidRDefault="00F9472C" w:rsidP="00CD718C">
      <w:pPr>
        <w:pStyle w:val="ListParagraph"/>
        <w:numPr>
          <w:ilvl w:val="0"/>
          <w:numId w:val="45"/>
        </w:numPr>
        <w:tabs>
          <w:tab w:val="clear" w:pos="5309"/>
        </w:tabs>
        <w:spacing w:line="259" w:lineRule="auto"/>
      </w:pPr>
      <w:r>
        <w:t xml:space="preserve">Generally, overhead costs relating to all clinical areas (including ICU) are held centrally, and a portion is allocated. </w:t>
      </w:r>
    </w:p>
    <w:p w14:paraId="4871D4CF" w14:textId="4756D0B8" w:rsidR="00F9472C" w:rsidRDefault="00F9472C" w:rsidP="00F9472C">
      <w:pPr>
        <w:tabs>
          <w:tab w:val="clear" w:pos="5309"/>
        </w:tabs>
        <w:spacing w:line="259" w:lineRule="auto"/>
      </w:pPr>
      <w:r>
        <w:t>Once costs have been mapped to critical cost areas, patient fractions (PFRACs) are made to allocate costs to other cost areas for services outside of ICU (e.g.</w:t>
      </w:r>
      <w:r w:rsidR="00AF788B">
        <w:t>,</w:t>
      </w:r>
      <w:r>
        <w:t xml:space="preserve"> portion of nursing time for MET </w:t>
      </w:r>
      <w:r w:rsidR="00AF788B">
        <w:t>c</w:t>
      </w:r>
      <w:r>
        <w:t>alls).</w:t>
      </w:r>
    </w:p>
    <w:p w14:paraId="1B25BE27" w14:textId="4CC34B06" w:rsidR="00F9472C" w:rsidRDefault="00F9472C" w:rsidP="00F9472C">
      <w:pPr>
        <w:sectPr w:rsidR="00F9472C" w:rsidSect="0090220E">
          <w:headerReference w:type="default" r:id="rId109"/>
          <w:footnotePr>
            <w:pos w:val="beneathText"/>
          </w:footnotePr>
          <w:endnotePr>
            <w:numFmt w:val="decimal"/>
          </w:endnotePr>
          <w:pgSz w:w="11906" w:h="16838" w:code="9"/>
          <w:pgMar w:top="1440" w:right="1440" w:bottom="1440" w:left="1440" w:header="720" w:footer="720" w:gutter="0"/>
          <w:cols w:space="720"/>
          <w:docGrid w:linePitch="360"/>
        </w:sectPr>
      </w:pPr>
      <w:r w:rsidRPr="00E71E32">
        <w:t xml:space="preserve">The tables below show details of the types of expenditure incurred by each ICU site, the allocation methodologies used, and the ultimate </w:t>
      </w:r>
      <w:r w:rsidR="002B6998" w:rsidRPr="00B54383">
        <w:rPr>
          <w:i/>
          <w:iCs/>
        </w:rPr>
        <w:t>Critical</w:t>
      </w:r>
      <w:r w:rsidR="002B6998">
        <w:t xml:space="preserve"> </w:t>
      </w:r>
      <w:r w:rsidR="008B58C6">
        <w:t>NHCDC</w:t>
      </w:r>
      <w:r w:rsidR="002B6998">
        <w:t xml:space="preserve"> </w:t>
      </w:r>
      <w:r w:rsidRPr="00E71E32">
        <w:t xml:space="preserve">Cost Centre Groups </w:t>
      </w:r>
      <w:r>
        <w:t xml:space="preserve">to which </w:t>
      </w:r>
      <w:r w:rsidRPr="00E71E32">
        <w:t>these expenditure types map</w:t>
      </w:r>
      <w:r>
        <w:t>.</w:t>
      </w:r>
    </w:p>
    <w:p w14:paraId="17729C77" w14:textId="3CE6D90D" w:rsidR="00297B49" w:rsidRDefault="0034558A" w:rsidP="00297B49">
      <w:pPr>
        <w:pStyle w:val="Caption"/>
        <w:keepNext/>
      </w:pPr>
      <w:r>
        <w:lastRenderedPageBreak/>
        <w:t xml:space="preserve">Table </w:t>
      </w:r>
      <w:r>
        <w:fldChar w:fldCharType="begin"/>
      </w:r>
      <w:r>
        <w:instrText xml:space="preserve"> SEQ Table \* ARABIC </w:instrText>
      </w:r>
      <w:r>
        <w:fldChar w:fldCharType="separate"/>
      </w:r>
      <w:r w:rsidR="00CE6F96">
        <w:rPr>
          <w:noProof/>
        </w:rPr>
        <w:t>30</w:t>
      </w:r>
      <w:r>
        <w:fldChar w:fldCharType="end"/>
      </w:r>
      <w:r>
        <w:t>:</w:t>
      </w:r>
      <w:r w:rsidR="00297B49">
        <w:t xml:space="preserve"> Flinders Medical Centre Cost Allocation Methodologies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0F7" w:themeFill="accent4" w:themeFillTint="33"/>
        <w:tblCellMar>
          <w:top w:w="57" w:type="dxa"/>
          <w:bottom w:w="57" w:type="dxa"/>
        </w:tblCellMar>
        <w:tblLook w:val="04A0" w:firstRow="1" w:lastRow="0" w:firstColumn="1" w:lastColumn="0" w:noHBand="0" w:noVBand="1"/>
      </w:tblPr>
      <w:tblGrid>
        <w:gridCol w:w="1134"/>
        <w:gridCol w:w="2268"/>
        <w:gridCol w:w="1134"/>
        <w:gridCol w:w="2268"/>
      </w:tblGrid>
      <w:tr w:rsidR="00E40B76" w14:paraId="5328969E" w14:textId="77777777" w:rsidTr="00810693">
        <w:tc>
          <w:tcPr>
            <w:tcW w:w="1134" w:type="dxa"/>
            <w:shd w:val="clear" w:color="auto" w:fill="EFF0F7" w:themeFill="accent4" w:themeFillTint="33"/>
            <w:vAlign w:val="center"/>
          </w:tcPr>
          <w:p w14:paraId="2F1D4F00" w14:textId="77777777" w:rsidR="00E40B76" w:rsidRPr="00243F63" w:rsidRDefault="00E40B76" w:rsidP="00810693">
            <w:pPr>
              <w:jc w:val="center"/>
              <w:rPr>
                <w:sz w:val="40"/>
                <w:szCs w:val="40"/>
              </w:rPr>
            </w:pPr>
            <w:r w:rsidRPr="00243F63">
              <w:rPr>
                <w:rFonts w:ascii="Arial" w:hAnsi="Arial" w:cs="Arial"/>
                <w:sz w:val="40"/>
                <w:szCs w:val="40"/>
              </w:rPr>
              <w:t>●</w:t>
            </w:r>
          </w:p>
        </w:tc>
        <w:tc>
          <w:tcPr>
            <w:tcW w:w="2268" w:type="dxa"/>
            <w:shd w:val="clear" w:color="auto" w:fill="EFF0F7" w:themeFill="accent4" w:themeFillTint="33"/>
            <w:vAlign w:val="center"/>
          </w:tcPr>
          <w:p w14:paraId="126C87F9" w14:textId="77777777" w:rsidR="00E40B76" w:rsidRDefault="00E40B76" w:rsidP="00810693">
            <w:r>
              <w:t>Via patient level feeder system</w:t>
            </w:r>
          </w:p>
        </w:tc>
        <w:tc>
          <w:tcPr>
            <w:tcW w:w="1134" w:type="dxa"/>
            <w:shd w:val="clear" w:color="auto" w:fill="EFF0F7" w:themeFill="accent4" w:themeFillTint="33"/>
            <w:vAlign w:val="center"/>
          </w:tcPr>
          <w:p w14:paraId="68A90E2E" w14:textId="77777777" w:rsidR="00E40B76" w:rsidRPr="00243F63" w:rsidRDefault="00E40B76" w:rsidP="00810693">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3891F9CA" w14:textId="77777777" w:rsidR="00E40B76" w:rsidRDefault="00E40B76" w:rsidP="00810693">
            <w:r>
              <w:t>Via weighted RVU, to ICU patients</w:t>
            </w:r>
          </w:p>
        </w:tc>
      </w:tr>
      <w:tr w:rsidR="00E40B76" w14:paraId="6B4D66C7" w14:textId="77777777" w:rsidTr="00810693">
        <w:tc>
          <w:tcPr>
            <w:tcW w:w="1134" w:type="dxa"/>
            <w:shd w:val="clear" w:color="auto" w:fill="EFF0F7" w:themeFill="accent4" w:themeFillTint="33"/>
            <w:vAlign w:val="center"/>
          </w:tcPr>
          <w:p w14:paraId="57271C3D" w14:textId="77777777" w:rsidR="00E40B76" w:rsidRDefault="00E40B76" w:rsidP="00810693">
            <w:pPr>
              <w:jc w:val="center"/>
            </w:pPr>
            <w:r w:rsidRPr="00243F63">
              <w:rPr>
                <w:rFonts w:ascii="Cambria Math" w:hAnsi="Cambria Math" w:cs="Cambria Math"/>
                <w:sz w:val="24"/>
                <w:szCs w:val="24"/>
              </w:rPr>
              <w:t>◑</w:t>
            </w:r>
          </w:p>
        </w:tc>
        <w:tc>
          <w:tcPr>
            <w:tcW w:w="2268" w:type="dxa"/>
            <w:shd w:val="clear" w:color="auto" w:fill="EFF0F7" w:themeFill="accent4" w:themeFillTint="33"/>
            <w:vAlign w:val="center"/>
          </w:tcPr>
          <w:p w14:paraId="12733F22" w14:textId="77777777" w:rsidR="00E40B76" w:rsidRDefault="00E40B76" w:rsidP="00810693">
            <w:r>
              <w:t>Using a standard RVU, to ICU patients</w:t>
            </w:r>
          </w:p>
        </w:tc>
        <w:tc>
          <w:tcPr>
            <w:tcW w:w="1134" w:type="dxa"/>
            <w:shd w:val="clear" w:color="auto" w:fill="EFF0F7" w:themeFill="accent4" w:themeFillTint="33"/>
            <w:vAlign w:val="center"/>
          </w:tcPr>
          <w:p w14:paraId="6A49AF33" w14:textId="77777777" w:rsidR="00E40B76" w:rsidRPr="00243F63" w:rsidRDefault="00E40B76" w:rsidP="00810693">
            <w:pPr>
              <w:jc w:val="center"/>
              <w:rPr>
                <w:sz w:val="24"/>
                <w:szCs w:val="24"/>
              </w:rPr>
            </w:pPr>
            <w:r w:rsidRPr="00243F63">
              <w:rPr>
                <w:rFonts w:ascii="Cambria Math" w:hAnsi="Cambria Math" w:cs="Cambria Math"/>
                <w:sz w:val="24"/>
                <w:szCs w:val="24"/>
              </w:rPr>
              <w:t>◔</w:t>
            </w:r>
          </w:p>
        </w:tc>
        <w:tc>
          <w:tcPr>
            <w:tcW w:w="2268" w:type="dxa"/>
            <w:shd w:val="clear" w:color="auto" w:fill="EFF0F7" w:themeFill="accent4" w:themeFillTint="33"/>
            <w:vAlign w:val="center"/>
          </w:tcPr>
          <w:p w14:paraId="27D32C0B" w14:textId="77777777" w:rsidR="00E40B76" w:rsidRDefault="00E40B76" w:rsidP="00810693">
            <w:r>
              <w:t>Across ICU / non-ICU patients</w:t>
            </w:r>
          </w:p>
        </w:tc>
      </w:tr>
    </w:tbl>
    <w:p w14:paraId="6BD55888" w14:textId="77777777" w:rsidR="00E40B76" w:rsidRPr="00E40B76" w:rsidRDefault="00E40B76" w:rsidP="00E40B76"/>
    <w:tbl>
      <w:tblPr>
        <w:tblStyle w:val="ScyneTable"/>
        <w:tblW w:w="4986" w:type="pct"/>
        <w:tblInd w:w="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top w:w="57" w:type="dxa"/>
          <w:bottom w:w="57" w:type="dxa"/>
        </w:tblCellMar>
        <w:tblLook w:val="06E0" w:firstRow="1" w:lastRow="1" w:firstColumn="1" w:lastColumn="0" w:noHBand="1" w:noVBand="1"/>
      </w:tblPr>
      <w:tblGrid>
        <w:gridCol w:w="2349"/>
        <w:gridCol w:w="3903"/>
        <w:gridCol w:w="5156"/>
        <w:gridCol w:w="1011"/>
        <w:gridCol w:w="1500"/>
      </w:tblGrid>
      <w:tr w:rsidR="00432C6C" w:rsidRPr="00F0724D" w14:paraId="626AA166" w14:textId="77777777" w:rsidTr="00297B49">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844"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5DBE2DF3" w14:textId="77777777" w:rsidR="00432C6C" w:rsidRPr="00F0724D" w:rsidRDefault="00432C6C">
            <w:pPr>
              <w:pStyle w:val="TableNormalColumnHeading"/>
              <w:spacing w:before="0" w:after="0"/>
              <w:rPr>
                <w:rFonts w:ascii="Avenir Next LT Pro Demi" w:hAnsi="Avenir Next LT Pro Demi"/>
                <w:snapToGrid/>
                <w:sz w:val="20"/>
                <w:lang w:eastAsia="en-AU"/>
              </w:rPr>
            </w:pPr>
            <w:r w:rsidRPr="00F0724D">
              <w:rPr>
                <w:rFonts w:ascii="Avenir Next LT Pro Demi" w:hAnsi="Avenir Next LT Pro Demi"/>
                <w:b w:val="0"/>
                <w:bCs/>
                <w:sz w:val="20"/>
              </w:rPr>
              <w:t>Resources Consumed</w:t>
            </w:r>
          </w:p>
        </w:tc>
        <w:tc>
          <w:tcPr>
            <w:tcW w:w="140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63F5B7A4" w14:textId="77777777" w:rsidR="00432C6C" w:rsidRPr="00F0724D" w:rsidRDefault="00432C6C">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Description of Costs</w:t>
            </w:r>
          </w:p>
        </w:tc>
        <w:tc>
          <w:tcPr>
            <w:tcW w:w="1852" w:type="pct"/>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649302CA" w14:textId="77777777" w:rsidR="00432C6C" w:rsidRPr="00F0724D" w:rsidRDefault="00432C6C">
            <w:pPr>
              <w:pStyle w:val="TableNormalColumnHeading"/>
              <w:spacing w:before="0" w:after="0"/>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Allocation Methodology &amp; Category</w:t>
            </w:r>
          </w:p>
        </w:tc>
        <w:tc>
          <w:tcPr>
            <w:tcW w:w="902" w:type="pct"/>
            <w:gridSpan w:val="2"/>
            <w:tcBorders>
              <w:bottom w:val="single" w:sz="18" w:space="0" w:color="EFF0F7" w:themeColor="accent4" w:themeTint="33"/>
            </w:tcBorders>
            <w:shd w:val="clear" w:color="auto" w:fill="464E7E" w:themeFill="accent2"/>
            <w:tcMar>
              <w:top w:w="0" w:type="nil"/>
              <w:left w:w="0" w:type="nil"/>
              <w:bottom w:w="0" w:type="nil"/>
              <w:right w:w="0" w:type="nil"/>
            </w:tcMar>
            <w:vAlign w:val="center"/>
            <w:hideMark/>
          </w:tcPr>
          <w:p w14:paraId="76DEF504" w14:textId="63094071" w:rsidR="00432C6C" w:rsidRPr="00F0724D" w:rsidRDefault="00432C6C">
            <w:pPr>
              <w:pStyle w:val="TableNormalColumnHeading"/>
              <w:spacing w:before="0" w:after="0"/>
              <w:jc w:val="center"/>
              <w:cnfStyle w:val="100000000000" w:firstRow="1" w:lastRow="0" w:firstColumn="0" w:lastColumn="0" w:oddVBand="0" w:evenVBand="0" w:oddHBand="0" w:evenHBand="0" w:firstRowFirstColumn="0" w:firstRowLastColumn="0" w:lastRowFirstColumn="0" w:lastRowLastColumn="0"/>
              <w:rPr>
                <w:rFonts w:ascii="Avenir Next LT Pro Demi" w:hAnsi="Avenir Next LT Pro Demi"/>
                <w:snapToGrid/>
                <w:sz w:val="20"/>
                <w:lang w:eastAsia="en-AU"/>
              </w:rPr>
            </w:pPr>
            <w:r w:rsidRPr="00F0724D">
              <w:rPr>
                <w:rFonts w:ascii="Avenir Next LT Pro Demi" w:hAnsi="Avenir Next LT Pro Demi"/>
                <w:b w:val="0"/>
                <w:bCs/>
                <w:sz w:val="20"/>
              </w:rPr>
              <w:t xml:space="preserve">NHCDC </w:t>
            </w:r>
            <w:r w:rsidR="002B6998">
              <w:rPr>
                <w:rFonts w:ascii="Avenir Next LT Pro Demi" w:hAnsi="Avenir Next LT Pro Demi"/>
                <w:b w:val="0"/>
                <w:bCs/>
                <w:sz w:val="20"/>
              </w:rPr>
              <w:t xml:space="preserve">Critical </w:t>
            </w:r>
            <w:r w:rsidRPr="00F0724D">
              <w:rPr>
                <w:rFonts w:ascii="Avenir Next LT Pro Demi" w:hAnsi="Avenir Next LT Pro Demi"/>
                <w:b w:val="0"/>
                <w:bCs/>
                <w:sz w:val="20"/>
              </w:rPr>
              <w:t>Cost Centre Group</w:t>
            </w:r>
          </w:p>
        </w:tc>
      </w:tr>
      <w:tr w:rsidR="00432C6C" w:rsidRPr="00F0724D" w14:paraId="444CDF37"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hideMark/>
          </w:tcPr>
          <w:p w14:paraId="2FBEA524" w14:textId="77777777" w:rsidR="00432C6C" w:rsidRPr="00F0724D" w:rsidRDefault="00432C6C">
            <w:r w:rsidRPr="0046606B">
              <w:t>S&amp;W Nursing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F0F7744" w14:textId="48B0127E" w:rsidR="00297B49" w:rsidRPr="0031026C"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color w:val="44546A" w:themeColor="text2"/>
              </w:rPr>
            </w:pPr>
            <w:r>
              <w:t xml:space="preserve">Approximately 210 FTE nursing staff (ICU) </w:t>
            </w:r>
            <w:r w:rsidR="00182FC0">
              <w:t>and</w:t>
            </w:r>
            <w:r>
              <w:t xml:space="preserve"> 36 (CCU)</w:t>
            </w:r>
            <w:r w:rsidR="00182FC0">
              <w:t>,</w:t>
            </w:r>
            <w:r>
              <w:t xml:space="preserve"> and </w:t>
            </w:r>
            <w:r w:rsidRPr="7E86D967">
              <w:rPr>
                <w:color w:val="44546A" w:themeColor="text2"/>
              </w:rPr>
              <w:t>ICU patients are typically cared for with a 1:1 or 1:2 nursing ratio. NICU patients had a ratio of 1:1 (ventilated) or 1:2 (</w:t>
            </w:r>
            <w:r w:rsidR="0051423F">
              <w:rPr>
                <w:color w:val="44546A" w:themeColor="text2"/>
              </w:rPr>
              <w:t xml:space="preserve">for </w:t>
            </w:r>
            <w:r>
              <w:rPr>
                <w:color w:val="44546A" w:themeColor="text2"/>
              </w:rPr>
              <w:t xml:space="preserve">Continuous </w:t>
            </w:r>
            <w:r w:rsidR="0051423F">
              <w:rPr>
                <w:color w:val="44546A" w:themeColor="text2"/>
              </w:rPr>
              <w:t>positive airway pressure (</w:t>
            </w:r>
            <w:r w:rsidRPr="7E86D967">
              <w:rPr>
                <w:color w:val="44546A" w:themeColor="text2"/>
              </w:rPr>
              <w:t>CPAP</w:t>
            </w:r>
            <w:r w:rsidR="00BF7742">
              <w:rPr>
                <w:color w:val="44546A" w:themeColor="text2"/>
              </w:rPr>
              <w:t>)</w:t>
            </w:r>
            <w:r w:rsidRPr="7E86D967">
              <w:rPr>
                <w:color w:val="44546A" w:themeColor="text2"/>
              </w:rPr>
              <w:t xml:space="preserve"> / high flow</w:t>
            </w:r>
            <w:r w:rsidR="00BF7742">
              <w:rPr>
                <w:color w:val="44546A" w:themeColor="text2"/>
              </w:rPr>
              <w:t xml:space="preserve"> ventilation</w:t>
            </w:r>
            <w:r w:rsidR="00DD05F9">
              <w:rPr>
                <w:color w:val="44546A" w:themeColor="text2"/>
              </w:rPr>
              <w:t>)</w:t>
            </w:r>
            <w:r w:rsidRPr="7E86D967">
              <w:rPr>
                <w:color w:val="44546A" w:themeColor="text2"/>
              </w:rPr>
              <w:t xml:space="preserve">; 1:3 or 1:4 for </w:t>
            </w:r>
            <w:r w:rsidR="001E671F">
              <w:rPr>
                <w:color w:val="44546A" w:themeColor="text2"/>
              </w:rPr>
              <w:t>SCN</w:t>
            </w:r>
            <w:r w:rsidRPr="7E86D967">
              <w:rPr>
                <w:color w:val="44546A" w:themeColor="text2"/>
              </w:rPr>
              <w:t>.</w:t>
            </w:r>
            <w:r>
              <w:rPr>
                <w:color w:val="44546A" w:themeColor="text2"/>
              </w:rPr>
              <w:t xml:space="preserve"> Casuals are used every shift, sourced from the casual pool.</w:t>
            </w:r>
          </w:p>
          <w:p w14:paraId="1E6E3145" w14:textId="3C4E8C47" w:rsidR="00432C6C" w:rsidRPr="00F0724D" w:rsidRDefault="00297B49">
            <w:pPr>
              <w:cnfStyle w:val="000000000000" w:firstRow="0" w:lastRow="0" w:firstColumn="0" w:lastColumn="0" w:oddVBand="0" w:evenVBand="0" w:oddHBand="0" w:evenHBand="0" w:firstRowFirstColumn="0" w:firstRowLastColumn="0" w:lastRowFirstColumn="0" w:lastRowLastColumn="0"/>
              <w:rPr>
                <w:color w:val="44546A" w:themeColor="text2"/>
              </w:rPr>
            </w:pPr>
            <w:r w:rsidRPr="0031026C">
              <w:rPr>
                <w:color w:val="44546A" w:themeColor="text2"/>
              </w:rPr>
              <w:t>Nursing team includes Clinical NUMs and educators.</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955F9D3" w14:textId="3934C84C" w:rsidR="00297B49" w:rsidRPr="00667BCA"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2F3D65">
              <w:t xml:space="preserve">Allocation of nursing costs via a standard RVU for all ICU patients based on </w:t>
            </w:r>
            <w:r>
              <w:t>ward hours</w:t>
            </w:r>
            <w:r w:rsidRPr="002F3D65">
              <w:t>.</w:t>
            </w:r>
          </w:p>
          <w:p w14:paraId="0464DFA3" w14:textId="497D2E8C" w:rsidR="00432C6C" w:rsidRPr="00F0724D" w:rsidRDefault="00297B49">
            <w:pPr>
              <w:cnfStyle w:val="000000000000" w:firstRow="0" w:lastRow="0" w:firstColumn="0" w:lastColumn="0" w:oddVBand="0" w:evenVBand="0" w:oddHBand="0" w:evenHBand="0" w:firstRowFirstColumn="0" w:firstRowLastColumn="0" w:lastRowFirstColumn="0" w:lastRowLastColumn="0"/>
            </w:pPr>
            <w:r w:rsidRPr="00963841">
              <w:t>If nursing staff are used for specialling, this follows the same approach (i.e</w:t>
            </w:r>
            <w:r>
              <w:t>.</w:t>
            </w:r>
            <w:r w:rsidR="00C517F6">
              <w:t>,</w:t>
            </w:r>
            <w:r w:rsidRPr="00963841">
              <w:t xml:space="preserve"> not allocated to specific patients)</w:t>
            </w:r>
            <w: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CE43334" w14:textId="5FA1834B"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pPr>
            <w:r w:rsidRPr="0046606B">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98D1434" w14:textId="77777777"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46606B">
              <w:t>Critical</w:t>
            </w:r>
          </w:p>
        </w:tc>
      </w:tr>
      <w:tr w:rsidR="00432C6C" w:rsidRPr="00F0724D" w14:paraId="32495EE4"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41C1007" w14:textId="77777777" w:rsidR="00432C6C" w:rsidRPr="00F0724D" w:rsidRDefault="00432C6C">
            <w:r w:rsidRPr="0046606B">
              <w:t>S&amp;W Allied Health</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2CE3E07" w14:textId="36D6274E" w:rsidR="00297B49" w:rsidRPr="00D31A34"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D31A34">
              <w:t xml:space="preserve">ICU / PICU have shared dedicated allied health input from physiotherapists, social work, </w:t>
            </w:r>
            <w:r>
              <w:t>occupational therapists</w:t>
            </w:r>
            <w:r w:rsidRPr="00D31A34">
              <w:t xml:space="preserve">, dietician, but these costs do not sit in </w:t>
            </w:r>
            <w:r>
              <w:t>C</w:t>
            </w:r>
            <w:r w:rsidRPr="00D31A34">
              <w:t xml:space="preserve">ritical </w:t>
            </w:r>
            <w:r w:rsidR="002B6998">
              <w:t>C</w:t>
            </w:r>
            <w:r w:rsidRPr="00D31A34">
              <w:t xml:space="preserve">ost </w:t>
            </w:r>
            <w:r w:rsidR="002B6998">
              <w:t>C</w:t>
            </w:r>
            <w:r w:rsidRPr="00D31A34">
              <w:t>entres in the GL.</w:t>
            </w:r>
          </w:p>
          <w:p w14:paraId="539FCE95" w14:textId="4D2E75D3" w:rsidR="00432C6C" w:rsidRPr="00F0724D" w:rsidRDefault="00297B49">
            <w:pPr>
              <w:cnfStyle w:val="000000000000" w:firstRow="0" w:lastRow="0" w:firstColumn="0" w:lastColumn="0" w:oddVBand="0" w:evenVBand="0" w:oddHBand="0" w:evenHBand="0" w:firstRowFirstColumn="0" w:firstRowLastColumn="0" w:lastRowFirstColumn="0" w:lastRowLastColumn="0"/>
            </w:pPr>
            <w:r>
              <w:t>There are n</w:t>
            </w:r>
            <w:r w:rsidRPr="00D31A34">
              <w:t xml:space="preserve">o dedicated allied health </w:t>
            </w:r>
            <w:r>
              <w:t xml:space="preserve">in </w:t>
            </w:r>
            <w:r w:rsidRPr="00D31A34">
              <w:t>NICU.</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4C51581" w14:textId="79E2B89F" w:rsidR="00432C6C" w:rsidRPr="00F0724D" w:rsidRDefault="00297B49">
            <w:pPr>
              <w:cnfStyle w:val="000000000000" w:firstRow="0" w:lastRow="0" w:firstColumn="0" w:lastColumn="0" w:oddVBand="0" w:evenVBand="0" w:oddHBand="0" w:evenHBand="0" w:firstRowFirstColumn="0" w:firstRowLastColumn="0" w:lastRowFirstColumn="0" w:lastRowLastColumn="0"/>
            </w:pPr>
            <w:r w:rsidRPr="006616DB">
              <w:t xml:space="preserve">Costing team collate all allied health into </w:t>
            </w:r>
            <w:r w:rsidR="00C517F6">
              <w:t>one</w:t>
            </w:r>
            <w:r w:rsidRPr="006616DB">
              <w:t xml:space="preserve"> cost area </w:t>
            </w:r>
            <w:r>
              <w:t>i</w:t>
            </w:r>
            <w:r w:rsidRPr="006616DB">
              <w:t>n PPM</w:t>
            </w:r>
            <w:r>
              <w:t>2</w:t>
            </w:r>
            <w:r w:rsidRPr="006616DB">
              <w:t xml:space="preserve">. Allied health notes are documented on </w:t>
            </w:r>
            <w:r>
              <w:t>e</w:t>
            </w:r>
            <w:r w:rsidRPr="006616DB">
              <w:t>MR’</w:t>
            </w:r>
            <w:r>
              <w:t>s</w:t>
            </w:r>
            <w:r w:rsidRPr="006616DB">
              <w:t xml:space="preserve"> Allied Health module and SALHN uses this to allocate care minutes at a patient level</w:t>
            </w:r>
            <w:r>
              <w:t>. However</w:t>
            </w:r>
            <w:r w:rsidR="0034558A">
              <w:t>,</w:t>
            </w:r>
            <w:r>
              <w:t xml:space="preserve"> there are gaps in data quality and a large proportion of</w:t>
            </w:r>
            <w:r w:rsidRPr="006616DB">
              <w:t xml:space="preserve"> residual amounts spread across </w:t>
            </w:r>
            <w:r>
              <w:t xml:space="preserve">all </w:t>
            </w:r>
            <w:r w:rsidRPr="006616DB">
              <w:t>patients.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7DF31F2" w14:textId="77777777" w:rsidR="00297B49" w:rsidRPr="00E71E32" w:rsidRDefault="00432C6C" w:rsidP="00297B49">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6606B">
              <w:rPr>
                <w:rFonts w:ascii="Cambria Math" w:hAnsi="Cambria Math" w:cs="Cambria Math"/>
              </w:rPr>
              <w:t>◑</w:t>
            </w:r>
          </w:p>
          <w:p w14:paraId="07D6B482" w14:textId="01403934" w:rsidR="00432C6C" w:rsidRPr="00C93B69" w:rsidRDefault="00432C6C">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2D78D02" w14:textId="77777777"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46606B">
              <w:t>Allied</w:t>
            </w:r>
          </w:p>
        </w:tc>
      </w:tr>
      <w:tr w:rsidR="00432C6C" w:rsidRPr="00F0724D" w14:paraId="113D6C05"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43CA3083" w14:textId="77777777" w:rsidR="00432C6C" w:rsidRPr="00F0724D" w:rsidRDefault="00432C6C">
            <w:r w:rsidRPr="0046606B">
              <w:lastRenderedPageBreak/>
              <w:t>S&amp;W Other</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EB3E9B5" w14:textId="46BF9F3D" w:rsidR="00432C6C" w:rsidRPr="00F0724D" w:rsidRDefault="00297B49">
            <w:pPr>
              <w:cnfStyle w:val="000000000000" w:firstRow="0" w:lastRow="0" w:firstColumn="0" w:lastColumn="0" w:oddVBand="0" w:evenVBand="0" w:oddHBand="0" w:evenHBand="0" w:firstRowFirstColumn="0" w:firstRowLastColumn="0" w:lastRowFirstColumn="0" w:lastRowLastColumn="0"/>
            </w:pPr>
            <w:r w:rsidRPr="00D31A34">
              <w:t xml:space="preserve">Technical assistant, Clinical Support Officers, </w:t>
            </w:r>
            <w:r>
              <w:t>w</w:t>
            </w:r>
            <w:r w:rsidRPr="00D31A34">
              <w:t>ard clerk, secretaries, security services</w:t>
            </w:r>
            <w:r w:rsidR="00B97A77">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7198F9C" w14:textId="63749B54" w:rsidR="00432C6C" w:rsidRPr="00F0724D" w:rsidRDefault="00297B49" w:rsidP="00B1445C">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bCs/>
              </w:rPr>
            </w:pPr>
            <w:r w:rsidRPr="00230D83">
              <w:t>Allocated using ward hours as an allocation statistic.</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AA718C1" w14:textId="0D310982"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b/>
                <w:bCs/>
              </w:rPr>
            </w:pPr>
            <w:r w:rsidRPr="0046606B">
              <w:rPr>
                <w:rFonts w:ascii="Cambria Math" w:hAnsi="Cambria Math" w:cs="Cambria Math"/>
              </w:rPr>
              <w:t>◑</w:t>
            </w:r>
            <w:r w:rsidR="00FC0740">
              <w:rPr>
                <w:rFonts w:ascii="Cambria Math" w:hAnsi="Cambria Math" w:cs="Cambria Math"/>
              </w:rPr>
              <w:t xml:space="preserve"> </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76D9017" w14:textId="77777777"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Critical</w:t>
            </w:r>
          </w:p>
        </w:tc>
      </w:tr>
      <w:tr w:rsidR="00432C6C" w:rsidRPr="00F0724D" w14:paraId="7C6D85AD"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C65AEFD" w14:textId="77777777" w:rsidR="00432C6C" w:rsidRPr="00F0724D" w:rsidRDefault="00432C6C">
            <w:r w:rsidRPr="0046606B">
              <w:t>S&amp;W Medical (&amp; VMO)</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4E3CF20" w14:textId="163A22E9" w:rsidR="00297B49" w:rsidRPr="00D31A34"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D31A34">
              <w:t>Intensivists (Adult, Paediatric); SRMOs; JMO positions are supernumerary. There is occasional</w:t>
            </w:r>
            <w:r>
              <w:t xml:space="preserve"> </w:t>
            </w:r>
            <w:r w:rsidRPr="00D31A34">
              <w:t>VMO usage to cover staffing shortages.</w:t>
            </w:r>
          </w:p>
          <w:p w14:paraId="628DE32D" w14:textId="1FCF1EBA" w:rsidR="00297B49" w:rsidRPr="00D31A34"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D31A34">
              <w:t>Medical Staffing profile includes:</w:t>
            </w:r>
            <w:r>
              <w:t xml:space="preserve"> </w:t>
            </w:r>
            <w:r w:rsidRPr="00D31A34">
              <w:t xml:space="preserve">12 consultants </w:t>
            </w:r>
            <w:r w:rsidR="00182FC0">
              <w:t>and</w:t>
            </w:r>
            <w:r w:rsidRPr="00D31A34">
              <w:t xml:space="preserve"> 30 JMOs (ICU); 16 JMOs and 5.6 consultants (NICU)</w:t>
            </w:r>
            <w:r w:rsidR="00BA41D7">
              <w:t>,</w:t>
            </w:r>
            <w:r w:rsidRPr="00D31A34">
              <w:t xml:space="preserve"> and</w:t>
            </w:r>
            <w:r>
              <w:t xml:space="preserve"> </w:t>
            </w:r>
            <w:r w:rsidRPr="00D31A34">
              <w:t xml:space="preserve">3 consultants </w:t>
            </w:r>
            <w:r w:rsidR="00BA41D7">
              <w:t>and</w:t>
            </w:r>
            <w:r w:rsidRPr="00D31A34">
              <w:t xml:space="preserve"> 6 registrars (CCU, who also work across Cath Lab / cardiology).</w:t>
            </w:r>
          </w:p>
          <w:p w14:paraId="1AF0E65A" w14:textId="69EAEF1B" w:rsidR="00432C6C" w:rsidRPr="00F0724D" w:rsidRDefault="00432C6C">
            <w:pPr>
              <w:cnfStyle w:val="000000000000" w:firstRow="0" w:lastRow="0" w:firstColumn="0" w:lastColumn="0" w:oddVBand="0" w:evenVBand="0" w:oddHBand="0" w:evenHBand="0" w:firstRowFirstColumn="0" w:firstRowLastColumn="0" w:lastRowFirstColumn="0" w:lastRowLastColumn="0"/>
            </w:pP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D27436A" w14:textId="77777777" w:rsidR="00297B49" w:rsidRPr="000A4F80"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0A4F80">
              <w:t xml:space="preserve">All intensivist time is kept in the critical care </w:t>
            </w:r>
            <w:r>
              <w:t xml:space="preserve">cost </w:t>
            </w:r>
            <w:r w:rsidRPr="000A4F80">
              <w:t>area, with an adjustment via PFRAC for MET calls</w:t>
            </w:r>
            <w:r>
              <w:t xml:space="preserve"> and Tier 2 clinic activity</w:t>
            </w:r>
            <w:r w:rsidRPr="000A4F80">
              <w:t xml:space="preserve">. ICU patients’ encounters will receive an allocation of medical costs that are based on their </w:t>
            </w:r>
            <w:r>
              <w:t>ward</w:t>
            </w:r>
            <w:r w:rsidRPr="000A4F80">
              <w:t xml:space="preserve"> hours.</w:t>
            </w:r>
          </w:p>
          <w:p w14:paraId="26C1BEFF" w14:textId="3CBE06BC" w:rsidR="00432C6C" w:rsidRPr="00F0724D" w:rsidRDefault="00297B4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0A4F80">
              <w:rPr>
                <w:lang w:val="en-PH"/>
              </w:rPr>
              <w:t xml:space="preserve">Medical </w:t>
            </w:r>
            <w:r w:rsidR="002A1EF8" w:rsidRPr="00B54383">
              <w:rPr>
                <w:i/>
                <w:iCs/>
                <w:lang w:val="en-PH"/>
              </w:rPr>
              <w:t>S&amp;W</w:t>
            </w:r>
            <w:r w:rsidRPr="000A4F80">
              <w:rPr>
                <w:lang w:val="en-PH"/>
              </w:rPr>
              <w:t xml:space="preserve"> for CCU and NICU do not sit in </w:t>
            </w:r>
            <w:r w:rsidRPr="00AD1F32">
              <w:rPr>
                <w:i/>
                <w:iCs/>
                <w:lang w:val="en-PH"/>
              </w:rPr>
              <w:t>Critical</w:t>
            </w:r>
            <w:r w:rsidRPr="000A4F80">
              <w:rPr>
                <w:lang w:val="en-PH"/>
              </w:rPr>
              <w:t xml:space="preserve"> </w:t>
            </w:r>
            <w:r>
              <w:rPr>
                <w:lang w:val="en-PH"/>
              </w:rPr>
              <w:t xml:space="preserve">and </w:t>
            </w:r>
            <w:r w:rsidR="00BA79A1">
              <w:rPr>
                <w:lang w:val="en-PH"/>
              </w:rPr>
              <w:t xml:space="preserve">are mapped to </w:t>
            </w:r>
            <w:r w:rsidR="00BA79A1" w:rsidRPr="00AD1F32">
              <w:rPr>
                <w:i/>
                <w:iCs/>
                <w:lang w:val="en-PH"/>
              </w:rPr>
              <w:t>Clinical</w:t>
            </w:r>
            <w:r w:rsidRPr="000A4F80">
              <w:rPr>
                <w:lang w:val="en-PH"/>
              </w:rPr>
              <w:t xml:space="preserve"> </w:t>
            </w:r>
            <w:r w:rsidR="00D21981">
              <w:rPr>
                <w:lang w:val="en-PH"/>
              </w:rPr>
              <w:t xml:space="preserve">NHCDC Cost Centre Group </w:t>
            </w:r>
            <w:r w:rsidRPr="000A4F80">
              <w:rPr>
                <w:lang w:val="en-PH"/>
              </w:rPr>
              <w:t>for respective areas (Cardiology / Perinatal Medicine).</w:t>
            </w:r>
            <w:r>
              <w:t xml:space="preserve"> </w:t>
            </w:r>
            <w:r w:rsidRPr="000A4F80">
              <w:t>The allocation for medical costs is based on their ward 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1C90E3B" w14:textId="132212D4"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933E638" w14:textId="77777777" w:rsidR="00432C6C" w:rsidRPr="0046606B" w:rsidRDefault="00432C6C"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46606B">
              <w:t>Critical (ICU)</w:t>
            </w:r>
          </w:p>
          <w:p w14:paraId="6713C4B0" w14:textId="59EF32D1"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46606B">
              <w:t>Clinical (</w:t>
            </w:r>
            <w:r w:rsidR="00297B49">
              <w:t xml:space="preserve">NICU / </w:t>
            </w:r>
            <w:r w:rsidRPr="0046606B">
              <w:t>CCU)</w:t>
            </w:r>
          </w:p>
        </w:tc>
      </w:tr>
      <w:tr w:rsidR="00432C6C" w:rsidRPr="00F0724D" w14:paraId="3D93B952"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0AE33B7" w14:textId="0FB3FF50" w:rsidR="00432C6C" w:rsidRPr="00F0724D" w:rsidRDefault="00297B49">
            <w:r w:rsidRPr="00C45BEB">
              <w:t>Goods &amp; Services / Medical Supplies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7C87BE1" w14:textId="49A7B7A1" w:rsidR="00297B49"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C45BEB">
              <w:t xml:space="preserve">Includes medical supplies and consumables expenses including lines, neuromonitoring and cardiac support devices and </w:t>
            </w:r>
            <w:r>
              <w:t>n</w:t>
            </w:r>
            <w:r w:rsidRPr="00C45BEB">
              <w:t xml:space="preserve">itric </w:t>
            </w:r>
            <w:r>
              <w:t>o</w:t>
            </w:r>
            <w:r w:rsidRPr="00C45BEB">
              <w:t xml:space="preserve">xide gas, minor equipment maintenance, </w:t>
            </w:r>
            <w:r w:rsidR="00BA41D7">
              <w:t xml:space="preserve">as well as </w:t>
            </w:r>
            <w:r w:rsidRPr="00C45BEB">
              <w:t xml:space="preserve">agency nursing costs and contracted care costs from </w:t>
            </w:r>
            <w:r w:rsidR="001365D3">
              <w:t>FPH</w:t>
            </w:r>
            <w:r w:rsidRPr="00C45BEB">
              <w:t>.</w:t>
            </w:r>
          </w:p>
          <w:p w14:paraId="06029C52" w14:textId="4424491C" w:rsidR="00432C6C" w:rsidRPr="00F0724D" w:rsidRDefault="00297B49">
            <w:pPr>
              <w:cnfStyle w:val="000000000000" w:firstRow="0" w:lastRow="0" w:firstColumn="0" w:lastColumn="0" w:oddVBand="0" w:evenVBand="0" w:oddHBand="0" w:evenHBand="0" w:firstRowFirstColumn="0" w:firstRowLastColumn="0" w:lastRowFirstColumn="0" w:lastRowLastColumn="0"/>
            </w:pPr>
            <w:r>
              <w:t xml:space="preserve">Agency costs for nursing are reported under </w:t>
            </w:r>
            <w:r w:rsidR="00EA04D4" w:rsidRPr="00B54383">
              <w:rPr>
                <w:i/>
                <w:iCs/>
              </w:rPr>
              <w:t>G</w:t>
            </w:r>
            <w:r w:rsidRPr="00B54383">
              <w:rPr>
                <w:i/>
                <w:iCs/>
              </w:rPr>
              <w:t xml:space="preserve">oods &amp; </w:t>
            </w:r>
            <w:r w:rsidR="00EA04D4" w:rsidRPr="00B54383">
              <w:rPr>
                <w:i/>
                <w:iCs/>
              </w:rPr>
              <w:t>S</w:t>
            </w:r>
            <w:r w:rsidRPr="00B54383">
              <w:rPr>
                <w:i/>
                <w:iCs/>
              </w:rPr>
              <w:t>ervices</w:t>
            </w:r>
            <w: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91BF5E1" w14:textId="77777777" w:rsidR="009F4AEB"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C45BEB">
              <w:t xml:space="preserve">Allocated based on </w:t>
            </w:r>
            <w:r>
              <w:t xml:space="preserve">ward </w:t>
            </w:r>
            <w:r w:rsidRPr="00C45BEB">
              <w:t>hours.</w:t>
            </w:r>
            <w:r>
              <w:t xml:space="preserve"> </w:t>
            </w:r>
          </w:p>
          <w:p w14:paraId="08420FA5" w14:textId="3396EC43" w:rsidR="00297B49" w:rsidRDefault="009F4AEB"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t>F</w:t>
            </w:r>
            <w:r w:rsidR="00297B49">
              <w:rPr>
                <w:lang w:val="en-US"/>
              </w:rPr>
              <w:t>or</w:t>
            </w:r>
            <w:r>
              <w:rPr>
                <w:lang w:val="en-US"/>
              </w:rPr>
              <w:t xml:space="preserve"> patients who have spent time at</w:t>
            </w:r>
            <w:r w:rsidR="00297B49">
              <w:rPr>
                <w:lang w:val="en-US"/>
              </w:rPr>
              <w:t xml:space="preserve"> </w:t>
            </w:r>
            <w:r w:rsidR="007740AA">
              <w:rPr>
                <w:lang w:val="en-US"/>
              </w:rPr>
              <w:t>FPH</w:t>
            </w:r>
            <w:r w:rsidR="00297B49">
              <w:rPr>
                <w:lang w:val="en-US"/>
              </w:rPr>
              <w:t>, there may be inconsistencies between costs and hours allocated, where patients are transferred across multiple wards</w:t>
            </w:r>
            <w:r w:rsidR="007740AA">
              <w:rPr>
                <w:lang w:val="en-US"/>
              </w:rPr>
              <w:t>, because FMC cannot differentiate between ICU hours and other ward hours for the duration of the stay at FPH.</w:t>
            </w:r>
          </w:p>
          <w:p w14:paraId="2D33A90B" w14:textId="66F0F863" w:rsidR="00432C6C" w:rsidRPr="00F0724D" w:rsidRDefault="00297B4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Where agency nursing is used for specialling, this is allocated to all ICU patients based on ward hours. However</w:t>
            </w:r>
            <w:r w:rsidR="0034558A">
              <w:t>,</w:t>
            </w:r>
            <w:r>
              <w:t xml:space="preserve"> where security staff are used, these are allocated at the patient level due to the availability of </w:t>
            </w:r>
            <w:r>
              <w:lastRenderedPageBreak/>
              <w:t>patient level information by the security provider (MSS)</w:t>
            </w:r>
            <w:r w:rsidR="00AE0A31">
              <w:t xml:space="preserve"> and costed to </w:t>
            </w:r>
            <w:r w:rsidR="00AE0A31" w:rsidRPr="00AE0A31">
              <w:rPr>
                <w:i/>
                <w:iCs/>
              </w:rPr>
              <w:t>Goods &amp; Services</w:t>
            </w:r>
            <w:r w:rsidR="00AE0A31">
              <w:rPr>
                <w:i/>
                <w:iCs/>
              </w:rPr>
              <w:t xml:space="preserve"> </w:t>
            </w:r>
            <w:r w:rsidR="00AE0A31" w:rsidRPr="00B54383">
              <w:t>line</w:t>
            </w:r>
            <w:r w:rsidR="00AE0A31">
              <w:rPr>
                <w:i/>
                <w:iCs/>
              </w:rPr>
              <w:t xml:space="preserve"> </w:t>
            </w:r>
            <w:r w:rsidR="00AE0A31" w:rsidRPr="00AE0A31">
              <w:t>item</w:t>
            </w:r>
            <w:r w:rsidR="0024747D">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1E8C7C4" w14:textId="2D467A4C" w:rsidR="00432C6C" w:rsidRPr="001D7F2E" w:rsidRDefault="00DB5C0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Segoe UI Symbol"/>
                <w:bCs/>
              </w:rPr>
            </w:pPr>
            <w:r w:rsidRPr="0046606B">
              <w:rPr>
                <w:rFonts w:ascii="Cambria Math" w:hAnsi="Cambria Math" w:cs="Cambria Math"/>
              </w:rPr>
              <w:lastRenderedPageBreak/>
              <w:t>◑</w:t>
            </w:r>
            <w:r>
              <w:rPr>
                <w:rFonts w:ascii="Cambria Math" w:hAnsi="Cambria Math" w:cs="Cambria Math"/>
              </w:rPr>
              <w:t xml:space="preserve"> / </w:t>
            </w:r>
            <w:r w:rsidRPr="0046606B">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A446998" w14:textId="2F3B1549"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46606B">
              <w:t>Critical</w:t>
            </w:r>
          </w:p>
        </w:tc>
      </w:tr>
      <w:tr w:rsidR="00432C6C" w:rsidRPr="00F0724D" w14:paraId="5E30F574"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6739551B" w14:textId="77777777" w:rsidR="00432C6C" w:rsidRPr="00F0724D" w:rsidRDefault="00432C6C">
            <w:r w:rsidRPr="0046606B">
              <w:t>Imaging</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D82D03E" w14:textId="45E38297" w:rsidR="00432C6C" w:rsidRPr="00F0724D" w:rsidRDefault="00297B49">
            <w:pPr>
              <w:cnfStyle w:val="000000000000" w:firstRow="0" w:lastRow="0" w:firstColumn="0" w:lastColumn="0" w:oddVBand="0" w:evenVBand="0" w:oddHBand="0" w:evenHBand="0" w:firstRowFirstColumn="0" w:firstRowLastColumn="0" w:lastRowFirstColumn="0" w:lastRowLastColumn="0"/>
            </w:pPr>
            <w:r w:rsidRPr="00D31A34">
              <w:t xml:space="preserve">Provided as a statewide service under Business 55 (hosted by CALHN) and recharged to </w:t>
            </w:r>
            <w:r w:rsidR="001365D3">
              <w:t>FMC</w:t>
            </w:r>
            <w: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E7B8F6C" w14:textId="1741FBA2" w:rsidR="00432C6C" w:rsidRPr="00F0724D" w:rsidRDefault="00432C6C">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Allocated using feeder data of actual tests per patient.</w:t>
            </w:r>
            <w:r w:rsidR="00297B49" w:rsidRPr="006616DB">
              <w:t xml:space="preserve"> </w:t>
            </w:r>
            <w:r w:rsidR="00297B49">
              <w:t>Where costs are unable to be linked to a specific patient from the feeder file, they are spread across all patient activity within ICU.</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53A0537" w14:textId="77777777" w:rsidR="00432C6C" w:rsidRPr="001D7F2E"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46606B">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DE6E6CC" w14:textId="77777777"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Imaging</w:t>
            </w:r>
          </w:p>
        </w:tc>
      </w:tr>
      <w:tr w:rsidR="00432C6C" w:rsidRPr="00F0724D" w14:paraId="5012D7B5"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174538B6" w14:textId="77777777" w:rsidR="00432C6C" w:rsidRPr="00F0724D" w:rsidRDefault="00432C6C">
            <w:r w:rsidRPr="0046606B">
              <w:t>Pathology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59D623A" w14:textId="480090AE" w:rsidR="00432C6C" w:rsidRPr="00F0724D" w:rsidRDefault="00297B49">
            <w:pPr>
              <w:cnfStyle w:val="000000000000" w:firstRow="0" w:lastRow="0" w:firstColumn="0" w:lastColumn="0" w:oddVBand="0" w:evenVBand="0" w:oddHBand="0" w:evenHBand="0" w:firstRowFirstColumn="0" w:firstRowLastColumn="0" w:lastRowFirstColumn="0" w:lastRowLastColumn="0"/>
            </w:pPr>
            <w:r w:rsidRPr="00D31A34">
              <w:t xml:space="preserve">Provided as a statewide service under Business 55 (hosted by CALHN) and recharged to </w:t>
            </w:r>
            <w:r w:rsidR="001365D3">
              <w:t>FMC</w:t>
            </w:r>
            <w: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CE292F" w14:textId="1A798D77" w:rsidR="00432C6C" w:rsidRPr="00F0724D" w:rsidRDefault="00432C6C">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Allocated using feeder data of actual tests per patient.</w:t>
            </w:r>
            <w:r w:rsidR="00297B49" w:rsidRPr="006616DB">
              <w:t xml:space="preserve"> </w:t>
            </w:r>
            <w:r w:rsidR="00297B49">
              <w:t xml:space="preserve"> Where costs are unable to be linked to a specific patient from the feeder file, they are spread across all patient activity within ICU.</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D0EA8F2" w14:textId="77777777" w:rsidR="00432C6C" w:rsidRPr="001D7F2E"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sz w:val="32"/>
                <w:szCs w:val="32"/>
              </w:rPr>
            </w:pPr>
            <w:r w:rsidRPr="0046606B">
              <w:rPr>
                <w:rFonts w:ascii="Arial" w:hAnsi="Arial" w:cs="Arial"/>
                <w:sz w:val="32"/>
                <w:szCs w:val="32"/>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26742096" w14:textId="77777777"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46606B">
              <w:t>Pathology</w:t>
            </w:r>
          </w:p>
        </w:tc>
      </w:tr>
      <w:tr w:rsidR="00432C6C" w:rsidRPr="00F0724D" w14:paraId="2DF2BCBB"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7DEA23F3" w14:textId="77777777" w:rsidR="00432C6C" w:rsidRPr="00F0724D" w:rsidRDefault="00432C6C">
            <w:r w:rsidRPr="0046606B">
              <w:t>Pharmacy</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AEB5AB0" w14:textId="77777777" w:rsidR="00297B49" w:rsidRPr="00D31A34"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D31A34">
              <w:t>Pharmacy is a statewide service provided by Business 55, hosted by CALHN. Prescribed drugs to patients using iPharmacy.</w:t>
            </w:r>
          </w:p>
          <w:p w14:paraId="279DBBE1" w14:textId="5029D385" w:rsidR="00432C6C" w:rsidRPr="00F0724D" w:rsidRDefault="00432C6C">
            <w:pPr>
              <w:cnfStyle w:val="000000000000" w:firstRow="0" w:lastRow="0" w:firstColumn="0" w:lastColumn="0" w:oddVBand="0" w:evenVBand="0" w:oddHBand="0" w:evenHBand="0" w:firstRowFirstColumn="0" w:firstRowLastColumn="0" w:lastRowFirstColumn="0" w:lastRowLastColumn="0"/>
            </w:pPr>
            <w:r w:rsidRPr="0046606B">
              <w:t>Some commonly used drugs are also held in imprest</w:t>
            </w:r>
            <w:r w:rsidR="00297B49" w:rsidRPr="00D31A34">
              <w:t>.</w:t>
            </w:r>
            <w:r w:rsidRPr="0046606B">
              <w:t xml:space="preserve"> Pharmacist costs sit in </w:t>
            </w:r>
            <w:r w:rsidR="002E6E93">
              <w:t>p</w:t>
            </w:r>
            <w:r w:rsidR="002E6E93" w:rsidRPr="00D31A34">
              <w:t>harmacy</w:t>
            </w:r>
            <w:r w:rsidR="002E6E93" w:rsidRPr="0046606B">
              <w:t xml:space="preserve"> </w:t>
            </w:r>
            <w:r w:rsidRPr="0046606B">
              <w:t>cost centre.</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234266C" w14:textId="77777777" w:rsidR="00297B49" w:rsidRDefault="00297B49"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6616DB">
              <w:t xml:space="preserve">Allocated using feeder data of actual tests per patient. </w:t>
            </w:r>
            <w:r>
              <w:t xml:space="preserve"> Where costs are unable to be linked to a specific patient from the feeder file, they are spread across all patient activity within ICU.</w:t>
            </w:r>
          </w:p>
          <w:p w14:paraId="76CB2753" w14:textId="35B2E623" w:rsidR="00432C6C" w:rsidRPr="00F0724D" w:rsidRDefault="00432C6C">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 xml:space="preserve">Imprest </w:t>
            </w:r>
            <w:r w:rsidR="00297B49">
              <w:t>costs are</w:t>
            </w:r>
            <w:r w:rsidRPr="0046606B">
              <w:t xml:space="preserve"> spread to all ICU patients based on ICU </w:t>
            </w:r>
            <w:r w:rsidR="00297B49">
              <w:t>ward</w:t>
            </w:r>
            <w:r w:rsidR="00297B49" w:rsidRPr="006616DB">
              <w:t xml:space="preserve"> </w:t>
            </w:r>
            <w:r w:rsidRPr="0046606B">
              <w:t>hours.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6AB089BF" w14:textId="77777777" w:rsidR="00432C6C" w:rsidRPr="0046606B" w:rsidRDefault="00432C6C" w:rsidP="00297B49">
            <w:pPr>
              <w:tabs>
                <w:tab w:val="clear" w:pos="5309"/>
                <w:tab w:val="left" w:pos="3840"/>
              </w:tabs>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r w:rsidRPr="0046606B">
              <w:rPr>
                <w:rFonts w:ascii="Arial" w:hAnsi="Arial" w:cs="Arial"/>
                <w:sz w:val="32"/>
                <w:szCs w:val="32"/>
              </w:rPr>
              <w:t xml:space="preserve">● / </w:t>
            </w:r>
            <w:r w:rsidRPr="0046606B">
              <w:rPr>
                <w:rFonts w:ascii="Cambria Math" w:hAnsi="Cambria Math" w:cs="Cambria Math"/>
              </w:rPr>
              <w:t>◑</w:t>
            </w:r>
          </w:p>
          <w:p w14:paraId="11A14220" w14:textId="77777777" w:rsidR="00432C6C" w:rsidRPr="00C93B69" w:rsidRDefault="00432C6C">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Cambria Math"/>
              </w:rPr>
            </w:pP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5A463FBA" w14:textId="77777777" w:rsidR="00297B49" w:rsidRDefault="00432C6C" w:rsidP="00297B49">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rsidRPr="0046606B">
              <w:t>Pharmacy</w:t>
            </w:r>
          </w:p>
          <w:p w14:paraId="27789281" w14:textId="0C9DEC35" w:rsidR="003836F8" w:rsidRPr="00E71E32" w:rsidRDefault="003836F8" w:rsidP="00297B49">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pPr>
            <w:r>
              <w:t>(dispensed)</w:t>
            </w:r>
          </w:p>
          <w:p w14:paraId="5407A374" w14:textId="3AD04199" w:rsidR="00297B49" w:rsidRDefault="00432C6C" w:rsidP="00297B49">
            <w:pPr>
              <w:tabs>
                <w:tab w:val="clear" w:pos="5309"/>
              </w:tabs>
              <w:spacing w:line="259" w:lineRule="auto"/>
              <w:jc w:val="center"/>
              <w:cnfStyle w:val="000000000000" w:firstRow="0" w:lastRow="0" w:firstColumn="0" w:lastColumn="0" w:oddVBand="0" w:evenVBand="0" w:oddHBand="0" w:evenHBand="0" w:firstRowFirstColumn="0" w:firstRowLastColumn="0" w:lastRowFirstColumn="0" w:lastRowLastColumn="0"/>
              <w:rPr>
                <w:i/>
              </w:rPr>
            </w:pPr>
            <w:r w:rsidRPr="00B54383">
              <w:rPr>
                <w:iCs/>
              </w:rPr>
              <w:t>Critical</w:t>
            </w:r>
            <w:r w:rsidRPr="0046606B">
              <w:rPr>
                <w:i/>
              </w:rPr>
              <w:t xml:space="preserve"> </w:t>
            </w:r>
            <w:r w:rsidR="003836F8" w:rsidRPr="00B54383">
              <w:rPr>
                <w:iCs/>
              </w:rPr>
              <w:t>(</w:t>
            </w:r>
            <w:r w:rsidRPr="00B54383">
              <w:rPr>
                <w:iCs/>
              </w:rPr>
              <w:t>imprest)</w:t>
            </w:r>
          </w:p>
          <w:p w14:paraId="72728204" w14:textId="74B11045" w:rsidR="00432C6C" w:rsidRPr="00760881" w:rsidRDefault="00432C6C" w:rsidP="00B54383">
            <w:pPr>
              <w:cnfStyle w:val="000000000000" w:firstRow="0" w:lastRow="0" w:firstColumn="0" w:lastColumn="0" w:oddVBand="0" w:evenVBand="0" w:oddHBand="0" w:evenHBand="0" w:firstRowFirstColumn="0" w:firstRowLastColumn="0" w:lastRowFirstColumn="0" w:lastRowLastColumn="0"/>
            </w:pPr>
          </w:p>
        </w:tc>
      </w:tr>
      <w:tr w:rsidR="00432C6C" w:rsidRPr="00F0724D" w14:paraId="7462C75E" w14:textId="77777777" w:rsidTr="00297B49">
        <w:trPr>
          <w:trHeight w:val="290"/>
        </w:trPr>
        <w:tc>
          <w:tcPr>
            <w:cnfStyle w:val="001000000000" w:firstRow="0" w:lastRow="0" w:firstColumn="1" w:lastColumn="0" w:oddVBand="0" w:evenVBand="0" w:oddHBand="0" w:evenHBand="0" w:firstRowFirstColumn="0" w:firstRowLastColumn="0" w:lastRowFirstColumn="0"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543F0D5A" w14:textId="77777777" w:rsidR="00432C6C" w:rsidRPr="00F0724D" w:rsidRDefault="00432C6C">
            <w:r w:rsidRPr="0046606B">
              <w:t>Hotel</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11F0111C" w14:textId="2FD50CE4" w:rsidR="00432C6C" w:rsidRPr="00F0724D" w:rsidRDefault="00432C6C">
            <w:pPr>
              <w:cnfStyle w:val="000000000000" w:firstRow="0" w:lastRow="0" w:firstColumn="0" w:lastColumn="0" w:oddVBand="0" w:evenVBand="0" w:oddHBand="0" w:evenHBand="0" w:firstRowFirstColumn="0" w:firstRowLastColumn="0" w:lastRowFirstColumn="0" w:lastRowLastColumn="0"/>
            </w:pPr>
            <w:r w:rsidRPr="0046606B">
              <w:t>Includes cleaning, food and linen</w:t>
            </w:r>
            <w:r w:rsidR="00297B49" w:rsidRPr="00BE6399">
              <w:t xml:space="preserve">. </w:t>
            </w:r>
            <w:r w:rsidR="00297B49">
              <w:t>These costs are captured in a central RI</w:t>
            </w:r>
            <w:r w:rsidRPr="0046606B">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FB66BA9" w14:textId="6139CB59" w:rsidR="00297B49" w:rsidRDefault="00432C6C" w:rsidP="00297B49">
            <w:pPr>
              <w:tabs>
                <w:tab w:val="clear" w:pos="5309"/>
              </w:tabs>
              <w:spacing w:line="259" w:lineRule="auto"/>
              <w:cnfStyle w:val="000000000000" w:firstRow="0" w:lastRow="0" w:firstColumn="0" w:lastColumn="0" w:oddVBand="0" w:evenVBand="0" w:oddHBand="0" w:evenHBand="0" w:firstRowFirstColumn="0" w:firstRowLastColumn="0" w:lastRowFirstColumn="0" w:lastRowLastColumn="0"/>
            </w:pPr>
            <w:r w:rsidRPr="0046606B">
              <w:t>Allocated using general allocation statistics, appropriate for each expense type (e.g.</w:t>
            </w:r>
            <w:r w:rsidR="001365D3">
              <w:t>,</w:t>
            </w:r>
            <w:r w:rsidRPr="0046606B">
              <w:t xml:space="preserve"> occupied bed days).</w:t>
            </w:r>
            <w:r w:rsidR="00297B49">
              <w:t xml:space="preserve"> </w:t>
            </w:r>
            <w:r w:rsidR="00297B49" w:rsidRPr="00BE6399">
              <w:t>These are allocated as overheads</w:t>
            </w:r>
            <w:r w:rsidR="00297B49">
              <w:t>.</w:t>
            </w:r>
          </w:p>
          <w:p w14:paraId="41CD29BA" w14:textId="013AF7CB" w:rsidR="00432C6C" w:rsidRPr="00F0724D" w:rsidRDefault="00297B49">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t>Ad hoc food orders are costed to the ordering location (e.g.</w:t>
            </w:r>
            <w:r w:rsidR="001365D3">
              <w:t>,</w:t>
            </w:r>
            <w:r>
              <w:t xml:space="preserve"> ICU and allocated based on ward hours</w:t>
            </w:r>
            <w:r w:rsidR="001365D3">
              <w:t>)</w:t>
            </w:r>
            <w:r>
              <w:t>. This represents a small portion of food costs.</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76C69424" w14:textId="77777777"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rPr>
                <w:rFonts w:ascii="Cambria Math" w:hAnsi="Cambria Math" w:cs="Cambria Math"/>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B2E2589" w14:textId="77777777" w:rsidR="00432C6C" w:rsidRPr="00F0724D" w:rsidRDefault="00432C6C">
            <w:pPr>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bCs/>
              </w:rPr>
            </w:pPr>
            <w:r w:rsidRPr="0046606B">
              <w:t>Critical</w:t>
            </w:r>
          </w:p>
        </w:tc>
      </w:tr>
      <w:tr w:rsidR="00432C6C" w:rsidRPr="00F0724D" w14:paraId="717BC24F" w14:textId="77777777" w:rsidTr="00297B49">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844"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tcMar>
              <w:top w:w="0" w:type="nil"/>
              <w:left w:w="0" w:type="nil"/>
              <w:bottom w:w="0" w:type="nil"/>
              <w:right w:w="0" w:type="nil"/>
            </w:tcMar>
          </w:tcPr>
          <w:p w14:paraId="0C874FBF" w14:textId="77777777" w:rsidR="00432C6C" w:rsidRPr="00760881" w:rsidRDefault="00432C6C">
            <w:pPr>
              <w:rPr>
                <w:b w:val="0"/>
              </w:rPr>
            </w:pPr>
            <w:r w:rsidRPr="00760881">
              <w:rPr>
                <w:b w:val="0"/>
              </w:rPr>
              <w:lastRenderedPageBreak/>
              <w:t>Overheads</w:t>
            </w:r>
          </w:p>
        </w:tc>
        <w:tc>
          <w:tcPr>
            <w:tcW w:w="140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3E0B09C2" w14:textId="074E07FD" w:rsidR="00432C6C" w:rsidRPr="00760881" w:rsidRDefault="00297B49">
            <w:pPr>
              <w:cnfStyle w:val="010000000000" w:firstRow="0" w:lastRow="1" w:firstColumn="0" w:lastColumn="0" w:oddVBand="0" w:evenVBand="0" w:oddHBand="0" w:evenHBand="0" w:firstRowFirstColumn="0" w:firstRowLastColumn="0" w:lastRowFirstColumn="0" w:lastRowLastColumn="0"/>
              <w:rPr>
                <w:b w:val="0"/>
              </w:rPr>
            </w:pPr>
            <w:r w:rsidRPr="00297B49">
              <w:rPr>
                <w:b w:val="0"/>
                <w:bCs/>
              </w:rPr>
              <w:t>Corporate costs</w:t>
            </w:r>
            <w:r w:rsidR="0024747D">
              <w:rPr>
                <w:b w:val="0"/>
                <w:bCs/>
              </w:rPr>
              <w:t>.</w:t>
            </w:r>
          </w:p>
        </w:tc>
        <w:tc>
          <w:tcPr>
            <w:tcW w:w="1852"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8823A3B" w14:textId="23752C86" w:rsidR="00432C6C" w:rsidRPr="00760881" w:rsidRDefault="00432C6C">
            <w:pP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760881">
              <w:rPr>
                <w:b w:val="0"/>
              </w:rPr>
              <w:t>Allocated using general allocation statistics for each expense type (e.g.</w:t>
            </w:r>
            <w:r w:rsidR="001365D3">
              <w:rPr>
                <w:b w:val="0"/>
              </w:rPr>
              <w:t>,</w:t>
            </w:r>
            <w:r w:rsidRPr="00760881">
              <w:rPr>
                <w:b w:val="0"/>
              </w:rPr>
              <w:t xml:space="preserve"> occupied bed days</w:t>
            </w:r>
            <w:r w:rsidR="00297B49" w:rsidRPr="00297B49">
              <w:rPr>
                <w:b w:val="0"/>
                <w:bCs/>
              </w:rPr>
              <w:t>,</w:t>
            </w:r>
            <w:r w:rsidRPr="00760881">
              <w:rPr>
                <w:b w:val="0"/>
              </w:rPr>
              <w:t xml:space="preserve"> S&amp;W expense</w:t>
            </w:r>
            <w:r w:rsidR="00297B49" w:rsidRPr="00297B49">
              <w:rPr>
                <w:b w:val="0"/>
                <w:bCs/>
              </w:rPr>
              <w:t>).</w:t>
            </w:r>
          </w:p>
        </w:tc>
        <w:tc>
          <w:tcPr>
            <w:tcW w:w="363"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4700D2B5" w14:textId="77777777" w:rsidR="00432C6C" w:rsidRPr="00760881" w:rsidRDefault="00432C6C">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760881">
              <w:rPr>
                <w:rFonts w:ascii="Cambria Math" w:hAnsi="Cambria Math" w:cs="Cambria Math"/>
                <w:b w:val="0"/>
              </w:rPr>
              <w:t>◔</w:t>
            </w:r>
          </w:p>
        </w:tc>
        <w:tc>
          <w:tcPr>
            <w:tcW w:w="539"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tcMar>
              <w:top w:w="0" w:type="nil"/>
              <w:left w:w="0" w:type="nil"/>
              <w:bottom w:w="0" w:type="nil"/>
              <w:right w:w="0" w:type="nil"/>
            </w:tcMar>
          </w:tcPr>
          <w:p w14:paraId="05A04B77" w14:textId="77777777" w:rsidR="00432C6C" w:rsidRPr="00760881" w:rsidRDefault="00432C6C">
            <w:pPr>
              <w:jc w:val="center"/>
              <w:cnfStyle w:val="010000000000" w:firstRow="0" w:lastRow="1" w:firstColumn="0" w:lastColumn="0" w:oddVBand="0" w:evenVBand="0" w:oddHBand="0" w:evenHBand="0" w:firstRowFirstColumn="0" w:firstRowLastColumn="0" w:lastRowFirstColumn="0" w:lastRowLastColumn="0"/>
              <w:rPr>
                <w:rFonts w:ascii="Segoe UI Symbol" w:hAnsi="Segoe UI Symbol" w:cs="Segoe UI Symbol"/>
                <w:b w:val="0"/>
              </w:rPr>
            </w:pPr>
            <w:r w:rsidRPr="00760881">
              <w:rPr>
                <w:b w:val="0"/>
              </w:rPr>
              <w:t>Critical</w:t>
            </w:r>
          </w:p>
        </w:tc>
      </w:tr>
    </w:tbl>
    <w:p w14:paraId="528DE88A" w14:textId="7C2A20C5" w:rsidR="00F9472C" w:rsidRDefault="00F9472C" w:rsidP="00F9472C">
      <w:pPr>
        <w:sectPr w:rsidR="00F9472C" w:rsidSect="00432C6C">
          <w:footnotePr>
            <w:pos w:val="beneathText"/>
          </w:footnotePr>
          <w:endnotePr>
            <w:numFmt w:val="decimal"/>
          </w:endnotePr>
          <w:pgSz w:w="16838" w:h="11906" w:orient="landscape" w:code="9"/>
          <w:pgMar w:top="1440" w:right="1440" w:bottom="1440" w:left="1440" w:header="720" w:footer="720" w:gutter="0"/>
          <w:cols w:space="720"/>
          <w:docGrid w:linePitch="360"/>
        </w:sectPr>
      </w:pPr>
    </w:p>
    <w:p w14:paraId="3E6317D5" w14:textId="54D7B021" w:rsidR="009940F0" w:rsidRDefault="002A2D9D" w:rsidP="00EC0C63">
      <w:pPr>
        <w:pStyle w:val="Caption"/>
        <w:keepNext/>
      </w:pPr>
      <w:r w:rsidRPr="00BD4E19">
        <w:rPr>
          <w:noProof/>
        </w:rPr>
        <w:lastRenderedPageBreak/>
        <w:drawing>
          <wp:anchor distT="0" distB="0" distL="114300" distR="114300" simplePos="0" relativeHeight="251658278" behindDoc="0" locked="0" layoutInCell="1" allowOverlap="1" wp14:anchorId="6A6600FD" wp14:editId="736CBAFE">
            <wp:simplePos x="0" y="0"/>
            <wp:positionH relativeFrom="margin">
              <wp:align>center</wp:align>
            </wp:positionH>
            <wp:positionV relativeFrom="paragraph">
              <wp:posOffset>177800</wp:posOffset>
            </wp:positionV>
            <wp:extent cx="6299835" cy="2782570"/>
            <wp:effectExtent l="0" t="0" r="5715" b="0"/>
            <wp:wrapTopAndBottom/>
            <wp:docPr id="1603814866" name="Picture 1" descr="P308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4866" name="Picture 1" descr="P3081#y1"/>
                    <pic:cNvPicPr/>
                  </pic:nvPicPr>
                  <pic:blipFill>
                    <a:blip r:embed="rId110">
                      <a:extLst>
                        <a:ext uri="{28A0092B-C50C-407E-A947-70E740481C1C}">
                          <a14:useLocalDpi xmlns:a14="http://schemas.microsoft.com/office/drawing/2010/main" val="0"/>
                        </a:ext>
                      </a:extLst>
                    </a:blip>
                    <a:stretch>
                      <a:fillRect/>
                    </a:stretch>
                  </pic:blipFill>
                  <pic:spPr>
                    <a:xfrm>
                      <a:off x="0" y="0"/>
                      <a:ext cx="6300000" cy="2782574"/>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rsidR="00BD5B5E">
        <w:fldChar w:fldCharType="begin"/>
      </w:r>
      <w:r w:rsidR="00BD5B5E">
        <w:instrText xml:space="preserve"> SEQ Figure \* ARABIC </w:instrText>
      </w:r>
      <w:r w:rsidR="00BD5B5E">
        <w:fldChar w:fldCharType="separate"/>
      </w:r>
      <w:r w:rsidR="00CE6F96">
        <w:rPr>
          <w:noProof/>
        </w:rPr>
        <w:t>43</w:t>
      </w:r>
      <w:r w:rsidR="00BD5B5E">
        <w:fldChar w:fldCharType="end"/>
      </w:r>
      <w:r>
        <w:t xml:space="preserve">: Total Critical </w:t>
      </w:r>
      <w:r w:rsidR="009B5536">
        <w:t xml:space="preserve">Cost Centre Group </w:t>
      </w:r>
      <w:r>
        <w:t>Costs at NHCDC line item level</w:t>
      </w:r>
      <w:r w:rsidR="00103394">
        <w:t xml:space="preserve"> - SA</w:t>
      </w:r>
    </w:p>
    <w:p w14:paraId="376A549C" w14:textId="7703F749" w:rsidR="00F9472C" w:rsidRDefault="00F9472C" w:rsidP="00F9472C"/>
    <w:p w14:paraId="25204582" w14:textId="77777777" w:rsidR="00354BAB" w:rsidRDefault="00B309DD" w:rsidP="00F9472C">
      <w:pPr>
        <w:sectPr w:rsidR="00354BAB" w:rsidSect="00F9472C">
          <w:footnotePr>
            <w:pos w:val="beneathText"/>
          </w:footnotePr>
          <w:endnotePr>
            <w:numFmt w:val="decimal"/>
          </w:endnotePr>
          <w:pgSz w:w="11906" w:h="16838" w:code="9"/>
          <w:pgMar w:top="1440" w:right="1440" w:bottom="1440" w:left="1440" w:header="720" w:footer="720" w:gutter="0"/>
          <w:cols w:space="720"/>
          <w:docGrid w:linePitch="360"/>
        </w:sectPr>
      </w:pPr>
      <w:r>
        <w:rPr>
          <w:noProof/>
        </w:rPr>
        <mc:AlternateContent>
          <mc:Choice Requires="wps">
            <w:drawing>
              <wp:inline distT="0" distB="0" distL="0" distR="0" wp14:anchorId="76A17C4C" wp14:editId="76C79359">
                <wp:extent cx="5715000" cy="4261449"/>
                <wp:effectExtent l="0" t="0" r="0" b="6350"/>
                <wp:docPr id="1209765681" name="Text Box 2" descr="P3083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261449"/>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055C5386" w14:textId="77777777" w:rsidR="002A2D9D" w:rsidRPr="000C4108" w:rsidRDefault="002A2D9D" w:rsidP="002A2D9D">
                            <w:pPr>
                              <w:pStyle w:val="Tablebulletpoint"/>
                              <w:numPr>
                                <w:ilvl w:val="0"/>
                                <w:numId w:val="0"/>
                              </w:numPr>
                              <w:spacing w:after="120"/>
                              <w:contextualSpacing w:val="0"/>
                              <w:rPr>
                                <w:color w:val="FFFFFF" w:themeColor="background1"/>
                              </w:rPr>
                            </w:pPr>
                            <w:r>
                              <w:rPr>
                                <w:b/>
                                <w:bCs/>
                                <w:color w:val="FFFFFF" w:themeColor="background1"/>
                              </w:rPr>
                              <w:t>Critical Care Comparability cost insights:</w:t>
                            </w:r>
                          </w:p>
                          <w:p w14:paraId="475B2FF4" w14:textId="77777777" w:rsidR="00BF0614" w:rsidRPr="00724196" w:rsidRDefault="00BF0614" w:rsidP="00BF0614">
                            <w:pPr>
                              <w:pStyle w:val="Tablebulletpoint"/>
                              <w:rPr>
                                <w:color w:val="FFFFFF" w:themeColor="background1"/>
                              </w:rPr>
                            </w:pPr>
                            <w:r w:rsidRPr="00724196">
                              <w:rPr>
                                <w:color w:val="FFFFFF" w:themeColor="background1"/>
                              </w:rPr>
                              <w:t>ICU patients receive a standard RVU for ICU hours for nursing and medical costs, regardless of their acuity.</w:t>
                            </w:r>
                          </w:p>
                          <w:p w14:paraId="104B7072" w14:textId="1A539D03" w:rsidR="00BF0614" w:rsidRPr="00724196" w:rsidRDefault="00BF0614" w:rsidP="00724196">
                            <w:pPr>
                              <w:pStyle w:val="Tablebulletpoint"/>
                              <w:rPr>
                                <w:color w:val="FFFFFF" w:themeColor="background1"/>
                              </w:rPr>
                            </w:pPr>
                            <w:r w:rsidRPr="00336485">
                              <w:rPr>
                                <w:color w:val="FFFFFF" w:themeColor="background1"/>
                              </w:rPr>
                              <w:t>Allied Health support to ICU patients</w:t>
                            </w:r>
                            <w:r w:rsidR="00B309DD" w:rsidRPr="00336485">
                              <w:rPr>
                                <w:color w:val="FFFFFF" w:themeColor="background1"/>
                              </w:rPr>
                              <w:t>, pharmacy (excluding imprest), pathology, and imaging costs incurred during an ICU stay</w:t>
                            </w:r>
                            <w:r w:rsidRPr="00336485">
                              <w:rPr>
                                <w:color w:val="FFFFFF" w:themeColor="background1"/>
                              </w:rPr>
                              <w:t xml:space="preserve"> is allocated to the </w:t>
                            </w:r>
                            <w:r w:rsidR="00B309DD" w:rsidRPr="00AD1F32">
                              <w:rPr>
                                <w:i/>
                                <w:iCs/>
                                <w:color w:val="FFFFFF" w:themeColor="background1"/>
                              </w:rPr>
                              <w:t>A</w:t>
                            </w:r>
                            <w:r w:rsidR="00914F9B" w:rsidRPr="00AD1F32">
                              <w:rPr>
                                <w:i/>
                                <w:iCs/>
                                <w:color w:val="FFFFFF" w:themeColor="background1"/>
                              </w:rPr>
                              <w:t>llied</w:t>
                            </w:r>
                            <w:r w:rsidR="00B309DD" w:rsidRPr="00AD1F32">
                              <w:rPr>
                                <w:i/>
                                <w:iCs/>
                                <w:color w:val="FFFFFF" w:themeColor="background1"/>
                              </w:rPr>
                              <w:t xml:space="preserve">, Pharmacy, Pathology </w:t>
                            </w:r>
                            <w:r w:rsidR="00B309DD" w:rsidRPr="00336485">
                              <w:rPr>
                                <w:color w:val="FFFFFF" w:themeColor="background1"/>
                              </w:rPr>
                              <w:t xml:space="preserve">and </w:t>
                            </w:r>
                            <w:r w:rsidR="00B309DD" w:rsidRPr="00AD1F32">
                              <w:rPr>
                                <w:i/>
                                <w:iCs/>
                                <w:color w:val="FFFFFF" w:themeColor="background1"/>
                              </w:rPr>
                              <w:t>Imaging</w:t>
                            </w:r>
                            <w:r w:rsidR="00B309DD" w:rsidRPr="00336485">
                              <w:rPr>
                                <w:i/>
                                <w:color w:val="FFFFFF" w:themeColor="background1"/>
                              </w:rPr>
                              <w:t xml:space="preserve"> </w:t>
                            </w:r>
                            <w:r w:rsidR="00B309DD" w:rsidRPr="00336485">
                              <w:rPr>
                                <w:color w:val="FFFFFF" w:themeColor="background1"/>
                              </w:rPr>
                              <w:t>NHCDC C</w:t>
                            </w:r>
                            <w:r w:rsidRPr="00336485">
                              <w:rPr>
                                <w:color w:val="FFFFFF" w:themeColor="background1"/>
                              </w:rPr>
                              <w:t xml:space="preserve">ost </w:t>
                            </w:r>
                            <w:r w:rsidR="00B309DD" w:rsidRPr="00336485">
                              <w:rPr>
                                <w:color w:val="FFFFFF" w:themeColor="background1"/>
                              </w:rPr>
                              <w:t>C</w:t>
                            </w:r>
                            <w:r w:rsidRPr="00336485">
                              <w:rPr>
                                <w:color w:val="FFFFFF" w:themeColor="background1"/>
                              </w:rPr>
                              <w:t xml:space="preserve">entre </w:t>
                            </w:r>
                            <w:r w:rsidR="00B309DD" w:rsidRPr="00336485">
                              <w:rPr>
                                <w:color w:val="FFFFFF" w:themeColor="background1"/>
                              </w:rPr>
                              <w:t>G</w:t>
                            </w:r>
                            <w:r w:rsidRPr="00336485">
                              <w:rPr>
                                <w:color w:val="FFFFFF" w:themeColor="background1"/>
                              </w:rPr>
                              <w:t>roup</w:t>
                            </w:r>
                            <w:r w:rsidR="00B309DD" w:rsidRPr="00336485">
                              <w:rPr>
                                <w:color w:val="FFFFFF" w:themeColor="background1"/>
                              </w:rPr>
                              <w:t>s</w:t>
                            </w:r>
                            <w:r w:rsidRPr="00336485">
                              <w:rPr>
                                <w:color w:val="FFFFFF" w:themeColor="background1"/>
                              </w:rPr>
                              <w:t xml:space="preserve">, not </w:t>
                            </w:r>
                            <w:r w:rsidR="00B309DD" w:rsidRPr="00336485">
                              <w:rPr>
                                <w:i/>
                                <w:color w:val="FFFFFF" w:themeColor="background1"/>
                              </w:rPr>
                              <w:t>C</w:t>
                            </w:r>
                            <w:r w:rsidR="004A7749" w:rsidRPr="00336485">
                              <w:rPr>
                                <w:i/>
                                <w:color w:val="FFFFFF" w:themeColor="background1"/>
                              </w:rPr>
                              <w:t>ritical</w:t>
                            </w:r>
                            <w:r w:rsidR="004A7749" w:rsidRPr="00336485">
                              <w:rPr>
                                <w:color w:val="FFFFFF" w:themeColor="background1"/>
                              </w:rPr>
                              <w:t>.</w:t>
                            </w:r>
                            <w:r w:rsidRPr="00336485">
                              <w:rPr>
                                <w:color w:val="FFFFFF" w:themeColor="background1"/>
                              </w:rPr>
                              <w:t xml:space="preserve"> </w:t>
                            </w:r>
                            <w:r w:rsidR="00F37DDC">
                              <w:rPr>
                                <w:color w:val="FFFFFF" w:themeColor="background1"/>
                              </w:rPr>
                              <w:t>South Australia’s treatment of these costs is</w:t>
                            </w:r>
                            <w:r w:rsidR="00914F9B" w:rsidRPr="00724196">
                              <w:rPr>
                                <w:color w:val="FFFFFF" w:themeColor="background1"/>
                              </w:rPr>
                              <w:t xml:space="preserve"> consistent across jurisdictions.</w:t>
                            </w:r>
                          </w:p>
                          <w:p w14:paraId="6EA6E878" w14:textId="79DC2775" w:rsidR="00BF0614" w:rsidRPr="00BF0614" w:rsidRDefault="007F4CF2" w:rsidP="00BF0614">
                            <w:pPr>
                              <w:pStyle w:val="Tablebulletpoint"/>
                              <w:rPr>
                                <w:color w:val="FFFFFF" w:themeColor="background1"/>
                              </w:rPr>
                            </w:pPr>
                            <w:r w:rsidRPr="00BF0614">
                              <w:rPr>
                                <w:color w:val="FFFFFF" w:themeColor="background1"/>
                              </w:rPr>
                              <w:t xml:space="preserve">Medical </w:t>
                            </w:r>
                            <w:r w:rsidRPr="00151BB6">
                              <w:rPr>
                                <w:i/>
                                <w:iCs/>
                                <w:color w:val="FFFFFF" w:themeColor="background1"/>
                              </w:rPr>
                              <w:t>S&amp;W</w:t>
                            </w:r>
                            <w:r w:rsidRPr="00BF0614">
                              <w:rPr>
                                <w:color w:val="FFFFFF" w:themeColor="background1"/>
                              </w:rPr>
                              <w:t xml:space="preserve"> for NICU and CCU are shown in the </w:t>
                            </w:r>
                            <w:r w:rsidR="00B309DD" w:rsidRPr="00B309DD">
                              <w:rPr>
                                <w:i/>
                                <w:iCs/>
                                <w:color w:val="FFFFFF" w:themeColor="background1"/>
                              </w:rPr>
                              <w:t>Clinical</w:t>
                            </w:r>
                            <w:r w:rsidR="00B309DD">
                              <w:rPr>
                                <w:color w:val="FFFFFF" w:themeColor="background1"/>
                              </w:rPr>
                              <w:t xml:space="preserve"> NHCDC Cost Centre Group, not </w:t>
                            </w:r>
                            <w:r w:rsidR="00B309DD" w:rsidRPr="00B309DD">
                              <w:rPr>
                                <w:i/>
                                <w:iCs/>
                                <w:color w:val="FFFFFF" w:themeColor="background1"/>
                              </w:rPr>
                              <w:t>Critical</w:t>
                            </w:r>
                            <w:r w:rsidRPr="00BF0614">
                              <w:rPr>
                                <w:color w:val="FFFFFF" w:themeColor="background1"/>
                              </w:rPr>
                              <w:t xml:space="preserve">. </w:t>
                            </w:r>
                          </w:p>
                          <w:p w14:paraId="143143B9" w14:textId="1D1455D5" w:rsidR="00BF0614" w:rsidRPr="00BF0614" w:rsidRDefault="001365D3" w:rsidP="00BF0614">
                            <w:pPr>
                              <w:pStyle w:val="Tablebulletpoint"/>
                              <w:rPr>
                                <w:color w:val="FFFFFF" w:themeColor="background1"/>
                              </w:rPr>
                            </w:pPr>
                            <w:r>
                              <w:rPr>
                                <w:color w:val="FFFFFF" w:themeColor="background1"/>
                              </w:rPr>
                              <w:t>FMC</w:t>
                            </w:r>
                            <w:r w:rsidR="00BF0614" w:rsidRPr="00BF0614">
                              <w:rPr>
                                <w:color w:val="FFFFFF" w:themeColor="background1"/>
                              </w:rPr>
                              <w:t xml:space="preserve"> is the only site identified through the IFR that has contracted ICU arrangements. These are costed to the </w:t>
                            </w:r>
                            <w:r w:rsidR="00BF0614" w:rsidRPr="00151BB6">
                              <w:rPr>
                                <w:i/>
                                <w:iCs/>
                                <w:color w:val="FFFFFF" w:themeColor="background1"/>
                              </w:rPr>
                              <w:t>Critical</w:t>
                            </w:r>
                            <w:r w:rsidR="00BF0614" w:rsidRPr="00BF0614">
                              <w:rPr>
                                <w:color w:val="FFFFFF" w:themeColor="background1"/>
                              </w:rPr>
                              <w:t xml:space="preserve"> </w:t>
                            </w:r>
                            <w:r w:rsidR="002C5C1F">
                              <w:rPr>
                                <w:color w:val="FFFFFF" w:themeColor="background1"/>
                              </w:rPr>
                              <w:t xml:space="preserve">NHCDC </w:t>
                            </w:r>
                            <w:r w:rsidR="00BF0614" w:rsidRPr="00BF0614">
                              <w:rPr>
                                <w:color w:val="FFFFFF" w:themeColor="background1"/>
                              </w:rPr>
                              <w:t xml:space="preserve">Cost Centre Group under the </w:t>
                            </w:r>
                            <w:r w:rsidR="00BF0614" w:rsidRPr="0046156D">
                              <w:rPr>
                                <w:i/>
                                <w:color w:val="FFFFFF" w:themeColor="background1"/>
                              </w:rPr>
                              <w:t>Goods &amp; Services</w:t>
                            </w:r>
                            <w:r w:rsidR="00BF0614" w:rsidRPr="00BF0614">
                              <w:rPr>
                                <w:color w:val="FFFFFF" w:themeColor="background1"/>
                              </w:rPr>
                              <w:t xml:space="preserve"> line item, not </w:t>
                            </w:r>
                            <w:r w:rsidR="0046156D" w:rsidRPr="0046156D">
                              <w:rPr>
                                <w:i/>
                                <w:iCs/>
                                <w:color w:val="FFFFFF" w:themeColor="background1"/>
                              </w:rPr>
                              <w:t>S&amp;W</w:t>
                            </w:r>
                            <w:r w:rsidR="00BF0614" w:rsidRPr="00BF0614">
                              <w:rPr>
                                <w:color w:val="FFFFFF" w:themeColor="background1"/>
                              </w:rPr>
                              <w:t>. This is an area of variation across jurisdictions.</w:t>
                            </w:r>
                          </w:p>
                          <w:p w14:paraId="40FFDB10" w14:textId="18F432F2" w:rsidR="00BF0614" w:rsidRPr="00BF0614" w:rsidRDefault="00BF0614" w:rsidP="00BF0614">
                            <w:pPr>
                              <w:pStyle w:val="Tablebulletpoint"/>
                              <w:rPr>
                                <w:color w:val="FFFFFF" w:themeColor="background1"/>
                              </w:rPr>
                            </w:pPr>
                            <w:r w:rsidRPr="00BF0614">
                              <w:rPr>
                                <w:color w:val="FFFFFF" w:themeColor="background1"/>
                              </w:rPr>
                              <w:t xml:space="preserve">Agency costs are shown in the </w:t>
                            </w:r>
                            <w:r w:rsidRPr="00843FAD">
                              <w:rPr>
                                <w:i/>
                                <w:color w:val="FFFFFF" w:themeColor="background1"/>
                              </w:rPr>
                              <w:t xml:space="preserve">Goods </w:t>
                            </w:r>
                            <w:r w:rsidR="00843FAD" w:rsidRPr="00843FAD">
                              <w:rPr>
                                <w:i/>
                                <w:iCs/>
                                <w:color w:val="FFFFFF" w:themeColor="background1"/>
                              </w:rPr>
                              <w:t>&amp;</w:t>
                            </w:r>
                            <w:r w:rsidRPr="00843FAD">
                              <w:rPr>
                                <w:i/>
                                <w:color w:val="FFFFFF" w:themeColor="background1"/>
                              </w:rPr>
                              <w:t xml:space="preserve"> Services</w:t>
                            </w:r>
                            <w:r w:rsidRPr="00BF0614">
                              <w:rPr>
                                <w:color w:val="FFFFFF" w:themeColor="background1"/>
                              </w:rPr>
                              <w:t xml:space="preserve"> line item across all </w:t>
                            </w:r>
                            <w:r w:rsidR="00A414A9">
                              <w:rPr>
                                <w:color w:val="FFFFFF" w:themeColor="background1"/>
                              </w:rPr>
                              <w:t xml:space="preserve">NHCDC </w:t>
                            </w:r>
                            <w:r w:rsidRPr="00BF0614">
                              <w:rPr>
                                <w:color w:val="FFFFFF" w:themeColor="background1"/>
                              </w:rPr>
                              <w:t>Cost Centre Groups. This is an area of variation across jurisdictions.</w:t>
                            </w:r>
                          </w:p>
                          <w:p w14:paraId="16AE6D08" w14:textId="0AB328DE" w:rsidR="002A2D9D" w:rsidRPr="00767799" w:rsidRDefault="00BF0614" w:rsidP="002A2D9D">
                            <w:pPr>
                              <w:pStyle w:val="Tablebulletpoint"/>
                              <w:rPr>
                                <w:color w:val="FFFFFF" w:themeColor="background1"/>
                              </w:rPr>
                            </w:pPr>
                            <w:r w:rsidRPr="00BF0614">
                              <w:rPr>
                                <w:color w:val="FFFFFF" w:themeColor="background1"/>
                              </w:rPr>
                              <w:t xml:space="preserve">SA reported high specialling costs across all ward areas including CCU (less frequently in ICU) and specialling can be provided by nursing staff (RN, EN or AIN grade) or security staff. Where specialling is fulfilled by nurses these are not allocated to individual patients and are instead spread to all ward patients, resulting in potential overstatement of nursing costs. </w:t>
                            </w:r>
                          </w:p>
                        </w:txbxContent>
                      </wps:txbx>
                      <wps:bodyPr rot="0" vert="horz" wrap="square" lIns="180000" tIns="180000" rIns="180000" bIns="180000" anchor="t" anchorCtr="0">
                        <a:noAutofit/>
                      </wps:bodyPr>
                    </wps:wsp>
                  </a:graphicData>
                </a:graphic>
              </wp:inline>
            </w:drawing>
          </mc:Choice>
          <mc:Fallback>
            <w:pict>
              <v:shape w14:anchorId="76A17C4C" id="_x0000_s1303" type="#_x0000_t202" alt="P3083TB14#y1" style="width:450pt;height:3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" fillcolor="#343a5e [2405]" stroked="f" strokeweight="1pt">
                <v:textbox inset="5mm,5mm,5mm,5mm">
                  <w:txbxContent>
                    <w:p w14:paraId="055C5386" w14:textId="77777777" w:rsidR="002A2D9D" w:rsidRPr="000C4108" w:rsidRDefault="002A2D9D" w:rsidP="002A2D9D">
                      <w:pPr>
                        <w:pStyle w:val="Tablebulletpoint"/>
                        <w:numPr>
                          <w:ilvl w:val="0"/>
                          <w:numId w:val="0"/>
                        </w:numPr>
                        <w:spacing w:after="120"/>
                        <w:contextualSpacing w:val="0"/>
                        <w:rPr>
                          <w:color w:val="FFFFFF" w:themeColor="background1"/>
                        </w:rPr>
                      </w:pPr>
                      <w:r>
                        <w:rPr>
                          <w:b/>
                          <w:bCs/>
                          <w:color w:val="FFFFFF" w:themeColor="background1"/>
                        </w:rPr>
                        <w:t>Critical Care Comparability cost insights:</w:t>
                      </w:r>
                    </w:p>
                    <w:p w14:paraId="475B2FF4" w14:textId="77777777" w:rsidR="00BF0614" w:rsidRPr="00724196" w:rsidRDefault="00BF0614" w:rsidP="00BF0614">
                      <w:pPr>
                        <w:pStyle w:val="Tablebulletpoint"/>
                        <w:rPr>
                          <w:color w:val="FFFFFF" w:themeColor="background1"/>
                        </w:rPr>
                      </w:pPr>
                      <w:r w:rsidRPr="00724196">
                        <w:rPr>
                          <w:color w:val="FFFFFF" w:themeColor="background1"/>
                        </w:rPr>
                        <w:t>ICU patients receive a standard RVU for ICU hours for nursing and medical costs, regardless of their acuity.</w:t>
                      </w:r>
                    </w:p>
                    <w:p w14:paraId="104B7072" w14:textId="1A539D03" w:rsidR="00BF0614" w:rsidRPr="00724196" w:rsidRDefault="00BF0614" w:rsidP="00724196">
                      <w:pPr>
                        <w:pStyle w:val="Tablebulletpoint"/>
                        <w:rPr>
                          <w:color w:val="FFFFFF" w:themeColor="background1"/>
                        </w:rPr>
                      </w:pPr>
                      <w:r w:rsidRPr="00336485">
                        <w:rPr>
                          <w:color w:val="FFFFFF" w:themeColor="background1"/>
                        </w:rPr>
                        <w:t>Allied Health support to ICU patients</w:t>
                      </w:r>
                      <w:r w:rsidR="00B309DD" w:rsidRPr="00336485">
                        <w:rPr>
                          <w:color w:val="FFFFFF" w:themeColor="background1"/>
                        </w:rPr>
                        <w:t>, pharmacy (excluding imprest), pathology, and imaging costs incurred during an ICU stay</w:t>
                      </w:r>
                      <w:r w:rsidRPr="00336485">
                        <w:rPr>
                          <w:color w:val="FFFFFF" w:themeColor="background1"/>
                        </w:rPr>
                        <w:t xml:space="preserve"> is allocated to the </w:t>
                      </w:r>
                      <w:r w:rsidR="00B309DD" w:rsidRPr="00AD1F32">
                        <w:rPr>
                          <w:i/>
                          <w:iCs/>
                          <w:color w:val="FFFFFF" w:themeColor="background1"/>
                        </w:rPr>
                        <w:t>A</w:t>
                      </w:r>
                      <w:r w:rsidR="00914F9B" w:rsidRPr="00AD1F32">
                        <w:rPr>
                          <w:i/>
                          <w:iCs/>
                          <w:color w:val="FFFFFF" w:themeColor="background1"/>
                        </w:rPr>
                        <w:t>llied</w:t>
                      </w:r>
                      <w:r w:rsidR="00B309DD" w:rsidRPr="00AD1F32">
                        <w:rPr>
                          <w:i/>
                          <w:iCs/>
                          <w:color w:val="FFFFFF" w:themeColor="background1"/>
                        </w:rPr>
                        <w:t xml:space="preserve">, Pharmacy, Pathology </w:t>
                      </w:r>
                      <w:r w:rsidR="00B309DD" w:rsidRPr="00336485">
                        <w:rPr>
                          <w:color w:val="FFFFFF" w:themeColor="background1"/>
                        </w:rPr>
                        <w:t xml:space="preserve">and </w:t>
                      </w:r>
                      <w:r w:rsidR="00B309DD" w:rsidRPr="00AD1F32">
                        <w:rPr>
                          <w:i/>
                          <w:iCs/>
                          <w:color w:val="FFFFFF" w:themeColor="background1"/>
                        </w:rPr>
                        <w:t>Imaging</w:t>
                      </w:r>
                      <w:r w:rsidR="00B309DD" w:rsidRPr="00336485">
                        <w:rPr>
                          <w:i/>
                          <w:color w:val="FFFFFF" w:themeColor="background1"/>
                        </w:rPr>
                        <w:t xml:space="preserve"> </w:t>
                      </w:r>
                      <w:r w:rsidR="00B309DD" w:rsidRPr="00336485">
                        <w:rPr>
                          <w:color w:val="FFFFFF" w:themeColor="background1"/>
                        </w:rPr>
                        <w:t>NHCDC C</w:t>
                      </w:r>
                      <w:r w:rsidRPr="00336485">
                        <w:rPr>
                          <w:color w:val="FFFFFF" w:themeColor="background1"/>
                        </w:rPr>
                        <w:t xml:space="preserve">ost </w:t>
                      </w:r>
                      <w:r w:rsidR="00B309DD" w:rsidRPr="00336485">
                        <w:rPr>
                          <w:color w:val="FFFFFF" w:themeColor="background1"/>
                        </w:rPr>
                        <w:t>C</w:t>
                      </w:r>
                      <w:r w:rsidRPr="00336485">
                        <w:rPr>
                          <w:color w:val="FFFFFF" w:themeColor="background1"/>
                        </w:rPr>
                        <w:t xml:space="preserve">entre </w:t>
                      </w:r>
                      <w:r w:rsidR="00B309DD" w:rsidRPr="00336485">
                        <w:rPr>
                          <w:color w:val="FFFFFF" w:themeColor="background1"/>
                        </w:rPr>
                        <w:t>G</w:t>
                      </w:r>
                      <w:r w:rsidRPr="00336485">
                        <w:rPr>
                          <w:color w:val="FFFFFF" w:themeColor="background1"/>
                        </w:rPr>
                        <w:t>roup</w:t>
                      </w:r>
                      <w:r w:rsidR="00B309DD" w:rsidRPr="00336485">
                        <w:rPr>
                          <w:color w:val="FFFFFF" w:themeColor="background1"/>
                        </w:rPr>
                        <w:t>s</w:t>
                      </w:r>
                      <w:r w:rsidRPr="00336485">
                        <w:rPr>
                          <w:color w:val="FFFFFF" w:themeColor="background1"/>
                        </w:rPr>
                        <w:t xml:space="preserve">, not </w:t>
                      </w:r>
                      <w:r w:rsidR="00B309DD" w:rsidRPr="00336485">
                        <w:rPr>
                          <w:i/>
                          <w:color w:val="FFFFFF" w:themeColor="background1"/>
                        </w:rPr>
                        <w:t>C</w:t>
                      </w:r>
                      <w:r w:rsidR="004A7749" w:rsidRPr="00336485">
                        <w:rPr>
                          <w:i/>
                          <w:color w:val="FFFFFF" w:themeColor="background1"/>
                        </w:rPr>
                        <w:t>ritical</w:t>
                      </w:r>
                      <w:r w:rsidR="004A7749" w:rsidRPr="00336485">
                        <w:rPr>
                          <w:color w:val="FFFFFF" w:themeColor="background1"/>
                        </w:rPr>
                        <w:t>.</w:t>
                      </w:r>
                      <w:r w:rsidRPr="00336485">
                        <w:rPr>
                          <w:color w:val="FFFFFF" w:themeColor="background1"/>
                        </w:rPr>
                        <w:t xml:space="preserve"> </w:t>
                      </w:r>
                      <w:r w:rsidR="00F37DDC">
                        <w:rPr>
                          <w:color w:val="FFFFFF" w:themeColor="background1"/>
                        </w:rPr>
                        <w:t>South Australia’s treatment of these costs is</w:t>
                      </w:r>
                      <w:r w:rsidR="00914F9B" w:rsidRPr="00724196">
                        <w:rPr>
                          <w:color w:val="FFFFFF" w:themeColor="background1"/>
                        </w:rPr>
                        <w:t xml:space="preserve"> consistent across jurisdictions.</w:t>
                      </w:r>
                    </w:p>
                    <w:p w14:paraId="6EA6E878" w14:textId="79DC2775" w:rsidR="00BF0614" w:rsidRPr="00BF0614" w:rsidRDefault="007F4CF2" w:rsidP="00BF0614">
                      <w:pPr>
                        <w:pStyle w:val="Tablebulletpoint"/>
                        <w:rPr>
                          <w:color w:val="FFFFFF" w:themeColor="background1"/>
                        </w:rPr>
                      </w:pPr>
                      <w:r w:rsidRPr="00BF0614">
                        <w:rPr>
                          <w:color w:val="FFFFFF" w:themeColor="background1"/>
                        </w:rPr>
                        <w:t xml:space="preserve">Medical </w:t>
                      </w:r>
                      <w:r w:rsidRPr="00151BB6">
                        <w:rPr>
                          <w:i/>
                          <w:iCs/>
                          <w:color w:val="FFFFFF" w:themeColor="background1"/>
                        </w:rPr>
                        <w:t>S&amp;W</w:t>
                      </w:r>
                      <w:r w:rsidRPr="00BF0614">
                        <w:rPr>
                          <w:color w:val="FFFFFF" w:themeColor="background1"/>
                        </w:rPr>
                        <w:t xml:space="preserve"> for NICU and CCU are shown in the </w:t>
                      </w:r>
                      <w:r w:rsidR="00B309DD" w:rsidRPr="00B309DD">
                        <w:rPr>
                          <w:i/>
                          <w:iCs/>
                          <w:color w:val="FFFFFF" w:themeColor="background1"/>
                        </w:rPr>
                        <w:t>Clinical</w:t>
                      </w:r>
                      <w:r w:rsidR="00B309DD">
                        <w:rPr>
                          <w:color w:val="FFFFFF" w:themeColor="background1"/>
                        </w:rPr>
                        <w:t xml:space="preserve"> NHCDC Cost Centre Group, not </w:t>
                      </w:r>
                      <w:r w:rsidR="00B309DD" w:rsidRPr="00B309DD">
                        <w:rPr>
                          <w:i/>
                          <w:iCs/>
                          <w:color w:val="FFFFFF" w:themeColor="background1"/>
                        </w:rPr>
                        <w:t>Critical</w:t>
                      </w:r>
                      <w:r w:rsidRPr="00BF0614">
                        <w:rPr>
                          <w:color w:val="FFFFFF" w:themeColor="background1"/>
                        </w:rPr>
                        <w:t xml:space="preserve">. </w:t>
                      </w:r>
                    </w:p>
                    <w:p w14:paraId="143143B9" w14:textId="1D1455D5" w:rsidR="00BF0614" w:rsidRPr="00BF0614" w:rsidRDefault="001365D3" w:rsidP="00BF0614">
                      <w:pPr>
                        <w:pStyle w:val="Tablebulletpoint"/>
                        <w:rPr>
                          <w:color w:val="FFFFFF" w:themeColor="background1"/>
                        </w:rPr>
                      </w:pPr>
                      <w:r>
                        <w:rPr>
                          <w:color w:val="FFFFFF" w:themeColor="background1"/>
                        </w:rPr>
                        <w:t>FMC</w:t>
                      </w:r>
                      <w:r w:rsidR="00BF0614" w:rsidRPr="00BF0614">
                        <w:rPr>
                          <w:color w:val="FFFFFF" w:themeColor="background1"/>
                        </w:rPr>
                        <w:t xml:space="preserve"> is the only site identified through the IFR that has contracted ICU arrangements. These are costed to the </w:t>
                      </w:r>
                      <w:r w:rsidR="00BF0614" w:rsidRPr="00151BB6">
                        <w:rPr>
                          <w:i/>
                          <w:iCs/>
                          <w:color w:val="FFFFFF" w:themeColor="background1"/>
                        </w:rPr>
                        <w:t>Critical</w:t>
                      </w:r>
                      <w:r w:rsidR="00BF0614" w:rsidRPr="00BF0614">
                        <w:rPr>
                          <w:color w:val="FFFFFF" w:themeColor="background1"/>
                        </w:rPr>
                        <w:t xml:space="preserve"> </w:t>
                      </w:r>
                      <w:r w:rsidR="002C5C1F">
                        <w:rPr>
                          <w:color w:val="FFFFFF" w:themeColor="background1"/>
                        </w:rPr>
                        <w:t xml:space="preserve">NHCDC </w:t>
                      </w:r>
                      <w:r w:rsidR="00BF0614" w:rsidRPr="00BF0614">
                        <w:rPr>
                          <w:color w:val="FFFFFF" w:themeColor="background1"/>
                        </w:rPr>
                        <w:t xml:space="preserve">Cost Centre Group under the </w:t>
                      </w:r>
                      <w:r w:rsidR="00BF0614" w:rsidRPr="0046156D">
                        <w:rPr>
                          <w:i/>
                          <w:color w:val="FFFFFF" w:themeColor="background1"/>
                        </w:rPr>
                        <w:t>Goods &amp; Services</w:t>
                      </w:r>
                      <w:r w:rsidR="00BF0614" w:rsidRPr="00BF0614">
                        <w:rPr>
                          <w:color w:val="FFFFFF" w:themeColor="background1"/>
                        </w:rPr>
                        <w:t xml:space="preserve"> line item, not </w:t>
                      </w:r>
                      <w:r w:rsidR="0046156D" w:rsidRPr="0046156D">
                        <w:rPr>
                          <w:i/>
                          <w:iCs/>
                          <w:color w:val="FFFFFF" w:themeColor="background1"/>
                        </w:rPr>
                        <w:t>S&amp;W</w:t>
                      </w:r>
                      <w:r w:rsidR="00BF0614" w:rsidRPr="00BF0614">
                        <w:rPr>
                          <w:color w:val="FFFFFF" w:themeColor="background1"/>
                        </w:rPr>
                        <w:t>. This is an area of variation across jurisdictions.</w:t>
                      </w:r>
                    </w:p>
                    <w:p w14:paraId="40FFDB10" w14:textId="18F432F2" w:rsidR="00BF0614" w:rsidRPr="00BF0614" w:rsidRDefault="00BF0614" w:rsidP="00BF0614">
                      <w:pPr>
                        <w:pStyle w:val="Tablebulletpoint"/>
                        <w:rPr>
                          <w:color w:val="FFFFFF" w:themeColor="background1"/>
                        </w:rPr>
                      </w:pPr>
                      <w:r w:rsidRPr="00BF0614">
                        <w:rPr>
                          <w:color w:val="FFFFFF" w:themeColor="background1"/>
                        </w:rPr>
                        <w:t xml:space="preserve">Agency costs are shown in the </w:t>
                      </w:r>
                      <w:r w:rsidRPr="00843FAD">
                        <w:rPr>
                          <w:i/>
                          <w:color w:val="FFFFFF" w:themeColor="background1"/>
                        </w:rPr>
                        <w:t xml:space="preserve">Goods </w:t>
                      </w:r>
                      <w:r w:rsidR="00843FAD" w:rsidRPr="00843FAD">
                        <w:rPr>
                          <w:i/>
                          <w:iCs/>
                          <w:color w:val="FFFFFF" w:themeColor="background1"/>
                        </w:rPr>
                        <w:t>&amp;</w:t>
                      </w:r>
                      <w:r w:rsidRPr="00843FAD">
                        <w:rPr>
                          <w:i/>
                          <w:color w:val="FFFFFF" w:themeColor="background1"/>
                        </w:rPr>
                        <w:t xml:space="preserve"> Services</w:t>
                      </w:r>
                      <w:r w:rsidRPr="00BF0614">
                        <w:rPr>
                          <w:color w:val="FFFFFF" w:themeColor="background1"/>
                        </w:rPr>
                        <w:t xml:space="preserve"> line item across all </w:t>
                      </w:r>
                      <w:r w:rsidR="00A414A9">
                        <w:rPr>
                          <w:color w:val="FFFFFF" w:themeColor="background1"/>
                        </w:rPr>
                        <w:t xml:space="preserve">NHCDC </w:t>
                      </w:r>
                      <w:r w:rsidRPr="00BF0614">
                        <w:rPr>
                          <w:color w:val="FFFFFF" w:themeColor="background1"/>
                        </w:rPr>
                        <w:t>Cost Centre Groups. This is an area of variation across jurisdictions.</w:t>
                      </w:r>
                    </w:p>
                    <w:p w14:paraId="16AE6D08" w14:textId="0AB328DE" w:rsidR="002A2D9D" w:rsidRPr="00767799" w:rsidRDefault="00BF0614" w:rsidP="002A2D9D">
                      <w:pPr>
                        <w:pStyle w:val="Tablebulletpoint"/>
                        <w:rPr>
                          <w:color w:val="FFFFFF" w:themeColor="background1"/>
                        </w:rPr>
                      </w:pPr>
                      <w:r w:rsidRPr="00BF0614">
                        <w:rPr>
                          <w:color w:val="FFFFFF" w:themeColor="background1"/>
                        </w:rPr>
                        <w:t xml:space="preserve">SA reported high specialling costs across all ward areas including CCU (less frequently in ICU) and specialling can be provided by nursing staff (RN, EN or AIN grade) or security staff. Where specialling is fulfilled by nurses these are not allocated to individual patients and are instead spread to all ward patients, resulting in potential overstatement of nursing costs. </w:t>
                      </w:r>
                    </w:p>
                  </w:txbxContent>
                </v:textbox>
                <w10:anchorlock/>
              </v:shape>
            </w:pict>
          </mc:Fallback>
        </mc:AlternateContent>
      </w:r>
    </w:p>
    <w:p w14:paraId="2C7F3E84" w14:textId="77777777" w:rsidR="00013880" w:rsidRDefault="00013880" w:rsidP="00324792">
      <w:pPr>
        <w:pStyle w:val="Heading2"/>
      </w:pPr>
      <w:r>
        <w:lastRenderedPageBreak/>
        <w:t>Australian Capital Territory</w:t>
      </w:r>
    </w:p>
    <w:p w14:paraId="2E84E329" w14:textId="19844B1E" w:rsidR="005B7A72" w:rsidRDefault="002C4027" w:rsidP="00C0714E">
      <w:pPr>
        <w:pStyle w:val="Heading3"/>
      </w:pPr>
      <w:r>
        <w:rPr>
          <w:noProof/>
        </w:rPr>
        <mc:AlternateContent>
          <mc:Choice Requires="wpg">
            <w:drawing>
              <wp:anchor distT="0" distB="0" distL="114300" distR="114300" simplePos="0" relativeHeight="251658321" behindDoc="1" locked="0" layoutInCell="1" allowOverlap="1" wp14:anchorId="6A9422BE" wp14:editId="0247FE4B">
                <wp:simplePos x="0" y="0"/>
                <wp:positionH relativeFrom="margin">
                  <wp:align>right</wp:align>
                </wp:positionH>
                <wp:positionV relativeFrom="paragraph">
                  <wp:posOffset>85489</wp:posOffset>
                </wp:positionV>
                <wp:extent cx="3143250" cy="2073275"/>
                <wp:effectExtent l="0" t="0" r="0" b="3175"/>
                <wp:wrapSquare wrapText="bothSides"/>
                <wp:docPr id="1439658987" name="Group 1" descr="P30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43250" cy="2073349"/>
                          <a:chOff x="190501" y="0"/>
                          <a:chExt cx="3143250" cy="2073349"/>
                        </a:xfrm>
                      </wpg:grpSpPr>
                      <wps:wsp>
                        <wps:cNvPr id="486250591" name="Rectangle 3"/>
                        <wps:cNvSpPr/>
                        <wps:spPr>
                          <a:xfrm>
                            <a:off x="190501" y="0"/>
                            <a:ext cx="3143250" cy="2073349"/>
                          </a:xfrm>
                          <a:prstGeom prst="rect">
                            <a:avLst/>
                          </a:prstGeom>
                          <a:solidFill>
                            <a:srgbClr val="B4B5DB">
                              <a:lumMod val="40000"/>
                              <a:lumOff val="60000"/>
                            </a:srgbClr>
                          </a:solidFill>
                          <a:ln w="12700" cap="flat" cmpd="sng" algn="ctr">
                            <a:noFill/>
                            <a:prstDash val="solid"/>
                            <a:miter lim="800000"/>
                          </a:ln>
                          <a:effectLst/>
                        </wps:spPr>
                        <wps:bodyPr rtlCol="0" anchor="ctr"/>
                      </wps:wsp>
                      <wps:wsp>
                        <wps:cNvPr id="1879201573" name="Text Placeholder 7"/>
                        <wps:cNvSpPr txBox="1">
                          <a:spLocks/>
                        </wps:cNvSpPr>
                        <wps:spPr>
                          <a:xfrm>
                            <a:off x="1171575" y="1190625"/>
                            <a:ext cx="1892935" cy="575310"/>
                          </a:xfrm>
                          <a:prstGeom prst="rect">
                            <a:avLst/>
                          </a:prstGeom>
                        </wps:spPr>
                        <wps:txbx>
                          <w:txbxContent>
                            <w:p w14:paraId="6059B34E" w14:textId="4403B16C" w:rsidR="002C4027" w:rsidRPr="001729F2" w:rsidRDefault="002C4027" w:rsidP="002C4027">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$2.</w:t>
                              </w:r>
                              <w:r w:rsidR="00E62942">
                                <w:rPr>
                                  <w:rFonts w:ascii="Avenir Next LT Pro Demi" w:eastAsia="Avenir Next LT Pro Regular" w:hAnsi="Avenir Next LT Pro Demi" w:cs="Avenir Next LT Pro Regular"/>
                                  <w:color w:val="44546A"/>
                                  <w:spacing w:val="-30"/>
                                  <w:kern w:val="24"/>
                                  <w:sz w:val="64"/>
                                  <w:szCs w:val="64"/>
                                </w:rPr>
                                <w:t>00</w:t>
                              </w:r>
                              <w:r w:rsidRPr="001729F2">
                                <w:rPr>
                                  <w:rFonts w:ascii="Avenir Next LT Pro Demi" w:eastAsia="Avenir Next LT Pro Regular" w:hAnsi="Avenir Next LT Pro Demi" w:cs="Avenir Next LT Pro Regular"/>
                                  <w:color w:val="44546A"/>
                                  <w:spacing w:val="-30"/>
                                  <w:kern w:val="24"/>
                                  <w:sz w:val="64"/>
                                  <w:szCs w:val="64"/>
                                </w:rPr>
                                <w:t>bn</w:t>
                              </w:r>
                            </w:p>
                          </w:txbxContent>
                        </wps:txbx>
                        <wps:bodyPr vert="horz" wrap="square" lIns="0" tIns="0" rIns="0" bIns="0" rtlCol="0" anchor="ctr" anchorCtr="0">
                          <a:noAutofit/>
                        </wps:bodyPr>
                      </wps:wsp>
                      <wps:wsp>
                        <wps:cNvPr id="1768086416" name="Google Shape;1492;p120"/>
                        <wps:cNvSpPr txBox="1">
                          <a:spLocks/>
                        </wps:cNvSpPr>
                        <wps:spPr>
                          <a:xfrm>
                            <a:off x="390525" y="1190625"/>
                            <a:ext cx="1150078" cy="575924"/>
                          </a:xfrm>
                          <a:prstGeom prst="rect">
                            <a:avLst/>
                          </a:prstGeom>
                        </wps:spPr>
                        <wps:txbx>
                          <w:txbxContent>
                            <w:p w14:paraId="0647636B" w14:textId="77777777" w:rsidR="002C4027" w:rsidRPr="001729F2" w:rsidRDefault="002C4027" w:rsidP="002C4027">
                              <w:pPr>
                                <w:spacing w:after="0" w:line="264" w:lineRule="auto"/>
                                <w:rPr>
                                  <w:rFonts w:eastAsia="Times New Roman"/>
                                  <w:color w:val="484B5D"/>
                                  <w:kern w:val="24"/>
                                </w:rPr>
                              </w:pPr>
                              <w:r w:rsidRPr="001729F2">
                                <w:rPr>
                                  <w:rFonts w:eastAsia="Times New Roman"/>
                                  <w:color w:val="484B5D"/>
                                  <w:kern w:val="24"/>
                                </w:rPr>
                                <w:t>Total costs submitted to NHCDC</w:t>
                              </w:r>
                            </w:p>
                          </w:txbxContent>
                        </wps:txbx>
                        <wps:bodyPr vert="horz" wrap="square" lIns="0" tIns="0" rIns="0" bIns="0" rtlCol="0" anchor="ctr" anchorCtr="0">
                          <a:noAutofit/>
                        </wps:bodyPr>
                      </wps:wsp>
                      <wps:wsp>
                        <wps:cNvPr id="658485547" name="Text Placeholder 7"/>
                        <wps:cNvSpPr txBox="1">
                          <a:spLocks/>
                        </wps:cNvSpPr>
                        <wps:spPr>
                          <a:xfrm>
                            <a:off x="390523" y="542926"/>
                            <a:ext cx="309245" cy="575945"/>
                          </a:xfrm>
                          <a:prstGeom prst="rect">
                            <a:avLst/>
                          </a:prstGeom>
                          <a:noFill/>
                        </wps:spPr>
                        <wps:txbx>
                          <w:txbxContent>
                            <w:p w14:paraId="35F841A1" w14:textId="78DA74E4" w:rsidR="002C4027" w:rsidRPr="001729F2" w:rsidRDefault="002C4027" w:rsidP="002C4027">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3</w:t>
                              </w:r>
                            </w:p>
                          </w:txbxContent>
                        </wps:txbx>
                        <wps:bodyPr vert="horz" wrap="none" lIns="0" tIns="0" rIns="0" bIns="0" rtlCol="0" anchor="b" anchorCtr="0">
                          <a:noAutofit/>
                        </wps:bodyPr>
                      </wps:wsp>
                      <wps:wsp>
                        <wps:cNvPr id="1643321592" name="Google Shape;1492;p120"/>
                        <wps:cNvSpPr txBox="1">
                          <a:spLocks/>
                        </wps:cNvSpPr>
                        <wps:spPr>
                          <a:xfrm>
                            <a:off x="1466850" y="628650"/>
                            <a:ext cx="1565275" cy="575310"/>
                          </a:xfrm>
                          <a:prstGeom prst="rect">
                            <a:avLst/>
                          </a:prstGeom>
                        </wps:spPr>
                        <wps:txbx>
                          <w:txbxContent>
                            <w:p w14:paraId="1872E6E2" w14:textId="40BCBCE1" w:rsidR="002C4027" w:rsidRPr="001729F2" w:rsidRDefault="003C3CCB" w:rsidP="002C4027">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9222E6">
                                <w:rPr>
                                  <w:rFonts w:eastAsia="Times New Roman"/>
                                  <w:color w:val="484B5D"/>
                                  <w:kern w:val="24"/>
                                  <w:sz w:val="21"/>
                                  <w:szCs w:val="21"/>
                                </w:rPr>
                                <w:t>2023-24</w:t>
                              </w:r>
                            </w:p>
                          </w:txbxContent>
                        </wps:txbx>
                        <wps:bodyPr vert="horz" lIns="0" tIns="0" rIns="0" bIns="0" rtlCol="0" anchor="ctr" anchorCtr="0">
                          <a:noAutofit/>
                        </wps:bodyPr>
                      </wps:wsp>
                      <wps:wsp>
                        <wps:cNvPr id="1512396615" name="TextBox 21"/>
                        <wps:cNvSpPr txBox="1"/>
                        <wps:spPr>
                          <a:xfrm>
                            <a:off x="390525" y="276225"/>
                            <a:ext cx="2530057" cy="351108"/>
                          </a:xfrm>
                          <a:prstGeom prst="rect">
                            <a:avLst/>
                          </a:prstGeom>
                          <a:noFill/>
                        </wps:spPr>
                        <wps:txbx>
                          <w:txbxContent>
                            <w:p w14:paraId="2F4B1485" w14:textId="3E8469C5" w:rsidR="002C4027" w:rsidRPr="001729F2" w:rsidRDefault="002C4027" w:rsidP="002C4027">
                              <w:pPr>
                                <w:rPr>
                                  <w:rFonts w:eastAsia="Times New Roman"/>
                                  <w:i/>
                                  <w:iCs/>
                                  <w:color w:val="464E7E"/>
                                  <w:kern w:val="24"/>
                                  <w:sz w:val="28"/>
                                  <w:szCs w:val="28"/>
                                </w:rPr>
                              </w:pPr>
                              <w:r w:rsidRPr="001729F2">
                                <w:rPr>
                                  <w:rFonts w:eastAsia="Times New Roman"/>
                                  <w:i/>
                                  <w:iCs/>
                                  <w:color w:val="464E7E"/>
                                  <w:kern w:val="24"/>
                                  <w:sz w:val="28"/>
                                  <w:szCs w:val="28"/>
                                </w:rPr>
                                <w:t>At a glance: ACT</w:t>
                              </w:r>
                            </w:p>
                          </w:txbxContent>
                        </wps:txbx>
                        <wps:bodyPr wrap="square" lIns="0" tIns="0" rIns="0" bIns="0" rtlCol="0" anchor="ctr" anchorCtr="0">
                          <a:spAutoFit/>
                        </wps:bodyPr>
                      </wps:wsp>
                    </wpg:wgp>
                  </a:graphicData>
                </a:graphic>
                <wp14:sizeRelH relativeFrom="margin">
                  <wp14:pctWidth>0</wp14:pctWidth>
                </wp14:sizeRelH>
                <wp14:sizeRelV relativeFrom="margin">
                  <wp14:pctHeight>0</wp14:pctHeight>
                </wp14:sizeRelV>
              </wp:anchor>
            </w:drawing>
          </mc:Choice>
          <mc:Fallback>
            <w:pict>
              <v:group w14:anchorId="6A9422BE" id="_x0000_s1304" alt="P3085#y1" style="position:absolute;left:0;text-align:left;margin-left:196.3pt;margin-top:6.75pt;width:247.5pt;height:163.25pt;z-index:-251658159;mso-position-horizontal:right;mso-position-horizontal-relative:margin;mso-position-vertical-relative:text;mso-width-relative:margin;mso-height-relative:margin" coordorigin="1905" coordsize="31432,2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">
                <v:rect id="Rectangle 3" o:spid="_x0000_s1305" style="position:absolute;left:1905;width:31432;height:20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" fillcolor="#e1e1f1" stroked="f" strokeweight="1pt"/>
                <v:shape id="Text Placeholder 7" o:spid="_x0000_s1306" type="#_x0000_t202" style="position:absolute;left:11715;top:11906;width:18930;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" filled="f" stroked="f">
                  <v:textbox inset="0,0,0,0">
                    <w:txbxContent>
                      <w:p w14:paraId="6059B34E" w14:textId="4403B16C" w:rsidR="002C4027" w:rsidRPr="001729F2" w:rsidRDefault="002C4027" w:rsidP="002C4027">
                        <w:pPr>
                          <w:spacing w:after="0" w:line="240" w:lineRule="auto"/>
                          <w:jc w:val="right"/>
                          <w:rPr>
                            <w:rFonts w:ascii="Avenir Next LT Pro Demi" w:eastAsia="Avenir Next LT Pro Regular" w:hAnsi="Avenir Next LT Pro Demi" w:cs="Avenir Next LT Pro Regular"/>
                            <w:color w:val="44546A"/>
                            <w:spacing w:val="-30"/>
                            <w:kern w:val="24"/>
                            <w:sz w:val="64"/>
                            <w:szCs w:val="64"/>
                          </w:rPr>
                        </w:pPr>
                        <w:r w:rsidRPr="001729F2">
                          <w:rPr>
                            <w:rFonts w:ascii="Avenir Next LT Pro Demi" w:eastAsia="Avenir Next LT Pro Regular" w:hAnsi="Avenir Next LT Pro Demi" w:cs="Avenir Next LT Pro Regular"/>
                            <w:color w:val="44546A"/>
                            <w:spacing w:val="-30"/>
                            <w:kern w:val="24"/>
                            <w:sz w:val="64"/>
                            <w:szCs w:val="64"/>
                          </w:rPr>
                          <w:t>$2.</w:t>
                        </w:r>
                        <w:r w:rsidR="00E62942">
                          <w:rPr>
                            <w:rFonts w:ascii="Avenir Next LT Pro Demi" w:eastAsia="Avenir Next LT Pro Regular" w:hAnsi="Avenir Next LT Pro Demi" w:cs="Avenir Next LT Pro Regular"/>
                            <w:color w:val="44546A"/>
                            <w:spacing w:val="-30"/>
                            <w:kern w:val="24"/>
                            <w:sz w:val="64"/>
                            <w:szCs w:val="64"/>
                          </w:rPr>
                          <w:t>00</w:t>
                        </w:r>
                        <w:r w:rsidRPr="001729F2">
                          <w:rPr>
                            <w:rFonts w:ascii="Avenir Next LT Pro Demi" w:eastAsia="Avenir Next LT Pro Regular" w:hAnsi="Avenir Next LT Pro Demi" w:cs="Avenir Next LT Pro Regular"/>
                            <w:color w:val="44546A"/>
                            <w:spacing w:val="-30"/>
                            <w:kern w:val="24"/>
                            <w:sz w:val="64"/>
                            <w:szCs w:val="64"/>
                          </w:rPr>
                          <w:t>bn</w:t>
                        </w:r>
                      </w:p>
                    </w:txbxContent>
                  </v:textbox>
                </v:shape>
                <v:shape id="Google Shape;1492;p120" o:spid="_x0000_s1307" type="#_x0000_t202" style="position:absolute;left:3905;top:11906;width:11501;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" filled="f" stroked="f">
                  <v:textbox inset="0,0,0,0">
                    <w:txbxContent>
                      <w:p w14:paraId="0647636B" w14:textId="77777777" w:rsidR="002C4027" w:rsidRPr="001729F2" w:rsidRDefault="002C4027" w:rsidP="002C4027">
                        <w:pPr>
                          <w:spacing w:after="0" w:line="264" w:lineRule="auto"/>
                          <w:rPr>
                            <w:rFonts w:eastAsia="Times New Roman"/>
                            <w:color w:val="484B5D"/>
                            <w:kern w:val="24"/>
                          </w:rPr>
                        </w:pPr>
                        <w:r w:rsidRPr="001729F2">
                          <w:rPr>
                            <w:rFonts w:eastAsia="Times New Roman"/>
                            <w:color w:val="484B5D"/>
                            <w:kern w:val="24"/>
                          </w:rPr>
                          <w:t>Total costs submitted to NHCDC</w:t>
                        </w:r>
                      </w:p>
                    </w:txbxContent>
                  </v:textbox>
                </v:shape>
                <v:shape id="Text Placeholder 7" o:spid="_x0000_s1308" type="#_x0000_t202" style="position:absolute;left:3905;top:5429;width:3092;height:5759;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" filled="f" stroked="f">
                  <v:textbox inset="0,0,0,0">
                    <w:txbxContent>
                      <w:p w14:paraId="35F841A1" w14:textId="78DA74E4" w:rsidR="002C4027" w:rsidRPr="001729F2" w:rsidRDefault="002C4027" w:rsidP="002C4027">
                        <w:pPr>
                          <w:spacing w:after="0"/>
                          <w:rPr>
                            <w:rFonts w:ascii="Avenir Next LT Pro Demi" w:eastAsia="Avenir Next LT Pro Regular" w:hAnsi="Avenir Next LT Pro Demi" w:cs="Avenir Next LT Pro Regular"/>
                            <w:color w:val="44546A"/>
                            <w:spacing w:val="-50"/>
                            <w:kern w:val="24"/>
                            <w:sz w:val="88"/>
                            <w:szCs w:val="88"/>
                          </w:rPr>
                        </w:pPr>
                        <w:r w:rsidRPr="001729F2">
                          <w:rPr>
                            <w:rFonts w:ascii="Avenir Next LT Pro Demi" w:eastAsia="Avenir Next LT Pro Regular" w:hAnsi="Avenir Next LT Pro Demi" w:cs="Avenir Next LT Pro Regular"/>
                            <w:color w:val="44546A"/>
                            <w:spacing w:val="-50"/>
                            <w:kern w:val="24"/>
                            <w:sz w:val="88"/>
                            <w:szCs w:val="88"/>
                          </w:rPr>
                          <w:t>3</w:t>
                        </w:r>
                      </w:p>
                    </w:txbxContent>
                  </v:textbox>
                </v:shape>
                <v:shape id="Google Shape;1492;p120" o:spid="_x0000_s1309" type="#_x0000_t202" style="position:absolute;left:14668;top:6286;width:15653;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" filled="f" stroked="f">
                  <v:textbox inset="0,0,0,0">
                    <w:txbxContent>
                      <w:p w14:paraId="1872E6E2" w14:textId="40BCBCE1" w:rsidR="002C4027" w:rsidRPr="001729F2" w:rsidRDefault="003C3CCB" w:rsidP="002C4027">
                        <w:pPr>
                          <w:spacing w:after="0" w:line="264" w:lineRule="auto"/>
                          <w:rPr>
                            <w:rFonts w:eastAsia="Times New Roman"/>
                            <w:color w:val="484B5D"/>
                            <w:kern w:val="24"/>
                            <w:sz w:val="21"/>
                            <w:szCs w:val="21"/>
                          </w:rPr>
                        </w:pPr>
                        <w:r>
                          <w:rPr>
                            <w:rFonts w:eastAsia="Times New Roman"/>
                            <w:color w:val="484B5D"/>
                            <w:kern w:val="24"/>
                            <w:sz w:val="21"/>
                            <w:szCs w:val="21"/>
                          </w:rPr>
                          <w:t xml:space="preserve">Facilities submitting data to the NHCDC in </w:t>
                        </w:r>
                        <w:r w:rsidR="009222E6">
                          <w:rPr>
                            <w:rFonts w:eastAsia="Times New Roman"/>
                            <w:color w:val="484B5D"/>
                            <w:kern w:val="24"/>
                            <w:sz w:val="21"/>
                            <w:szCs w:val="21"/>
                          </w:rPr>
                          <w:t>2023-24</w:t>
                        </w:r>
                      </w:p>
                    </w:txbxContent>
                  </v:textbox>
                </v:shape>
                <v:shape id="TextBox 21" o:spid="_x0000_s1310" type="#_x0000_t202" style="position:absolute;left:3905;top:2762;width:25300;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" filled="f" stroked="f">
                  <v:textbox style="mso-fit-shape-to-text:t" inset="0,0,0,0">
                    <w:txbxContent>
                      <w:p w14:paraId="2F4B1485" w14:textId="3E8469C5" w:rsidR="002C4027" w:rsidRPr="001729F2" w:rsidRDefault="002C4027" w:rsidP="002C4027">
                        <w:pPr>
                          <w:rPr>
                            <w:rFonts w:eastAsia="Times New Roman"/>
                            <w:i/>
                            <w:iCs/>
                            <w:color w:val="464E7E"/>
                            <w:kern w:val="24"/>
                            <w:sz w:val="28"/>
                            <w:szCs w:val="28"/>
                          </w:rPr>
                        </w:pPr>
                        <w:r w:rsidRPr="001729F2">
                          <w:rPr>
                            <w:rFonts w:eastAsia="Times New Roman"/>
                            <w:i/>
                            <w:iCs/>
                            <w:color w:val="464E7E"/>
                            <w:kern w:val="24"/>
                            <w:sz w:val="28"/>
                            <w:szCs w:val="28"/>
                          </w:rPr>
                          <w:t>At a glance: ACT</w:t>
                        </w:r>
                      </w:p>
                    </w:txbxContent>
                  </v:textbox>
                </v:shape>
                <w10:wrap type="square" anchorx="margin"/>
              </v:group>
            </w:pict>
          </mc:Fallback>
        </mc:AlternateContent>
      </w:r>
      <w:r w:rsidR="005B7A72">
        <w:t>State-wide costed NHCDC 2023-24 submission</w:t>
      </w:r>
    </w:p>
    <w:p w14:paraId="6345B046" w14:textId="027BC802" w:rsidR="00C0714E" w:rsidRDefault="002C5C1F" w:rsidP="00C0714E">
      <w:pPr>
        <w:spacing w:line="240" w:lineRule="auto"/>
        <w:rPr>
          <w:color w:val="44546A" w:themeColor="text2"/>
        </w:rPr>
      </w:pPr>
      <w:r>
        <w:rPr>
          <w:color w:val="44546A" w:themeColor="text2"/>
        </w:rPr>
        <w:t>Australian Capital Territory (</w:t>
      </w:r>
      <w:r w:rsidR="00C0714E">
        <w:rPr>
          <w:color w:val="44546A" w:themeColor="text2"/>
        </w:rPr>
        <w:t>ACT</w:t>
      </w:r>
      <w:r>
        <w:rPr>
          <w:color w:val="44546A" w:themeColor="text2"/>
        </w:rPr>
        <w:t>)</w:t>
      </w:r>
      <w:r w:rsidR="00C0714E" w:rsidRPr="0046606B">
        <w:rPr>
          <w:color w:val="44546A" w:themeColor="text2"/>
        </w:rPr>
        <w:t xml:space="preserve"> submits costed activity for </w:t>
      </w:r>
      <w:r w:rsidR="00C0714E">
        <w:rPr>
          <w:color w:val="44546A" w:themeColor="text2"/>
        </w:rPr>
        <w:t xml:space="preserve">3 public hospital sites as part of the </w:t>
      </w:r>
      <w:r w:rsidR="00C0714E" w:rsidRPr="0046606B">
        <w:rPr>
          <w:color w:val="44546A" w:themeColor="text2"/>
        </w:rPr>
        <w:t xml:space="preserve">NHCDC. </w:t>
      </w:r>
    </w:p>
    <w:p w14:paraId="03886206" w14:textId="1E4C38BF" w:rsidR="00C0714E" w:rsidRDefault="00C0714E" w:rsidP="00C0714E">
      <w:pPr>
        <w:spacing w:line="240" w:lineRule="auto"/>
        <w:rPr>
          <w:color w:val="44546A" w:themeColor="text2"/>
        </w:rPr>
      </w:pPr>
      <w:r w:rsidRPr="00FD6FDF">
        <w:rPr>
          <w:color w:val="44546A" w:themeColor="text2"/>
        </w:rPr>
        <w:t xml:space="preserve">Total </w:t>
      </w:r>
      <w:r w:rsidR="00E62942">
        <w:rPr>
          <w:color w:val="44546A" w:themeColor="text2"/>
        </w:rPr>
        <w:t xml:space="preserve">NHCDC </w:t>
      </w:r>
      <w:r w:rsidRPr="00FD6FDF">
        <w:rPr>
          <w:color w:val="44546A" w:themeColor="text2"/>
        </w:rPr>
        <w:t xml:space="preserve">costs submitted by </w:t>
      </w:r>
      <w:r>
        <w:rPr>
          <w:color w:val="44546A" w:themeColor="text2"/>
        </w:rPr>
        <w:t>ACT</w:t>
      </w:r>
      <w:r w:rsidRPr="00FD6FDF">
        <w:rPr>
          <w:color w:val="44546A" w:themeColor="text2"/>
        </w:rPr>
        <w:t xml:space="preserve"> in 2023-24 were </w:t>
      </w:r>
      <w:r w:rsidRPr="003C28DB">
        <w:rPr>
          <w:b/>
          <w:color w:val="44546A" w:themeColor="text2"/>
        </w:rPr>
        <w:t>$</w:t>
      </w:r>
      <w:r w:rsidR="009222E6" w:rsidRPr="003C28DB">
        <w:rPr>
          <w:b/>
          <w:color w:val="44546A" w:themeColor="text2"/>
        </w:rPr>
        <w:t>2.</w:t>
      </w:r>
      <w:r w:rsidR="00E62942">
        <w:rPr>
          <w:b/>
          <w:color w:val="44546A" w:themeColor="text2"/>
        </w:rPr>
        <w:t>00</w:t>
      </w:r>
      <w:r w:rsidRPr="003C28DB">
        <w:rPr>
          <w:b/>
          <w:color w:val="44546A" w:themeColor="text2"/>
        </w:rPr>
        <w:t xml:space="preserve"> billion</w:t>
      </w:r>
      <w:r>
        <w:rPr>
          <w:color w:val="44546A" w:themeColor="text2"/>
        </w:rPr>
        <w:t>.</w:t>
      </w:r>
    </w:p>
    <w:p w14:paraId="1EB269D8" w14:textId="77777777" w:rsidR="00C0714E" w:rsidRDefault="00C0714E" w:rsidP="00C0714E">
      <w:pPr>
        <w:pStyle w:val="Heading3"/>
      </w:pPr>
      <w:r>
        <w:t>ACT Costing Summary</w:t>
      </w:r>
    </w:p>
    <w:p w14:paraId="221661F9" w14:textId="77777777" w:rsidR="00C0714E" w:rsidRPr="00AD1F32" w:rsidRDefault="00C0714E" w:rsidP="009F419F">
      <w:pPr>
        <w:pStyle w:val="Heading4"/>
        <w:rPr>
          <w:color w:val="484B5D" w:themeColor="accent3"/>
        </w:rPr>
      </w:pPr>
      <w:r w:rsidRPr="00AD1F32">
        <w:rPr>
          <w:color w:val="484B5D" w:themeColor="accent3"/>
        </w:rPr>
        <w:t>Background to costing in ACT</w:t>
      </w:r>
    </w:p>
    <w:p w14:paraId="56AB550A" w14:textId="03CE86B0" w:rsidR="005D14BD" w:rsidRPr="00523124" w:rsidRDefault="005D14BD" w:rsidP="005D14BD">
      <w:r w:rsidRPr="003226E9">
        <w:t xml:space="preserve">In the 2023–24 cycle, ACT resumed its participation in the NHCDC following a hiatus during the 2022–23 cycle. The ACT was unable to submit data for the NHCDC </w:t>
      </w:r>
      <w:r w:rsidR="0024747D" w:rsidRPr="003226E9">
        <w:t xml:space="preserve">2022–23 </w:t>
      </w:r>
      <w:r w:rsidRPr="003226E9">
        <w:t xml:space="preserve">due to challenges associated with the implementation of its new Digital Health Record (DHR) system. The DHR, </w:t>
      </w:r>
      <w:r w:rsidR="00E96993">
        <w:t>that</w:t>
      </w:r>
      <w:r w:rsidR="00E96993" w:rsidRPr="003226E9">
        <w:t xml:space="preserve"> </w:t>
      </w:r>
      <w:r w:rsidRPr="003226E9">
        <w:t>went live in November 2022, replaced ACT’s legacy patient administration system (ACTPAS) and other legacy systems across ACT’s public hospitals</w:t>
      </w:r>
      <w:r w:rsidRPr="006C2BD6">
        <w:t>.</w:t>
      </w:r>
    </w:p>
    <w:p w14:paraId="05EA4903" w14:textId="2E7174EC" w:rsidR="005D14BD" w:rsidRPr="00523124" w:rsidRDefault="005D14BD" w:rsidP="005D14BD">
      <w:r w:rsidRPr="009B3370">
        <w:t>The transition to the DHR impacted ACT’s ability to extract data for hospital costing for the 2022-23 costing cycle. These included ward transfer records, clinician service data, and other activity-based inputs. As a result, ACT advised IHACPA that it could not provide a submission for the</w:t>
      </w:r>
      <w:r w:rsidR="002C5C1F" w:rsidRPr="002C5C1F">
        <w:t xml:space="preserve"> </w:t>
      </w:r>
      <w:r w:rsidR="002C5C1F" w:rsidRPr="009B3370">
        <w:t>NHCDC</w:t>
      </w:r>
      <w:r w:rsidRPr="009B3370">
        <w:t xml:space="preserve"> 2022–23</w:t>
      </w:r>
      <w:r w:rsidRPr="006C2BD6">
        <w:t>.</w:t>
      </w:r>
    </w:p>
    <w:p w14:paraId="07FFAC8B" w14:textId="3FBD91A8" w:rsidR="005D14BD" w:rsidRPr="006C2BD6" w:rsidRDefault="005D14BD" w:rsidP="005D14BD">
      <w:r w:rsidRPr="00523124">
        <w:t xml:space="preserve">The 2023–24 period represents the first full year of DHR operation, and ACT has made a submission to the NHCDC on a </w:t>
      </w:r>
      <w:r w:rsidRPr="006C2BD6">
        <w:t>‘</w:t>
      </w:r>
      <w:r w:rsidRPr="00523124">
        <w:t>best</w:t>
      </w:r>
      <w:r w:rsidRPr="006C2BD6">
        <w:t xml:space="preserve"> </w:t>
      </w:r>
      <w:r w:rsidRPr="00523124">
        <w:t>endeavours</w:t>
      </w:r>
      <w:r w:rsidRPr="006C2BD6">
        <w:t>’</w:t>
      </w:r>
      <w:r w:rsidRPr="00523124">
        <w:t xml:space="preserve"> basis. </w:t>
      </w:r>
      <w:r w:rsidR="00073481">
        <w:t xml:space="preserve">The </w:t>
      </w:r>
      <w:r w:rsidRPr="00523124">
        <w:t>ACT</w:t>
      </w:r>
      <w:r w:rsidR="00486C06">
        <w:t>’s</w:t>
      </w:r>
      <w:r w:rsidRPr="00523124">
        <w:t xml:space="preserve"> Health </w:t>
      </w:r>
      <w:r w:rsidR="00073481">
        <w:t xml:space="preserve">and Community Services Directorate </w:t>
      </w:r>
      <w:r w:rsidR="00486C06">
        <w:t>(</w:t>
      </w:r>
      <w:r w:rsidR="00073481">
        <w:t>HCSD</w:t>
      </w:r>
      <w:r w:rsidR="00573289">
        <w:t>)</w:t>
      </w:r>
      <w:r w:rsidRPr="00523124">
        <w:t xml:space="preserve"> continues to work on refining data quality </w:t>
      </w:r>
      <w:r w:rsidRPr="006C2BD6">
        <w:t>to align to the DHR environment.</w:t>
      </w:r>
    </w:p>
    <w:p w14:paraId="768B09AA" w14:textId="765BE707" w:rsidR="005D14BD" w:rsidRPr="003226E9" w:rsidRDefault="005D14BD" w:rsidP="005D14BD">
      <w:r w:rsidRPr="006C2BD6">
        <w:t xml:space="preserve">In </w:t>
      </w:r>
      <w:r w:rsidR="00B27D2D">
        <w:t>February</w:t>
      </w:r>
      <w:r w:rsidRPr="006C2BD6">
        <w:t xml:space="preserve"> 2025</w:t>
      </w:r>
      <w:r w:rsidR="00B27D2D">
        <w:t>,</w:t>
      </w:r>
      <w:r w:rsidRPr="006C2BD6">
        <w:t xml:space="preserve"> ACT </w:t>
      </w:r>
      <w:r w:rsidR="00B27D2D">
        <w:t>formally</w:t>
      </w:r>
      <w:r w:rsidRPr="006C2BD6">
        <w:t xml:space="preserve"> notified IHACPA that they would not be able to meet the NHCDC timelines </w:t>
      </w:r>
      <w:r>
        <w:t xml:space="preserve">for 2023-24 </w:t>
      </w:r>
      <w:r w:rsidRPr="006C2BD6">
        <w:t xml:space="preserve">due to the </w:t>
      </w:r>
      <w:r>
        <w:t xml:space="preserve">ongoing </w:t>
      </w:r>
      <w:r w:rsidRPr="006C2BD6">
        <w:t xml:space="preserve">data and business impacts associated with the DHR transition. </w:t>
      </w:r>
      <w:r w:rsidR="009A7A95">
        <w:t>ACT’s data was fully submitted in late August 2025</w:t>
      </w:r>
      <w:r w:rsidR="00320D0A">
        <w:t>, which</w:t>
      </w:r>
      <w:r w:rsidRPr="006C2BD6">
        <w:t xml:space="preserve"> was </w:t>
      </w:r>
      <w:r w:rsidR="00320D0A">
        <w:t>too late</w:t>
      </w:r>
      <w:r w:rsidRPr="006C2BD6">
        <w:t xml:space="preserve"> to support ACT’s participation in the full IFR process. Consequently, ACT participated in the IFR via a modified </w:t>
      </w:r>
      <w:r w:rsidRPr="003226E9">
        <w:t>approach, focusing on qualitative discussions with key personnel involved in the costing process to explore challenges, insights, and areas for improvement.</w:t>
      </w:r>
    </w:p>
    <w:p w14:paraId="2AA4F144" w14:textId="77777777" w:rsidR="005D14BD" w:rsidRPr="00AD1F32" w:rsidRDefault="005D14BD" w:rsidP="009F419F">
      <w:pPr>
        <w:pStyle w:val="Heading4"/>
        <w:rPr>
          <w:color w:val="484B5D" w:themeColor="accent3"/>
        </w:rPr>
      </w:pPr>
      <w:r w:rsidRPr="00AD1F32">
        <w:rPr>
          <w:color w:val="484B5D" w:themeColor="accent3"/>
        </w:rPr>
        <w:t>ACT structural arrangements and inclusion in costing outputs</w:t>
      </w:r>
    </w:p>
    <w:p w14:paraId="5E6C99CB" w14:textId="6730391F" w:rsidR="006E13F7" w:rsidRPr="003226E9" w:rsidRDefault="006E13F7" w:rsidP="006E13F7">
      <w:r w:rsidRPr="003226E9">
        <w:t>The ACT has a single LHN, known as the ACT Local Hospital Network</w:t>
      </w:r>
      <w:r w:rsidR="00E96993">
        <w:t>. It</w:t>
      </w:r>
      <w:r w:rsidR="00E96993" w:rsidRPr="003226E9">
        <w:t xml:space="preserve"> </w:t>
      </w:r>
      <w:r w:rsidRPr="003226E9">
        <w:t xml:space="preserve">operates under a unique governance model compared to other jurisdictions. HCSD administers </w:t>
      </w:r>
      <w:r w:rsidR="000430B3" w:rsidRPr="003226E9">
        <w:t xml:space="preserve">the </w:t>
      </w:r>
      <w:r w:rsidRPr="003226E9">
        <w:t>LHN funds and specific programs and is responsible for submitting hospital costing.</w:t>
      </w:r>
    </w:p>
    <w:p w14:paraId="0754E381" w14:textId="34C324C4" w:rsidR="006E13F7" w:rsidRDefault="006E13F7" w:rsidP="006E13F7">
      <w:r w:rsidRPr="003226E9">
        <w:t>Canberra Health Services (CHS) is the primary provider responsible for delivering public health services across ACT</w:t>
      </w:r>
      <w:r w:rsidR="00CE67A7" w:rsidRPr="003226E9">
        <w:t xml:space="preserve"> including</w:t>
      </w:r>
      <w:r w:rsidRPr="003226E9">
        <w:t xml:space="preserve"> </w:t>
      </w:r>
      <w:r w:rsidR="00596583" w:rsidRPr="003226E9">
        <w:t>3</w:t>
      </w:r>
      <w:r w:rsidRPr="003226E9">
        <w:t xml:space="preserve"> ABF funded hospitals (The Canberra Hospital </w:t>
      </w:r>
      <w:r>
        <w:t>(TCH)</w:t>
      </w:r>
      <w:r w:rsidRPr="009E663D">
        <w:t>, North Canberra Hospital</w:t>
      </w:r>
      <w:r>
        <w:t xml:space="preserve"> (NCH, previously Calvary Public Hospital Bruce)</w:t>
      </w:r>
      <w:r w:rsidRPr="009E663D">
        <w:t xml:space="preserve"> and University of Canberra </w:t>
      </w:r>
      <w:r w:rsidRPr="009E663D">
        <w:lastRenderedPageBreak/>
        <w:t>Hospital</w:t>
      </w:r>
      <w:r>
        <w:t xml:space="preserve"> (UCH)), walk-in centres and community health centres. As of July 2023, </w:t>
      </w:r>
      <w:r w:rsidRPr="00B47E24">
        <w:t>NCH transferred to ACT Government control, consolidating public hospital facilities in ACT under CHS.</w:t>
      </w:r>
    </w:p>
    <w:p w14:paraId="5EA88EC6" w14:textId="72F27B74" w:rsidR="006E13F7" w:rsidRPr="003226E9" w:rsidRDefault="006E13F7" w:rsidP="006E13F7">
      <w:r w:rsidRPr="003226E9">
        <w:t>Unlike other jurisdictions</w:t>
      </w:r>
      <w:r w:rsidR="00C72A21" w:rsidRPr="003226E9">
        <w:t>,</w:t>
      </w:r>
      <w:r w:rsidRPr="003226E9">
        <w:t xml:space="preserve"> ACT</w:t>
      </w:r>
      <w:r w:rsidR="00FE4CEC" w:rsidRPr="003226E9">
        <w:t xml:space="preserve"> </w:t>
      </w:r>
      <w:r w:rsidRPr="003226E9">
        <w:t>HCSD and CHS are both directly accountable to the Minister for Health and do not hold a purchaser–provider or system manager relationship to each other.</w:t>
      </w:r>
    </w:p>
    <w:p w14:paraId="2EFD06E1" w14:textId="77777777" w:rsidR="006E13F7" w:rsidRPr="00AD1F32" w:rsidRDefault="006E13F7" w:rsidP="009F419F">
      <w:pPr>
        <w:pStyle w:val="Heading4"/>
        <w:rPr>
          <w:color w:val="484B5D" w:themeColor="accent3"/>
        </w:rPr>
      </w:pPr>
      <w:r w:rsidRPr="00AD1F32">
        <w:rPr>
          <w:color w:val="484B5D" w:themeColor="accent3"/>
        </w:rPr>
        <w:t>ACT costing process</w:t>
      </w:r>
    </w:p>
    <w:p w14:paraId="696A25D7" w14:textId="7AB40D4E" w:rsidR="000E1538" w:rsidRPr="003226E9" w:rsidRDefault="000E1538" w:rsidP="000E1538">
      <w:r w:rsidRPr="003226E9">
        <w:t>ACT utilised PPM</w:t>
      </w:r>
      <w:r w:rsidR="00C30A0E" w:rsidRPr="003226E9">
        <w:t>3</w:t>
      </w:r>
      <w:r w:rsidRPr="003226E9">
        <w:t xml:space="preserve"> costing system in 2023-24. Costing for CHS’</w:t>
      </w:r>
      <w:r w:rsidR="0073435C" w:rsidRPr="003226E9">
        <w:t>s</w:t>
      </w:r>
      <w:r w:rsidRPr="003226E9">
        <w:t xml:space="preserve"> facilities was performed by ACT HCSD with input and QA from CHS, reflecting resource constraints during a complex transition period. </w:t>
      </w:r>
    </w:p>
    <w:p w14:paraId="283A9E25" w14:textId="519F4EE9" w:rsidR="000E1538" w:rsidRPr="003226E9" w:rsidRDefault="000E1538" w:rsidP="000E1538">
      <w:r w:rsidRPr="003226E9">
        <w:t xml:space="preserve">CHS staff provided advice on reclass rules and activity splits across care streams, which HCSD applied in the costing ledger. CHS also provided feeder files extracted from DHR including pathology (from statewide pathology provider ACT Pathology for inpatients), imaging, pharmacy, </w:t>
      </w:r>
      <w:r w:rsidR="00B95430" w:rsidRPr="003226E9">
        <w:t>along with</w:t>
      </w:r>
      <w:r w:rsidRPr="003226E9">
        <w:t xml:space="preserve"> separate extract for </w:t>
      </w:r>
      <w:r w:rsidR="008C15ED" w:rsidRPr="003226E9">
        <w:t>s</w:t>
      </w:r>
      <w:r w:rsidRPr="003226E9">
        <w:t>100 drugs, theatre, blood, MET calls</w:t>
      </w:r>
      <w:r w:rsidR="00B95430" w:rsidRPr="003226E9">
        <w:t>,</w:t>
      </w:r>
      <w:r w:rsidRPr="003226E9">
        <w:t xml:space="preserve"> and prostheses.</w:t>
      </w:r>
      <w:r w:rsidR="00F474D9" w:rsidRPr="003226E9">
        <w:t xml:space="preserve"> HCSD staff sourced the encounter files from the submitted ABF activity data and the ward transfer file from Badger (ACT</w:t>
      </w:r>
      <w:r w:rsidR="00BD4A94" w:rsidRPr="003226E9">
        <w:t>’s</w:t>
      </w:r>
      <w:r w:rsidR="00F474D9" w:rsidRPr="003226E9">
        <w:t xml:space="preserve"> intermediate data warehouse solution – see below).</w:t>
      </w:r>
    </w:p>
    <w:p w14:paraId="6BD1C0A3" w14:textId="77777777" w:rsidR="000E1538" w:rsidRPr="003226E9" w:rsidRDefault="000E1538" w:rsidP="000E1538">
      <w:r w:rsidRPr="003226E9">
        <w:t>ACT highlighted several data quality challenges during the costing cycle:</w:t>
      </w:r>
    </w:p>
    <w:p w14:paraId="68D82D31" w14:textId="77777777" w:rsidR="000E1538" w:rsidRDefault="000E1538" w:rsidP="00CD718C">
      <w:pPr>
        <w:pStyle w:val="ListParagraph"/>
        <w:numPr>
          <w:ilvl w:val="0"/>
          <w:numId w:val="34"/>
        </w:numPr>
      </w:pPr>
      <w:r w:rsidRPr="003226E9">
        <w:t xml:space="preserve">ACT is still validating DHR outputs into the Enterprise Data Platform. In 2023-24, ACT used an intermediate system with manual inputs to cleanse and transform activity data inputs. ACT particularly highlighted </w:t>
      </w:r>
      <w:r>
        <w:t xml:space="preserve">data quality issues with duplicate records in ward transfer extracts, newborn qualification status and hours, and community mental health datasets (defaulting to unknown phase of care). </w:t>
      </w:r>
    </w:p>
    <w:p w14:paraId="6642611F" w14:textId="67A31DEE" w:rsidR="00422C41" w:rsidRPr="00422C41" w:rsidRDefault="00422C41" w:rsidP="00422C41">
      <w:pPr>
        <w:pStyle w:val="ListParagraph"/>
        <w:numPr>
          <w:ilvl w:val="0"/>
          <w:numId w:val="34"/>
        </w:numPr>
      </w:pPr>
      <w:r w:rsidRPr="00422C41">
        <w:t xml:space="preserve">2023-24 is the first year of </w:t>
      </w:r>
      <w:r w:rsidR="0073435C">
        <w:t>NCH</w:t>
      </w:r>
      <w:r w:rsidRPr="00422C41">
        <w:t xml:space="preserve">’s operation under </w:t>
      </w:r>
      <w:r w:rsidR="00663A00">
        <w:t>CHS</w:t>
      </w:r>
      <w:r w:rsidRPr="00422C41">
        <w:t xml:space="preserve"> management, following the ACT Government’s acquisition of the former Calvary Public Hospital Bruce on 3 July 2023. Prior to this, NCH used a separate chart of accounts to TCH and </w:t>
      </w:r>
      <w:r w:rsidR="0073435C">
        <w:t>UCH</w:t>
      </w:r>
      <w:r w:rsidRPr="00422C41">
        <w:t xml:space="preserve">. Mapping and alignment of two separate </w:t>
      </w:r>
      <w:r w:rsidR="00A2517D">
        <w:t>GL</w:t>
      </w:r>
      <w:r w:rsidRPr="00422C41">
        <w:t>s to cost areas and NHCDC Cost Centres presented significant challenges and effort.</w:t>
      </w:r>
    </w:p>
    <w:p w14:paraId="7019F736" w14:textId="54150952" w:rsidR="000E1538" w:rsidRPr="00C60BE7" w:rsidRDefault="000E1538" w:rsidP="000E1538">
      <w:r w:rsidRPr="00C60BE7">
        <w:t xml:space="preserve">Overhead costs such as food, cleaning, and linen were allocated using </w:t>
      </w:r>
      <w:r>
        <w:t xml:space="preserve">appropriate allocation statistics </w:t>
      </w:r>
      <w:r w:rsidRPr="00C60BE7">
        <w:t>(e.g.</w:t>
      </w:r>
      <w:r w:rsidR="0073435C">
        <w:t>,</w:t>
      </w:r>
      <w:r w:rsidRPr="00C60BE7">
        <w:t xml:space="preserve"> FTEs for CEO costs, area-based </w:t>
      </w:r>
      <w:r>
        <w:t xml:space="preserve">measures </w:t>
      </w:r>
      <w:r w:rsidRPr="00C60BE7">
        <w:t xml:space="preserve">for cleaning). </w:t>
      </w:r>
    </w:p>
    <w:p w14:paraId="2F2DC615" w14:textId="62A17BAF" w:rsidR="000E1538" w:rsidRDefault="000E1538" w:rsidP="000E1538">
      <w:r>
        <w:t xml:space="preserve">ACT HCSD and CHS performed </w:t>
      </w:r>
      <w:r w:rsidR="00CB64BE">
        <w:t>QA</w:t>
      </w:r>
      <w:r>
        <w:t xml:space="preserve"> on the data </w:t>
      </w:r>
      <w:r w:rsidR="00E5136C">
        <w:t>through</w:t>
      </w:r>
      <w:r>
        <w:t>:</w:t>
      </w:r>
    </w:p>
    <w:p w14:paraId="0A14EA06" w14:textId="7985532A" w:rsidR="000E1538" w:rsidRDefault="00E5136C" w:rsidP="00CD718C">
      <w:pPr>
        <w:pStyle w:val="ListParagraph"/>
        <w:numPr>
          <w:ilvl w:val="0"/>
          <w:numId w:val="33"/>
        </w:numPr>
      </w:pPr>
      <w:r>
        <w:t>Reconciliation</w:t>
      </w:r>
      <w:r w:rsidR="000E1538">
        <w:t xml:space="preserve"> against GL totals</w:t>
      </w:r>
      <w:r w:rsidR="008C15ED">
        <w:t>.</w:t>
      </w:r>
    </w:p>
    <w:p w14:paraId="5F62AC37" w14:textId="77777777" w:rsidR="000E1538" w:rsidRDefault="000E1538" w:rsidP="00CD718C">
      <w:pPr>
        <w:pStyle w:val="ListParagraph"/>
        <w:numPr>
          <w:ilvl w:val="0"/>
          <w:numId w:val="33"/>
        </w:numPr>
      </w:pPr>
      <w:r>
        <w:t>Validation through IHACPA portal with submitted datasets passing IHACPA’s structural validation checks.</w:t>
      </w:r>
    </w:p>
    <w:p w14:paraId="6775911F" w14:textId="77777777" w:rsidR="000E1538" w:rsidRPr="00C60BE7" w:rsidRDefault="000E1538" w:rsidP="00CD718C">
      <w:pPr>
        <w:pStyle w:val="ListParagraph"/>
        <w:numPr>
          <w:ilvl w:val="0"/>
          <w:numId w:val="33"/>
        </w:numPr>
      </w:pPr>
      <w:r>
        <w:t>NHCDC submission received sign offs by CHS’ Chief Finance Officer. CHS also verified inter-entity transaction amounts relating to the acquisition of NCH site.</w:t>
      </w:r>
    </w:p>
    <w:p w14:paraId="244D359E" w14:textId="400C426A" w:rsidR="000E1538" w:rsidRPr="00B96071" w:rsidRDefault="000E1538" w:rsidP="000E1538">
      <w:r w:rsidRPr="00B96071">
        <w:t xml:space="preserve">ACT has reported compliance with AHPCS v4.2 to the best of their ability. However, limitations of the 2023-24 dataset </w:t>
      </w:r>
      <w:r w:rsidR="00E5136C">
        <w:t>were identified</w:t>
      </w:r>
      <w:r w:rsidRPr="00B96071">
        <w:t xml:space="preserve"> </w:t>
      </w:r>
      <w:r w:rsidR="00E96993">
        <w:t>that</w:t>
      </w:r>
      <w:r w:rsidR="00E96993" w:rsidRPr="00B96071">
        <w:t xml:space="preserve"> </w:t>
      </w:r>
      <w:r w:rsidRPr="00B96071">
        <w:t>are being addressed through ACT’s data governance forums for remediation in future rounds:</w:t>
      </w:r>
    </w:p>
    <w:p w14:paraId="410EC2B1" w14:textId="77C012C4" w:rsidR="000E1538" w:rsidRPr="005C541E" w:rsidRDefault="000E1538" w:rsidP="00CD718C">
      <w:pPr>
        <w:pStyle w:val="ListParagraph"/>
        <w:numPr>
          <w:ilvl w:val="0"/>
          <w:numId w:val="33"/>
        </w:numPr>
      </w:pPr>
      <w:r>
        <w:t>Phase</w:t>
      </w:r>
      <w:r w:rsidRPr="005C541E">
        <w:t xml:space="preserve"> of care </w:t>
      </w:r>
      <w:r>
        <w:t xml:space="preserve">level data </w:t>
      </w:r>
      <w:r w:rsidRPr="005C541E">
        <w:t>for mental health</w:t>
      </w:r>
      <w:r>
        <w:t xml:space="preserve"> was not available for 2023-24</w:t>
      </w:r>
      <w:r w:rsidR="008C15ED">
        <w:t>.</w:t>
      </w:r>
    </w:p>
    <w:p w14:paraId="6E4FE766" w14:textId="29BC7BF2" w:rsidR="000E1538" w:rsidRDefault="000E1538" w:rsidP="00CD718C">
      <w:pPr>
        <w:pStyle w:val="ListParagraph"/>
        <w:numPr>
          <w:ilvl w:val="0"/>
          <w:numId w:val="33"/>
        </w:numPr>
      </w:pPr>
      <w:r w:rsidRPr="00876E19">
        <w:t>Non-admitted services were costed at a rolled-up level, meaning that when multiple service events occurred on the same day, only the initial activity received a cost allocation</w:t>
      </w:r>
      <w:r>
        <w:t xml:space="preserve">. </w:t>
      </w:r>
      <w:r>
        <w:lastRenderedPageBreak/>
        <w:t>S</w:t>
      </w:r>
      <w:r w:rsidRPr="00876E19">
        <w:t xml:space="preserve">ubsequent encounters, such as Allied Health services, were not </w:t>
      </w:r>
      <w:r w:rsidR="00732428">
        <w:t xml:space="preserve">reported in the ABF activity data </w:t>
      </w:r>
      <w:r w:rsidR="007F743F">
        <w:t xml:space="preserve">and </w:t>
      </w:r>
      <w:r w:rsidRPr="00876E19">
        <w:t>assigned costs</w:t>
      </w:r>
      <w:r>
        <w:t>.</w:t>
      </w:r>
    </w:p>
    <w:p w14:paraId="0A6D31DD" w14:textId="4812A31C" w:rsidR="000E1538" w:rsidRPr="00AD1F32" w:rsidRDefault="000E1538" w:rsidP="00CD718C">
      <w:pPr>
        <w:pStyle w:val="ListParagraph"/>
        <w:numPr>
          <w:ilvl w:val="0"/>
          <w:numId w:val="33"/>
        </w:numPr>
      </w:pPr>
      <w:r>
        <w:t xml:space="preserve">The approach for estimating the </w:t>
      </w:r>
      <w:r w:rsidR="0073435C">
        <w:t>TTR</w:t>
      </w:r>
      <w:r>
        <w:t xml:space="preserve"> costs</w:t>
      </w:r>
      <w:r w:rsidR="00A84890">
        <w:t xml:space="preserve"> will be examined</w:t>
      </w:r>
      <w:r w:rsidRPr="003226E9">
        <w:t>.</w:t>
      </w:r>
    </w:p>
    <w:p w14:paraId="43E01620" w14:textId="77777777" w:rsidR="000E1538" w:rsidRPr="00AD1F32" w:rsidRDefault="000E1538" w:rsidP="009F419F">
      <w:pPr>
        <w:pStyle w:val="Heading4"/>
        <w:rPr>
          <w:color w:val="484B5D" w:themeColor="accent3"/>
        </w:rPr>
      </w:pPr>
      <w:r w:rsidRPr="00AD1F32">
        <w:rPr>
          <w:color w:val="484B5D" w:themeColor="accent3"/>
        </w:rPr>
        <w:t>Contracted care costs included in costed records</w:t>
      </w:r>
    </w:p>
    <w:p w14:paraId="0C9DA77F" w14:textId="03BCF964" w:rsidR="00A83346" w:rsidRDefault="00A83346">
      <w:pPr>
        <w:tabs>
          <w:tab w:val="clear" w:pos="5309"/>
        </w:tabs>
        <w:spacing w:line="279" w:lineRule="auto"/>
        <w:rPr>
          <w:color w:val="44546A" w:themeColor="text2"/>
        </w:rPr>
      </w:pPr>
      <w:r w:rsidRPr="00AD1F32">
        <w:t xml:space="preserve">There are contracted care arrangements with </w:t>
      </w:r>
      <w:r w:rsidR="00996163" w:rsidRPr="00AD1F32">
        <w:t>3</w:t>
      </w:r>
      <w:r w:rsidRPr="00AD1F32">
        <w:t xml:space="preserve"> private hospitals within the ACT. These arrangements were used to deliver elective surgery joint replacements</w:t>
      </w:r>
      <w:r w:rsidR="00C42CB1" w:rsidRPr="00AD1F32">
        <w:t>;</w:t>
      </w:r>
      <w:r w:rsidRPr="00AD1F32">
        <w:t xml:space="preserve"> </w:t>
      </w:r>
      <w:r w:rsidR="00C42CB1" w:rsidRPr="00AD1F32">
        <w:t>e</w:t>
      </w:r>
      <w:r w:rsidR="000A43A5" w:rsidRPr="00AD1F32">
        <w:t xml:space="preserve">ar, </w:t>
      </w:r>
      <w:r w:rsidR="00C42CB1" w:rsidRPr="00AD1F32">
        <w:t>n</w:t>
      </w:r>
      <w:r w:rsidR="000A43A5" w:rsidRPr="00AD1F32">
        <w:t xml:space="preserve">ose, and </w:t>
      </w:r>
      <w:r w:rsidR="00C42CB1" w:rsidRPr="00AD1F32">
        <w:t>t</w:t>
      </w:r>
      <w:r w:rsidR="000A43A5" w:rsidRPr="00AD1F32">
        <w:t>hroat</w:t>
      </w:r>
      <w:r w:rsidR="008C15ED" w:rsidRPr="00AD1F32">
        <w:t xml:space="preserve"> </w:t>
      </w:r>
      <w:r w:rsidRPr="00AD1F32">
        <w:t>procedures</w:t>
      </w:r>
      <w:r w:rsidR="00C42CB1" w:rsidRPr="00AD1F32">
        <w:t>,</w:t>
      </w:r>
      <w:r w:rsidRPr="00AD1F32">
        <w:t xml:space="preserve"> and </w:t>
      </w:r>
      <w:r w:rsidR="000B39C2" w:rsidRPr="00AD1F32">
        <w:t xml:space="preserve">surgery </w:t>
      </w:r>
      <w:r w:rsidRPr="00AD1F32">
        <w:t>overflow</w:t>
      </w:r>
      <w:r>
        <w:rPr>
          <w:color w:val="44546A" w:themeColor="text2"/>
        </w:rPr>
        <w:t xml:space="preserve">. These </w:t>
      </w:r>
      <w:r w:rsidR="000B39C2">
        <w:rPr>
          <w:color w:val="44546A" w:themeColor="text2"/>
        </w:rPr>
        <w:t xml:space="preserve">activities </w:t>
      </w:r>
      <w:r>
        <w:rPr>
          <w:color w:val="44546A" w:themeColor="text2"/>
        </w:rPr>
        <w:t xml:space="preserve">were costed to the </w:t>
      </w:r>
      <w:r w:rsidRPr="00447011">
        <w:rPr>
          <w:i/>
          <w:iCs/>
          <w:color w:val="44546A" w:themeColor="text2"/>
        </w:rPr>
        <w:t>Goods &amp; Services</w:t>
      </w:r>
      <w:r>
        <w:rPr>
          <w:color w:val="44546A" w:themeColor="text2"/>
        </w:rPr>
        <w:t xml:space="preserve"> </w:t>
      </w:r>
      <w:r w:rsidR="000B39C2">
        <w:rPr>
          <w:color w:val="44546A" w:themeColor="text2"/>
        </w:rPr>
        <w:t xml:space="preserve">NHCDC </w:t>
      </w:r>
      <w:r>
        <w:rPr>
          <w:color w:val="44546A" w:themeColor="text2"/>
        </w:rPr>
        <w:t>line item.</w:t>
      </w:r>
    </w:p>
    <w:p w14:paraId="0EFC582B" w14:textId="65DC87DC" w:rsidR="00A83346" w:rsidRDefault="00A760A1">
      <w:pPr>
        <w:tabs>
          <w:tab w:val="clear" w:pos="5309"/>
        </w:tabs>
        <w:spacing w:line="279" w:lineRule="auto"/>
        <w:rPr>
          <w:color w:val="44546A" w:themeColor="text2"/>
        </w:rPr>
      </w:pPr>
      <w:r>
        <w:rPr>
          <w:noProof/>
        </w:rPr>
        <mc:AlternateContent>
          <mc:Choice Requires="wps">
            <w:drawing>
              <wp:anchor distT="0" distB="0" distL="114300" distR="114300" simplePos="0" relativeHeight="251658248" behindDoc="0" locked="0" layoutInCell="1" allowOverlap="1" wp14:anchorId="5854FD6E" wp14:editId="74DC28A6">
                <wp:simplePos x="0" y="0"/>
                <wp:positionH relativeFrom="margin">
                  <wp:align>left</wp:align>
                </wp:positionH>
                <wp:positionV relativeFrom="paragraph">
                  <wp:posOffset>413</wp:posOffset>
                </wp:positionV>
                <wp:extent cx="5715000" cy="1447800"/>
                <wp:effectExtent l="0" t="0" r="0" b="0"/>
                <wp:wrapTopAndBottom/>
                <wp:docPr id="1575327782" name="Text Box 2" descr="P3115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779DFC7F" w14:textId="0950189A" w:rsidR="00A760A1" w:rsidRPr="001729F2" w:rsidRDefault="00A760A1" w:rsidP="00A760A1">
                            <w:pPr>
                              <w:pStyle w:val="Tablebulletpoint"/>
                              <w:numPr>
                                <w:ilvl w:val="0"/>
                                <w:numId w:val="0"/>
                              </w:numPr>
                              <w:spacing w:after="120"/>
                              <w:contextualSpacing w:val="0"/>
                              <w:rPr>
                                <w:color w:val="FFFFFF" w:themeColor="background1"/>
                              </w:rPr>
                            </w:pPr>
                            <w:r w:rsidRPr="001729F2">
                              <w:rPr>
                                <w:b/>
                                <w:bCs/>
                                <w:color w:val="FFFFFF" w:themeColor="background1"/>
                              </w:rPr>
                              <w:t>Comparability of ACT’s costing outputs to other states</w:t>
                            </w:r>
                          </w:p>
                          <w:p w14:paraId="74BE96B6" w14:textId="226DCCFD" w:rsidR="007679A2" w:rsidRPr="001729F2" w:rsidRDefault="007679A2" w:rsidP="007679A2">
                            <w:pPr>
                              <w:pStyle w:val="Tablebulletpoint"/>
                              <w:rPr>
                                <w:color w:val="FFFFFF" w:themeColor="background1"/>
                              </w:rPr>
                            </w:pPr>
                            <w:r w:rsidRPr="001729F2">
                              <w:rPr>
                                <w:color w:val="FFFFFF" w:themeColor="background1"/>
                              </w:rPr>
                              <w:t xml:space="preserve">ACT is one of </w:t>
                            </w:r>
                            <w:r w:rsidR="00FF1765">
                              <w:rPr>
                                <w:color w:val="FFFFFF" w:themeColor="background1"/>
                              </w:rPr>
                              <w:t>2</w:t>
                            </w:r>
                            <w:r w:rsidR="00FF1765" w:rsidRPr="001729F2">
                              <w:rPr>
                                <w:color w:val="FFFFFF" w:themeColor="background1"/>
                              </w:rPr>
                              <w:t xml:space="preserve"> </w:t>
                            </w:r>
                            <w:r w:rsidRPr="001729F2">
                              <w:rPr>
                                <w:color w:val="FFFFFF" w:themeColor="background1"/>
                              </w:rPr>
                              <w:t xml:space="preserve">states and territories that are not signatories to the Pharmaceutical Reform Agreements and therefore does not have the same arrangements relating to PBS subsidised drugs. This may explain higher costs in the </w:t>
                            </w:r>
                            <w:r w:rsidRPr="00151BB6">
                              <w:rPr>
                                <w:i/>
                                <w:iCs/>
                                <w:color w:val="FFFFFF" w:themeColor="background1"/>
                              </w:rPr>
                              <w:t>Pharmacy</w:t>
                            </w:r>
                            <w:r w:rsidRPr="001729F2">
                              <w:rPr>
                                <w:color w:val="FFFFFF" w:themeColor="background1"/>
                              </w:rPr>
                              <w:t xml:space="preserve"> </w:t>
                            </w:r>
                            <w:r w:rsidR="00FF1765">
                              <w:rPr>
                                <w:color w:val="FFFFFF" w:themeColor="background1"/>
                              </w:rPr>
                              <w:t xml:space="preserve">NHCDC </w:t>
                            </w:r>
                            <w:r w:rsidRPr="001729F2">
                              <w:rPr>
                                <w:color w:val="FFFFFF" w:themeColor="background1"/>
                              </w:rPr>
                              <w:t>Cost Centre</w:t>
                            </w:r>
                            <w:r w:rsidR="001468EF">
                              <w:rPr>
                                <w:color w:val="FFFFFF" w:themeColor="background1"/>
                              </w:rPr>
                              <w:t xml:space="preserve"> Group</w:t>
                            </w:r>
                            <w:r w:rsidRPr="001729F2">
                              <w:rPr>
                                <w:color w:val="FFFFFF" w:themeColor="background1"/>
                              </w:rPr>
                              <w:t xml:space="preserve"> as they do not receive the rebate.</w:t>
                            </w:r>
                          </w:p>
                          <w:p w14:paraId="4FAAC88C" w14:textId="7A7C079B" w:rsidR="00A760A1" w:rsidRPr="001729F2" w:rsidRDefault="007679A2" w:rsidP="00A760A1">
                            <w:pPr>
                              <w:pStyle w:val="Tablebulletpoint"/>
                              <w:rPr>
                                <w:color w:val="FFFFFF" w:themeColor="background1"/>
                              </w:rPr>
                            </w:pPr>
                            <w:r w:rsidRPr="001729F2">
                              <w:rPr>
                                <w:color w:val="FFFFFF" w:themeColor="background1"/>
                              </w:rPr>
                              <w:t>Due to the transition to the new DHR environment, significant data quality challenges have impacted activity capture in 2023-24. Data remediation is ongoing which may lead to shifts in reported activity volumes in future costing cycles.</w:t>
                            </w:r>
                          </w:p>
                        </w:txbxContent>
                      </wps:txbx>
                      <wps:bodyPr rot="0" vert="horz" wrap="square" lIns="180000" tIns="180000" rIns="180000" bIns="180000" anchor="t" anchorCtr="0">
                        <a:spAutoFit/>
                      </wps:bodyPr>
                    </wps:wsp>
                  </a:graphicData>
                </a:graphic>
                <wp14:sizeRelH relativeFrom="page">
                  <wp14:pctWidth>0</wp14:pctWidth>
                </wp14:sizeRelH>
                <wp14:sizeRelV relativeFrom="page">
                  <wp14:pctHeight>0</wp14:pctHeight>
                </wp14:sizeRelV>
              </wp:anchor>
            </w:drawing>
          </mc:Choice>
          <mc:Fallback>
            <w:pict>
              <v:shape w14:anchorId="5854FD6E" id="_x0000_s1311" type="#_x0000_t202" alt="P3115TB22#y1" style="position:absolute;margin-left:0;margin-top:.05pt;width:450pt;height:114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" fillcolor="#343a5e [2405]" stroked="f" strokeweight="1pt">
                <v:textbox style="mso-fit-shape-to-text:t" inset="5mm,5mm,5mm,5mm">
                  <w:txbxContent>
                    <w:p w14:paraId="779DFC7F" w14:textId="0950189A" w:rsidR="00A760A1" w:rsidRPr="001729F2" w:rsidRDefault="00A760A1" w:rsidP="00A760A1">
                      <w:pPr>
                        <w:pStyle w:val="Tablebulletpoint"/>
                        <w:numPr>
                          <w:ilvl w:val="0"/>
                          <w:numId w:val="0"/>
                        </w:numPr>
                        <w:spacing w:after="120"/>
                        <w:contextualSpacing w:val="0"/>
                        <w:rPr>
                          <w:color w:val="FFFFFF" w:themeColor="background1"/>
                        </w:rPr>
                      </w:pPr>
                      <w:r w:rsidRPr="001729F2">
                        <w:rPr>
                          <w:b/>
                          <w:bCs/>
                          <w:color w:val="FFFFFF" w:themeColor="background1"/>
                        </w:rPr>
                        <w:t>Comparability of ACT’s costing outputs to other states</w:t>
                      </w:r>
                    </w:p>
                    <w:p w14:paraId="74BE96B6" w14:textId="226DCCFD" w:rsidR="007679A2" w:rsidRPr="001729F2" w:rsidRDefault="007679A2" w:rsidP="007679A2">
                      <w:pPr>
                        <w:pStyle w:val="Tablebulletpoint"/>
                        <w:rPr>
                          <w:color w:val="FFFFFF" w:themeColor="background1"/>
                        </w:rPr>
                      </w:pPr>
                      <w:r w:rsidRPr="001729F2">
                        <w:rPr>
                          <w:color w:val="FFFFFF" w:themeColor="background1"/>
                        </w:rPr>
                        <w:t xml:space="preserve">ACT is one of </w:t>
                      </w:r>
                      <w:r w:rsidR="00FF1765">
                        <w:rPr>
                          <w:color w:val="FFFFFF" w:themeColor="background1"/>
                        </w:rPr>
                        <w:t>2</w:t>
                      </w:r>
                      <w:r w:rsidR="00FF1765" w:rsidRPr="001729F2">
                        <w:rPr>
                          <w:color w:val="FFFFFF" w:themeColor="background1"/>
                        </w:rPr>
                        <w:t xml:space="preserve"> </w:t>
                      </w:r>
                      <w:r w:rsidRPr="001729F2">
                        <w:rPr>
                          <w:color w:val="FFFFFF" w:themeColor="background1"/>
                        </w:rPr>
                        <w:t xml:space="preserve">states and territories that are not signatories to the Pharmaceutical Reform Agreements and therefore does not have the same arrangements relating to PBS subsidised drugs. This may explain higher costs in the </w:t>
                      </w:r>
                      <w:r w:rsidRPr="00151BB6">
                        <w:rPr>
                          <w:i/>
                          <w:iCs/>
                          <w:color w:val="FFFFFF" w:themeColor="background1"/>
                        </w:rPr>
                        <w:t>Pharmacy</w:t>
                      </w:r>
                      <w:r w:rsidRPr="001729F2">
                        <w:rPr>
                          <w:color w:val="FFFFFF" w:themeColor="background1"/>
                        </w:rPr>
                        <w:t xml:space="preserve"> </w:t>
                      </w:r>
                      <w:r w:rsidR="00FF1765">
                        <w:rPr>
                          <w:color w:val="FFFFFF" w:themeColor="background1"/>
                        </w:rPr>
                        <w:t xml:space="preserve">NHCDC </w:t>
                      </w:r>
                      <w:r w:rsidRPr="001729F2">
                        <w:rPr>
                          <w:color w:val="FFFFFF" w:themeColor="background1"/>
                        </w:rPr>
                        <w:t>Cost Centre</w:t>
                      </w:r>
                      <w:r w:rsidR="001468EF">
                        <w:rPr>
                          <w:color w:val="FFFFFF" w:themeColor="background1"/>
                        </w:rPr>
                        <w:t xml:space="preserve"> Group</w:t>
                      </w:r>
                      <w:r w:rsidRPr="001729F2">
                        <w:rPr>
                          <w:color w:val="FFFFFF" w:themeColor="background1"/>
                        </w:rPr>
                        <w:t xml:space="preserve"> as they do not receive the rebate.</w:t>
                      </w:r>
                    </w:p>
                    <w:p w14:paraId="4FAAC88C" w14:textId="7A7C079B" w:rsidR="00A760A1" w:rsidRPr="001729F2" w:rsidRDefault="007679A2" w:rsidP="00A760A1">
                      <w:pPr>
                        <w:pStyle w:val="Tablebulletpoint"/>
                        <w:rPr>
                          <w:color w:val="FFFFFF" w:themeColor="background1"/>
                        </w:rPr>
                      </w:pPr>
                      <w:r w:rsidRPr="001729F2">
                        <w:rPr>
                          <w:color w:val="FFFFFF" w:themeColor="background1"/>
                        </w:rPr>
                        <w:t>Due to the transition to the new DHR environment, significant data quality challenges have impacted activity capture in 2023-24. Data remediation is ongoing which may lead to shifts in reported activity volumes in future costing cycles.</w:t>
                      </w:r>
                    </w:p>
                  </w:txbxContent>
                </v:textbox>
                <w10:wrap type="topAndBottom" anchorx="margin"/>
              </v:shape>
            </w:pict>
          </mc:Fallback>
        </mc:AlternateContent>
      </w:r>
    </w:p>
    <w:p w14:paraId="6C8443AB" w14:textId="77777777" w:rsidR="00A83346" w:rsidRPr="00AD1F32" w:rsidRDefault="00A83346" w:rsidP="009F419F">
      <w:pPr>
        <w:pStyle w:val="Heading4"/>
        <w:rPr>
          <w:color w:val="484B5D" w:themeColor="accent3"/>
        </w:rPr>
      </w:pPr>
      <w:r w:rsidRPr="00AD1F32">
        <w:rPr>
          <w:color w:val="484B5D" w:themeColor="accent3"/>
        </w:rPr>
        <w:t>Corporate costs in costed records</w:t>
      </w:r>
    </w:p>
    <w:p w14:paraId="59C52E93" w14:textId="36FECB3B" w:rsidR="003477A3" w:rsidRDefault="003477A3" w:rsidP="00CD41E4">
      <w:r w:rsidRPr="003226E9">
        <w:t>AHPCS v4.2 provide guidance on the inclusion of corporate overhead expenses. Business Rule 3.1C.3.2 states that ‘</w:t>
      </w:r>
      <w:r w:rsidRPr="003226E9">
        <w:rPr>
          <w:b/>
          <w:bCs/>
          <w:i/>
          <w:iCs/>
        </w:rPr>
        <w:t>corporate overhead expenses should not be included for more than one level above the management of the hospital. Expenses related to the direct management of the LHN (Local Health Network</w:t>
      </w:r>
      <w:r w:rsidRPr="00FD6FDF">
        <w:rPr>
          <w:b/>
          <w:bCs/>
          <w:i/>
          <w:iCs/>
        </w:rPr>
        <w:t xml:space="preserve">) or corporate management are within scope.’ </w:t>
      </w:r>
      <w:r w:rsidRPr="00FD6FDF">
        <w:t xml:space="preserve">The table below shows how </w:t>
      </w:r>
      <w:r>
        <w:t>CHS</w:t>
      </w:r>
      <w:r w:rsidRPr="00FD6FDF">
        <w:t xml:space="preserve"> are treating corporate costs and allocating them to patients in the costing process.</w:t>
      </w:r>
    </w:p>
    <w:p w14:paraId="17EB0E7D" w14:textId="55459F1C" w:rsidR="0034558A" w:rsidRDefault="0034558A" w:rsidP="0034558A">
      <w:pPr>
        <w:pStyle w:val="Caption"/>
        <w:keepNext/>
      </w:pPr>
      <w:r>
        <w:t xml:space="preserve">Table </w:t>
      </w:r>
      <w:r>
        <w:fldChar w:fldCharType="begin"/>
      </w:r>
      <w:r>
        <w:instrText xml:space="preserve"> SEQ Table \* ARABIC </w:instrText>
      </w:r>
      <w:r>
        <w:fldChar w:fldCharType="separate"/>
      </w:r>
      <w:r w:rsidR="00CE6F96">
        <w:rPr>
          <w:noProof/>
        </w:rPr>
        <w:t>31</w:t>
      </w:r>
      <w:r>
        <w:fldChar w:fldCharType="end"/>
      </w:r>
      <w:r>
        <w:t xml:space="preserve">: </w:t>
      </w:r>
      <w:r w:rsidRPr="00D034FA">
        <w:t>ACT treatment of corporate costs and patient allocation costing process</w:t>
      </w:r>
    </w:p>
    <w:tbl>
      <w:tblPr>
        <w:tblStyle w:val="ScyneTable"/>
        <w:tblW w:w="4978" w:type="pct"/>
        <w:tblInd w:w="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957"/>
        <w:gridCol w:w="2977"/>
        <w:gridCol w:w="1559"/>
        <w:gridCol w:w="1493"/>
      </w:tblGrid>
      <w:tr w:rsidR="003964D6" w:rsidRPr="00D422F0" w14:paraId="7FA5856D" w14:textId="77777777">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645" w:type="pct"/>
            <w:tcBorders>
              <w:bottom w:val="single" w:sz="18" w:space="0" w:color="EFF0F7" w:themeColor="accent4" w:themeTint="33"/>
            </w:tcBorders>
            <w:shd w:val="clear" w:color="auto" w:fill="464E7E" w:themeFill="accent2"/>
            <w:vAlign w:val="center"/>
            <w:hideMark/>
          </w:tcPr>
          <w:p w14:paraId="4421E723" w14:textId="77777777" w:rsidR="007679A2" w:rsidRPr="00D422F0" w:rsidRDefault="007679A2">
            <w:pPr>
              <w:pStyle w:val="TableNormalColumnHeading"/>
              <w:rPr>
                <w:rFonts w:asciiTheme="majorHAnsi" w:hAnsiTheme="majorHAnsi"/>
                <w:snapToGrid/>
                <w:sz w:val="20"/>
                <w:lang w:eastAsia="en-AU"/>
              </w:rPr>
            </w:pPr>
            <w:r w:rsidRPr="00D422F0">
              <w:rPr>
                <w:rFonts w:asciiTheme="majorHAnsi" w:hAnsiTheme="majorHAnsi"/>
                <w:sz w:val="20"/>
              </w:rPr>
              <w:t>Type of corporate cost</w:t>
            </w:r>
          </w:p>
        </w:tc>
        <w:tc>
          <w:tcPr>
            <w:tcW w:w="1656" w:type="pct"/>
            <w:tcBorders>
              <w:bottom w:val="single" w:sz="18" w:space="0" w:color="EFF0F7" w:themeColor="accent4" w:themeTint="33"/>
            </w:tcBorders>
            <w:shd w:val="clear" w:color="auto" w:fill="464E7E" w:themeFill="accent2"/>
            <w:vAlign w:val="center"/>
            <w:hideMark/>
          </w:tcPr>
          <w:p w14:paraId="63ACF4CB" w14:textId="1F664337" w:rsidR="007679A2" w:rsidRPr="00D422F0" w:rsidRDefault="007679A2">
            <w:pPr>
              <w:pStyle w:val="TableNormalColumnHeading"/>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 xml:space="preserve">Details of whether these are passed onto </w:t>
            </w:r>
            <w:r>
              <w:rPr>
                <w:rFonts w:asciiTheme="majorHAnsi" w:hAnsiTheme="majorHAnsi"/>
                <w:sz w:val="20"/>
              </w:rPr>
              <w:t>facilities</w:t>
            </w:r>
          </w:p>
        </w:tc>
        <w:tc>
          <w:tcPr>
            <w:tcW w:w="867" w:type="pct"/>
            <w:tcBorders>
              <w:bottom w:val="single" w:sz="18" w:space="0" w:color="EFF0F7" w:themeColor="accent4" w:themeTint="33"/>
            </w:tcBorders>
            <w:shd w:val="clear" w:color="auto" w:fill="464E7E" w:themeFill="accent2"/>
            <w:vAlign w:val="center"/>
            <w:hideMark/>
          </w:tcPr>
          <w:p w14:paraId="7D37E9BB" w14:textId="77777777" w:rsidR="007679A2" w:rsidRPr="00D422F0" w:rsidRDefault="007679A2">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Included in patient level costing</w:t>
            </w:r>
          </w:p>
        </w:tc>
        <w:tc>
          <w:tcPr>
            <w:tcW w:w="831" w:type="pct"/>
            <w:tcBorders>
              <w:bottom w:val="single" w:sz="18" w:space="0" w:color="EFF0F7" w:themeColor="accent4" w:themeTint="33"/>
            </w:tcBorders>
            <w:shd w:val="clear" w:color="auto" w:fill="464E7E" w:themeFill="accent2"/>
            <w:vAlign w:val="center"/>
            <w:hideMark/>
          </w:tcPr>
          <w:p w14:paraId="650EB0E7" w14:textId="77777777" w:rsidR="007679A2" w:rsidRPr="00D422F0" w:rsidRDefault="007679A2">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D422F0">
              <w:rPr>
                <w:rFonts w:asciiTheme="majorHAnsi" w:hAnsiTheme="majorHAnsi"/>
                <w:sz w:val="20"/>
              </w:rPr>
              <w:t>In line with the guidance in the AHPCS</w:t>
            </w:r>
          </w:p>
        </w:tc>
      </w:tr>
      <w:tr w:rsidR="00034380" w:rsidRPr="00D422F0" w14:paraId="4E595AB4" w14:textId="77777777">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0BFC9BF0" w14:textId="77777777" w:rsidR="007679A2" w:rsidRPr="00D422F0" w:rsidRDefault="007679A2">
            <w:pPr>
              <w:spacing w:before="120" w:after="120"/>
              <w:rPr>
                <w:lang w:val="en-GB"/>
              </w:rPr>
            </w:pPr>
            <w:r w:rsidRPr="0046606B">
              <w:rPr>
                <w:color w:val="44546A" w:themeColor="text2"/>
              </w:rPr>
              <w:t>Corporate costs at the facility</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74F70B0B" w14:textId="2DCDD58B" w:rsidR="007679A2" w:rsidRPr="00D422F0" w:rsidRDefault="007679A2">
            <w:pPr>
              <w:spacing w:before="120" w:after="120"/>
              <w:cnfStyle w:val="000000000000" w:firstRow="0" w:lastRow="0" w:firstColumn="0" w:lastColumn="0" w:oddVBand="0" w:evenVBand="0" w:oddHBand="0" w:evenHBand="0" w:firstRowFirstColumn="0" w:firstRowLastColumn="0" w:lastRowFirstColumn="0" w:lastRowLastColumn="0"/>
            </w:pPr>
            <w:r w:rsidRPr="0046606B">
              <w:rPr>
                <w:color w:val="44546A" w:themeColor="text2"/>
              </w:rPr>
              <w:t>Included in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46FA26D" w14:textId="77777777" w:rsidR="007679A2" w:rsidRPr="00D422F0" w:rsidRDefault="007679A2">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9B70C23" w14:textId="77777777" w:rsidR="007679A2" w:rsidRPr="00D422F0" w:rsidRDefault="007679A2">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4C78F9BE" w14:textId="77777777">
        <w:trPr>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54F989E0" w14:textId="4DFD185E" w:rsidR="007679A2" w:rsidRPr="00D422F0" w:rsidRDefault="007679A2">
            <w:pPr>
              <w:spacing w:before="120" w:after="120"/>
              <w:rPr>
                <w:lang w:val="en-GB"/>
              </w:rPr>
            </w:pPr>
            <w:r w:rsidRPr="0046606B">
              <w:rPr>
                <w:color w:val="44546A" w:themeColor="text2"/>
              </w:rPr>
              <w:t xml:space="preserve">Corporate costs at the </w:t>
            </w:r>
            <w:r w:rsidR="00FB7B6A">
              <w:rPr>
                <w:color w:val="44546A" w:themeColor="text2"/>
              </w:rPr>
              <w:t>LHN</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42B3217" w14:textId="711F0F81" w:rsidR="007679A2" w:rsidRPr="00D422F0" w:rsidRDefault="007679A2">
            <w:pPr>
              <w:spacing w:before="120" w:after="120"/>
              <w:cnfStyle w:val="000000000000" w:firstRow="0" w:lastRow="0" w:firstColumn="0" w:lastColumn="0" w:oddVBand="0" w:evenVBand="0" w:oddHBand="0" w:evenHBand="0" w:firstRowFirstColumn="0" w:firstRowLastColumn="0" w:lastRowFirstColumn="0" w:lastRowLastColumn="0"/>
            </w:pPr>
            <w:r w:rsidRPr="0046606B">
              <w:rPr>
                <w:color w:val="44546A" w:themeColor="text2"/>
              </w:rPr>
              <w:t>Included in GL</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82D5C6C" w14:textId="77777777" w:rsidR="007679A2" w:rsidRPr="00D422F0" w:rsidRDefault="007679A2">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F3F5A53" w14:textId="77777777" w:rsidR="007679A2" w:rsidRPr="00D422F0" w:rsidRDefault="007679A2">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56E97F6A" w14:textId="77777777">
        <w:trPr>
          <w:cantSplit/>
          <w:trHeight w:val="290"/>
        </w:trPr>
        <w:tc>
          <w:tcPr>
            <w:cnfStyle w:val="001000000000" w:firstRow="0" w:lastRow="0" w:firstColumn="1" w:lastColumn="0" w:oddVBand="0" w:evenVBand="0" w:oddHBand="0" w:evenHBand="0" w:firstRowFirstColumn="0" w:firstRowLastColumn="0" w:lastRowFirstColumn="0"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811D4D3" w14:textId="2F6F9917" w:rsidR="007679A2" w:rsidRPr="00D422F0" w:rsidRDefault="007679A2">
            <w:pPr>
              <w:spacing w:before="120" w:after="120"/>
            </w:pPr>
            <w:r w:rsidRPr="0046606B">
              <w:rPr>
                <w:color w:val="44546A" w:themeColor="text2"/>
              </w:rPr>
              <w:lastRenderedPageBreak/>
              <w:t xml:space="preserve">Corporate costs at </w:t>
            </w:r>
            <w:r w:rsidR="00FB7B6A" w:rsidRPr="00FD6FDF">
              <w:rPr>
                <w:color w:val="44546A" w:themeColor="text2"/>
              </w:rPr>
              <w:t>shared</w:t>
            </w:r>
            <w:r w:rsidRPr="0046606B">
              <w:rPr>
                <w:color w:val="44546A" w:themeColor="text2"/>
              </w:rPr>
              <w:t xml:space="preserve"> service functions</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0D1317B" w14:textId="2482F0D9" w:rsidR="007679A2" w:rsidRPr="00D422F0" w:rsidRDefault="00FB7B6A">
            <w:pPr>
              <w:spacing w:before="120" w:after="120"/>
              <w:cnfStyle w:val="000000000000" w:firstRow="0" w:lastRow="0" w:firstColumn="0" w:lastColumn="0" w:oddVBand="0" w:evenVBand="0" w:oddHBand="0" w:evenHBand="0" w:firstRowFirstColumn="0" w:firstRowLastColumn="0" w:lastRowFirstColumn="0" w:lastRowLastColumn="0"/>
            </w:pPr>
            <w:r>
              <w:rPr>
                <w:color w:val="44546A" w:themeColor="text2"/>
              </w:rPr>
              <w:t>S</w:t>
            </w:r>
            <w:r w:rsidRPr="00CB467D">
              <w:rPr>
                <w:color w:val="44546A" w:themeColor="text2"/>
              </w:rPr>
              <w:t xml:space="preserve">hared services provided by ACT government </w:t>
            </w:r>
            <w:r>
              <w:rPr>
                <w:color w:val="44546A" w:themeColor="text2"/>
              </w:rPr>
              <w:t>include</w:t>
            </w:r>
            <w:r w:rsidRPr="00CB467D">
              <w:rPr>
                <w:color w:val="44546A" w:themeColor="text2"/>
              </w:rPr>
              <w:t xml:space="preserve"> payroll, accounts payable</w:t>
            </w:r>
            <w:r>
              <w:rPr>
                <w:color w:val="44546A" w:themeColor="text2"/>
              </w:rPr>
              <w:t xml:space="preserve">, </w:t>
            </w:r>
            <w:r w:rsidRPr="00CB467D">
              <w:rPr>
                <w:color w:val="44546A" w:themeColor="text2"/>
              </w:rPr>
              <w:t>HR, reinsurance model, IT</w:t>
            </w:r>
            <w:r>
              <w:rPr>
                <w:color w:val="44546A" w:themeColor="text2"/>
              </w:rPr>
              <w:t>,</w:t>
            </w:r>
            <w:r w:rsidRPr="00CB467D">
              <w:rPr>
                <w:color w:val="44546A" w:themeColor="text2"/>
              </w:rPr>
              <w:t xml:space="preserve"> Hospital led ICU systems. the costs are journalled into </w:t>
            </w:r>
            <w:r>
              <w:rPr>
                <w:color w:val="44546A" w:themeColor="text2"/>
              </w:rPr>
              <w:t>facility GLs and included in the costing process</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463FDFF" w14:textId="3D18266D" w:rsidR="007679A2" w:rsidRPr="00D422F0" w:rsidRDefault="00FB7B6A">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4B13EFF6" w14:textId="77777777" w:rsidR="007679A2" w:rsidRPr="00D422F0" w:rsidRDefault="007679A2">
            <w:pPr>
              <w:spacing w:before="120" w:after="120"/>
              <w:jc w:val="center"/>
              <w:cnfStyle w:val="000000000000" w:firstRow="0" w:lastRow="0" w:firstColumn="0" w:lastColumn="0" w:oddVBand="0" w:evenVBand="0" w:oddHBand="0" w:evenHBand="0" w:firstRowFirstColumn="0" w:firstRowLastColumn="0" w:lastRowFirstColumn="0" w:lastRowLastColumn="0"/>
            </w:pPr>
            <w:r w:rsidRPr="00D422F0">
              <w:rPr>
                <w:rFonts w:ascii="Segoe UI Symbol" w:hAnsi="Segoe UI Symbol" w:cs="Segoe UI Symbol"/>
                <w:lang w:val="en-US"/>
              </w:rPr>
              <w:t>✔</w:t>
            </w:r>
          </w:p>
        </w:tc>
      </w:tr>
      <w:tr w:rsidR="00034380" w:rsidRPr="00D422F0" w14:paraId="0090318C" w14:textId="77777777">
        <w:trPr>
          <w:cnfStyle w:val="010000000000" w:firstRow="0" w:lastRow="1" w:firstColumn="0" w:lastColumn="0" w:oddVBand="0" w:evenVBand="0" w:oddHBand="0" w:evenHBand="0" w:firstRowFirstColumn="0" w:firstRowLastColumn="0" w:lastRowFirstColumn="0" w:lastRowLastColumn="0"/>
          <w:trHeight w:val="290"/>
        </w:trPr>
        <w:tc>
          <w:tcPr>
            <w:cnfStyle w:val="001000000001" w:firstRow="0" w:lastRow="0" w:firstColumn="1" w:lastColumn="0" w:oddVBand="0" w:evenVBand="0" w:oddHBand="0" w:evenHBand="0" w:firstRowFirstColumn="0" w:firstRowLastColumn="0" w:lastRowFirstColumn="1" w:lastRowLastColumn="0"/>
            <w:tcW w:w="1645"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56C9F78C" w14:textId="7C4AEB9D" w:rsidR="007679A2" w:rsidRPr="00B05116" w:rsidRDefault="007679A2">
            <w:pPr>
              <w:spacing w:before="120" w:after="120"/>
              <w:rPr>
                <w:b w:val="0"/>
                <w:bCs/>
              </w:rPr>
            </w:pPr>
            <w:r w:rsidRPr="00B05116">
              <w:rPr>
                <w:b w:val="0"/>
                <w:bCs/>
                <w:color w:val="44546A" w:themeColor="text2"/>
              </w:rPr>
              <w:t xml:space="preserve">Corporate costs at </w:t>
            </w:r>
            <w:r w:rsidR="00FB7B6A" w:rsidRPr="00FB7B6A">
              <w:rPr>
                <w:b w:val="0"/>
                <w:bCs/>
                <w:color w:val="44546A" w:themeColor="text2"/>
              </w:rPr>
              <w:t xml:space="preserve">ACT </w:t>
            </w:r>
            <w:r w:rsidR="00B157F5">
              <w:rPr>
                <w:b w:val="0"/>
                <w:bCs/>
                <w:color w:val="44546A" w:themeColor="text2"/>
              </w:rPr>
              <w:t>HC</w:t>
            </w:r>
            <w:r w:rsidR="00FB7B6A" w:rsidRPr="00FB7B6A">
              <w:rPr>
                <w:b w:val="0"/>
                <w:bCs/>
                <w:color w:val="44546A" w:themeColor="text2"/>
              </w:rPr>
              <w:t>SD</w:t>
            </w:r>
          </w:p>
        </w:tc>
        <w:tc>
          <w:tcPr>
            <w:tcW w:w="1656"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1D2AA13C" w14:textId="66370E31" w:rsidR="007679A2" w:rsidRPr="00B05116" w:rsidRDefault="007679A2">
            <w:pPr>
              <w:spacing w:before="120" w:after="120"/>
              <w:cnfStyle w:val="010000000000" w:firstRow="0" w:lastRow="1" w:firstColumn="0" w:lastColumn="0" w:oddVBand="0" w:evenVBand="0" w:oddHBand="0" w:evenHBand="0" w:firstRowFirstColumn="0" w:firstRowLastColumn="0" w:lastRowFirstColumn="0" w:lastRowLastColumn="0"/>
              <w:rPr>
                <w:b w:val="0"/>
                <w:bCs/>
              </w:rPr>
            </w:pPr>
            <w:r w:rsidRPr="00B05116">
              <w:rPr>
                <w:b w:val="0"/>
                <w:bCs/>
                <w:color w:val="44546A" w:themeColor="text2"/>
              </w:rPr>
              <w:t xml:space="preserve">Not allocated to </w:t>
            </w:r>
            <w:r w:rsidR="00FB7B6A" w:rsidRPr="00FB7B6A">
              <w:rPr>
                <w:b w:val="0"/>
                <w:bCs/>
                <w:color w:val="44546A" w:themeColor="text2"/>
              </w:rPr>
              <w:t>facilities</w:t>
            </w:r>
          </w:p>
        </w:tc>
        <w:tc>
          <w:tcPr>
            <w:tcW w:w="867"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07783971" w14:textId="77777777" w:rsidR="007679A2" w:rsidRPr="00B05116" w:rsidRDefault="007679A2">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ajorHAnsi" w:hAnsiTheme="majorHAnsi"/>
                <w:b w:val="0"/>
                <w:bCs/>
              </w:rPr>
            </w:pPr>
            <w:r w:rsidRPr="00B05116">
              <w:rPr>
                <w:rFonts w:ascii="Segoe UI Symbol" w:hAnsi="Segoe UI Symbol" w:cs="Segoe UI Symbol"/>
                <w:b w:val="0"/>
                <w:bCs/>
              </w:rPr>
              <w:t>✖</w:t>
            </w:r>
          </w:p>
        </w:tc>
        <w:tc>
          <w:tcPr>
            <w:tcW w:w="831"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vAlign w:val="center"/>
          </w:tcPr>
          <w:p w14:paraId="2A4051D5" w14:textId="77777777" w:rsidR="007679A2" w:rsidRPr="00B05116" w:rsidRDefault="007679A2">
            <w:pPr>
              <w:spacing w:before="120" w:after="120"/>
              <w:jc w:val="center"/>
              <w:cnfStyle w:val="010000000000" w:firstRow="0" w:lastRow="1" w:firstColumn="0" w:lastColumn="0" w:oddVBand="0" w:evenVBand="0" w:oddHBand="0" w:evenHBand="0" w:firstRowFirstColumn="0" w:firstRowLastColumn="0" w:lastRowFirstColumn="0" w:lastRowLastColumn="0"/>
              <w:rPr>
                <w:b w:val="0"/>
                <w:bCs/>
              </w:rPr>
            </w:pPr>
            <w:r w:rsidRPr="00B05116">
              <w:rPr>
                <w:rFonts w:ascii="Segoe UI Symbol" w:hAnsi="Segoe UI Symbol" w:cs="Segoe UI Symbol"/>
                <w:b w:val="0"/>
                <w:bCs/>
                <w:lang w:val="en-US"/>
              </w:rPr>
              <w:t>✔</w:t>
            </w:r>
          </w:p>
        </w:tc>
      </w:tr>
    </w:tbl>
    <w:p w14:paraId="3B018396" w14:textId="77777777" w:rsidR="007679A2" w:rsidRDefault="007679A2">
      <w:pPr>
        <w:tabs>
          <w:tab w:val="clear" w:pos="5309"/>
        </w:tabs>
        <w:spacing w:line="279" w:lineRule="auto"/>
      </w:pPr>
    </w:p>
    <w:p w14:paraId="053C93B5" w14:textId="490355C5" w:rsidR="003477A3" w:rsidRDefault="002C4027">
      <w:pPr>
        <w:tabs>
          <w:tab w:val="clear" w:pos="5309"/>
        </w:tabs>
        <w:spacing w:line="279" w:lineRule="auto"/>
      </w:pPr>
      <w:r w:rsidRPr="002C4027">
        <w:t xml:space="preserve">ACT intends to review whether any of </w:t>
      </w:r>
      <w:r w:rsidR="000430B3">
        <w:t>HCSD’s</w:t>
      </w:r>
      <w:r w:rsidRPr="002C4027">
        <w:t xml:space="preserve"> corporate costs should be included in </w:t>
      </w:r>
      <w:r w:rsidR="000430B3">
        <w:t xml:space="preserve">the </w:t>
      </w:r>
      <w:r w:rsidRPr="002C4027">
        <w:t>LHN’s costing submissions in future rounds.</w:t>
      </w:r>
    </w:p>
    <w:p w14:paraId="282E9682" w14:textId="77777777" w:rsidR="00354BAB" w:rsidRDefault="00354BAB">
      <w:pPr>
        <w:tabs>
          <w:tab w:val="clear" w:pos="5309"/>
        </w:tabs>
        <w:spacing w:line="279" w:lineRule="auto"/>
        <w:sectPr w:rsidR="00354BAB" w:rsidSect="00F9472C">
          <w:headerReference w:type="default" r:id="rId111"/>
          <w:footnotePr>
            <w:pos w:val="beneathText"/>
          </w:footnotePr>
          <w:endnotePr>
            <w:numFmt w:val="decimal"/>
          </w:endnotePr>
          <w:pgSz w:w="11906" w:h="16838" w:code="9"/>
          <w:pgMar w:top="1440" w:right="1440" w:bottom="1440" w:left="1440" w:header="720" w:footer="720" w:gutter="0"/>
          <w:cols w:space="720"/>
          <w:docGrid w:linePitch="360"/>
        </w:sectPr>
      </w:pPr>
    </w:p>
    <w:p w14:paraId="775ADF72" w14:textId="3B9CCD91" w:rsidR="00144DC9" w:rsidRDefault="000222F0" w:rsidP="009A515B">
      <w:pPr>
        <w:pStyle w:val="Heading1"/>
      </w:pPr>
      <w:bookmarkStart w:id="41" w:name="_Toc209517824"/>
      <w:r>
        <w:lastRenderedPageBreak/>
        <w:t>Independent Health and Aged Care Pricing Authority (</w:t>
      </w:r>
      <w:r w:rsidR="00144DC9">
        <w:t>IH</w:t>
      </w:r>
      <w:r w:rsidR="00B8300B">
        <w:t>AC</w:t>
      </w:r>
      <w:r w:rsidR="00144DC9">
        <w:t>PA</w:t>
      </w:r>
      <w:r>
        <w:t>)</w:t>
      </w:r>
      <w:r w:rsidR="00144DC9">
        <w:t xml:space="preserve"> Review</w:t>
      </w:r>
      <w:bookmarkEnd w:id="41"/>
    </w:p>
    <w:p w14:paraId="6F917B19" w14:textId="77777777" w:rsidR="00851BB4" w:rsidRDefault="00851BB4" w:rsidP="00851BB4"/>
    <w:p w14:paraId="52372BB3" w14:textId="03B835AB" w:rsidR="00AD647B" w:rsidRPr="00AD647B" w:rsidRDefault="00AD647B" w:rsidP="00851BB4">
      <w:r w:rsidRPr="00AD647B">
        <w:t>A</w:t>
      </w:r>
      <w:r>
        <w:t xml:space="preserve">s part of the </w:t>
      </w:r>
      <w:r w:rsidR="00577537">
        <w:t>Independent Financial Review (</w:t>
      </w:r>
      <w:r>
        <w:t>IFR</w:t>
      </w:r>
      <w:r w:rsidR="00577537">
        <w:t>)</w:t>
      </w:r>
      <w:r>
        <w:t xml:space="preserve">, a review </w:t>
      </w:r>
      <w:r w:rsidR="00851BB4">
        <w:t xml:space="preserve">of IHACPA’s processes </w:t>
      </w:r>
      <w:r w:rsidR="0079778B">
        <w:t xml:space="preserve">to collect and prepare the </w:t>
      </w:r>
      <w:r w:rsidR="00577537">
        <w:t>National Hospital Cost Data Collection (</w:t>
      </w:r>
      <w:r w:rsidR="0079778B">
        <w:t>NHCDC</w:t>
      </w:r>
      <w:r w:rsidR="00577537">
        <w:t>)</w:t>
      </w:r>
      <w:r w:rsidR="00A86C05">
        <w:t xml:space="preserve"> </w:t>
      </w:r>
      <w:r w:rsidR="000222F0">
        <w:t xml:space="preserve">2023-24 </w:t>
      </w:r>
      <w:r w:rsidR="00851BB4">
        <w:t>was also undertaken</w:t>
      </w:r>
      <w:r w:rsidR="0079778B">
        <w:t>.</w:t>
      </w:r>
      <w:r w:rsidR="00851BB4">
        <w:t xml:space="preserve"> </w:t>
      </w:r>
      <w:r w:rsidR="00C64914">
        <w:t>The sections below summarise the findings from this component of the review.</w:t>
      </w:r>
    </w:p>
    <w:p w14:paraId="62E1B558" w14:textId="3D3C292A" w:rsidR="00144DC9" w:rsidRDefault="00144DC9" w:rsidP="00324792">
      <w:pPr>
        <w:pStyle w:val="Heading2"/>
      </w:pPr>
      <w:r>
        <w:t>IH</w:t>
      </w:r>
      <w:r w:rsidR="00B8300B">
        <w:t>AC</w:t>
      </w:r>
      <w:r>
        <w:t>PA process for the NHCDC</w:t>
      </w:r>
    </w:p>
    <w:p w14:paraId="01BB8E9E" w14:textId="0C6E2441" w:rsidR="00C444A8" w:rsidRPr="0073297E" w:rsidRDefault="00C444A8" w:rsidP="00C444A8">
      <w:r w:rsidRPr="0073297E">
        <w:t xml:space="preserve">This section sets out the role that IHACPA takes in overseeing the NHCDC process, and the activities undertaken across various teams from receipt of NHCDC to publication of the final NHCDC </w:t>
      </w:r>
      <w:r w:rsidR="000222F0">
        <w:t xml:space="preserve">national </w:t>
      </w:r>
      <w:r w:rsidRPr="0073297E">
        <w:t xml:space="preserve">dataset. This includes transformation, validation and performing </w:t>
      </w:r>
      <w:r w:rsidR="00577537">
        <w:t>quality assurance (</w:t>
      </w:r>
      <w:r w:rsidR="00F47A8B">
        <w:t>QA</w:t>
      </w:r>
      <w:r w:rsidR="00577537">
        <w:t>)</w:t>
      </w:r>
      <w:r w:rsidR="00F51BA9">
        <w:t>.</w:t>
      </w:r>
    </w:p>
    <w:p w14:paraId="135B0184" w14:textId="7C7E024F" w:rsidR="00C444A8" w:rsidRPr="0073297E" w:rsidRDefault="00C444A8" w:rsidP="00C444A8">
      <w:pPr>
        <w:rPr>
          <w:i/>
          <w:iCs/>
        </w:rPr>
      </w:pPr>
      <w:r w:rsidRPr="0073297E">
        <w:t xml:space="preserve">Four of IHACPA’s teams play a critical role in the </w:t>
      </w:r>
      <w:r w:rsidR="00C64914">
        <w:t xml:space="preserve">annual </w:t>
      </w:r>
      <w:r w:rsidRPr="0073297E">
        <w:t>NHCDC</w:t>
      </w:r>
      <w:r w:rsidR="00C64914">
        <w:t xml:space="preserve"> process</w:t>
      </w:r>
      <w:r w:rsidRPr="0073297E">
        <w:t>:</w:t>
      </w:r>
    </w:p>
    <w:p w14:paraId="2555EEB0" w14:textId="0616A153" w:rsidR="00C444A8" w:rsidRPr="0073297E" w:rsidRDefault="00663C6B" w:rsidP="00CD718C">
      <w:pPr>
        <w:pStyle w:val="ListParagraph"/>
        <w:numPr>
          <w:ilvl w:val="0"/>
          <w:numId w:val="35"/>
        </w:numPr>
        <w:rPr>
          <w:i/>
          <w:iCs/>
        </w:rPr>
      </w:pPr>
      <w:r>
        <w:t xml:space="preserve">The </w:t>
      </w:r>
      <w:r w:rsidR="00C444A8" w:rsidRPr="0073297E">
        <w:t xml:space="preserve">Hospital Costing </w:t>
      </w:r>
      <w:r>
        <w:t>team</w:t>
      </w:r>
      <w:r w:rsidR="00C444A8" w:rsidRPr="0073297E">
        <w:t xml:space="preserve"> are the overall owners of the NHCDC process and data collection. They hold relationships with jurisdiction costing teams and are the day-to-day points of contact for the NHCDC, including </w:t>
      </w:r>
      <w:r w:rsidR="006F0509">
        <w:t>coordination of</w:t>
      </w:r>
      <w:r w:rsidR="00C444A8" w:rsidRPr="0073297E">
        <w:t xml:space="preserve"> the NHCDC Advisory Committee (NAC).</w:t>
      </w:r>
      <w:r w:rsidR="00622040">
        <w:t xml:space="preserve"> They are responsible for the creation and updating of the </w:t>
      </w:r>
      <w:r w:rsidR="00577537">
        <w:t>Australian Hospital Patient Costing Standards (</w:t>
      </w:r>
      <w:r w:rsidR="00622040">
        <w:t>AHPCS</w:t>
      </w:r>
      <w:r w:rsidR="00577537">
        <w:t>)</w:t>
      </w:r>
      <w:r w:rsidR="00622040">
        <w:t xml:space="preserve">, development of the </w:t>
      </w:r>
      <w:r w:rsidR="00577537">
        <w:t>Data Request Specifications (</w:t>
      </w:r>
      <w:r w:rsidR="00622040">
        <w:t>DRS</w:t>
      </w:r>
      <w:r w:rsidR="00577537">
        <w:t>)</w:t>
      </w:r>
      <w:r w:rsidR="00622040">
        <w:t xml:space="preserve"> on an annual basis, manage</w:t>
      </w:r>
      <w:r w:rsidR="00717CAE">
        <w:t>ment of the NHCDC dashboard, and own projects that deliver improvements to the NHCDC.</w:t>
      </w:r>
    </w:p>
    <w:p w14:paraId="6CB29639" w14:textId="1439FFCA" w:rsidR="00C444A8" w:rsidRPr="0073297E" w:rsidRDefault="00663C6B" w:rsidP="00CD718C">
      <w:pPr>
        <w:pStyle w:val="ListParagraph"/>
        <w:numPr>
          <w:ilvl w:val="0"/>
          <w:numId w:val="35"/>
        </w:numPr>
        <w:rPr>
          <w:i/>
          <w:iCs/>
        </w:rPr>
      </w:pPr>
      <w:r>
        <w:t xml:space="preserve">The </w:t>
      </w:r>
      <w:r w:rsidR="00C444A8" w:rsidRPr="0073297E">
        <w:t xml:space="preserve">Data Acquisition team are responsible for maintaining the </w:t>
      </w:r>
      <w:r w:rsidR="00502580">
        <w:t xml:space="preserve">NHCDC </w:t>
      </w:r>
      <w:r w:rsidR="00C444A8" w:rsidRPr="0073297E">
        <w:t>data portal and for performing the Extract, Transform, Load (ETL) process. They perform data cleansing and summarise NHCDC outputs</w:t>
      </w:r>
      <w:r w:rsidR="008C6D38">
        <w:t xml:space="preserve"> and artefacts</w:t>
      </w:r>
      <w:r w:rsidR="00902EC1">
        <w:t xml:space="preserve"> (e.g.</w:t>
      </w:r>
      <w:r w:rsidR="00391760">
        <w:t>,</w:t>
      </w:r>
      <w:r w:rsidR="00902EC1">
        <w:t xml:space="preserve"> data reconciliation reports)</w:t>
      </w:r>
      <w:r w:rsidR="008C6D38">
        <w:t>, providing them to other teams within IHACPA and</w:t>
      </w:r>
      <w:r w:rsidR="00902EC1">
        <w:t xml:space="preserve"> to jurisdictions.</w:t>
      </w:r>
      <w:r w:rsidR="00C444A8" w:rsidRPr="0073297E">
        <w:t xml:space="preserve"> They are responsible for several processes after jurisdictions submit within the data warehouse. They do not amend source data.</w:t>
      </w:r>
    </w:p>
    <w:p w14:paraId="1A3A0311" w14:textId="03D995A7" w:rsidR="00C444A8" w:rsidRPr="0073297E" w:rsidRDefault="00305D6A" w:rsidP="00CD718C">
      <w:pPr>
        <w:pStyle w:val="ListParagraph"/>
        <w:numPr>
          <w:ilvl w:val="0"/>
          <w:numId w:val="35"/>
        </w:numPr>
        <w:rPr>
          <w:i/>
          <w:iCs/>
        </w:rPr>
      </w:pPr>
      <w:r>
        <w:t>The</w:t>
      </w:r>
      <w:r w:rsidR="00C444A8" w:rsidRPr="0073297E" w:rsidDel="00C67485">
        <w:t xml:space="preserve"> </w:t>
      </w:r>
      <w:r w:rsidR="00C444A8" w:rsidRPr="0073297E">
        <w:t>Analytics team perform QA on the NHCDC dataset after submission, once IHACPA’s transformations are complete. They conduct a variety of checks and high-level analys</w:t>
      </w:r>
      <w:r w:rsidR="00C444A8">
        <w:t>e</w:t>
      </w:r>
      <w:r w:rsidR="00C444A8" w:rsidRPr="0073297E">
        <w:t>s on NHCDC movements year-to-year.</w:t>
      </w:r>
    </w:p>
    <w:p w14:paraId="3E946E7B" w14:textId="1A15675A" w:rsidR="00C444A8" w:rsidRPr="0073297E" w:rsidRDefault="00C444A8" w:rsidP="00CD718C">
      <w:pPr>
        <w:pStyle w:val="ListParagraph"/>
        <w:numPr>
          <w:ilvl w:val="0"/>
          <w:numId w:val="35"/>
        </w:numPr>
      </w:pPr>
      <w:r w:rsidRPr="0073297E">
        <w:t xml:space="preserve">IHACPA’s </w:t>
      </w:r>
      <w:r w:rsidR="00AF7A8C">
        <w:t>P</w:t>
      </w:r>
      <w:r w:rsidRPr="0073297E">
        <w:t xml:space="preserve">ricing team </w:t>
      </w:r>
      <w:r w:rsidR="002B2AE9">
        <w:t xml:space="preserve">is a key user of the NHCDC data and </w:t>
      </w:r>
      <w:r w:rsidRPr="0073297E">
        <w:t>perform a further level of analysis downstream, looking at in-scope costs and performing analysis specific to pricing purposes.</w:t>
      </w:r>
    </w:p>
    <w:p w14:paraId="5F5F2D36" w14:textId="77777777" w:rsidR="00C444A8" w:rsidRPr="0073297E" w:rsidRDefault="00C444A8" w:rsidP="00C444A8">
      <w:r w:rsidRPr="0073297E">
        <w:t>The key processes performed by these teams are set out below.</w:t>
      </w:r>
    </w:p>
    <w:p w14:paraId="053B0F08" w14:textId="2FF8BB8F" w:rsidR="003F4C0F" w:rsidRDefault="008438B9" w:rsidP="008438B9">
      <w:pPr>
        <w:pStyle w:val="Heading3"/>
      </w:pPr>
      <w:r>
        <w:t>NHCDC timeframes</w:t>
      </w:r>
    </w:p>
    <w:p w14:paraId="5BF3528A" w14:textId="7B6E9B83" w:rsidR="008438B9" w:rsidRDefault="000C67FC" w:rsidP="00856ABF">
      <w:r w:rsidRPr="0073297E">
        <w:t xml:space="preserve">The timeframes for the NHCDC </w:t>
      </w:r>
      <w:r w:rsidR="00470C15">
        <w:t>2023-24</w:t>
      </w:r>
      <w:r w:rsidR="00470C15" w:rsidRPr="0073297E">
        <w:t xml:space="preserve"> </w:t>
      </w:r>
      <w:r w:rsidRPr="0073297E">
        <w:t xml:space="preserve">costing are published in </w:t>
      </w:r>
      <w:hyperlink r:id="rId112" w:history="1">
        <w:r w:rsidRPr="00824E90">
          <w:rPr>
            <w:rStyle w:val="Hyperlink"/>
          </w:rPr>
          <w:t>IHACPA’s Three Year Data Plan</w:t>
        </w:r>
      </w:hyperlink>
      <w:r w:rsidRPr="0073297E">
        <w:t>, and are set out below:</w:t>
      </w:r>
    </w:p>
    <w:p w14:paraId="687CED53" w14:textId="00162AA5" w:rsidR="0034558A" w:rsidRDefault="0034558A" w:rsidP="0034558A">
      <w:pPr>
        <w:pStyle w:val="Caption"/>
        <w:keepNext/>
      </w:pPr>
      <w:r>
        <w:lastRenderedPageBreak/>
        <w:t xml:space="preserve">Table </w:t>
      </w:r>
      <w:r>
        <w:fldChar w:fldCharType="begin"/>
      </w:r>
      <w:r>
        <w:instrText xml:space="preserve"> SEQ Table \* ARABIC </w:instrText>
      </w:r>
      <w:r>
        <w:fldChar w:fldCharType="separate"/>
      </w:r>
      <w:r w:rsidR="00CE6F96">
        <w:rPr>
          <w:noProof/>
        </w:rPr>
        <w:t>32</w:t>
      </w:r>
      <w:r>
        <w:fldChar w:fldCharType="end"/>
      </w:r>
      <w:r>
        <w:t xml:space="preserve">: </w:t>
      </w:r>
      <w:r w:rsidRPr="000D1C09">
        <w:t xml:space="preserve">Key dates in the NHCDC </w:t>
      </w:r>
      <w:r w:rsidR="00470C15" w:rsidRPr="000D1C09">
        <w:t>2023-24</w:t>
      </w:r>
    </w:p>
    <w:tbl>
      <w:tblPr>
        <w:tblStyle w:val="ScyneTable"/>
        <w:tblW w:w="4967" w:type="pct"/>
        <w:tblInd w:w="3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6E0" w:firstRow="1" w:lastRow="1" w:firstColumn="1" w:lastColumn="0" w:noHBand="1" w:noVBand="1"/>
      </w:tblPr>
      <w:tblGrid>
        <w:gridCol w:w="2241"/>
        <w:gridCol w:w="2241"/>
        <w:gridCol w:w="2242"/>
        <w:gridCol w:w="2242"/>
      </w:tblGrid>
      <w:tr w:rsidR="00034380" w:rsidRPr="00D422F0" w14:paraId="35F09322" w14:textId="77777777" w:rsidTr="009A1B27">
        <w:trPr>
          <w:cnfStyle w:val="100000000000" w:firstRow="1" w:lastRow="0" w:firstColumn="0" w:lastColumn="0" w:oddVBand="0" w:evenVBand="0" w:oddHBand="0" w:evenHBand="0" w:firstRowFirstColumn="0" w:firstRowLastColumn="0" w:lastRowFirstColumn="0" w:lastRowLastColumn="0"/>
          <w:trHeight w:val="500"/>
        </w:trPr>
        <w:tc>
          <w:tcPr>
            <w:cnfStyle w:val="001000000100" w:firstRow="0" w:lastRow="0" w:firstColumn="1" w:lastColumn="0" w:oddVBand="0" w:evenVBand="0" w:oddHBand="0" w:evenHBand="0" w:firstRowFirstColumn="1" w:firstRowLastColumn="0" w:lastRowFirstColumn="0" w:lastRowLastColumn="0"/>
            <w:tcW w:w="1250" w:type="pct"/>
            <w:tcBorders>
              <w:bottom w:val="single" w:sz="18" w:space="0" w:color="EFF0F7" w:themeColor="accent4" w:themeTint="33"/>
            </w:tcBorders>
            <w:shd w:val="clear" w:color="auto" w:fill="464E7E" w:themeFill="accent2"/>
            <w:vAlign w:val="center"/>
            <w:hideMark/>
          </w:tcPr>
          <w:p w14:paraId="0703B64D" w14:textId="53C98833" w:rsidR="004936F7" w:rsidRPr="00D422F0" w:rsidRDefault="009A1B27" w:rsidP="009A1B27">
            <w:pPr>
              <w:pStyle w:val="TableNormalColumnHeading"/>
              <w:jc w:val="center"/>
              <w:rPr>
                <w:rFonts w:asciiTheme="majorHAnsi" w:hAnsiTheme="majorHAnsi"/>
                <w:snapToGrid/>
                <w:sz w:val="20"/>
                <w:lang w:eastAsia="en-AU"/>
              </w:rPr>
            </w:pPr>
            <w:r w:rsidRPr="0073297E">
              <w:rPr>
                <w:rFonts w:asciiTheme="majorHAnsi" w:hAnsiTheme="majorHAnsi"/>
                <w:b w:val="0"/>
                <w:sz w:val="20"/>
              </w:rPr>
              <w:t xml:space="preserve">Data Request </w:t>
            </w:r>
            <w:r w:rsidR="00D514EE">
              <w:rPr>
                <w:rFonts w:asciiTheme="majorHAnsi" w:hAnsiTheme="majorHAnsi"/>
                <w:b w:val="0"/>
                <w:sz w:val="20"/>
              </w:rPr>
              <w:t>Sent</w:t>
            </w:r>
          </w:p>
        </w:tc>
        <w:tc>
          <w:tcPr>
            <w:tcW w:w="1250" w:type="pct"/>
            <w:tcBorders>
              <w:bottom w:val="single" w:sz="18" w:space="0" w:color="EFF0F7" w:themeColor="accent4" w:themeTint="33"/>
            </w:tcBorders>
            <w:shd w:val="clear" w:color="auto" w:fill="464E7E" w:themeFill="accent2"/>
            <w:vAlign w:val="center"/>
            <w:hideMark/>
          </w:tcPr>
          <w:p w14:paraId="34755DC6" w14:textId="681A9399" w:rsidR="004936F7" w:rsidRPr="00D422F0" w:rsidRDefault="009A1B27" w:rsidP="009A1B27">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73297E">
              <w:rPr>
                <w:rFonts w:asciiTheme="majorHAnsi" w:hAnsiTheme="majorHAnsi"/>
                <w:b w:val="0"/>
                <w:sz w:val="20"/>
              </w:rPr>
              <w:t xml:space="preserve">Data Portal </w:t>
            </w:r>
            <w:r w:rsidR="00D514EE">
              <w:rPr>
                <w:rFonts w:asciiTheme="majorHAnsi" w:hAnsiTheme="majorHAnsi"/>
                <w:b w:val="0"/>
                <w:sz w:val="20"/>
              </w:rPr>
              <w:t>O</w:t>
            </w:r>
            <w:r w:rsidRPr="0073297E">
              <w:rPr>
                <w:rFonts w:asciiTheme="majorHAnsi" w:hAnsiTheme="majorHAnsi"/>
                <w:b w:val="0"/>
                <w:sz w:val="20"/>
              </w:rPr>
              <w:t>pened</w:t>
            </w:r>
          </w:p>
        </w:tc>
        <w:tc>
          <w:tcPr>
            <w:tcW w:w="1250" w:type="pct"/>
            <w:tcBorders>
              <w:bottom w:val="single" w:sz="18" w:space="0" w:color="EFF0F7" w:themeColor="accent4" w:themeTint="33"/>
            </w:tcBorders>
            <w:shd w:val="clear" w:color="auto" w:fill="464E7E" w:themeFill="accent2"/>
            <w:vAlign w:val="center"/>
            <w:hideMark/>
          </w:tcPr>
          <w:p w14:paraId="159B3871" w14:textId="02D3A010" w:rsidR="004936F7" w:rsidRPr="00D422F0" w:rsidRDefault="00D514EE">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Pr>
                <w:rFonts w:asciiTheme="majorHAnsi" w:hAnsiTheme="majorHAnsi"/>
                <w:b w:val="0"/>
                <w:sz w:val="20"/>
              </w:rPr>
              <w:t>Submission Date</w:t>
            </w:r>
          </w:p>
        </w:tc>
        <w:tc>
          <w:tcPr>
            <w:tcW w:w="1250" w:type="pct"/>
            <w:tcBorders>
              <w:bottom w:val="single" w:sz="18" w:space="0" w:color="EFF0F7" w:themeColor="accent4" w:themeTint="33"/>
            </w:tcBorders>
            <w:shd w:val="clear" w:color="auto" w:fill="464E7E" w:themeFill="accent2"/>
            <w:vAlign w:val="center"/>
            <w:hideMark/>
          </w:tcPr>
          <w:p w14:paraId="7ED113C6" w14:textId="26A48480" w:rsidR="004936F7" w:rsidRPr="00D422F0" w:rsidRDefault="009A1B27">
            <w:pPr>
              <w:pStyle w:val="TableNormalColumnHead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napToGrid/>
                <w:sz w:val="20"/>
                <w:lang w:eastAsia="en-AU"/>
              </w:rPr>
            </w:pPr>
            <w:r w:rsidRPr="0073297E">
              <w:rPr>
                <w:rFonts w:asciiTheme="majorHAnsi" w:hAnsiTheme="majorHAnsi"/>
                <w:b w:val="0"/>
                <w:sz w:val="20"/>
              </w:rPr>
              <w:t xml:space="preserve">IHACPA </w:t>
            </w:r>
            <w:r w:rsidR="00D514EE">
              <w:rPr>
                <w:rFonts w:asciiTheme="majorHAnsi" w:hAnsiTheme="majorHAnsi"/>
                <w:b w:val="0"/>
                <w:sz w:val="20"/>
              </w:rPr>
              <w:t xml:space="preserve">Review Date / </w:t>
            </w:r>
            <w:r w:rsidRPr="0073297E">
              <w:rPr>
                <w:rFonts w:asciiTheme="majorHAnsi" w:hAnsiTheme="majorHAnsi"/>
                <w:b w:val="0"/>
                <w:sz w:val="20"/>
              </w:rPr>
              <w:t>ETL process</w:t>
            </w:r>
          </w:p>
        </w:tc>
      </w:tr>
      <w:tr w:rsidR="00034380" w:rsidRPr="00D422F0" w14:paraId="22DDFADA" w14:textId="77777777" w:rsidTr="00B015B0">
        <w:trPr>
          <w:cnfStyle w:val="010000000000" w:firstRow="0" w:lastRow="1" w:firstColumn="0" w:lastColumn="0" w:oddVBand="0" w:evenVBand="0" w:oddHBand="0" w:evenHBand="0" w:firstRowFirstColumn="0" w:firstRowLastColumn="0" w:lastRowFirstColumn="0" w:lastRowLastColumn="0"/>
          <w:trHeight w:val="42"/>
        </w:trPr>
        <w:tc>
          <w:tcPr>
            <w:cnfStyle w:val="001000000001" w:firstRow="0" w:lastRow="0" w:firstColumn="1" w:lastColumn="0" w:oddVBand="0" w:evenVBand="0" w:oddHBand="0" w:evenHBand="0" w:firstRowFirstColumn="0" w:firstRowLastColumn="0" w:lastRowFirstColumn="1" w:lastRowLastColumn="0"/>
            <w:tcW w:w="12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hideMark/>
          </w:tcPr>
          <w:p w14:paraId="69495119" w14:textId="46DACC81" w:rsidR="004936F7" w:rsidRPr="009A1B27" w:rsidRDefault="009A1B27" w:rsidP="009A1B27">
            <w:pPr>
              <w:spacing w:before="120" w:after="120"/>
              <w:jc w:val="center"/>
              <w:rPr>
                <w:rFonts w:asciiTheme="minorHAnsi" w:hAnsiTheme="minorHAnsi"/>
                <w:b w:val="0"/>
                <w:lang w:val="en-GB"/>
              </w:rPr>
            </w:pPr>
            <w:r w:rsidRPr="009A1B27">
              <w:rPr>
                <w:rFonts w:asciiTheme="minorHAnsi" w:hAnsiTheme="minorHAnsi"/>
                <w:b w:val="0"/>
                <w:bCs/>
              </w:rPr>
              <w:t>31 Jul 2024</w:t>
            </w:r>
          </w:p>
        </w:tc>
        <w:tc>
          <w:tcPr>
            <w:tcW w:w="12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3CB90C71" w14:textId="46B95101" w:rsidR="004936F7" w:rsidRPr="009A1B27" w:rsidRDefault="00C67485" w:rsidP="009A1B27">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bCs/>
              </w:rPr>
              <w:t>3</w:t>
            </w:r>
            <w:r w:rsidR="009A1B27" w:rsidRPr="009A1B27">
              <w:rPr>
                <w:rFonts w:asciiTheme="minorHAnsi" w:hAnsiTheme="minorHAnsi"/>
                <w:b w:val="0"/>
                <w:bCs/>
              </w:rPr>
              <w:t xml:space="preserve"> Jan 2025</w:t>
            </w:r>
          </w:p>
        </w:tc>
        <w:tc>
          <w:tcPr>
            <w:tcW w:w="12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221F1528" w14:textId="5226C1B0" w:rsidR="004936F7" w:rsidRPr="009A1B27" w:rsidRDefault="009A1B27">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sidRPr="009A1B27">
              <w:rPr>
                <w:rFonts w:asciiTheme="minorHAnsi" w:hAnsiTheme="minorHAnsi"/>
                <w:b w:val="0"/>
                <w:bCs/>
              </w:rPr>
              <w:t>28 Feb 2025</w:t>
            </w:r>
          </w:p>
        </w:tc>
        <w:tc>
          <w:tcPr>
            <w:tcW w:w="1250" w:type="pct"/>
            <w:tcBorders>
              <w:top w:val="single" w:sz="18" w:space="0" w:color="EFF0F7" w:themeColor="accent4" w:themeTint="33"/>
              <w:left w:val="single" w:sz="18" w:space="0" w:color="EFF0F7" w:themeColor="accent4" w:themeTint="33"/>
              <w:bottom w:val="single" w:sz="18" w:space="0" w:color="EFF0F7" w:themeColor="accent4" w:themeTint="33"/>
              <w:right w:val="single" w:sz="18" w:space="0" w:color="EFF0F7" w:themeColor="accent4" w:themeTint="33"/>
            </w:tcBorders>
            <w:shd w:val="clear" w:color="auto" w:fill="EFF0F7" w:themeFill="accent4" w:themeFillTint="33"/>
            <w:vAlign w:val="center"/>
          </w:tcPr>
          <w:p w14:paraId="1D7B6BA9" w14:textId="6601AB04" w:rsidR="004936F7" w:rsidRPr="009A1B27" w:rsidRDefault="009A1B27">
            <w:pPr>
              <w:spacing w:before="120" w:after="1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rPr>
            </w:pPr>
            <w:r w:rsidRPr="009A1B27">
              <w:rPr>
                <w:rFonts w:asciiTheme="minorHAnsi" w:hAnsiTheme="minorHAnsi"/>
                <w:b w:val="0"/>
                <w:bCs/>
              </w:rPr>
              <w:t>14 Mar 2025</w:t>
            </w:r>
          </w:p>
        </w:tc>
      </w:tr>
    </w:tbl>
    <w:p w14:paraId="43C8B67B" w14:textId="045FD0B0" w:rsidR="00846364" w:rsidRDefault="00BF53C9" w:rsidP="00BF53C9">
      <w:pPr>
        <w:keepNext/>
        <w:rPr>
          <w:rStyle w:val="CommentReference"/>
        </w:rPr>
      </w:pPr>
      <w:r>
        <w:t xml:space="preserve"> </w:t>
      </w:r>
      <w:r w:rsidR="00F87BD4" w:rsidRPr="0073297E">
        <w:t xml:space="preserve">In </w:t>
      </w:r>
      <w:r w:rsidR="00327355">
        <w:t>2023-24</w:t>
      </w:r>
      <w:r w:rsidR="00F87BD4" w:rsidRPr="0073297E">
        <w:t xml:space="preserve"> there </w:t>
      </w:r>
      <w:r w:rsidR="006638D7">
        <w:t>were several</w:t>
      </w:r>
      <w:r w:rsidR="00F87BD4" w:rsidRPr="0073297E">
        <w:t xml:space="preserve"> delays and extensions to published timeframes</w:t>
      </w:r>
      <w:r w:rsidR="008C1F06">
        <w:t xml:space="preserve"> due </w:t>
      </w:r>
      <w:r w:rsidR="00846364">
        <w:t>to</w:t>
      </w:r>
      <w:r w:rsidR="00846364">
        <w:rPr>
          <w:rStyle w:val="CommentReference"/>
        </w:rPr>
        <w:t xml:space="preserve"> </w:t>
      </w:r>
    </w:p>
    <w:p w14:paraId="5EE60902" w14:textId="6AD5AD4E" w:rsidR="00F87BD4" w:rsidRPr="0073297E" w:rsidRDefault="00F87BD4" w:rsidP="00EC0C63">
      <w:pPr>
        <w:pStyle w:val="ListParagraph"/>
        <w:keepNext/>
        <w:numPr>
          <w:ilvl w:val="0"/>
          <w:numId w:val="96"/>
        </w:numPr>
      </w:pPr>
      <w:r w:rsidRPr="00EC0C63">
        <w:rPr>
          <w:rStyle w:val="CommentReference"/>
          <w:sz w:val="20"/>
          <w:szCs w:val="20"/>
        </w:rPr>
        <w:t>m</w:t>
      </w:r>
      <w:r w:rsidRPr="0073297E">
        <w:t>aterial errors</w:t>
      </w:r>
      <w:r>
        <w:t xml:space="preserve"> identified</w:t>
      </w:r>
      <w:r w:rsidRPr="0073297E">
        <w:t xml:space="preserve"> through the QA process (identified either at the jurisdiction, IHACPA or ad hoc analysis) requiring resubmission of data</w:t>
      </w:r>
      <w:r w:rsidR="00846364">
        <w:t>;</w:t>
      </w:r>
    </w:p>
    <w:p w14:paraId="39F46AE4" w14:textId="315CA26B" w:rsidR="00F87BD4" w:rsidRDefault="00F87BD4" w:rsidP="00B54383">
      <w:pPr>
        <w:pStyle w:val="ListParagraph"/>
        <w:keepNext/>
        <w:numPr>
          <w:ilvl w:val="0"/>
          <w:numId w:val="96"/>
        </w:numPr>
        <w:rPr>
          <w:rStyle w:val="CommentReference"/>
          <w:sz w:val="20"/>
          <w:szCs w:val="20"/>
        </w:rPr>
      </w:pPr>
      <w:r w:rsidRPr="00B54383">
        <w:rPr>
          <w:rStyle w:val="CommentReference"/>
          <w:sz w:val="20"/>
          <w:szCs w:val="20"/>
        </w:rPr>
        <w:t>competing priorities within</w:t>
      </w:r>
      <w:r w:rsidR="00FA2CC6">
        <w:rPr>
          <w:rStyle w:val="CommentReference"/>
          <w:sz w:val="20"/>
          <w:szCs w:val="20"/>
        </w:rPr>
        <w:t xml:space="preserve"> jurisdictional</w:t>
      </w:r>
      <w:r w:rsidRPr="00B54383">
        <w:rPr>
          <w:rStyle w:val="CommentReference"/>
          <w:sz w:val="20"/>
          <w:szCs w:val="20"/>
        </w:rPr>
        <w:t xml:space="preserve"> costing teams and the broader health service ecosystem including </w:t>
      </w:r>
      <w:r w:rsidR="00912F77" w:rsidRPr="00B54383">
        <w:rPr>
          <w:rStyle w:val="CommentReference"/>
          <w:sz w:val="20"/>
          <w:szCs w:val="20"/>
        </w:rPr>
        <w:t>electronic medical record (</w:t>
      </w:r>
      <w:r w:rsidR="003A1B7F" w:rsidRPr="00B54383">
        <w:rPr>
          <w:rStyle w:val="CommentReference"/>
          <w:sz w:val="20"/>
          <w:szCs w:val="20"/>
        </w:rPr>
        <w:t>e</w:t>
      </w:r>
      <w:r w:rsidRPr="00B54383">
        <w:rPr>
          <w:rStyle w:val="CommentReference"/>
          <w:sz w:val="20"/>
          <w:szCs w:val="20"/>
        </w:rPr>
        <w:t>MR</w:t>
      </w:r>
      <w:r w:rsidR="00912F77" w:rsidRPr="00B54383">
        <w:rPr>
          <w:rStyle w:val="CommentReference"/>
          <w:sz w:val="20"/>
          <w:szCs w:val="20"/>
        </w:rPr>
        <w:t>)</w:t>
      </w:r>
      <w:r w:rsidRPr="00B54383">
        <w:rPr>
          <w:rStyle w:val="CommentReference"/>
          <w:sz w:val="20"/>
          <w:szCs w:val="20"/>
        </w:rPr>
        <w:t xml:space="preserve"> implementations, data warehouse changes and costing system implementations) </w:t>
      </w:r>
      <w:r w:rsidR="00E96993">
        <w:rPr>
          <w:rStyle w:val="CommentReference"/>
          <w:sz w:val="20"/>
          <w:szCs w:val="20"/>
        </w:rPr>
        <w:t>that</w:t>
      </w:r>
      <w:r w:rsidR="00E96993" w:rsidRPr="00B54383">
        <w:rPr>
          <w:rStyle w:val="CommentReference"/>
          <w:sz w:val="20"/>
          <w:szCs w:val="20"/>
        </w:rPr>
        <w:t xml:space="preserve"> </w:t>
      </w:r>
      <w:r w:rsidRPr="00B54383">
        <w:rPr>
          <w:rStyle w:val="CommentReference"/>
          <w:sz w:val="20"/>
          <w:szCs w:val="20"/>
        </w:rPr>
        <w:t xml:space="preserve">impacted the availability and timeliness of </w:t>
      </w:r>
      <w:r w:rsidR="00FA2CC6">
        <w:rPr>
          <w:rStyle w:val="CommentReference"/>
          <w:sz w:val="20"/>
          <w:szCs w:val="20"/>
        </w:rPr>
        <w:t xml:space="preserve">costing </w:t>
      </w:r>
      <w:r w:rsidRPr="00B54383">
        <w:rPr>
          <w:rStyle w:val="CommentReference"/>
          <w:sz w:val="20"/>
          <w:szCs w:val="20"/>
        </w:rPr>
        <w:t>data</w:t>
      </w:r>
      <w:r w:rsidR="00FA2CC6">
        <w:rPr>
          <w:rStyle w:val="CommentReference"/>
          <w:sz w:val="20"/>
          <w:szCs w:val="20"/>
        </w:rPr>
        <w:t xml:space="preserve"> being submitted to IHACPA</w:t>
      </w:r>
      <w:r w:rsidR="00800D67" w:rsidRPr="00B54383">
        <w:rPr>
          <w:rStyle w:val="CommentReference"/>
          <w:sz w:val="20"/>
          <w:szCs w:val="20"/>
        </w:rPr>
        <w:t>.</w:t>
      </w:r>
    </w:p>
    <w:p w14:paraId="1AF13C29" w14:textId="4CD14336" w:rsidR="00C61C0C" w:rsidRPr="00C61C0C" w:rsidRDefault="00C61C0C" w:rsidP="00B1445C">
      <w:pPr>
        <w:keepNext/>
        <w:rPr>
          <w:rStyle w:val="CommentReference"/>
          <w:sz w:val="20"/>
          <w:szCs w:val="20"/>
        </w:rPr>
      </w:pPr>
      <w:r w:rsidRPr="00C61C0C">
        <w:rPr>
          <w:rStyle w:val="CommentReference"/>
          <w:sz w:val="20"/>
          <w:szCs w:val="20"/>
        </w:rPr>
        <w:t xml:space="preserve">As a result, IHACPA did not receive a full NHCDC national submission until </w:t>
      </w:r>
      <w:r>
        <w:rPr>
          <w:rStyle w:val="CommentReference"/>
          <w:sz w:val="20"/>
          <w:szCs w:val="20"/>
        </w:rPr>
        <w:t>November</w:t>
      </w:r>
      <w:r w:rsidRPr="00C61C0C">
        <w:rPr>
          <w:rStyle w:val="CommentReference"/>
          <w:sz w:val="20"/>
          <w:szCs w:val="20"/>
        </w:rPr>
        <w:t xml:space="preserve"> 2025.</w:t>
      </w:r>
    </w:p>
    <w:p w14:paraId="6FF10BF5" w14:textId="76CEB647" w:rsidR="00CD0BCF" w:rsidRDefault="002E4616" w:rsidP="002E4616">
      <w:pPr>
        <w:pStyle w:val="Heading3"/>
      </w:pPr>
      <w:r>
        <w:t xml:space="preserve">Detailed </w:t>
      </w:r>
      <w:r w:rsidR="00CD0BCF">
        <w:t xml:space="preserve">IHACPA </w:t>
      </w:r>
      <w:r>
        <w:t>NHCDC process</w:t>
      </w:r>
    </w:p>
    <w:p w14:paraId="5F1FE4D4" w14:textId="74910AFA" w:rsidR="00F87BD4" w:rsidRPr="003226E9" w:rsidRDefault="00F87BD4" w:rsidP="008E637B">
      <w:pPr>
        <w:rPr>
          <w:u w:val="single"/>
        </w:rPr>
      </w:pPr>
      <w:r w:rsidRPr="003226E9">
        <w:rPr>
          <w:u w:val="single"/>
        </w:rPr>
        <w:t>Stage 0: Providing DRS and preparing the Data Portal</w:t>
      </w:r>
    </w:p>
    <w:p w14:paraId="659A8BF4" w14:textId="086442F8" w:rsidR="00F87BD4" w:rsidRPr="003226E9" w:rsidRDefault="00F87BD4" w:rsidP="00F87BD4">
      <w:r w:rsidRPr="003226E9">
        <w:t>IHACPA maintains a</w:t>
      </w:r>
      <w:r w:rsidR="00184B55" w:rsidRPr="003226E9">
        <w:t xml:space="preserve"> NHCDC</w:t>
      </w:r>
      <w:r w:rsidRPr="003226E9">
        <w:t xml:space="preserve"> </w:t>
      </w:r>
      <w:r w:rsidR="00184B55" w:rsidRPr="003226E9">
        <w:t>D</w:t>
      </w:r>
      <w:r w:rsidRPr="003226E9">
        <w:t xml:space="preserve">ata </w:t>
      </w:r>
      <w:r w:rsidR="00184B55" w:rsidRPr="003226E9">
        <w:t>P</w:t>
      </w:r>
      <w:r w:rsidRPr="003226E9">
        <w:t>ortal which is a secure environment for the transfer of cost and activity data.</w:t>
      </w:r>
    </w:p>
    <w:p w14:paraId="73497E59" w14:textId="49CFA867" w:rsidR="004746AD" w:rsidRDefault="004C024C" w:rsidP="008E637B">
      <w:pPr>
        <w:rPr>
          <w:u w:val="single"/>
        </w:rPr>
      </w:pPr>
      <w:r w:rsidRPr="003226E9">
        <w:rPr>
          <w:noProof/>
        </w:rPr>
        <mc:AlternateContent>
          <mc:Choice Requires="wps">
            <w:drawing>
              <wp:anchor distT="0" distB="0" distL="114300" distR="114300" simplePos="0" relativeHeight="251658254" behindDoc="0" locked="0" layoutInCell="1" allowOverlap="1" wp14:anchorId="7012BA02" wp14:editId="61946A3E">
                <wp:simplePos x="0" y="0"/>
                <wp:positionH relativeFrom="margin">
                  <wp:align>left</wp:align>
                </wp:positionH>
                <wp:positionV relativeFrom="paragraph">
                  <wp:posOffset>1301115</wp:posOffset>
                </wp:positionV>
                <wp:extent cx="5715000" cy="1285240"/>
                <wp:effectExtent l="0" t="0" r="0" b="0"/>
                <wp:wrapTopAndBottom/>
                <wp:docPr id="229009438" name="Text Box 2" descr="P3178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85240"/>
                        </a:xfrm>
                        <a:prstGeom prst="rect">
                          <a:avLst/>
                        </a:prstGeom>
                        <a:solidFill>
                          <a:schemeClr val="accent2">
                            <a:lumMod val="75000"/>
                          </a:schemeClr>
                        </a:solidFill>
                        <a:ln>
                          <a:noFill/>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1463358" w14:textId="5B7FB8E9" w:rsidR="00812438" w:rsidRDefault="000339D2" w:rsidP="000339D2">
                            <w:pPr>
                              <w:pStyle w:val="Tablebulletpoint"/>
                              <w:rPr>
                                <w:color w:val="FFFFFF" w:themeColor="background1"/>
                              </w:rPr>
                            </w:pPr>
                            <w:r w:rsidRPr="000339D2">
                              <w:rPr>
                                <w:color w:val="FFFFFF" w:themeColor="background1"/>
                              </w:rPr>
                              <w:t xml:space="preserve">The most significant change in </w:t>
                            </w:r>
                            <w:r>
                              <w:rPr>
                                <w:color w:val="FFFFFF" w:themeColor="background1"/>
                              </w:rPr>
                              <w:t xml:space="preserve">the DRS for NHCDC </w:t>
                            </w:r>
                            <w:r w:rsidRPr="000339D2">
                              <w:rPr>
                                <w:color w:val="FFFFFF" w:themeColor="background1"/>
                              </w:rPr>
                              <w:t xml:space="preserve">2023-24 was the removal the </w:t>
                            </w:r>
                            <w:r w:rsidR="00AF79A2">
                              <w:rPr>
                                <w:color w:val="FFFFFF" w:themeColor="background1"/>
                              </w:rPr>
                              <w:t>emergency department (</w:t>
                            </w:r>
                            <w:r w:rsidRPr="000339D2">
                              <w:rPr>
                                <w:color w:val="FFFFFF" w:themeColor="background1"/>
                              </w:rPr>
                              <w:t>ED</w:t>
                            </w:r>
                            <w:r w:rsidR="00AF79A2">
                              <w:rPr>
                                <w:color w:val="FFFFFF" w:themeColor="background1"/>
                              </w:rPr>
                              <w:t>)</w:t>
                            </w:r>
                            <w:r w:rsidRPr="000339D2">
                              <w:rPr>
                                <w:color w:val="FFFFFF" w:themeColor="background1"/>
                              </w:rPr>
                              <w:t xml:space="preserve"> </w:t>
                            </w:r>
                            <w:r w:rsidR="004A1564">
                              <w:rPr>
                                <w:color w:val="FFFFFF" w:themeColor="background1"/>
                              </w:rPr>
                              <w:t>C</w:t>
                            </w:r>
                            <w:r w:rsidRPr="000339D2">
                              <w:rPr>
                                <w:color w:val="FFFFFF" w:themeColor="background1"/>
                              </w:rPr>
                              <w:t xml:space="preserve">ost </w:t>
                            </w:r>
                            <w:r w:rsidR="004A1564">
                              <w:rPr>
                                <w:color w:val="FFFFFF" w:themeColor="background1"/>
                              </w:rPr>
                              <w:t>B</w:t>
                            </w:r>
                            <w:r w:rsidRPr="000339D2">
                              <w:rPr>
                                <w:color w:val="FFFFFF" w:themeColor="background1"/>
                              </w:rPr>
                              <w:t>ucket to facilitate more meaningful analysis into cost drivers of the ED stream.</w:t>
                            </w:r>
                          </w:p>
                          <w:p w14:paraId="670103C9" w14:textId="4078E7FB" w:rsidR="000C606D" w:rsidRPr="001729F2" w:rsidRDefault="000C606D" w:rsidP="000339D2">
                            <w:pPr>
                              <w:pStyle w:val="Tablebulletpoint"/>
                              <w:rPr>
                                <w:color w:val="FFFFFF" w:themeColor="background1"/>
                              </w:rPr>
                            </w:pPr>
                            <w:r>
                              <w:rPr>
                                <w:color w:val="FFFFFF" w:themeColor="background1"/>
                              </w:rPr>
                              <w:t>T</w:t>
                            </w:r>
                            <w:r w:rsidRPr="000C606D">
                              <w:rPr>
                                <w:color w:val="FFFFFF" w:themeColor="background1"/>
                              </w:rPr>
                              <w:t xml:space="preserve">he NHCDC </w:t>
                            </w:r>
                            <w:r w:rsidR="00FD5E8F" w:rsidRPr="000C606D">
                              <w:rPr>
                                <w:color w:val="FFFFFF" w:themeColor="background1"/>
                              </w:rPr>
                              <w:t xml:space="preserve">2023-24 </w:t>
                            </w:r>
                            <w:r w:rsidRPr="000C606D">
                              <w:rPr>
                                <w:color w:val="FFFFFF" w:themeColor="background1"/>
                              </w:rPr>
                              <w:t>submission also saw the introduction of the Emergency Virtual Care stream as part of the collectio</w:t>
                            </w:r>
                            <w:r>
                              <w:rPr>
                                <w:color w:val="FFFFFF" w:themeColor="background1"/>
                              </w:rPr>
                              <w:t>n</w:t>
                            </w:r>
                            <w:r w:rsidR="00555A60">
                              <w:rPr>
                                <w:color w:val="FFFFFF" w:themeColor="background1"/>
                              </w:rPr>
                              <w:t>.</w:t>
                            </w:r>
                          </w:p>
                        </w:txbxContent>
                      </wps:txbx>
                      <wps:bodyPr rot="0" vert="horz" wrap="square" lIns="180000" tIns="180000" rIns="180000" bIns="180000" anchor="t" anchorCtr="0">
                        <a:noAutofit/>
                      </wps:bodyPr>
                    </wps:wsp>
                  </a:graphicData>
                </a:graphic>
                <wp14:sizeRelH relativeFrom="page">
                  <wp14:pctWidth>0</wp14:pctWidth>
                </wp14:sizeRelH>
                <wp14:sizeRelV relativeFrom="page">
                  <wp14:pctHeight>0</wp14:pctHeight>
                </wp14:sizeRelV>
              </wp:anchor>
            </w:drawing>
          </mc:Choice>
          <mc:Fallback>
            <w:pict>
              <v:shape w14:anchorId="7012BA02" id="_x0000_s1312" type="#_x0000_t202" alt="P3178TB28#y1" style="position:absolute;margin-left:0;margin-top:102.45pt;width:450pt;height:101.2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" fillcolor="#343a5e [2405]" stroked="f" strokeweight="1pt">
                <v:textbox inset="5mm,5mm,5mm,5mm">
                  <w:txbxContent>
                    <w:p w14:paraId="41463358" w14:textId="5B7FB8E9" w:rsidR="00812438" w:rsidRDefault="000339D2" w:rsidP="000339D2">
                      <w:pPr>
                        <w:pStyle w:val="Tablebulletpoint"/>
                        <w:rPr>
                          <w:color w:val="FFFFFF" w:themeColor="background1"/>
                        </w:rPr>
                      </w:pPr>
                      <w:r w:rsidRPr="000339D2">
                        <w:rPr>
                          <w:color w:val="FFFFFF" w:themeColor="background1"/>
                        </w:rPr>
                        <w:t xml:space="preserve">The most significant change in </w:t>
                      </w:r>
                      <w:r>
                        <w:rPr>
                          <w:color w:val="FFFFFF" w:themeColor="background1"/>
                        </w:rPr>
                        <w:t xml:space="preserve">the DRS for NHCDC </w:t>
                      </w:r>
                      <w:r w:rsidRPr="000339D2">
                        <w:rPr>
                          <w:color w:val="FFFFFF" w:themeColor="background1"/>
                        </w:rPr>
                        <w:t xml:space="preserve">2023-24 was the removal the </w:t>
                      </w:r>
                      <w:r w:rsidR="00AF79A2">
                        <w:rPr>
                          <w:color w:val="FFFFFF" w:themeColor="background1"/>
                        </w:rPr>
                        <w:t>emergency department (</w:t>
                      </w:r>
                      <w:r w:rsidRPr="000339D2">
                        <w:rPr>
                          <w:color w:val="FFFFFF" w:themeColor="background1"/>
                        </w:rPr>
                        <w:t>ED</w:t>
                      </w:r>
                      <w:r w:rsidR="00AF79A2">
                        <w:rPr>
                          <w:color w:val="FFFFFF" w:themeColor="background1"/>
                        </w:rPr>
                        <w:t>)</w:t>
                      </w:r>
                      <w:r w:rsidRPr="000339D2">
                        <w:rPr>
                          <w:color w:val="FFFFFF" w:themeColor="background1"/>
                        </w:rPr>
                        <w:t xml:space="preserve"> </w:t>
                      </w:r>
                      <w:r w:rsidR="004A1564">
                        <w:rPr>
                          <w:color w:val="FFFFFF" w:themeColor="background1"/>
                        </w:rPr>
                        <w:t>C</w:t>
                      </w:r>
                      <w:r w:rsidRPr="000339D2">
                        <w:rPr>
                          <w:color w:val="FFFFFF" w:themeColor="background1"/>
                        </w:rPr>
                        <w:t xml:space="preserve">ost </w:t>
                      </w:r>
                      <w:r w:rsidR="004A1564">
                        <w:rPr>
                          <w:color w:val="FFFFFF" w:themeColor="background1"/>
                        </w:rPr>
                        <w:t>B</w:t>
                      </w:r>
                      <w:r w:rsidRPr="000339D2">
                        <w:rPr>
                          <w:color w:val="FFFFFF" w:themeColor="background1"/>
                        </w:rPr>
                        <w:t>ucket to facilitate more meaningful analysis into cost drivers of the ED stream.</w:t>
                      </w:r>
                    </w:p>
                    <w:p w14:paraId="670103C9" w14:textId="4078E7FB" w:rsidR="000C606D" w:rsidRPr="001729F2" w:rsidRDefault="000C606D" w:rsidP="000339D2">
                      <w:pPr>
                        <w:pStyle w:val="Tablebulletpoint"/>
                        <w:rPr>
                          <w:color w:val="FFFFFF" w:themeColor="background1"/>
                        </w:rPr>
                      </w:pPr>
                      <w:r>
                        <w:rPr>
                          <w:color w:val="FFFFFF" w:themeColor="background1"/>
                        </w:rPr>
                        <w:t>T</w:t>
                      </w:r>
                      <w:r w:rsidRPr="000C606D">
                        <w:rPr>
                          <w:color w:val="FFFFFF" w:themeColor="background1"/>
                        </w:rPr>
                        <w:t xml:space="preserve">he NHCDC </w:t>
                      </w:r>
                      <w:r w:rsidR="00FD5E8F" w:rsidRPr="000C606D">
                        <w:rPr>
                          <w:color w:val="FFFFFF" w:themeColor="background1"/>
                        </w:rPr>
                        <w:t xml:space="preserve">2023-24 </w:t>
                      </w:r>
                      <w:r w:rsidRPr="000C606D">
                        <w:rPr>
                          <w:color w:val="FFFFFF" w:themeColor="background1"/>
                        </w:rPr>
                        <w:t>submission also saw the introduction of the Emergency Virtual Care stream as part of the collectio</w:t>
                      </w:r>
                      <w:r>
                        <w:rPr>
                          <w:color w:val="FFFFFF" w:themeColor="background1"/>
                        </w:rPr>
                        <w:t>n</w:t>
                      </w:r>
                      <w:r w:rsidR="00555A60">
                        <w:rPr>
                          <w:color w:val="FFFFFF" w:themeColor="background1"/>
                        </w:rPr>
                        <w:t>.</w:t>
                      </w:r>
                    </w:p>
                  </w:txbxContent>
                </v:textbox>
                <w10:wrap type="topAndBottom" anchorx="margin"/>
              </v:shape>
            </w:pict>
          </mc:Fallback>
        </mc:AlternateContent>
      </w:r>
      <w:r w:rsidR="00F87BD4" w:rsidRPr="003226E9">
        <w:t xml:space="preserve">Prior to accessing the </w:t>
      </w:r>
      <w:r w:rsidR="003C4DB5">
        <w:t>NHCDC Data Portal</w:t>
      </w:r>
      <w:r w:rsidR="00256C20" w:rsidRPr="003226E9">
        <w:t>,</w:t>
      </w:r>
      <w:r w:rsidR="00F87BD4" w:rsidRPr="003226E9">
        <w:t xml:space="preserve"> jurisdictions are provided with a DRS </w:t>
      </w:r>
      <w:r w:rsidR="00E96993">
        <w:t xml:space="preserve">that </w:t>
      </w:r>
      <w:r w:rsidR="00F87BD4" w:rsidRPr="003226E9">
        <w:t xml:space="preserve">is published on IHACPA’s website. These specifications provide guidance to the jurisdictions </w:t>
      </w:r>
      <w:r w:rsidR="004D2B00" w:rsidRPr="003226E9">
        <w:t>on</w:t>
      </w:r>
      <w:r w:rsidR="00F87BD4" w:rsidRPr="003226E9">
        <w:t xml:space="preserve"> </w:t>
      </w:r>
      <w:r w:rsidR="009812E0" w:rsidRPr="003226E9">
        <w:t xml:space="preserve">the </w:t>
      </w:r>
      <w:r w:rsidR="004B5DE8" w:rsidRPr="003226E9">
        <w:t xml:space="preserve">required </w:t>
      </w:r>
      <w:r w:rsidR="009812E0" w:rsidRPr="003226E9">
        <w:t>structure of NHCDC submissions</w:t>
      </w:r>
      <w:r w:rsidR="004B5DE8" w:rsidRPr="003226E9">
        <w:t xml:space="preserve"> </w:t>
      </w:r>
      <w:r w:rsidR="004B5DE8">
        <w:t>and the</w:t>
      </w:r>
      <w:r w:rsidR="00F87BD4" w:rsidRPr="0073297E">
        <w:t xml:space="preserve"> validation, logic rules and linking rules. The DRS document is refreshed every year to account for classification changes, and any changes to the cost bucket and line</w:t>
      </w:r>
      <w:r w:rsidR="00491993">
        <w:t xml:space="preserve"> </w:t>
      </w:r>
      <w:r w:rsidR="00F87BD4" w:rsidRPr="0073297E">
        <w:t xml:space="preserve">item matrix structure or </w:t>
      </w:r>
      <w:r w:rsidR="00414DF4">
        <w:t>AHPCS</w:t>
      </w:r>
      <w:r w:rsidR="00F87BD4" w:rsidRPr="0073297E">
        <w:t xml:space="preserve">. </w:t>
      </w:r>
      <w:r w:rsidR="00812438" w:rsidRPr="0073297E">
        <w:t xml:space="preserve">Once the portal is prepared, IHACPA notifies data submitters within jurisdictions that the </w:t>
      </w:r>
      <w:r w:rsidR="008237CA">
        <w:t>NHCDC Data P</w:t>
      </w:r>
      <w:r w:rsidR="00812438" w:rsidRPr="0073297E">
        <w:t>ortal is ready for upload of their cost data files.</w:t>
      </w:r>
    </w:p>
    <w:p w14:paraId="3B4A85CE" w14:textId="30629523" w:rsidR="00F87BD4" w:rsidRPr="003226E9" w:rsidRDefault="00F87BD4" w:rsidP="008E637B">
      <w:r w:rsidRPr="003226E9">
        <w:rPr>
          <w:u w:val="single"/>
        </w:rPr>
        <w:t xml:space="preserve">Stage 1: Data validation on the </w:t>
      </w:r>
      <w:r w:rsidR="00184B55" w:rsidRPr="003226E9">
        <w:rPr>
          <w:u w:val="single"/>
        </w:rPr>
        <w:t xml:space="preserve">NHCDC </w:t>
      </w:r>
      <w:r w:rsidR="008237CA">
        <w:rPr>
          <w:u w:val="single"/>
        </w:rPr>
        <w:t>D</w:t>
      </w:r>
      <w:r w:rsidRPr="003226E9">
        <w:rPr>
          <w:u w:val="single"/>
        </w:rPr>
        <w:t xml:space="preserve">ata </w:t>
      </w:r>
      <w:r w:rsidR="008237CA">
        <w:rPr>
          <w:u w:val="single"/>
        </w:rPr>
        <w:t>P</w:t>
      </w:r>
      <w:r w:rsidRPr="003226E9">
        <w:rPr>
          <w:u w:val="single"/>
        </w:rPr>
        <w:t>ortal</w:t>
      </w:r>
    </w:p>
    <w:p w14:paraId="34FC051B" w14:textId="607C7873" w:rsidR="00F87BD4" w:rsidRPr="00AD1F32" w:rsidRDefault="00F87BD4" w:rsidP="008E637B">
      <w:pPr>
        <w:rPr>
          <w:i/>
          <w:iCs/>
        </w:rPr>
      </w:pPr>
      <w:r w:rsidRPr="00AD1F32">
        <w:rPr>
          <w:i/>
          <w:iCs/>
        </w:rPr>
        <w:t xml:space="preserve">Stage 1.1: </w:t>
      </w:r>
      <w:r w:rsidR="00E51AA6" w:rsidRPr="00AD1F32">
        <w:rPr>
          <w:i/>
          <w:iCs/>
        </w:rPr>
        <w:t>Virus scan to check for malware</w:t>
      </w:r>
    </w:p>
    <w:p w14:paraId="435CAB69" w14:textId="6EA0975F" w:rsidR="00F87BD4" w:rsidRPr="003226E9" w:rsidRDefault="00F87BD4" w:rsidP="00F87BD4">
      <w:r w:rsidRPr="003226E9">
        <w:t>Once jurisdictions have gathered the relevant data for the NHCDC submission, this can be validated through the</w:t>
      </w:r>
      <w:r w:rsidR="00184B55" w:rsidRPr="003226E9">
        <w:t xml:space="preserve"> NHCDC</w:t>
      </w:r>
      <w:r w:rsidRPr="003226E9">
        <w:t xml:space="preserve"> Data Portal. In the first stage of the validation process the jurisdiction’s data </w:t>
      </w:r>
      <w:r w:rsidR="00003F2A" w:rsidRPr="003226E9">
        <w:t xml:space="preserve">submission </w:t>
      </w:r>
      <w:r w:rsidRPr="003226E9">
        <w:t xml:space="preserve">is checked for malware and viruses before it is loaded into IHACPA’s data warehouse. </w:t>
      </w:r>
    </w:p>
    <w:p w14:paraId="5528A360" w14:textId="77777777" w:rsidR="00F87BD4" w:rsidRPr="00AD1F32" w:rsidRDefault="00F87BD4" w:rsidP="008E637B">
      <w:pPr>
        <w:rPr>
          <w:i/>
          <w:iCs/>
        </w:rPr>
      </w:pPr>
      <w:r w:rsidRPr="00AD1F32">
        <w:rPr>
          <w:i/>
          <w:iCs/>
        </w:rPr>
        <w:t>Stage 1.2: Structural validation</w:t>
      </w:r>
    </w:p>
    <w:p w14:paraId="1310779D" w14:textId="0144DA83" w:rsidR="00F87BD4" w:rsidRPr="00CB3720" w:rsidRDefault="00F87BD4" w:rsidP="00F87BD4">
      <w:r w:rsidRPr="003226E9">
        <w:t>Once jurisdiction</w:t>
      </w:r>
      <w:r w:rsidR="00AD1F32">
        <w:t>s</w:t>
      </w:r>
      <w:r w:rsidRPr="003226E9">
        <w:t xml:space="preserve"> cost files are uploaded to the </w:t>
      </w:r>
      <w:r w:rsidR="00184B55" w:rsidRPr="003226E9">
        <w:t xml:space="preserve">NHCDC </w:t>
      </w:r>
      <w:r w:rsidRPr="003226E9">
        <w:t xml:space="preserve">Data Portal, they can be processed through IHACPA’s data validation program. This step ensures </w:t>
      </w:r>
      <w:r w:rsidR="00D3252C" w:rsidRPr="003226E9">
        <w:t xml:space="preserve">the structure of the data submission is </w:t>
      </w:r>
      <w:r w:rsidR="00463C0E" w:rsidRPr="003226E9">
        <w:t>compliant</w:t>
      </w:r>
      <w:r w:rsidRPr="003226E9">
        <w:t xml:space="preserve"> with IHACPA’s </w:t>
      </w:r>
      <w:r w:rsidRPr="00CB3720">
        <w:t xml:space="preserve">requirements and logic checks, providing an additional layer of </w:t>
      </w:r>
      <w:r w:rsidRPr="00CB3720">
        <w:lastRenderedPageBreak/>
        <w:t>validation for the DRS.</w:t>
      </w:r>
      <w:r w:rsidR="00D3252C">
        <w:t xml:space="preserve"> At this stage of the process, </w:t>
      </w:r>
      <w:r w:rsidR="00463C0E">
        <w:t>no validation is undertaken on the accuracy of the contents of the data itself as this is performed in the next step.</w:t>
      </w:r>
    </w:p>
    <w:p w14:paraId="420404DF" w14:textId="7EA3B583" w:rsidR="00F87BD4" w:rsidRPr="00CB3720" w:rsidRDefault="00F87BD4" w:rsidP="00F87BD4">
      <w:r w:rsidRPr="00CB3720">
        <w:t>If the data fails validation, jurisdictions receive a warning or critical error message indicating the issue. A critical error means the data hasn’t passed validation and must be corrected.</w:t>
      </w:r>
      <w:r w:rsidR="00E51AA6">
        <w:t xml:space="preserve"> </w:t>
      </w:r>
      <w:r w:rsidRPr="00CB3720">
        <w:t xml:space="preserve">This process helps reduce formatting issues and can be run once the portal </w:t>
      </w:r>
      <w:r w:rsidR="00E51AA6" w:rsidRPr="00CB3720">
        <w:t>opens</w:t>
      </w:r>
      <w:r w:rsidRPr="00CB3720">
        <w:t xml:space="preserve">. </w:t>
      </w:r>
      <w:r w:rsidR="00FC64E5">
        <w:t>M</w:t>
      </w:r>
      <w:r>
        <w:t xml:space="preserve">any </w:t>
      </w:r>
      <w:r w:rsidR="00FC64E5">
        <w:t xml:space="preserve">jurisdictions </w:t>
      </w:r>
      <w:r w:rsidRPr="00CB3720">
        <w:t xml:space="preserve">upload dummy files to </w:t>
      </w:r>
      <w:r>
        <w:t>perform early sample testing on data quality prior to their full submission</w:t>
      </w:r>
      <w:r w:rsidRPr="00CB3720">
        <w:t>.</w:t>
      </w:r>
    </w:p>
    <w:p w14:paraId="2F3BC0CB" w14:textId="6A388672" w:rsidR="00F87BD4" w:rsidRPr="00CB3720" w:rsidRDefault="00F87BD4" w:rsidP="00D1452F">
      <w:r w:rsidRPr="00CB3720">
        <w:t>All</w:t>
      </w:r>
      <w:r w:rsidR="00FC64E5">
        <w:t xml:space="preserve"> critical</w:t>
      </w:r>
      <w:r w:rsidRPr="00CB3720">
        <w:t xml:space="preserve"> errors </w:t>
      </w:r>
      <w:r w:rsidR="00C51CFC">
        <w:t>must</w:t>
      </w:r>
      <w:r w:rsidRPr="00CB3720">
        <w:t xml:space="preserve"> be resolved before final costing data was submitted to IHACPA</w:t>
      </w:r>
      <w:r>
        <w:t>.</w:t>
      </w:r>
    </w:p>
    <w:p w14:paraId="437A4371" w14:textId="77777777" w:rsidR="00F87BD4" w:rsidRPr="00AD1F32" w:rsidRDefault="00F87BD4" w:rsidP="008E637B">
      <w:pPr>
        <w:rPr>
          <w:i/>
        </w:rPr>
      </w:pPr>
      <w:r w:rsidRPr="00AD1F32">
        <w:rPr>
          <w:i/>
        </w:rPr>
        <w:t>Stage 1.3: Content validation against requirement</w:t>
      </w:r>
    </w:p>
    <w:p w14:paraId="58FF7A72" w14:textId="3E90B5EA" w:rsidR="00F87BD4" w:rsidRPr="0073297E" w:rsidRDefault="00F87BD4" w:rsidP="00F87BD4">
      <w:r w:rsidRPr="0073297E">
        <w:t>IHACPA’s</w:t>
      </w:r>
      <w:r w:rsidR="00871D76">
        <w:t xml:space="preserve"> NHCDC</w:t>
      </w:r>
      <w:r w:rsidRPr="0073297E">
        <w:t xml:space="preserve"> </w:t>
      </w:r>
      <w:r w:rsidR="005B7D9C">
        <w:t>D</w:t>
      </w:r>
      <w:r w:rsidRPr="0073297E">
        <w:t xml:space="preserve">ata </w:t>
      </w:r>
      <w:r w:rsidR="005B7D9C">
        <w:t>P</w:t>
      </w:r>
      <w:r w:rsidRPr="0073297E">
        <w:t xml:space="preserve">ortal features </w:t>
      </w:r>
      <w:r w:rsidR="00EF5910">
        <w:t>several</w:t>
      </w:r>
      <w:r w:rsidRPr="0073297E">
        <w:t xml:space="preserve"> checks to validate the content of costing records, including check</w:t>
      </w:r>
      <w:r w:rsidR="007068FC">
        <w:t>ing</w:t>
      </w:r>
      <w:r w:rsidRPr="0073297E">
        <w:t xml:space="preserve"> that hospital’s submitted data was uploaded against the right jurisdiction. This ensured uploads were valid against jurisdiction hospital lists, establishment </w:t>
      </w:r>
      <w:r w:rsidR="007068FC">
        <w:t>identifiers</w:t>
      </w:r>
      <w:r w:rsidRPr="0073297E">
        <w:t xml:space="preserve"> and the business rules within the DRS. These requirements ensure:</w:t>
      </w:r>
    </w:p>
    <w:p w14:paraId="5C095D5A" w14:textId="4A209FC5" w:rsidR="00F87BD4" w:rsidRPr="0073297E" w:rsidRDefault="00F87BD4" w:rsidP="00CD718C">
      <w:pPr>
        <w:pStyle w:val="ListParagraph"/>
        <w:numPr>
          <w:ilvl w:val="0"/>
          <w:numId w:val="36"/>
        </w:numPr>
      </w:pPr>
      <w:r w:rsidRPr="0073297E">
        <w:t>Total costs are not less than $5 in the non-admitted stream</w:t>
      </w:r>
      <w:r w:rsidR="00871D76">
        <w:t>,</w:t>
      </w:r>
    </w:p>
    <w:p w14:paraId="6E4F1BC9" w14:textId="56E7EA8B" w:rsidR="00F87BD4" w:rsidRPr="0073297E" w:rsidRDefault="00F87BD4" w:rsidP="00CD718C">
      <w:pPr>
        <w:pStyle w:val="ListParagraph"/>
        <w:numPr>
          <w:ilvl w:val="0"/>
          <w:numId w:val="36"/>
        </w:numPr>
      </w:pPr>
      <w:r w:rsidRPr="0073297E">
        <w:t>Total costs are not less than $200 in the admitted stream</w:t>
      </w:r>
      <w:r w:rsidR="00871D76">
        <w:t>,</w:t>
      </w:r>
    </w:p>
    <w:p w14:paraId="6BE9E2E8" w14:textId="2EB15E1E" w:rsidR="00F87BD4" w:rsidRPr="0073297E" w:rsidRDefault="00F87BD4" w:rsidP="00CD718C">
      <w:pPr>
        <w:pStyle w:val="ListParagraph"/>
        <w:numPr>
          <w:ilvl w:val="0"/>
          <w:numId w:val="36"/>
        </w:numPr>
      </w:pPr>
      <w:r w:rsidRPr="0073297E">
        <w:t xml:space="preserve">Ensuring there are </w:t>
      </w:r>
      <w:r w:rsidR="007068FC">
        <w:t xml:space="preserve">no </w:t>
      </w:r>
      <w:r w:rsidR="00067142">
        <w:t>episodes</w:t>
      </w:r>
      <w:r w:rsidR="005338E6">
        <w:t xml:space="preserve"> with negative total costs</w:t>
      </w:r>
      <w:r w:rsidR="00871D76">
        <w:t xml:space="preserve">, and </w:t>
      </w:r>
    </w:p>
    <w:p w14:paraId="06B2C5E9" w14:textId="77777777" w:rsidR="00F87BD4" w:rsidRPr="0073297E" w:rsidRDefault="00F87BD4" w:rsidP="00CD718C">
      <w:pPr>
        <w:pStyle w:val="ListParagraph"/>
        <w:numPr>
          <w:ilvl w:val="0"/>
          <w:numId w:val="36"/>
        </w:numPr>
      </w:pPr>
      <w:r w:rsidRPr="0073297E">
        <w:t>Flagging of any other warning and critical errors detected within submitted data.</w:t>
      </w:r>
    </w:p>
    <w:p w14:paraId="135F3737" w14:textId="77777777" w:rsidR="00F87BD4" w:rsidRPr="0073297E" w:rsidRDefault="00F87BD4" w:rsidP="00F87BD4">
      <w:r w:rsidRPr="0073297E">
        <w:t xml:space="preserve">New checks are added each year and any changes in future NHCDC content validation checks are discussed and adopted through the NAC consultation process. </w:t>
      </w:r>
    </w:p>
    <w:p w14:paraId="46D5FBF7" w14:textId="77777777" w:rsidR="00F87BD4" w:rsidRPr="00AD1F32" w:rsidRDefault="00F87BD4" w:rsidP="008E637B">
      <w:pPr>
        <w:rPr>
          <w:i/>
          <w:iCs/>
        </w:rPr>
      </w:pPr>
      <w:r w:rsidRPr="00AD1F32">
        <w:rPr>
          <w:i/>
          <w:iCs/>
        </w:rPr>
        <w:t>Stage 1.4: Linking report checks</w:t>
      </w:r>
    </w:p>
    <w:p w14:paraId="3E51A28E" w14:textId="3E7C66D6" w:rsidR="00682F66" w:rsidRDefault="00F87BD4" w:rsidP="00856ABF">
      <w:r w:rsidRPr="0073297E">
        <w:t>Finally, a linking report check is conducted to determine how many cost</w:t>
      </w:r>
      <w:r w:rsidR="00463C0E">
        <w:t>ed</w:t>
      </w:r>
      <w:r w:rsidRPr="0073297E">
        <w:t xml:space="preserve"> records can be linked to </w:t>
      </w:r>
      <w:r w:rsidR="00A86C05">
        <w:t>activity-based funding (</w:t>
      </w:r>
      <w:r w:rsidRPr="0073297E">
        <w:t>ABF</w:t>
      </w:r>
      <w:r w:rsidR="00A86C05">
        <w:t>)</w:t>
      </w:r>
      <w:r w:rsidRPr="0073297E" w:rsidDel="0030439A">
        <w:t xml:space="preserve"> </w:t>
      </w:r>
      <w:r w:rsidRPr="0073297E">
        <w:t xml:space="preserve">activity </w:t>
      </w:r>
      <w:r w:rsidR="00463C0E">
        <w:t>data</w:t>
      </w:r>
      <w:r w:rsidRPr="0073297E">
        <w:t xml:space="preserve"> </w:t>
      </w:r>
      <w:r w:rsidRPr="008424F2">
        <w:t xml:space="preserve">(submitted to IHACPA </w:t>
      </w:r>
      <w:r w:rsidR="008424F2" w:rsidRPr="008424F2">
        <w:t>quarterly</w:t>
      </w:r>
      <w:r w:rsidRPr="008424F2">
        <w:t xml:space="preserve"> via </w:t>
      </w:r>
      <w:r w:rsidRPr="0073297E">
        <w:t xml:space="preserve">ABF submissions) and </w:t>
      </w:r>
      <w:r w:rsidR="00F5104E">
        <w:t>what proportion of</w:t>
      </w:r>
      <w:r w:rsidRPr="0073297E">
        <w:t xml:space="preserve"> activity records can be linked to costs. </w:t>
      </w:r>
    </w:p>
    <w:p w14:paraId="0D927488" w14:textId="730A554E" w:rsidR="0086020B" w:rsidRPr="003226E9" w:rsidRDefault="00682F66" w:rsidP="00856ABF">
      <w:r>
        <w:t xml:space="preserve">Linking rates vary by activity care stream, reflecting the differing maturity </w:t>
      </w:r>
      <w:r w:rsidR="00C16875">
        <w:t xml:space="preserve">of the collection and jurisdictions’ processes. Linking rates for admitted acute were in excess of 95% for </w:t>
      </w:r>
      <w:r w:rsidR="004A5F79">
        <w:t xml:space="preserve">all </w:t>
      </w:r>
      <w:r w:rsidR="00191854">
        <w:t xml:space="preserve">5 </w:t>
      </w:r>
      <w:r w:rsidR="004252F9">
        <w:t xml:space="preserve">fully </w:t>
      </w:r>
      <w:r w:rsidR="004A5F79" w:rsidRPr="003226E9">
        <w:t>participating juri</w:t>
      </w:r>
      <w:r w:rsidR="00C8372A" w:rsidRPr="003226E9">
        <w:t xml:space="preserve">sdictions, whereas linking rates were lower for non-admitted and the mental health streams, </w:t>
      </w:r>
      <w:r w:rsidR="00FE5021" w:rsidRPr="003226E9">
        <w:t>ranging between 70-90%</w:t>
      </w:r>
      <w:r w:rsidR="00F87BD4" w:rsidRPr="003226E9">
        <w:t xml:space="preserve"> by </w:t>
      </w:r>
      <w:r w:rsidR="0034558A" w:rsidRPr="003226E9">
        <w:t>jurisdiction</w:t>
      </w:r>
      <w:r w:rsidR="00FE5021" w:rsidRPr="003226E9">
        <w:t>,</w:t>
      </w:r>
      <w:r w:rsidR="00C8372A" w:rsidRPr="003226E9">
        <w:t xml:space="preserve"> reflecting the </w:t>
      </w:r>
      <w:r w:rsidR="00FE5021" w:rsidRPr="003226E9">
        <w:t xml:space="preserve">lower maturity of these streams. </w:t>
      </w:r>
    </w:p>
    <w:p w14:paraId="6C6F0ABF" w14:textId="77777777" w:rsidR="00104183" w:rsidRPr="003226E9" w:rsidRDefault="00104183" w:rsidP="008E637B">
      <w:pPr>
        <w:rPr>
          <w:u w:val="single"/>
        </w:rPr>
      </w:pPr>
      <w:r w:rsidRPr="003226E9">
        <w:rPr>
          <w:u w:val="single"/>
        </w:rPr>
        <w:t>Stage 2: Upload, Extract, Transform and Load process</w:t>
      </w:r>
    </w:p>
    <w:p w14:paraId="7AFC4016" w14:textId="19D826C3" w:rsidR="00104183" w:rsidRPr="003226E9" w:rsidRDefault="00104183" w:rsidP="00104183">
      <w:r w:rsidRPr="003226E9">
        <w:t xml:space="preserve">Once data </w:t>
      </w:r>
      <w:r w:rsidR="00A754E1" w:rsidRPr="003226E9">
        <w:t>is</w:t>
      </w:r>
      <w:r w:rsidRPr="003226E9">
        <w:t xml:space="preserve"> uploaded, IHACPA’s Data Acquisition team commence the </w:t>
      </w:r>
      <w:r w:rsidR="008F6612" w:rsidRPr="003226E9">
        <w:t>ETL</w:t>
      </w:r>
      <w:r w:rsidRPr="003226E9">
        <w:t xml:space="preserve"> process. Jurisdictio</w:t>
      </w:r>
      <w:r w:rsidR="00FE5021" w:rsidRPr="003226E9">
        <w:t>n</w:t>
      </w:r>
      <w:r w:rsidRPr="003226E9">
        <w:t>s</w:t>
      </w:r>
      <w:r w:rsidR="00FE5021" w:rsidRPr="003226E9">
        <w:t>’</w:t>
      </w:r>
      <w:r w:rsidRPr="003226E9">
        <w:t xml:space="preserve"> data is amalgamated into </w:t>
      </w:r>
      <w:r w:rsidR="00C517F6" w:rsidRPr="003226E9">
        <w:t>one</w:t>
      </w:r>
      <w:r w:rsidRPr="003226E9">
        <w:t xml:space="preserve"> single file and transformations are made</w:t>
      </w:r>
      <w:r w:rsidR="00871D76" w:rsidRPr="003226E9">
        <w:t>.</w:t>
      </w:r>
    </w:p>
    <w:p w14:paraId="3A339230" w14:textId="68879EEA" w:rsidR="00104183" w:rsidRPr="00B54383" w:rsidRDefault="00C32056" w:rsidP="008E637B">
      <w:pPr>
        <w:rPr>
          <w:i/>
          <w:iCs/>
        </w:rPr>
      </w:pPr>
      <w:r w:rsidRPr="003226E9">
        <w:rPr>
          <w:i/>
          <w:iCs/>
        </w:rPr>
        <w:t xml:space="preserve">Stage 2.1: </w:t>
      </w:r>
      <w:r w:rsidR="00104183" w:rsidRPr="003226E9">
        <w:rPr>
          <w:i/>
          <w:iCs/>
        </w:rPr>
        <w:t>Unqualified Babies (UQBs</w:t>
      </w:r>
      <w:r w:rsidR="00104183" w:rsidRPr="00B54383">
        <w:rPr>
          <w:i/>
          <w:iCs/>
        </w:rPr>
        <w:t>)</w:t>
      </w:r>
    </w:p>
    <w:p w14:paraId="677C2190" w14:textId="6C0F4DFC" w:rsidR="00104183" w:rsidRPr="0073297E" w:rsidRDefault="00104183" w:rsidP="00104183">
      <w:r w:rsidRPr="0073297E">
        <w:t xml:space="preserve">UQBs are infants less than </w:t>
      </w:r>
      <w:r w:rsidR="00007F56">
        <w:t>10</w:t>
      </w:r>
      <w:r w:rsidRPr="0073297E">
        <w:t xml:space="preserve"> days old, who do not meet set criteria for admission. IHACPA’s process for these records is to transfer the costs to the </w:t>
      </w:r>
      <w:r w:rsidR="008030E4">
        <w:t>delivery</w:t>
      </w:r>
      <w:r w:rsidR="008030E4" w:rsidRPr="0073297E">
        <w:t xml:space="preserve"> </w:t>
      </w:r>
      <w:r w:rsidRPr="0073297E">
        <w:t xml:space="preserve">episode at the </w:t>
      </w:r>
      <w:r w:rsidR="009C3854">
        <w:t xml:space="preserve">NHCDC Cost Centre </w:t>
      </w:r>
      <w:r w:rsidRPr="0073297E">
        <w:t xml:space="preserve">level (not moved at the </w:t>
      </w:r>
      <w:r w:rsidR="005F0B25" w:rsidRPr="0073297E">
        <w:t>line</w:t>
      </w:r>
      <w:r w:rsidR="00491993">
        <w:t xml:space="preserve"> </w:t>
      </w:r>
      <w:r w:rsidR="005F0B25" w:rsidRPr="0073297E">
        <w:t>item</w:t>
      </w:r>
      <w:r w:rsidRPr="0073297E">
        <w:t xml:space="preserve"> level). The process for linking UQBs to the </w:t>
      </w:r>
      <w:r w:rsidR="008030E4">
        <w:t>delivery</w:t>
      </w:r>
      <w:r w:rsidR="008030E4" w:rsidRPr="0073297E">
        <w:t xml:space="preserve"> </w:t>
      </w:r>
      <w:r w:rsidRPr="0073297E">
        <w:t>episode was as follows:</w:t>
      </w:r>
    </w:p>
    <w:p w14:paraId="20208142" w14:textId="14E5C42F" w:rsidR="00104183" w:rsidRPr="0073297E" w:rsidRDefault="00104183" w:rsidP="00CD718C">
      <w:pPr>
        <w:pStyle w:val="ListParagraph"/>
        <w:numPr>
          <w:ilvl w:val="0"/>
          <w:numId w:val="38"/>
        </w:numPr>
      </w:pPr>
      <w:r w:rsidRPr="0073297E">
        <w:t xml:space="preserve">A linking key was used to match </w:t>
      </w:r>
      <w:r w:rsidR="008030E4">
        <w:t>delivery episodes</w:t>
      </w:r>
      <w:r w:rsidR="008030E4" w:rsidRPr="0073297E">
        <w:t xml:space="preserve"> </w:t>
      </w:r>
      <w:r w:rsidRPr="0073297E">
        <w:t xml:space="preserve">and babies with any UQB expected cost to be associated with the </w:t>
      </w:r>
      <w:r w:rsidR="008030E4">
        <w:t>delivery</w:t>
      </w:r>
      <w:r w:rsidR="008030E4" w:rsidRPr="0073297E">
        <w:t xml:space="preserve"> </w:t>
      </w:r>
      <w:r w:rsidRPr="0073297E">
        <w:t xml:space="preserve">episode. </w:t>
      </w:r>
    </w:p>
    <w:p w14:paraId="4BC2A19C" w14:textId="520C1911" w:rsidR="008030E4" w:rsidRDefault="008030E4" w:rsidP="008030E4">
      <w:pPr>
        <w:pStyle w:val="ListParagraph"/>
        <w:numPr>
          <w:ilvl w:val="0"/>
          <w:numId w:val="38"/>
        </w:numPr>
      </w:pPr>
      <w:r>
        <w:t>If no linking key existed, dates of birth, admission, and separation are used to assign UQB costs to specific delivery episodes.</w:t>
      </w:r>
    </w:p>
    <w:p w14:paraId="04BEC0A8" w14:textId="2B96798E" w:rsidR="008030E4" w:rsidRDefault="008030E4" w:rsidP="008030E4">
      <w:pPr>
        <w:pStyle w:val="ListParagraph"/>
        <w:numPr>
          <w:ilvl w:val="0"/>
          <w:numId w:val="38"/>
        </w:numPr>
      </w:pPr>
      <w:r>
        <w:t>In the case of UQBs with no match, their costs were distributed to any remaining delivery episode that were not already associated with a UQB.</w:t>
      </w:r>
    </w:p>
    <w:p w14:paraId="3C9B372E" w14:textId="0B634692" w:rsidR="00104183" w:rsidRPr="0073297E" w:rsidRDefault="00104183" w:rsidP="00104183">
      <w:r w:rsidRPr="0073297E">
        <w:lastRenderedPageBreak/>
        <w:t xml:space="preserve">Some jurisdictions already transfer UQB costs to the </w:t>
      </w:r>
      <w:r w:rsidR="008030E4">
        <w:t>delivery episode</w:t>
      </w:r>
      <w:r w:rsidR="008030E4" w:rsidRPr="0073297E">
        <w:t xml:space="preserve"> </w:t>
      </w:r>
      <w:r w:rsidRPr="0073297E">
        <w:t>prior to submitting NHCDC data to IHACPA, in which case no further reallocations of cost are made during this step.</w:t>
      </w:r>
    </w:p>
    <w:p w14:paraId="29A0A865" w14:textId="3D6183E5" w:rsidR="00104183" w:rsidRPr="00B54383" w:rsidRDefault="00C32056" w:rsidP="008E637B">
      <w:pPr>
        <w:rPr>
          <w:i/>
          <w:iCs/>
        </w:rPr>
      </w:pPr>
      <w:r>
        <w:rPr>
          <w:i/>
          <w:iCs/>
        </w:rPr>
        <w:t xml:space="preserve">Stage 2.2: </w:t>
      </w:r>
      <w:r w:rsidR="00104183" w:rsidRPr="00B54383">
        <w:rPr>
          <w:i/>
          <w:iCs/>
        </w:rPr>
        <w:t>Duplication checks against phase and episodes of care</w:t>
      </w:r>
    </w:p>
    <w:p w14:paraId="1368E583" w14:textId="712829A0" w:rsidR="00104183" w:rsidRPr="0073297E" w:rsidRDefault="00104183" w:rsidP="00104183">
      <w:pPr>
        <w:pStyle w:val="ListParagraph"/>
        <w:ind w:left="0"/>
      </w:pPr>
      <w:r w:rsidRPr="0073297E">
        <w:t xml:space="preserve">Checks are run across all service contacts, mental health and subacute streams to ensure reporting is occurring at the phase level, if phase level information is available. If duplicates exist a critical error is </w:t>
      </w:r>
      <w:r w:rsidR="007E231B" w:rsidRPr="0073297E">
        <w:t>returned,</w:t>
      </w:r>
      <w:r w:rsidRPr="0073297E">
        <w:t xml:space="preserve"> and jurisdictions </w:t>
      </w:r>
      <w:r w:rsidR="00247FCA">
        <w:t>a</w:t>
      </w:r>
      <w:r w:rsidRPr="0073297E">
        <w:t>re not permitted to submit these records.</w:t>
      </w:r>
    </w:p>
    <w:p w14:paraId="0972DE51" w14:textId="68014850" w:rsidR="00104183" w:rsidRPr="003226E9" w:rsidRDefault="00104183" w:rsidP="00104183">
      <w:r w:rsidRPr="0073297E">
        <w:t xml:space="preserve">Once the above transformations are completed and a jurisdiction submits, the data is transferred into IHACPA’s data warehouse and data is released to the </w:t>
      </w:r>
      <w:r w:rsidR="00DF0189">
        <w:t xml:space="preserve">Hospital </w:t>
      </w:r>
      <w:r w:rsidRPr="0073297E">
        <w:t xml:space="preserve">Costing and Analytics teams. </w:t>
      </w:r>
      <w:r w:rsidRPr="003226E9">
        <w:t>Reconciliation reports are then produced</w:t>
      </w:r>
      <w:r w:rsidR="007B0897" w:rsidRPr="003226E9">
        <w:t xml:space="preserve"> for review</w:t>
      </w:r>
      <w:r w:rsidRPr="003226E9">
        <w:t>.</w:t>
      </w:r>
    </w:p>
    <w:p w14:paraId="16C76EF8" w14:textId="77777777" w:rsidR="00104183" w:rsidRPr="003226E9" w:rsidRDefault="00104183" w:rsidP="008E637B">
      <w:pPr>
        <w:rPr>
          <w:u w:val="single"/>
        </w:rPr>
      </w:pPr>
      <w:r w:rsidRPr="003226E9">
        <w:rPr>
          <w:u w:val="single"/>
        </w:rPr>
        <w:t>Stage 3: Reconciliation</w:t>
      </w:r>
    </w:p>
    <w:p w14:paraId="7BF8D3A4" w14:textId="4581FD67" w:rsidR="00104183" w:rsidRPr="003226E9" w:rsidRDefault="00104183" w:rsidP="00104183">
      <w:r w:rsidRPr="003226E9">
        <w:t xml:space="preserve">The Data Acquisition team prepare reconciliation reports </w:t>
      </w:r>
      <w:r w:rsidR="00E96993">
        <w:t>that</w:t>
      </w:r>
      <w:r w:rsidR="00E96993" w:rsidRPr="003226E9">
        <w:t xml:space="preserve"> </w:t>
      </w:r>
      <w:r w:rsidRPr="003226E9">
        <w:t>are provided back to jurisdictions and to Hospital Costing and Analytics teams. These reports include:</w:t>
      </w:r>
    </w:p>
    <w:p w14:paraId="13DC3996" w14:textId="13AEAFC6" w:rsidR="00104183" w:rsidRPr="003226E9" w:rsidRDefault="00104183" w:rsidP="00CD718C">
      <w:pPr>
        <w:pStyle w:val="ListParagraph"/>
        <w:numPr>
          <w:ilvl w:val="0"/>
          <w:numId w:val="39"/>
        </w:numPr>
      </w:pPr>
      <w:r w:rsidRPr="003226E9">
        <w:t xml:space="preserve">high level summary of cost, by stream and </w:t>
      </w:r>
      <w:r w:rsidR="0001303F" w:rsidRPr="003226E9">
        <w:t>establishment (facility)</w:t>
      </w:r>
      <w:r w:rsidRPr="003226E9">
        <w:t xml:space="preserve"> and linking of cost to activity</w:t>
      </w:r>
      <w:r w:rsidR="00A86C05" w:rsidRPr="003226E9">
        <w:t>,</w:t>
      </w:r>
    </w:p>
    <w:p w14:paraId="0299DE7A" w14:textId="32753AAA" w:rsidR="00104183" w:rsidRPr="003226E9" w:rsidRDefault="00104183" w:rsidP="00CD718C">
      <w:pPr>
        <w:pStyle w:val="ListParagraph"/>
        <w:numPr>
          <w:ilvl w:val="0"/>
          <w:numId w:val="39"/>
        </w:numPr>
      </w:pPr>
      <w:r w:rsidRPr="003226E9">
        <w:t>summary of UQB adjustments</w:t>
      </w:r>
      <w:r w:rsidR="00A86C05" w:rsidRPr="003226E9">
        <w:t>.</w:t>
      </w:r>
    </w:p>
    <w:p w14:paraId="0905B549" w14:textId="72C19503" w:rsidR="00104183" w:rsidRPr="0073297E" w:rsidRDefault="00104183" w:rsidP="00104183">
      <w:r w:rsidRPr="003226E9">
        <w:t xml:space="preserve">At this stage, should errors </w:t>
      </w:r>
      <w:r w:rsidRPr="0073297E">
        <w:t>be identified, in limited circumstances IHACPA’s Data Acquisition Team are able to go into data warehouse and make small changes to small numbers of records at jurisdiction</w:t>
      </w:r>
      <w:r w:rsidR="00891B4A">
        <w:t>’s</w:t>
      </w:r>
      <w:r w:rsidRPr="0073297E">
        <w:t xml:space="preserve"> request, rather than requiring jurisdictions to recomplete the full submission process which is considerably more time consuming. If changes are more significant, </w:t>
      </w:r>
      <w:r w:rsidR="00EA75DC" w:rsidRPr="0073297E">
        <w:t>jurisdiction</w:t>
      </w:r>
      <w:r w:rsidR="00891B4A">
        <w:t>s</w:t>
      </w:r>
      <w:r w:rsidRPr="0073297E">
        <w:t xml:space="preserve"> will be required to complete the resubmission process.</w:t>
      </w:r>
    </w:p>
    <w:p w14:paraId="3B086153" w14:textId="2809A96B" w:rsidR="00104183" w:rsidRPr="0073297E" w:rsidRDefault="00104183" w:rsidP="00104183">
      <w:r w:rsidRPr="0073297E">
        <w:t xml:space="preserve">If any changes are made to submissions, reconciliation steps </w:t>
      </w:r>
      <w:r w:rsidR="00470F1A">
        <w:t>are</w:t>
      </w:r>
      <w:r w:rsidRPr="0073297E">
        <w:t xml:space="preserve"> repeated to provide new reconciliation summaries.</w:t>
      </w:r>
    </w:p>
    <w:p w14:paraId="4B8A82A5" w14:textId="742F1CF3" w:rsidR="00104183" w:rsidRPr="00B54383" w:rsidRDefault="00CB64BE" w:rsidP="008E637B">
      <w:pPr>
        <w:rPr>
          <w:i/>
          <w:iCs/>
        </w:rPr>
      </w:pPr>
      <w:r w:rsidRPr="00B54383">
        <w:rPr>
          <w:i/>
          <w:iCs/>
        </w:rPr>
        <w:t>Q</w:t>
      </w:r>
      <w:r w:rsidR="00152383" w:rsidRPr="00B54383">
        <w:rPr>
          <w:i/>
          <w:iCs/>
        </w:rPr>
        <w:t xml:space="preserve">uality </w:t>
      </w:r>
      <w:r w:rsidRPr="00B54383">
        <w:rPr>
          <w:i/>
          <w:iCs/>
        </w:rPr>
        <w:t>A</w:t>
      </w:r>
      <w:r w:rsidR="00152383" w:rsidRPr="00B54383">
        <w:rPr>
          <w:i/>
          <w:iCs/>
        </w:rPr>
        <w:t xml:space="preserve">ssurance </w:t>
      </w:r>
      <w:r w:rsidR="00457CF0" w:rsidRPr="00B54383">
        <w:rPr>
          <w:i/>
          <w:iCs/>
        </w:rPr>
        <w:t>reporting</w:t>
      </w:r>
    </w:p>
    <w:p w14:paraId="5058BF25" w14:textId="20E6C33F" w:rsidR="00E07C59" w:rsidRDefault="00104183" w:rsidP="00104183">
      <w:r w:rsidRPr="0073297E">
        <w:t xml:space="preserve">Once a jurisdiction has submitted for all </w:t>
      </w:r>
      <w:r w:rsidR="00894771" w:rsidRPr="0073297E">
        <w:t>facilities</w:t>
      </w:r>
      <w:r w:rsidRPr="0073297E">
        <w:t xml:space="preserve"> / </w:t>
      </w:r>
      <w:r w:rsidR="00891B4A">
        <w:t>local health networks (</w:t>
      </w:r>
      <w:r w:rsidRPr="0073297E">
        <w:t>LHNs</w:t>
      </w:r>
      <w:r w:rsidR="00891B4A">
        <w:t>)</w:t>
      </w:r>
      <w:r w:rsidRPr="0073297E">
        <w:t xml:space="preserve"> and a </w:t>
      </w:r>
      <w:r w:rsidR="00EA75DC" w:rsidRPr="0073297E">
        <w:t>jurisdiction</w:t>
      </w:r>
      <w:r w:rsidRPr="0073297E">
        <w:t xml:space="preserve"> level dataset is available, IHACPA’s Analytics Team produce </w:t>
      </w:r>
      <w:r w:rsidR="00CB64BE">
        <w:t>QA</w:t>
      </w:r>
      <w:r w:rsidRPr="0073297E">
        <w:t xml:space="preserve"> reports. </w:t>
      </w:r>
      <w:r w:rsidR="00E07C59">
        <w:t>These provide jurisdictions with</w:t>
      </w:r>
      <w:r w:rsidR="0060207B">
        <w:t>:</w:t>
      </w:r>
      <w:r w:rsidR="00E07C59">
        <w:t xml:space="preserve"> </w:t>
      </w:r>
    </w:p>
    <w:p w14:paraId="3A4C3E8B" w14:textId="13806AA8" w:rsidR="00E07C59" w:rsidRPr="0073297E" w:rsidRDefault="00E07C59" w:rsidP="00E07C59">
      <w:pPr>
        <w:pStyle w:val="ListParagraph"/>
        <w:numPr>
          <w:ilvl w:val="0"/>
          <w:numId w:val="39"/>
        </w:numPr>
      </w:pPr>
      <w:r w:rsidRPr="0073297E">
        <w:t>Prior year comparisons of activity, costs and linking percentages</w:t>
      </w:r>
      <w:r w:rsidR="00891B4A">
        <w:t>,</w:t>
      </w:r>
    </w:p>
    <w:p w14:paraId="1A083A8F" w14:textId="77777777" w:rsidR="00E07C59" w:rsidRPr="0073297E" w:rsidRDefault="00E07C59" w:rsidP="00E07C59">
      <w:pPr>
        <w:pStyle w:val="ListParagraph"/>
        <w:numPr>
          <w:ilvl w:val="0"/>
          <w:numId w:val="39"/>
        </w:numPr>
      </w:pPr>
      <w:r w:rsidRPr="0073297E">
        <w:t>Breakdown of costs submitted by ABF source, average costs by cost bucket, hospital and stream level comparisons, and contracted care summaries (records and costs).</w:t>
      </w:r>
    </w:p>
    <w:p w14:paraId="1BC2D773" w14:textId="2D590D07" w:rsidR="00104183" w:rsidRPr="0073297E" w:rsidRDefault="00104183" w:rsidP="00104183">
      <w:r w:rsidRPr="0073297E">
        <w:t xml:space="preserve">These </w:t>
      </w:r>
      <w:r w:rsidR="00A52495">
        <w:t>were previously only available as</w:t>
      </w:r>
      <w:r w:rsidRPr="0073297E">
        <w:t xml:space="preserve"> Excel based product and stream level summaries, but IHACPA </w:t>
      </w:r>
      <w:r w:rsidR="0060207B">
        <w:t>have</w:t>
      </w:r>
      <w:r w:rsidR="0019432E">
        <w:t xml:space="preserve"> </w:t>
      </w:r>
      <w:r w:rsidR="000D7ADD">
        <w:t>developed</w:t>
      </w:r>
      <w:r w:rsidR="000D7ADD" w:rsidRPr="0073297E">
        <w:t xml:space="preserve"> </w:t>
      </w:r>
      <w:r w:rsidR="00AE482C">
        <w:t>a</w:t>
      </w:r>
      <w:r w:rsidR="00353CC2">
        <w:t>n</w:t>
      </w:r>
      <w:r w:rsidR="00AE482C">
        <w:t xml:space="preserve"> </w:t>
      </w:r>
      <w:r w:rsidR="000805F5">
        <w:t>NHCDC</w:t>
      </w:r>
      <w:r w:rsidR="000805F5" w:rsidDel="00AE482C">
        <w:t xml:space="preserve"> </w:t>
      </w:r>
      <w:r w:rsidR="00353CC2">
        <w:t>D</w:t>
      </w:r>
      <w:r w:rsidR="00656709">
        <w:t xml:space="preserve">ashboard available for the first time for </w:t>
      </w:r>
      <w:r w:rsidR="00120DC0">
        <w:t xml:space="preserve">the </w:t>
      </w:r>
      <w:r w:rsidR="000805F5">
        <w:t xml:space="preserve">NHCDC </w:t>
      </w:r>
      <w:r w:rsidR="00656709">
        <w:t>2023-24</w:t>
      </w:r>
      <w:r w:rsidR="00120DC0">
        <w:t xml:space="preserve"> submission</w:t>
      </w:r>
      <w:r w:rsidR="003D01A3">
        <w:t>, with the Excel based reports alongside the dashboard for the transition year</w:t>
      </w:r>
      <w:r w:rsidRPr="0073297E">
        <w:t xml:space="preserve">. </w:t>
      </w:r>
      <w:r w:rsidR="003D01A3">
        <w:t>A</w:t>
      </w:r>
      <w:r w:rsidRPr="0073297E">
        <w:t>nalysis is undertaken using a data focused approach (i.e.</w:t>
      </w:r>
      <w:r w:rsidR="008F6612">
        <w:t>,</w:t>
      </w:r>
      <w:r w:rsidRPr="0073297E">
        <w:t xml:space="preserve"> without consultation with jurisdictions) at this stage, and frequently </w:t>
      </w:r>
      <w:r w:rsidR="008B5815">
        <w:t xml:space="preserve">when </w:t>
      </w:r>
      <w:r w:rsidRPr="0073297E">
        <w:t xml:space="preserve">a </w:t>
      </w:r>
      <w:r w:rsidR="00C57156">
        <w:t>D</w:t>
      </w:r>
      <w:r w:rsidR="008B5815">
        <w:t xml:space="preserve">ata </w:t>
      </w:r>
      <w:r w:rsidR="00C57156">
        <w:t>Q</w:t>
      </w:r>
      <w:r w:rsidR="008B5815">
        <w:t xml:space="preserve">uality </w:t>
      </w:r>
      <w:r w:rsidR="00C57156">
        <w:t>S</w:t>
      </w:r>
      <w:r w:rsidR="008B5815">
        <w:t>tatement (</w:t>
      </w:r>
      <w:r w:rsidR="00C57156">
        <w:t>DQS</w:t>
      </w:r>
      <w:r w:rsidR="008B5815">
        <w:t>)</w:t>
      </w:r>
      <w:r w:rsidRPr="0073297E">
        <w:t xml:space="preserve"> is not yet available. Key checks include:</w:t>
      </w:r>
    </w:p>
    <w:p w14:paraId="1CD012A6" w14:textId="3D466D2F" w:rsidR="00104183" w:rsidRPr="0073297E" w:rsidRDefault="00104183" w:rsidP="00CD718C">
      <w:pPr>
        <w:pStyle w:val="ListParagraph"/>
        <w:numPr>
          <w:ilvl w:val="0"/>
          <w:numId w:val="40"/>
        </w:numPr>
      </w:pPr>
      <w:r w:rsidRPr="0073297E">
        <w:t>Comparison to prior year only, with material changes followed up with jurisdictions</w:t>
      </w:r>
      <w:r w:rsidR="000805F5">
        <w:t>.</w:t>
      </w:r>
    </w:p>
    <w:p w14:paraId="756822CC" w14:textId="7A142B7B" w:rsidR="00104183" w:rsidRPr="0073297E" w:rsidRDefault="00104183" w:rsidP="00CD718C">
      <w:pPr>
        <w:pStyle w:val="ListParagraph"/>
        <w:numPr>
          <w:ilvl w:val="0"/>
          <w:numId w:val="40"/>
        </w:numPr>
      </w:pPr>
      <w:r w:rsidRPr="0073297E">
        <w:t xml:space="preserve">Checks for negative values </w:t>
      </w:r>
      <w:r w:rsidR="00FF148A">
        <w:t xml:space="preserve">in </w:t>
      </w:r>
      <w:r w:rsidR="00C517F6">
        <w:t>one</w:t>
      </w:r>
      <w:r w:rsidR="00FF148A">
        <w:t xml:space="preserve"> or more line</w:t>
      </w:r>
      <w:r w:rsidR="00491993">
        <w:t xml:space="preserve"> </w:t>
      </w:r>
      <w:r w:rsidR="00FF148A">
        <w:t>items</w:t>
      </w:r>
      <w:r w:rsidR="004E1051">
        <w:t xml:space="preserve"> are </w:t>
      </w:r>
      <w:r w:rsidRPr="0073297E">
        <w:t xml:space="preserve">internally flagged. Significant volumes of cost records with </w:t>
      </w:r>
      <w:r w:rsidR="004E1051">
        <w:t>negative line items are</w:t>
      </w:r>
      <w:r w:rsidRPr="0073297E">
        <w:t xml:space="preserve"> followed up with jurisdictions</w:t>
      </w:r>
      <w:r w:rsidR="000805F5">
        <w:t>.</w:t>
      </w:r>
    </w:p>
    <w:p w14:paraId="370BEAAA" w14:textId="26E33435" w:rsidR="00104183" w:rsidRPr="0073297E" w:rsidRDefault="00104183" w:rsidP="00104183">
      <w:r w:rsidRPr="0073297E">
        <w:t>Any insights are discuss</w:t>
      </w:r>
      <w:r w:rsidR="00EA75DC">
        <w:t>e</w:t>
      </w:r>
      <w:r w:rsidRPr="0073297E">
        <w:t xml:space="preserve">d in internal weekly costing meetings </w:t>
      </w:r>
      <w:r w:rsidR="00E96993">
        <w:t>taking</w:t>
      </w:r>
      <w:r w:rsidRPr="0073297E">
        <w:t xml:space="preserve"> place throughout the annual NHCDC cycle between Analytics, Data Acquisition and Hospital Costing </w:t>
      </w:r>
      <w:r w:rsidR="008E3CEA">
        <w:t>t</w:t>
      </w:r>
      <w:r w:rsidRPr="0073297E">
        <w:t xml:space="preserve">eams. Once analyses are complete, findings are documented in </w:t>
      </w:r>
      <w:r w:rsidR="008E3CEA">
        <w:t xml:space="preserve">a </w:t>
      </w:r>
      <w:r w:rsidRPr="0073297E">
        <w:t xml:space="preserve">written report </w:t>
      </w:r>
      <w:r w:rsidR="00AE482C">
        <w:t xml:space="preserve">produced </w:t>
      </w:r>
      <w:r w:rsidR="000805F5">
        <w:t>by</w:t>
      </w:r>
      <w:r w:rsidR="000805F5" w:rsidRPr="0073297E">
        <w:t xml:space="preserve"> </w:t>
      </w:r>
      <w:r w:rsidR="009B6E78">
        <w:t xml:space="preserve">the </w:t>
      </w:r>
      <w:r w:rsidRPr="0073297E">
        <w:t>Hospital Costing team</w:t>
      </w:r>
      <w:r w:rsidR="009B6E78">
        <w:t xml:space="preserve"> for consultation with jurisdictions</w:t>
      </w:r>
      <w:r w:rsidRPr="0073297E">
        <w:t xml:space="preserve">. </w:t>
      </w:r>
    </w:p>
    <w:p w14:paraId="414DEDF6" w14:textId="4A0891EA" w:rsidR="00104183" w:rsidRDefault="00104183" w:rsidP="00104183">
      <w:r w:rsidRPr="0073297E">
        <w:lastRenderedPageBreak/>
        <w:t xml:space="preserve">The </w:t>
      </w:r>
      <w:r w:rsidR="00D70897">
        <w:t xml:space="preserve">Data </w:t>
      </w:r>
      <w:r w:rsidRPr="0073297E">
        <w:t xml:space="preserve">Analytics </w:t>
      </w:r>
      <w:r w:rsidR="00D70897">
        <w:t>t</w:t>
      </w:r>
      <w:r w:rsidRPr="0073297E">
        <w:t>eam also produce cost per</w:t>
      </w:r>
      <w:r w:rsidR="000805F5">
        <w:t xml:space="preserve"> national weighted average unit</w:t>
      </w:r>
      <w:r w:rsidRPr="0073297E">
        <w:t xml:space="preserve"> </w:t>
      </w:r>
      <w:r w:rsidR="000805F5">
        <w:t>(</w:t>
      </w:r>
      <w:r w:rsidRPr="0073297E">
        <w:t>NWAU</w:t>
      </w:r>
      <w:r w:rsidR="000805F5">
        <w:t>)</w:t>
      </w:r>
      <w:r w:rsidRPr="0073297E">
        <w:t xml:space="preserve"> and </w:t>
      </w:r>
      <w:r w:rsidR="000805F5">
        <w:t>gross weighted average unit (</w:t>
      </w:r>
      <w:r w:rsidRPr="0073297E">
        <w:t>GWAU</w:t>
      </w:r>
      <w:r w:rsidR="000805F5">
        <w:t>)</w:t>
      </w:r>
      <w:r w:rsidRPr="0073297E">
        <w:t xml:space="preserve"> summaries</w:t>
      </w:r>
      <w:r w:rsidR="00A74BC8">
        <w:t xml:space="preserve">. Although these measures are not </w:t>
      </w:r>
      <w:r w:rsidR="00E316E2">
        <w:t xml:space="preserve">fully aligned to the definition of “in-scope costs” as adopted by the </w:t>
      </w:r>
      <w:r w:rsidR="00A74BC8" w:rsidRPr="0073297E">
        <w:t xml:space="preserve">Pricing team </w:t>
      </w:r>
      <w:r w:rsidR="00E316E2">
        <w:t xml:space="preserve">in developing the </w:t>
      </w:r>
      <w:r w:rsidR="008E3CEA">
        <w:t>national efficient price (</w:t>
      </w:r>
      <w:r w:rsidR="00E316E2">
        <w:t>NEP</w:t>
      </w:r>
      <w:r w:rsidR="008E3CEA">
        <w:t>)</w:t>
      </w:r>
      <w:r w:rsidR="00E316E2">
        <w:t xml:space="preserve"> Determination, these </w:t>
      </w:r>
      <w:r w:rsidR="00B76AB9">
        <w:t xml:space="preserve">are </w:t>
      </w:r>
      <w:r w:rsidR="00E316E2">
        <w:t>still a useful measure of movements from year</w:t>
      </w:r>
      <w:r w:rsidR="006663D5">
        <w:t>-on-</w:t>
      </w:r>
      <w:r w:rsidR="00E316E2">
        <w:t>year.</w:t>
      </w:r>
    </w:p>
    <w:p w14:paraId="14894970" w14:textId="3D90950D" w:rsidR="00B2011D" w:rsidRPr="0073297E" w:rsidRDefault="00B2011D" w:rsidP="00B2011D">
      <w:r w:rsidRPr="0073297E">
        <w:t>All jurisdictions</w:t>
      </w:r>
      <w:r w:rsidRPr="0073297E" w:rsidDel="000805F5">
        <w:t xml:space="preserve"> </w:t>
      </w:r>
      <w:r w:rsidR="000805F5">
        <w:t>are</w:t>
      </w:r>
      <w:r w:rsidR="000805F5" w:rsidRPr="0073297E">
        <w:t xml:space="preserve"> </w:t>
      </w:r>
      <w:r w:rsidRPr="0073297E">
        <w:t xml:space="preserve">given a comparison of the stream, cost bucket, line item, product type and </w:t>
      </w:r>
      <w:r w:rsidR="00401BB9">
        <w:t>classification</w:t>
      </w:r>
      <w:r w:rsidRPr="0073297E">
        <w:t xml:space="preserve"> levels </w:t>
      </w:r>
      <w:r w:rsidR="00401BB9">
        <w:t>(e.g.</w:t>
      </w:r>
      <w:r w:rsidR="00061BBD">
        <w:t>,</w:t>
      </w:r>
      <w:r w:rsidR="00401BB9">
        <w:t xml:space="preserve"> </w:t>
      </w:r>
      <w:r w:rsidR="00B76AB9">
        <w:t xml:space="preserve">Australian Refined </w:t>
      </w:r>
      <w:r w:rsidR="006E78F3">
        <w:t>– Diagnosis Related Group (</w:t>
      </w:r>
      <w:r w:rsidR="00401BB9">
        <w:t>AR-DRG</w:t>
      </w:r>
      <w:r w:rsidR="006E78F3">
        <w:t>)</w:t>
      </w:r>
      <w:r w:rsidR="00401BB9">
        <w:t>)</w:t>
      </w:r>
      <w:r w:rsidRPr="0073297E">
        <w:t xml:space="preserve"> compared to </w:t>
      </w:r>
      <w:r w:rsidR="006663D5">
        <w:t>the previous year</w:t>
      </w:r>
      <w:r w:rsidRPr="0073297E">
        <w:t xml:space="preserve">. The QA report was able to indicate areas for investigation for individual jurisdictions. </w:t>
      </w:r>
    </w:p>
    <w:p w14:paraId="127102E8" w14:textId="46E4F249" w:rsidR="00B2011D" w:rsidRPr="0073297E" w:rsidRDefault="00B2011D" w:rsidP="00104183">
      <w:r w:rsidRPr="0073297E">
        <w:t xml:space="preserve">Within the QA process, errors are also detected and relayed back to the </w:t>
      </w:r>
      <w:r w:rsidR="006E78F3">
        <w:t>Hospital Costing</w:t>
      </w:r>
      <w:r w:rsidRPr="0073297E">
        <w:t xml:space="preserve"> team who follow up with jurisdictions. </w:t>
      </w:r>
    </w:p>
    <w:p w14:paraId="7187C5D2" w14:textId="6EB2FB32" w:rsidR="00DF5FBB" w:rsidRPr="003226E9" w:rsidRDefault="005D3E62" w:rsidP="00DF5FBB">
      <w:r w:rsidRPr="003226E9">
        <w:t>Hospital Costing team use the QA reports</w:t>
      </w:r>
      <w:r w:rsidR="0075109C" w:rsidRPr="003226E9">
        <w:t xml:space="preserve"> along with summary information on issues identified during the QA process to produce a </w:t>
      </w:r>
      <w:r w:rsidR="00C97FCF" w:rsidRPr="003226E9">
        <w:t xml:space="preserve">consultation </w:t>
      </w:r>
      <w:r w:rsidR="006663D5" w:rsidRPr="003226E9">
        <w:t xml:space="preserve">report </w:t>
      </w:r>
      <w:r w:rsidR="00DF5FBB" w:rsidRPr="003226E9">
        <w:t>that outlines the key findings relative to previous years and includes additional questions</w:t>
      </w:r>
      <w:r w:rsidR="00C97FCF" w:rsidRPr="003226E9">
        <w:t xml:space="preserve"> to the jurisdiction</w:t>
      </w:r>
      <w:r w:rsidR="00DF5FBB" w:rsidRPr="003226E9">
        <w:t xml:space="preserve"> for further exploration, such as notable movements or trends</w:t>
      </w:r>
      <w:r w:rsidR="00C97FCF" w:rsidRPr="003226E9">
        <w:t xml:space="preserve"> in costs by stream.</w:t>
      </w:r>
    </w:p>
    <w:p w14:paraId="7F653D02" w14:textId="3C456DB3" w:rsidR="00104183" w:rsidRPr="003226E9" w:rsidRDefault="00104183" w:rsidP="008E637B">
      <w:pPr>
        <w:rPr>
          <w:u w:val="single"/>
        </w:rPr>
      </w:pPr>
      <w:r w:rsidRPr="003226E9">
        <w:rPr>
          <w:u w:val="single"/>
        </w:rPr>
        <w:t xml:space="preserve">Stage 5: </w:t>
      </w:r>
      <w:r w:rsidR="00C97FCF" w:rsidRPr="003226E9">
        <w:rPr>
          <w:u w:val="single"/>
        </w:rPr>
        <w:t>Finalisation of the costing output</w:t>
      </w:r>
    </w:p>
    <w:p w14:paraId="7D821ED5" w14:textId="2E564E6B" w:rsidR="00F362B7" w:rsidRPr="003226E9" w:rsidRDefault="00104183" w:rsidP="006C7442">
      <w:pPr>
        <w:rPr>
          <w:lang w:eastAsia="en-US"/>
        </w:rPr>
      </w:pPr>
      <w:r w:rsidRPr="003226E9">
        <w:t xml:space="preserve">Once each jurisdiction’s queries </w:t>
      </w:r>
      <w:r w:rsidR="002C61AF" w:rsidRPr="003226E9">
        <w:t>are</w:t>
      </w:r>
      <w:r w:rsidRPr="003226E9">
        <w:t xml:space="preserve"> resolved, each jurisdiction </w:t>
      </w:r>
      <w:r w:rsidR="006663D5" w:rsidRPr="003226E9">
        <w:t xml:space="preserve">finalises </w:t>
      </w:r>
      <w:r w:rsidRPr="003226E9">
        <w:t xml:space="preserve">a </w:t>
      </w:r>
      <w:r w:rsidR="00C57156" w:rsidRPr="003226E9">
        <w:t>DQS</w:t>
      </w:r>
      <w:r w:rsidRPr="003226E9">
        <w:t xml:space="preserve"> detailing their alignment with AHPCS v4.2, </w:t>
      </w:r>
      <w:r w:rsidR="007F4CF2" w:rsidRPr="003226E9">
        <w:t xml:space="preserve">a jurisdictional reconciliation, </w:t>
      </w:r>
      <w:r w:rsidR="003D1114" w:rsidRPr="003226E9">
        <w:t>and</w:t>
      </w:r>
      <w:r w:rsidRPr="003226E9">
        <w:t xml:space="preserve"> an</w:t>
      </w:r>
      <w:r w:rsidR="006E78F3" w:rsidRPr="003226E9">
        <w:t>y</w:t>
      </w:r>
      <w:r w:rsidRPr="003226E9">
        <w:t xml:space="preserve"> reasons for material cost movements. </w:t>
      </w:r>
    </w:p>
    <w:sectPr w:rsidR="00F362B7" w:rsidRPr="003226E9" w:rsidSect="00F9472C">
      <w:headerReference w:type="default" r:id="rId113"/>
      <w:footnotePr>
        <w:pos w:val="beneathText"/>
      </w:footnotePr>
      <w:endnotePr>
        <w:numFmt w:val="decimal"/>
      </w:endnotePr>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56513" w14:textId="77777777" w:rsidR="005C79BF" w:rsidRPr="001729F2" w:rsidRDefault="005C79BF" w:rsidP="0061125F">
      <w:r w:rsidRPr="001729F2">
        <w:separator/>
      </w:r>
    </w:p>
  </w:endnote>
  <w:endnote w:type="continuationSeparator" w:id="0">
    <w:p w14:paraId="2220C86C" w14:textId="77777777" w:rsidR="005C79BF" w:rsidRPr="001729F2" w:rsidRDefault="005C79BF" w:rsidP="0061125F">
      <w:r w:rsidRPr="001729F2">
        <w:continuationSeparator/>
      </w:r>
    </w:p>
  </w:endnote>
  <w:endnote w:type="continuationNotice" w:id="1">
    <w:p w14:paraId="78E46AC4" w14:textId="77777777" w:rsidR="005C79BF" w:rsidRPr="001729F2" w:rsidRDefault="005C79BF" w:rsidP="006112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AvenirNext LT Pro Regular">
    <w:altName w:val="Cambria"/>
    <w:panose1 w:val="00000000000000000000"/>
    <w:charset w:val="00"/>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Public Sans (NSW)">
    <w:altName w:val="Calibri"/>
    <w:charset w:val="00"/>
    <w:family w:val="auto"/>
    <w:pitch w:val="variable"/>
    <w:sig w:usb0="A00000FF" w:usb1="4000205B" w:usb2="00000000" w:usb3="00000000" w:csb0="00000193" w:csb1="00000000"/>
  </w:font>
  <w:font w:name="@Yu Gothic UI Light">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ZWAdobeF">
    <w:panose1 w:val="00000000000000000000"/>
    <w:charset w:val="00"/>
    <w:family w:val="auto"/>
    <w:pitch w:val="variable"/>
    <w:sig w:usb0="20002A87" w:usb1="00000000" w:usb2="00000000" w:usb3="00000000" w:csb0="000001FF" w:csb1="00000000"/>
  </w:font>
  <w:font w:name="Avenir Next LT Pro Regular">
    <w:altName w:val="Avenir Next LT Pro"/>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7089" w14:textId="02E54DA2" w:rsidR="00457CF0" w:rsidRDefault="008172C7">
    <w:pPr>
      <w:rPr>
        <w:color w:val="auto"/>
      </w:rPr>
    </w:pPr>
    <w:r>
      <w:rPr>
        <w:noProof/>
        <w:color w:val="auto"/>
      </w:rPr>
      <mc:AlternateContent>
        <mc:Choice Requires="wps">
          <w:drawing>
            <wp:anchor distT="0" distB="0" distL="0" distR="0" simplePos="0" relativeHeight="251658263" behindDoc="0" locked="0" layoutInCell="1" allowOverlap="1" wp14:anchorId="31DFF966" wp14:editId="137E3B15">
              <wp:simplePos x="635" y="635"/>
              <wp:positionH relativeFrom="page">
                <wp:align>center</wp:align>
              </wp:positionH>
              <wp:positionV relativeFrom="page">
                <wp:align>bottom</wp:align>
              </wp:positionV>
              <wp:extent cx="551815" cy="405765"/>
              <wp:effectExtent l="0" t="0" r="635" b="0"/>
              <wp:wrapNone/>
              <wp:docPr id="1841269486"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27A7509" w14:textId="3EE8C378"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FF966" id="_x0000_t202" coordsize="21600,21600" o:spt="202" path="m,l,21600r21600,l21600,xe">
              <v:stroke joinstyle="miter"/>
              <v:path gradientshapeok="t" o:connecttype="rect"/>
            </v:shapetype>
            <v:shape id="Text Box 20" o:spid="_x0000_s1315" type="#_x0000_t202" alt="OFFICIAL" style="position:absolute;margin-left:0;margin-top:0;width:43.45pt;height:31.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z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mJefbsq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mqA/sw4CAAAc&#10;BAAADgAAAAAAAAAAAAAAAAAuAgAAZHJzL2Uyb0RvYy54bWxQSwECLQAUAAYACAAAACEAiUPfmdsA&#10;AAADAQAADwAAAAAAAAAAAAAAAABoBAAAZHJzL2Rvd25yZXYueG1sUEsFBgAAAAAEAAQA8wAAAHAF&#10;AAAAAA==&#10;" filled="f" stroked="f">
              <v:textbox style="mso-fit-shape-to-text:t" inset="0,0,0,15pt">
                <w:txbxContent>
                  <w:p w14:paraId="527A7509" w14:textId="3EE8C378"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p w14:paraId="6B39A914" w14:textId="77777777" w:rsidR="00C4036A" w:rsidRDefault="00C4036A">
    <w:pPr>
      <w:rPr>
        <w:color w:val="auto"/>
      </w:rPr>
    </w:pPr>
  </w:p>
  <w:p w14:paraId="7342B974" w14:textId="77777777" w:rsidR="00C4036A" w:rsidRDefault="00C4036A"/>
  <w:p w14:paraId="72B0F3E0" w14:textId="64838DBB" w:rsidR="00762C3E" w:rsidRDefault="00762C3E">
    <w:pPr>
      <w:rPr>
        <w:color w:val="auto"/>
      </w:rPr>
    </w:pPr>
  </w:p>
  <w:p w14:paraId="2C14E9DF" w14:textId="6BF35FD9" w:rsidR="00AD2E24" w:rsidRDefault="00AD2E24">
    <w:pPr>
      <w:rPr>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9A59F" w14:textId="4D5DF4DF" w:rsidR="0012480E" w:rsidRPr="001729F2" w:rsidRDefault="008172C7" w:rsidP="0049761F">
    <w:pPr>
      <w:pStyle w:val="Footer"/>
      <w:jc w:val="right"/>
    </w:pPr>
    <w:r>
      <w:rPr>
        <w:noProof/>
      </w:rPr>
      <mc:AlternateContent>
        <mc:Choice Requires="wps">
          <w:drawing>
            <wp:anchor distT="0" distB="0" distL="0" distR="0" simplePos="0" relativeHeight="251658264" behindDoc="0" locked="0" layoutInCell="1" allowOverlap="1" wp14:anchorId="2887E029" wp14:editId="1285FCA2">
              <wp:simplePos x="914400" y="9644932"/>
              <wp:positionH relativeFrom="page">
                <wp:align>center</wp:align>
              </wp:positionH>
              <wp:positionV relativeFrom="page">
                <wp:align>bottom</wp:align>
              </wp:positionV>
              <wp:extent cx="551815" cy="405765"/>
              <wp:effectExtent l="0" t="0" r="635" b="0"/>
              <wp:wrapNone/>
              <wp:docPr id="767392083"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3D8C069" w14:textId="5D5A67BD"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7E029" id="_x0000_t202" coordsize="21600,21600" o:spt="202" path="m,l,21600r21600,l21600,xe">
              <v:stroke joinstyle="miter"/>
              <v:path gradientshapeok="t" o:connecttype="rect"/>
            </v:shapetype>
            <v:shape id="Text Box 21" o:spid="_x0000_s1316" type="#_x0000_t202" alt="OFFICIAL" style="position:absolute;left:0;text-align:left;margin-left:0;margin-top:0;width:43.45pt;height:31.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2O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" filled="f" stroked="f">
              <v:textbox style="mso-fit-shape-to-text:t" inset="0,0,0,15pt">
                <w:txbxContent>
                  <w:p w14:paraId="73D8C069" w14:textId="5D5A67BD"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sdt>
      <w:sdtPr>
        <w:id w:val="-50772222"/>
        <w:docPartObj>
          <w:docPartGallery w:val="Page Numbers (Bottom of Page)"/>
          <w:docPartUnique/>
        </w:docPartObj>
      </w:sdtPr>
      <w:sdtContent>
        <w:r w:rsidR="0012480E" w:rsidRPr="001729F2">
          <w:fldChar w:fldCharType="begin"/>
        </w:r>
        <w:r w:rsidR="0012480E" w:rsidRPr="001729F2">
          <w:instrText xml:space="preserve"> PAGE   \* MERGEFORMAT </w:instrText>
        </w:r>
        <w:r w:rsidR="0012480E" w:rsidRPr="001729F2">
          <w:fldChar w:fldCharType="separate"/>
        </w:r>
        <w:r w:rsidR="0012480E" w:rsidRPr="001729F2">
          <w:t>2</w:t>
        </w:r>
        <w:r w:rsidR="0012480E" w:rsidRPr="001729F2">
          <w:fldChar w:fldCharType="end"/>
        </w:r>
      </w:sdtContent>
    </w:sdt>
  </w:p>
  <w:p w14:paraId="0DE3C617" w14:textId="77777777" w:rsidR="004B7B47" w:rsidRPr="001729F2" w:rsidRDefault="004B7B47" w:rsidP="0061125F">
    <w:pPr>
      <w:pStyle w:val="Footer"/>
    </w:pPr>
  </w:p>
  <w:p w14:paraId="7633279C" w14:textId="77777777" w:rsidR="00E901C5" w:rsidRPr="001729F2" w:rsidRDefault="00276B5F" w:rsidP="0061125F">
    <w:r w:rsidRPr="001729F2">
      <w:rPr>
        <w:noProof/>
      </w:rPr>
      <w:drawing>
        <wp:anchor distT="0" distB="0" distL="114300" distR="114300" simplePos="0" relativeHeight="251658243" behindDoc="0" locked="0" layoutInCell="1" allowOverlap="1" wp14:anchorId="487F0311" wp14:editId="0D3185FD">
          <wp:simplePos x="0" y="0"/>
          <wp:positionH relativeFrom="column">
            <wp:posOffset>979493</wp:posOffset>
          </wp:positionH>
          <wp:positionV relativeFrom="paragraph">
            <wp:posOffset>34949</wp:posOffset>
          </wp:positionV>
          <wp:extent cx="5917982" cy="685775"/>
          <wp:effectExtent l="0" t="0" r="0" b="635"/>
          <wp:wrapNone/>
          <wp:docPr id="7062173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3131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917982" cy="6857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CCFD9" w14:textId="284962EA" w:rsidR="00457CF0" w:rsidRDefault="008172C7">
    <w:pPr>
      <w:rPr>
        <w:color w:val="auto"/>
      </w:rPr>
    </w:pPr>
    <w:r>
      <w:rPr>
        <w:noProof/>
        <w:color w:val="auto"/>
      </w:rPr>
      <mc:AlternateContent>
        <mc:Choice Requires="wps">
          <w:drawing>
            <wp:anchor distT="0" distB="0" distL="0" distR="0" simplePos="0" relativeHeight="251658262" behindDoc="0" locked="0" layoutInCell="1" allowOverlap="1" wp14:anchorId="22646D52" wp14:editId="54FD7038">
              <wp:simplePos x="635" y="635"/>
              <wp:positionH relativeFrom="page">
                <wp:align>center</wp:align>
              </wp:positionH>
              <wp:positionV relativeFrom="page">
                <wp:align>bottom</wp:align>
              </wp:positionV>
              <wp:extent cx="551815" cy="405765"/>
              <wp:effectExtent l="0" t="0" r="635" b="0"/>
              <wp:wrapNone/>
              <wp:docPr id="187847326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92DFC2C" w14:textId="642FFFFF"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46D52" id="_x0000_t202" coordsize="21600,21600" o:spt="202" path="m,l,21600r21600,l21600,xe">
              <v:stroke joinstyle="miter"/>
              <v:path gradientshapeok="t" o:connecttype="rect"/>
            </v:shapetype>
            <v:shape id="Text Box 19" o:spid="_x0000_s1318" type="#_x0000_t202" alt="OFFICIAL" style="position:absolute;margin-left:0;margin-top:0;width:43.45pt;height:31.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IDDgIAABwEAAAOAAAAZHJzL2Uyb0RvYy54bWysU8Fu2zAMvQ/YPwi6L7aLue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OS+/XJc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mZwiAw4CAAAc&#10;BAAADgAAAAAAAAAAAAAAAAAuAgAAZHJzL2Uyb0RvYy54bWxQSwECLQAUAAYACAAAACEAiUPfmdsA&#10;AAADAQAADwAAAAAAAAAAAAAAAABoBAAAZHJzL2Rvd25yZXYueG1sUEsFBgAAAAAEAAQA8wAAAHAF&#10;AAAAAA==&#10;" filled="f" stroked="f">
              <v:textbox style="mso-fit-shape-to-text:t" inset="0,0,0,15pt">
                <w:txbxContent>
                  <w:p w14:paraId="292DFC2C" w14:textId="642FFFFF"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p w14:paraId="27940F9F" w14:textId="77777777" w:rsidR="00C4036A" w:rsidRDefault="00C4036A">
    <w:pPr>
      <w:rPr>
        <w:color w:val="auto"/>
      </w:rPr>
    </w:pPr>
  </w:p>
  <w:p w14:paraId="125665BC" w14:textId="77777777" w:rsidR="00C4036A" w:rsidRDefault="00C4036A"/>
  <w:p w14:paraId="794B35B3" w14:textId="4885C9D5" w:rsidR="00762C3E" w:rsidRDefault="00762C3E">
    <w:pPr>
      <w:rPr>
        <w:color w:val="auto"/>
      </w:rPr>
    </w:pPr>
  </w:p>
  <w:p w14:paraId="322160D7" w14:textId="47E00C78" w:rsidR="00AD2E24" w:rsidRDefault="00AD2E24">
    <w:pP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886D" w14:textId="067C10DB" w:rsidR="0041629D" w:rsidRDefault="008172C7">
    <w:pPr>
      <w:pStyle w:val="Footer"/>
    </w:pPr>
    <w:r>
      <w:rPr>
        <w:noProof/>
      </w:rPr>
      <mc:AlternateContent>
        <mc:Choice Requires="wps">
          <w:drawing>
            <wp:anchor distT="0" distB="0" distL="0" distR="0" simplePos="0" relativeHeight="251658266" behindDoc="0" locked="0" layoutInCell="1" allowOverlap="1" wp14:anchorId="609F5EA0" wp14:editId="2B8A99B5">
              <wp:simplePos x="635" y="635"/>
              <wp:positionH relativeFrom="page">
                <wp:align>center</wp:align>
              </wp:positionH>
              <wp:positionV relativeFrom="page">
                <wp:align>bottom</wp:align>
              </wp:positionV>
              <wp:extent cx="551815" cy="405765"/>
              <wp:effectExtent l="0" t="0" r="635" b="0"/>
              <wp:wrapNone/>
              <wp:docPr id="693744782"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C4C06BB" w14:textId="6BAB0946"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9F5EA0" id="_x0000_t202" coordsize="21600,21600" o:spt="202" path="m,l,21600r21600,l21600,xe">
              <v:stroke joinstyle="miter"/>
              <v:path gradientshapeok="t" o:connecttype="rect"/>
            </v:shapetype>
            <v:shape id="Text Box 23" o:spid="_x0000_s1387" type="#_x0000_t202" alt="OFFICIAL" style="position:absolute;margin-left:0;margin-top:0;width:43.45pt;height:31.9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" filled="f" stroked="f">
              <v:textbox style="mso-fit-shape-to-text:t" inset="0,0,0,15pt">
                <w:txbxContent>
                  <w:p w14:paraId="5C4C06BB" w14:textId="6BAB0946"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8608E" w14:textId="0D052155" w:rsidR="0041629D" w:rsidRPr="005D1D70" w:rsidRDefault="008172C7">
    <w:pPr>
      <w:pStyle w:val="Footer"/>
      <w:jc w:val="right"/>
    </w:pPr>
    <w:r>
      <w:rPr>
        <w:noProof/>
      </w:rPr>
      <mc:AlternateContent>
        <mc:Choice Requires="wps">
          <w:drawing>
            <wp:anchor distT="0" distB="0" distL="0" distR="0" simplePos="0" relativeHeight="251658267" behindDoc="0" locked="0" layoutInCell="1" allowOverlap="1" wp14:anchorId="18DC68DD" wp14:editId="231A5888">
              <wp:simplePos x="635" y="635"/>
              <wp:positionH relativeFrom="page">
                <wp:align>center</wp:align>
              </wp:positionH>
              <wp:positionV relativeFrom="page">
                <wp:align>bottom</wp:align>
              </wp:positionV>
              <wp:extent cx="551815" cy="405765"/>
              <wp:effectExtent l="0" t="0" r="635" b="0"/>
              <wp:wrapNone/>
              <wp:docPr id="845662771"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808AA37" w14:textId="6F76B8D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DC68DD" id="_x0000_t202" coordsize="21600,21600" o:spt="202" path="m,l,21600r21600,l21600,xe">
              <v:stroke joinstyle="miter"/>
              <v:path gradientshapeok="t" o:connecttype="rect"/>
            </v:shapetype>
            <v:shape id="Text Box 24" o:spid="_x0000_s1388" type="#_x0000_t202" alt="OFFICIAL" style="position:absolute;left:0;text-align:left;margin-left:0;margin-top:0;width:43.45pt;height:31.9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InFFuw4CAAAd&#10;BAAADgAAAAAAAAAAAAAAAAAuAgAAZHJzL2Uyb0RvYy54bWxQSwECLQAUAAYACAAAACEAiUPfmdsA&#10;AAADAQAADwAAAAAAAAAAAAAAAABoBAAAZHJzL2Rvd25yZXYueG1sUEsFBgAAAAAEAAQA8wAAAHAF&#10;AAAAAA==&#10;" filled="f" stroked="f">
              <v:textbox style="mso-fit-shape-to-text:t" inset="0,0,0,15pt">
                <w:txbxContent>
                  <w:p w14:paraId="2808AA37" w14:textId="6F76B8D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sdt>
      <w:sdtPr>
        <w:id w:val="-586917615"/>
        <w:docPartObj>
          <w:docPartGallery w:val="Page Numbers (Bottom of Page)"/>
          <w:docPartUnique/>
        </w:docPartObj>
      </w:sdtPr>
      <w:sdtContent>
        <w:r w:rsidR="0041629D" w:rsidRPr="005D1D70">
          <w:fldChar w:fldCharType="begin"/>
        </w:r>
        <w:r w:rsidR="0041629D" w:rsidRPr="005D1D70">
          <w:instrText xml:space="preserve"> PAGE   \* MERGEFORMAT </w:instrText>
        </w:r>
        <w:r w:rsidR="0041629D" w:rsidRPr="005D1D70">
          <w:fldChar w:fldCharType="separate"/>
        </w:r>
        <w:r w:rsidR="0041629D" w:rsidRPr="005D1D70">
          <w:t>2</w:t>
        </w:r>
        <w:r w:rsidR="0041629D" w:rsidRPr="005D1D70">
          <w:fldChar w:fldCharType="end"/>
        </w:r>
      </w:sdtContent>
    </w:sdt>
  </w:p>
  <w:p w14:paraId="04ECFC55" w14:textId="77777777" w:rsidR="0041629D" w:rsidRPr="005D1D70" w:rsidRDefault="0041629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1E98" w14:textId="6DC3A31E" w:rsidR="0041629D" w:rsidRDefault="008172C7">
    <w:pPr>
      <w:pStyle w:val="Footer"/>
    </w:pPr>
    <w:r>
      <w:rPr>
        <w:noProof/>
      </w:rPr>
      <mc:AlternateContent>
        <mc:Choice Requires="wps">
          <w:drawing>
            <wp:anchor distT="0" distB="0" distL="0" distR="0" simplePos="0" relativeHeight="251658265" behindDoc="0" locked="0" layoutInCell="1" allowOverlap="1" wp14:anchorId="0555ABC4" wp14:editId="20493ADF">
              <wp:simplePos x="635" y="635"/>
              <wp:positionH relativeFrom="page">
                <wp:align>center</wp:align>
              </wp:positionH>
              <wp:positionV relativeFrom="page">
                <wp:align>bottom</wp:align>
              </wp:positionV>
              <wp:extent cx="551815" cy="405765"/>
              <wp:effectExtent l="0" t="0" r="635" b="0"/>
              <wp:wrapNone/>
              <wp:docPr id="159946575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DAF4804" w14:textId="286AA735"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5ABC4" id="_x0000_t202" coordsize="21600,21600" o:spt="202" path="m,l,21600r21600,l21600,xe">
              <v:stroke joinstyle="miter"/>
              <v:path gradientshapeok="t" o:connecttype="rect"/>
            </v:shapetype>
            <v:shape id="Text Box 22" o:spid="_x0000_s1390" type="#_x0000_t202" alt="OFFICIAL" style="position:absolute;margin-left:0;margin-top:0;width:43.45pt;height:31.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" filled="f" stroked="f">
              <v:textbox style="mso-fit-shape-to-text:t" inset="0,0,0,15pt">
                <w:txbxContent>
                  <w:p w14:paraId="5DAF4804" w14:textId="286AA735"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A49B" w14:textId="77777777" w:rsidR="005C79BF" w:rsidRPr="001729F2" w:rsidRDefault="005C79BF" w:rsidP="0061125F">
      <w:r w:rsidRPr="001729F2">
        <w:separator/>
      </w:r>
    </w:p>
  </w:footnote>
  <w:footnote w:type="continuationSeparator" w:id="0">
    <w:p w14:paraId="167C01A7" w14:textId="77777777" w:rsidR="005C79BF" w:rsidRPr="001729F2" w:rsidRDefault="005C79BF" w:rsidP="0061125F">
      <w:r w:rsidRPr="001729F2">
        <w:continuationSeparator/>
      </w:r>
    </w:p>
  </w:footnote>
  <w:footnote w:type="continuationNotice" w:id="1">
    <w:p w14:paraId="037A03C2" w14:textId="77777777" w:rsidR="005C79BF" w:rsidRPr="001729F2" w:rsidRDefault="005C79BF" w:rsidP="0061125F"/>
  </w:footnote>
  <w:footnote w:id="2">
    <w:p w14:paraId="057882D7" w14:textId="5D97FA04" w:rsidR="006854A3" w:rsidRDefault="006854A3" w:rsidP="006854A3">
      <w:r>
        <w:rPr>
          <w:rStyle w:val="FootnoteReference"/>
        </w:rPr>
        <w:footnoteRef/>
      </w:r>
      <w:r>
        <w:t xml:space="preserve"> </w:t>
      </w:r>
      <w:r w:rsidRPr="00AD1F32">
        <w:rPr>
          <w:i/>
          <w:iCs/>
          <w:sz w:val="18"/>
          <w:szCs w:val="18"/>
        </w:rPr>
        <w:t xml:space="preserve">IHACPA published Review Reports for </w:t>
      </w:r>
      <w:hyperlink r:id="rId1" w:history="1">
        <w:r w:rsidRPr="00AD1F32">
          <w:rPr>
            <w:rStyle w:val="Hyperlink"/>
            <w:i/>
            <w:iCs/>
            <w:sz w:val="18"/>
            <w:szCs w:val="18"/>
          </w:rPr>
          <w:t>2021-22</w:t>
        </w:r>
      </w:hyperlink>
      <w:r w:rsidRPr="00AD1F32">
        <w:rPr>
          <w:i/>
          <w:iCs/>
          <w:sz w:val="18"/>
          <w:szCs w:val="18"/>
        </w:rPr>
        <w:t xml:space="preserve"> and </w:t>
      </w:r>
      <w:hyperlink r:id="rId2" w:history="1">
        <w:r w:rsidRPr="00AD1F32">
          <w:rPr>
            <w:rStyle w:val="Hyperlink"/>
            <w:i/>
            <w:iCs/>
            <w:sz w:val="18"/>
            <w:szCs w:val="18"/>
          </w:rPr>
          <w:t>2022-23</w:t>
        </w:r>
      </w:hyperlink>
      <w:r w:rsidRPr="00AD1F32">
        <w:rPr>
          <w:i/>
          <w:iCs/>
          <w:sz w:val="18"/>
          <w:szCs w:val="18"/>
        </w:rPr>
        <w:t xml:space="preserve"> along with reconciliations</w:t>
      </w:r>
      <w:r w:rsidR="00AD1F32">
        <w:rPr>
          <w:i/>
          <w:iCs/>
          <w:sz w:val="18"/>
          <w:szCs w:val="18"/>
        </w:rPr>
        <w:t>.</w:t>
      </w:r>
    </w:p>
    <w:p w14:paraId="0E51AC79" w14:textId="7B401791" w:rsidR="006854A3" w:rsidRDefault="006854A3">
      <w:pPr>
        <w:pStyle w:val="FootnoteText"/>
      </w:pPr>
    </w:p>
  </w:footnote>
  <w:footnote w:id="3">
    <w:p w14:paraId="43512DF7" w14:textId="018D26CA" w:rsidR="00F52F67" w:rsidRDefault="00F52F67" w:rsidP="00F52F67">
      <w:pPr>
        <w:pStyle w:val="FootnoteText"/>
      </w:pPr>
      <w:r>
        <w:rPr>
          <w:rStyle w:val="FootnoteReference"/>
        </w:rPr>
        <w:footnoteRef/>
      </w:r>
      <w:r>
        <w:t xml:space="preserve"> </w:t>
      </w:r>
      <w:r w:rsidRPr="00BD11C8">
        <w:rPr>
          <w:i/>
          <w:sz w:val="18"/>
          <w:szCs w:val="18"/>
        </w:rPr>
        <w:t>Overall activity units are labelled as “episodes</w:t>
      </w:r>
      <w:r w:rsidR="005A388D" w:rsidRPr="00BD11C8">
        <w:rPr>
          <w:i/>
          <w:sz w:val="18"/>
          <w:szCs w:val="18"/>
        </w:rPr>
        <w:t>”,</w:t>
      </w:r>
      <w:r w:rsidRPr="00BD11C8">
        <w:rPr>
          <w:i/>
          <w:sz w:val="18"/>
          <w:szCs w:val="18"/>
        </w:rPr>
        <w:t xml:space="preserve"> but this includes both acute and subacute episodes, non</w:t>
      </w:r>
      <w:r w:rsidR="00F0258C">
        <w:rPr>
          <w:i/>
          <w:sz w:val="18"/>
          <w:szCs w:val="18"/>
        </w:rPr>
        <w:noBreakHyphen/>
      </w:r>
      <w:r w:rsidRPr="00BD11C8">
        <w:rPr>
          <w:i/>
          <w:sz w:val="18"/>
          <w:szCs w:val="18"/>
        </w:rPr>
        <w:t xml:space="preserve">admitted service events, mental health phases and </w:t>
      </w:r>
      <w:r w:rsidR="004B2B8A">
        <w:rPr>
          <w:i/>
          <w:sz w:val="18"/>
          <w:szCs w:val="18"/>
        </w:rPr>
        <w:t>ED</w:t>
      </w:r>
      <w:r w:rsidRPr="00BD11C8">
        <w:rPr>
          <w:i/>
          <w:sz w:val="18"/>
          <w:szCs w:val="18"/>
        </w:rPr>
        <w:t xml:space="preserve"> presentations.</w:t>
      </w:r>
    </w:p>
  </w:footnote>
  <w:footnote w:id="4">
    <w:p w14:paraId="46A3161D" w14:textId="728E38E1" w:rsidR="008046D6" w:rsidRDefault="008046D6">
      <w:pPr>
        <w:pStyle w:val="FootnoteText"/>
      </w:pPr>
      <w:r>
        <w:rPr>
          <w:rStyle w:val="FootnoteReference"/>
        </w:rPr>
        <w:footnoteRef/>
      </w:r>
      <w:r w:rsidR="005C5439">
        <w:t xml:space="preserve"> </w:t>
      </w:r>
      <w:r w:rsidR="00365E29" w:rsidRPr="00AD1F32">
        <w:rPr>
          <w:i/>
          <w:iCs/>
          <w:sz w:val="18"/>
          <w:szCs w:val="18"/>
        </w:rPr>
        <w:t>GWAU was selected as the casemix standardised unit of activity for this analysis</w:t>
      </w:r>
      <w:r w:rsidR="00945F13">
        <w:rPr>
          <w:i/>
          <w:iCs/>
          <w:sz w:val="18"/>
          <w:szCs w:val="18"/>
        </w:rPr>
        <w:t xml:space="preserve"> to measure and compare activities across care streams and </w:t>
      </w:r>
      <w:r w:rsidR="003E69C4">
        <w:rPr>
          <w:i/>
          <w:iCs/>
          <w:sz w:val="18"/>
          <w:szCs w:val="18"/>
        </w:rPr>
        <w:t>financial years</w:t>
      </w:r>
      <w:r w:rsidR="00365E29" w:rsidRPr="00AD1F32">
        <w:rPr>
          <w:i/>
          <w:iCs/>
          <w:sz w:val="18"/>
          <w:szCs w:val="18"/>
        </w:rPr>
        <w:t>. These were calculated and provided by IHACPA from the 2023-24 National Weighted Activity Unit (NWAU) calculator and applied to both the 2022-23 and the 2023-24 financial years</w:t>
      </w:r>
    </w:p>
  </w:footnote>
  <w:footnote w:id="5">
    <w:p w14:paraId="618F636C" w14:textId="77777777" w:rsidR="00C03218" w:rsidRDefault="00C03218" w:rsidP="00C03218">
      <w:pPr>
        <w:pStyle w:val="FootnoteText"/>
      </w:pPr>
      <w:r>
        <w:rPr>
          <w:rStyle w:val="FootnoteReference"/>
        </w:rPr>
        <w:footnoteRef/>
      </w:r>
      <w:r>
        <w:t xml:space="preserve"> </w:t>
      </w:r>
      <w:r w:rsidRPr="00F97AFA">
        <w:rPr>
          <w:i/>
          <w:sz w:val="18"/>
          <w:szCs w:val="18"/>
        </w:rPr>
        <w:t xml:space="preserve">Units of activity were defined for each care stream as </w:t>
      </w:r>
      <w:r w:rsidRPr="00F97AFA">
        <w:rPr>
          <w:i/>
          <w:iCs/>
          <w:sz w:val="18"/>
          <w:szCs w:val="18"/>
        </w:rPr>
        <w:t xml:space="preserve">follows: </w:t>
      </w:r>
      <w:r w:rsidRPr="00F97AFA">
        <w:rPr>
          <w:i/>
          <w:sz w:val="18"/>
          <w:szCs w:val="18"/>
        </w:rPr>
        <w:t xml:space="preserve">episodes </w:t>
      </w:r>
      <w:r w:rsidRPr="00F97AFA">
        <w:rPr>
          <w:i/>
          <w:iCs/>
          <w:sz w:val="18"/>
          <w:szCs w:val="18"/>
        </w:rPr>
        <w:t xml:space="preserve">for </w:t>
      </w:r>
      <w:r w:rsidRPr="00F97AFA">
        <w:rPr>
          <w:i/>
          <w:sz w:val="18"/>
          <w:szCs w:val="18"/>
        </w:rPr>
        <w:t>admitted acute</w:t>
      </w:r>
      <w:r w:rsidRPr="00F97AFA">
        <w:rPr>
          <w:i/>
          <w:iCs/>
          <w:sz w:val="18"/>
          <w:szCs w:val="18"/>
        </w:rPr>
        <w:t>,</w:t>
      </w:r>
      <w:r w:rsidRPr="00F97AFA">
        <w:rPr>
          <w:i/>
          <w:sz w:val="18"/>
          <w:szCs w:val="18"/>
        </w:rPr>
        <w:t xml:space="preserve"> presentations </w:t>
      </w:r>
      <w:r w:rsidRPr="00F97AFA">
        <w:rPr>
          <w:i/>
          <w:iCs/>
          <w:sz w:val="18"/>
          <w:szCs w:val="18"/>
        </w:rPr>
        <w:t xml:space="preserve">for emergency department </w:t>
      </w:r>
      <w:r w:rsidRPr="00F97AFA">
        <w:rPr>
          <w:i/>
          <w:sz w:val="18"/>
          <w:szCs w:val="18"/>
        </w:rPr>
        <w:t>(ED</w:t>
      </w:r>
      <w:r w:rsidRPr="00F97AFA">
        <w:rPr>
          <w:i/>
          <w:iCs/>
          <w:sz w:val="18"/>
          <w:szCs w:val="18"/>
        </w:rPr>
        <w:t>) e,</w:t>
      </w:r>
      <w:r w:rsidRPr="00F97AFA">
        <w:rPr>
          <w:i/>
          <w:sz w:val="18"/>
          <w:szCs w:val="18"/>
        </w:rPr>
        <w:t xml:space="preserve"> service events </w:t>
      </w:r>
      <w:r w:rsidRPr="00F97AFA">
        <w:rPr>
          <w:i/>
          <w:iCs/>
          <w:sz w:val="18"/>
          <w:szCs w:val="18"/>
        </w:rPr>
        <w:t xml:space="preserve">for </w:t>
      </w:r>
      <w:r w:rsidRPr="00F97AFA">
        <w:rPr>
          <w:i/>
          <w:sz w:val="18"/>
          <w:szCs w:val="18"/>
        </w:rPr>
        <w:t>non-admitted</w:t>
      </w:r>
      <w:r w:rsidRPr="00F97AFA">
        <w:rPr>
          <w:i/>
          <w:iCs/>
          <w:sz w:val="18"/>
          <w:szCs w:val="18"/>
        </w:rPr>
        <w:t xml:space="preserve"> care,</w:t>
      </w:r>
      <w:r w:rsidRPr="00F97AFA">
        <w:rPr>
          <w:i/>
          <w:sz w:val="18"/>
          <w:szCs w:val="18"/>
        </w:rPr>
        <w:t xml:space="preserve"> phases of care </w:t>
      </w:r>
      <w:r w:rsidRPr="00F97AFA">
        <w:rPr>
          <w:i/>
          <w:iCs/>
          <w:sz w:val="18"/>
          <w:szCs w:val="18"/>
        </w:rPr>
        <w:t>for community mental</w:t>
      </w:r>
      <w:r w:rsidRPr="00F97AFA">
        <w:rPr>
          <w:i/>
          <w:sz w:val="18"/>
          <w:szCs w:val="18"/>
        </w:rPr>
        <w:t xml:space="preserve"> health</w:t>
      </w:r>
      <w:r w:rsidRPr="00F97AFA">
        <w:rPr>
          <w:i/>
          <w:iCs/>
          <w:sz w:val="18"/>
          <w:szCs w:val="18"/>
        </w:rPr>
        <w:t>,</w:t>
      </w:r>
      <w:r w:rsidRPr="00F97AFA">
        <w:rPr>
          <w:i/>
          <w:sz w:val="18"/>
          <w:szCs w:val="18"/>
        </w:rPr>
        <w:t xml:space="preserve"> and a </w:t>
      </w:r>
      <w:r w:rsidRPr="00F97AFA">
        <w:rPr>
          <w:i/>
          <w:iCs/>
          <w:sz w:val="18"/>
          <w:szCs w:val="18"/>
        </w:rPr>
        <w:t>combination</w:t>
      </w:r>
      <w:r w:rsidRPr="00F97AFA">
        <w:rPr>
          <w:i/>
          <w:sz w:val="18"/>
          <w:szCs w:val="18"/>
        </w:rPr>
        <w:t xml:space="preserve"> of phases and episodes </w:t>
      </w:r>
      <w:r w:rsidRPr="00F97AFA">
        <w:rPr>
          <w:i/>
          <w:iCs/>
          <w:sz w:val="18"/>
          <w:szCs w:val="18"/>
        </w:rPr>
        <w:t xml:space="preserve">for </w:t>
      </w:r>
      <w:r w:rsidRPr="00F97AFA">
        <w:rPr>
          <w:i/>
          <w:sz w:val="18"/>
          <w:szCs w:val="18"/>
        </w:rPr>
        <w:t>subacute</w:t>
      </w:r>
      <w:r w:rsidRPr="00F97AFA">
        <w:rPr>
          <w:i/>
          <w:iCs/>
          <w:sz w:val="18"/>
          <w:szCs w:val="18"/>
        </w:rPr>
        <w:t xml:space="preserve"> and</w:t>
      </w:r>
      <w:r w:rsidRPr="00F97AFA">
        <w:rPr>
          <w:i/>
          <w:sz w:val="18"/>
          <w:szCs w:val="18"/>
        </w:rPr>
        <w:t xml:space="preserve"> admitted </w:t>
      </w:r>
      <w:r w:rsidRPr="00F97AFA">
        <w:rPr>
          <w:i/>
          <w:iCs/>
          <w:sz w:val="18"/>
          <w:szCs w:val="18"/>
        </w:rPr>
        <w:t>mental health care</w:t>
      </w:r>
    </w:p>
  </w:footnote>
  <w:footnote w:id="6">
    <w:p w14:paraId="372B72AE" w14:textId="23C0FC3C" w:rsidR="00EE3642" w:rsidRPr="00C9710A" w:rsidRDefault="00EE3642" w:rsidP="00EE3642">
      <w:pPr>
        <w:pStyle w:val="FootnoteText"/>
        <w:rPr>
          <w:i/>
          <w:sz w:val="18"/>
          <w:szCs w:val="18"/>
        </w:rPr>
      </w:pPr>
      <w:r>
        <w:rPr>
          <w:rStyle w:val="FootnoteReference"/>
        </w:rPr>
        <w:footnoteRef/>
      </w:r>
      <w:r>
        <w:t xml:space="preserve"> </w:t>
      </w:r>
      <w:r w:rsidRPr="00C9710A">
        <w:rPr>
          <w:i/>
          <w:sz w:val="18"/>
          <w:szCs w:val="18"/>
        </w:rPr>
        <w:t>The</w:t>
      </w:r>
      <w:r>
        <w:rPr>
          <w:i/>
          <w:sz w:val="18"/>
          <w:szCs w:val="18"/>
        </w:rPr>
        <w:t xml:space="preserve"> volume of activity (as represented by a submitted record) depends on the NHCDC activity stream for example admitted acute episodes, ED presentations, non-admitted service events, episode and phases of care.</w:t>
      </w:r>
    </w:p>
  </w:footnote>
  <w:footnote w:id="7">
    <w:p w14:paraId="0582EDCA" w14:textId="77777777" w:rsidR="00403A6E" w:rsidRDefault="00403A6E" w:rsidP="00403A6E">
      <w:pPr>
        <w:pStyle w:val="FootnoteText"/>
      </w:pPr>
      <w:r>
        <w:rPr>
          <w:rStyle w:val="FootnoteReference"/>
        </w:rPr>
        <w:footnoteRef/>
      </w:r>
      <w:r>
        <w:t xml:space="preserve"> </w:t>
      </w:r>
      <w:r>
        <w:rPr>
          <w:i/>
          <w:sz w:val="18"/>
          <w:szCs w:val="18"/>
        </w:rPr>
        <w:t>For consistency, all</w:t>
      </w:r>
      <w:r w:rsidRPr="00BD11C8">
        <w:rPr>
          <w:i/>
          <w:sz w:val="18"/>
          <w:szCs w:val="18"/>
        </w:rPr>
        <w:t xml:space="preserve"> activity units </w:t>
      </w:r>
      <w:r>
        <w:rPr>
          <w:i/>
          <w:sz w:val="18"/>
          <w:szCs w:val="18"/>
        </w:rPr>
        <w:t xml:space="preserve">across care streams </w:t>
      </w:r>
      <w:r w:rsidRPr="00BD11C8">
        <w:rPr>
          <w:i/>
          <w:sz w:val="18"/>
          <w:szCs w:val="18"/>
        </w:rPr>
        <w:t>are labelled as “episodes”</w:t>
      </w:r>
      <w:r>
        <w:rPr>
          <w:i/>
          <w:sz w:val="18"/>
          <w:szCs w:val="18"/>
        </w:rPr>
        <w:t>.</w:t>
      </w:r>
    </w:p>
  </w:footnote>
  <w:footnote w:id="8">
    <w:p w14:paraId="4290EE27" w14:textId="7B7F3B09" w:rsidR="00203F57" w:rsidRPr="001729F2" w:rsidRDefault="00203F57">
      <w:pPr>
        <w:pStyle w:val="FootnoteText"/>
        <w:rPr>
          <w:i/>
          <w:iCs/>
          <w:sz w:val="18"/>
          <w:szCs w:val="18"/>
        </w:rPr>
      </w:pPr>
      <w:r w:rsidRPr="001729F2">
        <w:rPr>
          <w:rStyle w:val="FootnoteReference"/>
          <w:i/>
          <w:iCs/>
          <w:sz w:val="18"/>
          <w:szCs w:val="18"/>
        </w:rPr>
        <w:footnoteRef/>
      </w:r>
      <w:r w:rsidRPr="001729F2">
        <w:rPr>
          <w:i/>
          <w:iCs/>
          <w:sz w:val="18"/>
          <w:szCs w:val="18"/>
        </w:rPr>
        <w:t xml:space="preserve"> </w:t>
      </w:r>
      <w:r w:rsidR="000140DE" w:rsidRPr="001729F2">
        <w:rPr>
          <w:i/>
          <w:iCs/>
          <w:sz w:val="18"/>
          <w:szCs w:val="18"/>
        </w:rPr>
        <w:t>Overall activity units are labelled as “episodes</w:t>
      </w:r>
      <w:r w:rsidR="005E5D7C" w:rsidRPr="001729F2">
        <w:rPr>
          <w:i/>
          <w:iCs/>
          <w:sz w:val="18"/>
          <w:szCs w:val="18"/>
        </w:rPr>
        <w:t>”,</w:t>
      </w:r>
      <w:r w:rsidR="000140DE" w:rsidRPr="001729F2">
        <w:rPr>
          <w:i/>
          <w:iCs/>
          <w:sz w:val="18"/>
          <w:szCs w:val="18"/>
        </w:rPr>
        <w:t xml:space="preserve"> but this includes both acute and subacute episodes, </w:t>
      </w:r>
      <w:r w:rsidR="001866D9" w:rsidRPr="001729F2">
        <w:rPr>
          <w:i/>
          <w:iCs/>
          <w:sz w:val="18"/>
          <w:szCs w:val="18"/>
        </w:rPr>
        <w:t xml:space="preserve">non-admitted service events, </w:t>
      </w:r>
      <w:r w:rsidR="00935C6C" w:rsidRPr="001729F2">
        <w:rPr>
          <w:i/>
          <w:iCs/>
          <w:sz w:val="18"/>
          <w:szCs w:val="18"/>
        </w:rPr>
        <w:t xml:space="preserve">mental health phases and </w:t>
      </w:r>
      <w:r w:rsidR="004B2B8A">
        <w:rPr>
          <w:i/>
          <w:iCs/>
          <w:sz w:val="18"/>
          <w:szCs w:val="18"/>
        </w:rPr>
        <w:t>ED</w:t>
      </w:r>
      <w:r w:rsidR="001042DA" w:rsidRPr="001729F2">
        <w:rPr>
          <w:i/>
          <w:iCs/>
          <w:sz w:val="18"/>
          <w:szCs w:val="18"/>
        </w:rPr>
        <w:t xml:space="preserve"> presentations.</w:t>
      </w:r>
    </w:p>
  </w:footnote>
  <w:footnote w:id="9">
    <w:p w14:paraId="671D7169" w14:textId="4B22C659" w:rsidR="00151D3E" w:rsidRPr="001729F2" w:rsidRDefault="00151D3E">
      <w:pPr>
        <w:pStyle w:val="FootnoteText"/>
        <w:rPr>
          <w:i/>
          <w:sz w:val="18"/>
          <w:szCs w:val="18"/>
        </w:rPr>
      </w:pPr>
      <w:r w:rsidRPr="001729F2">
        <w:rPr>
          <w:rStyle w:val="FootnoteReference"/>
          <w:i/>
          <w:iCs/>
          <w:sz w:val="18"/>
          <w:szCs w:val="18"/>
        </w:rPr>
        <w:footnoteRef/>
      </w:r>
      <w:r w:rsidRPr="00151D3E">
        <w:rPr>
          <w:i/>
          <w:iCs/>
          <w:sz w:val="18"/>
          <w:szCs w:val="18"/>
        </w:rPr>
        <w:t xml:space="preserve"> </w:t>
      </w:r>
      <w:r w:rsidR="009728B5">
        <w:rPr>
          <w:i/>
          <w:iCs/>
          <w:sz w:val="18"/>
          <w:szCs w:val="18"/>
        </w:rPr>
        <w:t xml:space="preserve">Activity volumes for subacute </w:t>
      </w:r>
      <w:r w:rsidR="004708CD">
        <w:rPr>
          <w:i/>
          <w:iCs/>
          <w:sz w:val="18"/>
          <w:szCs w:val="18"/>
        </w:rPr>
        <w:t>i</w:t>
      </w:r>
      <w:r w:rsidRPr="00151D3E">
        <w:rPr>
          <w:i/>
          <w:iCs/>
          <w:sz w:val="18"/>
          <w:szCs w:val="18"/>
        </w:rPr>
        <w:t xml:space="preserve">ncludes a small component of </w:t>
      </w:r>
      <w:r w:rsidR="006B4F9E">
        <w:rPr>
          <w:i/>
          <w:sz w:val="18"/>
          <w:szCs w:val="18"/>
        </w:rPr>
        <w:t>p</w:t>
      </w:r>
      <w:r w:rsidRPr="00151D3E">
        <w:rPr>
          <w:i/>
          <w:sz w:val="18"/>
          <w:szCs w:val="18"/>
        </w:rPr>
        <w:t>alliative</w:t>
      </w:r>
      <w:r w:rsidRPr="00151D3E">
        <w:rPr>
          <w:i/>
          <w:iCs/>
          <w:sz w:val="18"/>
          <w:szCs w:val="18"/>
        </w:rPr>
        <w:t xml:space="preserve"> </w:t>
      </w:r>
      <w:r w:rsidR="009728B5">
        <w:rPr>
          <w:i/>
          <w:iCs/>
          <w:sz w:val="18"/>
          <w:szCs w:val="18"/>
        </w:rPr>
        <w:t xml:space="preserve">care data which was submitted at a </w:t>
      </w:r>
      <w:r w:rsidRPr="00151D3E">
        <w:rPr>
          <w:i/>
          <w:iCs/>
          <w:sz w:val="18"/>
          <w:szCs w:val="18"/>
        </w:rPr>
        <w:t>phase</w:t>
      </w:r>
      <w:r w:rsidR="009728B5">
        <w:rPr>
          <w:i/>
          <w:iCs/>
          <w:sz w:val="18"/>
          <w:szCs w:val="18"/>
        </w:rPr>
        <w:t xml:space="preserve"> level</w:t>
      </w:r>
      <w:r w:rsidRPr="00151D3E">
        <w:rPr>
          <w:i/>
          <w:iCs/>
          <w:sz w:val="18"/>
          <w:szCs w:val="18"/>
        </w:rPr>
        <w:t>.</w:t>
      </w:r>
    </w:p>
  </w:footnote>
  <w:footnote w:id="10">
    <w:p w14:paraId="3FA0A372" w14:textId="3479EEE0" w:rsidR="000A042D" w:rsidRPr="00550D38" w:rsidRDefault="000A042D">
      <w:pPr>
        <w:pStyle w:val="FootnoteText"/>
        <w:rPr>
          <w:i/>
          <w:sz w:val="18"/>
          <w:szCs w:val="18"/>
        </w:rPr>
      </w:pPr>
      <w:r w:rsidRPr="00833D8E">
        <w:rPr>
          <w:rStyle w:val="FootnoteReference"/>
          <w:i/>
          <w:iCs/>
          <w:sz w:val="18"/>
          <w:szCs w:val="18"/>
        </w:rPr>
        <w:footnoteRef/>
      </w:r>
      <w:r w:rsidRPr="00833D8E">
        <w:rPr>
          <w:i/>
          <w:iCs/>
          <w:sz w:val="18"/>
          <w:szCs w:val="18"/>
        </w:rPr>
        <w:t xml:space="preserve"> </w:t>
      </w:r>
      <w:r w:rsidRPr="00550D38">
        <w:rPr>
          <w:i/>
          <w:sz w:val="18"/>
          <w:szCs w:val="18"/>
        </w:rPr>
        <w:t xml:space="preserve">Total by both column and row, </w:t>
      </w:r>
      <w:r w:rsidRPr="00833D8E">
        <w:rPr>
          <w:i/>
          <w:sz w:val="18"/>
          <w:szCs w:val="18"/>
        </w:rPr>
        <w:t>ma</w:t>
      </w:r>
      <w:r w:rsidR="00833D8E">
        <w:rPr>
          <w:i/>
          <w:sz w:val="18"/>
          <w:szCs w:val="18"/>
        </w:rPr>
        <w:t>y</w:t>
      </w:r>
      <w:r w:rsidRPr="00550D38">
        <w:rPr>
          <w:i/>
          <w:sz w:val="18"/>
          <w:szCs w:val="18"/>
        </w:rPr>
        <w:t xml:space="preserve"> not </w:t>
      </w:r>
      <w:r w:rsidR="00833D8E" w:rsidRPr="00833D8E">
        <w:rPr>
          <w:i/>
          <w:sz w:val="18"/>
          <w:szCs w:val="18"/>
        </w:rPr>
        <w:t>sum due to rounding.</w:t>
      </w:r>
    </w:p>
  </w:footnote>
  <w:footnote w:id="11">
    <w:p w14:paraId="208525F7" w14:textId="6D475EA0" w:rsidR="00275E3D" w:rsidRDefault="00275E3D">
      <w:pPr>
        <w:pStyle w:val="FootnoteText"/>
      </w:pPr>
      <w:r>
        <w:rPr>
          <w:rStyle w:val="FootnoteReference"/>
        </w:rPr>
        <w:footnoteRef/>
      </w:r>
      <w:r>
        <w:t xml:space="preserve"> </w:t>
      </w:r>
      <w:r w:rsidR="0060208B" w:rsidRPr="00151BB6">
        <w:rPr>
          <w:i/>
          <w:sz w:val="18"/>
          <w:szCs w:val="18"/>
        </w:rPr>
        <w:t>National</w:t>
      </w:r>
      <w:r w:rsidR="00294C7E" w:rsidRPr="00151BB6">
        <w:rPr>
          <w:i/>
          <w:sz w:val="18"/>
          <w:szCs w:val="18"/>
        </w:rPr>
        <w:t xml:space="preserve"> NHCDC</w:t>
      </w:r>
      <w:r w:rsidR="006E78F1" w:rsidRPr="00151BB6">
        <w:rPr>
          <w:i/>
          <w:sz w:val="18"/>
          <w:szCs w:val="18"/>
        </w:rPr>
        <w:t xml:space="preserve"> 2023-24 dataset</w:t>
      </w:r>
      <w:r w:rsidR="0060208B" w:rsidRPr="00151BB6">
        <w:rPr>
          <w:i/>
          <w:sz w:val="18"/>
          <w:szCs w:val="18"/>
        </w:rPr>
        <w:t xml:space="preserve"> </w:t>
      </w:r>
      <w:r w:rsidR="006E78F1" w:rsidRPr="00151BB6">
        <w:rPr>
          <w:i/>
          <w:sz w:val="18"/>
          <w:szCs w:val="18"/>
        </w:rPr>
        <w:t>was not finalised at the time of writing</w:t>
      </w:r>
      <w:r w:rsidR="0060208B" w:rsidRPr="00151BB6">
        <w:rPr>
          <w:i/>
          <w:sz w:val="18"/>
          <w:szCs w:val="18"/>
        </w:rPr>
        <w:t xml:space="preserve">; </w:t>
      </w:r>
      <w:r w:rsidR="00294C7E" w:rsidRPr="00151BB6">
        <w:rPr>
          <w:i/>
          <w:sz w:val="18"/>
          <w:szCs w:val="18"/>
        </w:rPr>
        <w:t xml:space="preserve">2022-23 total submitted costs used </w:t>
      </w:r>
      <w:r w:rsidR="0060208B" w:rsidRPr="00151BB6">
        <w:rPr>
          <w:i/>
          <w:sz w:val="18"/>
          <w:szCs w:val="18"/>
        </w:rPr>
        <w:t>for referenc</w:t>
      </w:r>
      <w:r w:rsidR="00294C7E" w:rsidRPr="00151BB6">
        <w:rPr>
          <w:i/>
          <w:sz w:val="18"/>
          <w:szCs w:val="18"/>
        </w:rPr>
        <w:t>e value</w:t>
      </w:r>
      <w:r w:rsidR="006E78F1" w:rsidRPr="00151BB6">
        <w:rPr>
          <w:i/>
          <w:sz w:val="18"/>
          <w:szCs w:val="18"/>
        </w:rPr>
        <w:t xml:space="preserve"> for materiality</w:t>
      </w:r>
    </w:p>
  </w:footnote>
  <w:footnote w:id="12">
    <w:p w14:paraId="50C6A357" w14:textId="117ACEA1" w:rsidR="00DE77AB" w:rsidRDefault="00DE77AB">
      <w:pPr>
        <w:pStyle w:val="FootnoteText"/>
      </w:pPr>
      <w:r>
        <w:rPr>
          <w:rStyle w:val="FootnoteReference"/>
        </w:rPr>
        <w:footnoteRef/>
      </w:r>
      <w:r>
        <w:t xml:space="preserve"> </w:t>
      </w:r>
      <w:r w:rsidR="00543FD4">
        <w:rPr>
          <w:i/>
          <w:sz w:val="18"/>
          <w:szCs w:val="18"/>
        </w:rPr>
        <w:t>Only</w:t>
      </w:r>
      <w:r w:rsidR="00CA4418" w:rsidRPr="003C5865">
        <w:rPr>
          <w:i/>
          <w:sz w:val="18"/>
          <w:szCs w:val="18"/>
        </w:rPr>
        <w:t xml:space="preserve"> ABF facilities are submitted to NHCDC, </w:t>
      </w:r>
      <w:r w:rsidR="008C0E00">
        <w:rPr>
          <w:i/>
          <w:sz w:val="18"/>
          <w:szCs w:val="18"/>
        </w:rPr>
        <w:t xml:space="preserve">the “unsubmitted costs” category may include costs for </w:t>
      </w:r>
      <w:r w:rsidR="00CA4418" w:rsidRPr="003C5865">
        <w:rPr>
          <w:i/>
          <w:sz w:val="18"/>
          <w:szCs w:val="18"/>
        </w:rPr>
        <w:t>non</w:t>
      </w:r>
      <w:r w:rsidR="008C0E00">
        <w:rPr>
          <w:i/>
          <w:sz w:val="18"/>
          <w:szCs w:val="18"/>
        </w:rPr>
        <w:noBreakHyphen/>
      </w:r>
      <w:r w:rsidR="00CA4418" w:rsidRPr="003C5865">
        <w:rPr>
          <w:i/>
          <w:sz w:val="18"/>
          <w:szCs w:val="18"/>
        </w:rPr>
        <w:t>ABF facilities.</w:t>
      </w:r>
    </w:p>
  </w:footnote>
  <w:footnote w:id="13">
    <w:p w14:paraId="65CE8D7C" w14:textId="4C7DA4C6" w:rsidR="007C38A5" w:rsidRPr="001729F2" w:rsidRDefault="007C38A5" w:rsidP="007C38A5">
      <w:pPr>
        <w:pStyle w:val="FootnoteText"/>
        <w:rPr>
          <w:i/>
          <w:sz w:val="18"/>
          <w:szCs w:val="18"/>
        </w:rPr>
      </w:pPr>
      <w:r w:rsidRPr="001729F2">
        <w:rPr>
          <w:rStyle w:val="FootnoteReference"/>
        </w:rPr>
        <w:footnoteRef/>
      </w:r>
      <w:r w:rsidRPr="001729F2">
        <w:t xml:space="preserve"> </w:t>
      </w:r>
      <w:r w:rsidRPr="001729F2">
        <w:rPr>
          <w:i/>
          <w:sz w:val="18"/>
          <w:szCs w:val="18"/>
        </w:rPr>
        <w:t>For this analysis, a hospital episode refers to a submitted record in the NHCDC, which acts as a raw count of activity without any casemix adjustment (</w:t>
      </w:r>
      <w:r w:rsidR="00711F2E">
        <w:rPr>
          <w:i/>
          <w:sz w:val="18"/>
          <w:szCs w:val="18"/>
        </w:rPr>
        <w:t>e.g.,</w:t>
      </w:r>
      <w:r w:rsidRPr="001729F2">
        <w:rPr>
          <w:i/>
          <w:sz w:val="18"/>
          <w:szCs w:val="18"/>
        </w:rPr>
        <w:t xml:space="preserve"> a separation of admitted acute care, an </w:t>
      </w:r>
      <w:r w:rsidR="004B2B8A">
        <w:rPr>
          <w:i/>
          <w:sz w:val="18"/>
          <w:szCs w:val="18"/>
        </w:rPr>
        <w:t>ED</w:t>
      </w:r>
      <w:r w:rsidRPr="001729F2">
        <w:rPr>
          <w:i/>
          <w:sz w:val="18"/>
          <w:szCs w:val="18"/>
        </w:rPr>
        <w:t xml:space="preserve"> presentation, a non-admitted service event or an admitted mental health episode or phase of care). </w:t>
      </w:r>
    </w:p>
  </w:footnote>
  <w:footnote w:id="14">
    <w:p w14:paraId="4016C123" w14:textId="3D2E686D" w:rsidR="007C38A5" w:rsidRPr="001729F2" w:rsidRDefault="007C38A5" w:rsidP="007C38A5">
      <w:pPr>
        <w:pStyle w:val="FootnoteText"/>
      </w:pPr>
      <w:r w:rsidRPr="001729F2">
        <w:rPr>
          <w:rStyle w:val="FootnoteReference"/>
        </w:rPr>
        <w:footnoteRef/>
      </w:r>
      <w:r w:rsidRPr="001729F2">
        <w:t xml:space="preserve"> </w:t>
      </w:r>
      <w:r w:rsidRPr="001729F2">
        <w:rPr>
          <w:rFonts w:hint="eastAsia"/>
          <w:i/>
          <w:sz w:val="18"/>
          <w:szCs w:val="18"/>
        </w:rPr>
        <w:t xml:space="preserve">GWAU represents a casemix adjusted measure of </w:t>
      </w:r>
      <w:r w:rsidRPr="001729F2">
        <w:rPr>
          <w:i/>
          <w:iCs/>
          <w:sz w:val="18"/>
          <w:szCs w:val="18"/>
        </w:rPr>
        <w:t>activity and</w:t>
      </w:r>
      <w:r w:rsidRPr="001729F2">
        <w:rPr>
          <w:rFonts w:hint="eastAsia"/>
          <w:i/>
          <w:sz w:val="18"/>
          <w:szCs w:val="18"/>
        </w:rPr>
        <w:t xml:space="preserve"> has been determined using IHACPA</w:t>
      </w:r>
      <w:r w:rsidRPr="001729F2">
        <w:rPr>
          <w:rFonts w:hint="eastAsia"/>
          <w:i/>
          <w:sz w:val="18"/>
          <w:szCs w:val="18"/>
        </w:rPr>
        <w:t>’</w:t>
      </w:r>
      <w:r w:rsidRPr="001729F2">
        <w:rPr>
          <w:rFonts w:hint="eastAsia"/>
          <w:i/>
          <w:sz w:val="18"/>
          <w:szCs w:val="18"/>
        </w:rPr>
        <w:t xml:space="preserve">s NEP24 pricing model </w:t>
      </w:r>
      <w:r w:rsidRPr="001729F2">
        <w:rPr>
          <w:i/>
          <w:sz w:val="18"/>
          <w:szCs w:val="18"/>
        </w:rPr>
        <w:t>parameters.</w:t>
      </w:r>
      <w:r w:rsidRPr="001729F2">
        <w:rPr>
          <w:rFonts w:hint="eastAsia"/>
          <w:i/>
          <w:sz w:val="18"/>
          <w:szCs w:val="18"/>
        </w:rPr>
        <w:t xml:space="preserve"> </w:t>
      </w:r>
      <w:r w:rsidRPr="001729F2">
        <w:rPr>
          <w:i/>
          <w:iCs/>
          <w:sz w:val="18"/>
          <w:szCs w:val="18"/>
        </w:rPr>
        <w:t>GWAU excludes community mental health, which was not priced in 2023-24, hence price weights were not available.</w:t>
      </w:r>
    </w:p>
  </w:footnote>
  <w:footnote w:id="15">
    <w:p w14:paraId="4ED81628" w14:textId="49E44228" w:rsidR="00CE69E4" w:rsidRDefault="00CE69E4">
      <w:pPr>
        <w:pStyle w:val="FootnoteText"/>
      </w:pPr>
      <w:r>
        <w:rPr>
          <w:rStyle w:val="FootnoteReference"/>
        </w:rPr>
        <w:footnoteRef/>
      </w:r>
      <w:r>
        <w:t xml:space="preserve"> </w:t>
      </w:r>
      <w:r w:rsidRPr="00A710EE">
        <w:rPr>
          <w:i/>
          <w:iCs/>
          <w:sz w:val="18"/>
          <w:szCs w:val="18"/>
        </w:rPr>
        <w:t xml:space="preserve">An ICU facility </w:t>
      </w:r>
      <w:r w:rsidR="00E96993">
        <w:rPr>
          <w:i/>
          <w:iCs/>
          <w:color w:val="44546A" w:themeColor="text2"/>
          <w:sz w:val="18"/>
          <w:szCs w:val="18"/>
        </w:rPr>
        <w:t>reporting</w:t>
      </w:r>
      <w:r w:rsidRPr="00A710EE">
        <w:rPr>
          <w:i/>
          <w:iCs/>
          <w:color w:val="44546A" w:themeColor="text2"/>
          <w:sz w:val="18"/>
          <w:szCs w:val="18"/>
        </w:rPr>
        <w:t xml:space="preserve"> 24,000 hours of ICU activity annually, and at least 20% of all hours involve mechanical ventilation.</w:t>
      </w:r>
    </w:p>
  </w:footnote>
  <w:footnote w:id="16">
    <w:p w14:paraId="29385EB7" w14:textId="6B08F3BC" w:rsidR="00D9227C" w:rsidRPr="001729F2" w:rsidRDefault="00D9227C" w:rsidP="00D9227C">
      <w:pPr>
        <w:pStyle w:val="FootnoteText"/>
        <w:rPr>
          <w:i/>
          <w:sz w:val="18"/>
          <w:szCs w:val="18"/>
        </w:rPr>
      </w:pPr>
      <w:r w:rsidRPr="001729F2">
        <w:rPr>
          <w:rStyle w:val="FootnoteReference"/>
        </w:rPr>
        <w:footnoteRef/>
      </w:r>
      <w:r w:rsidRPr="001729F2">
        <w:t xml:space="preserve"> </w:t>
      </w:r>
      <w:r w:rsidRPr="001729F2">
        <w:rPr>
          <w:i/>
          <w:sz w:val="18"/>
          <w:szCs w:val="18"/>
        </w:rPr>
        <w:t>For this analysis, a hospital episode refers to a submitted record in the NHCDC, which acts as a raw count of activity without any casemix adjustment (</w:t>
      </w:r>
      <w:r w:rsidR="00711F2E">
        <w:rPr>
          <w:i/>
          <w:sz w:val="18"/>
          <w:szCs w:val="18"/>
        </w:rPr>
        <w:t>e.g.,</w:t>
      </w:r>
      <w:r w:rsidRPr="001729F2">
        <w:rPr>
          <w:i/>
          <w:sz w:val="18"/>
          <w:szCs w:val="18"/>
        </w:rPr>
        <w:t xml:space="preserve"> a separation of admitted acute care, an </w:t>
      </w:r>
      <w:r w:rsidR="004B2B8A">
        <w:rPr>
          <w:i/>
          <w:sz w:val="18"/>
          <w:szCs w:val="18"/>
        </w:rPr>
        <w:t>ED</w:t>
      </w:r>
      <w:r w:rsidRPr="001729F2">
        <w:rPr>
          <w:i/>
          <w:sz w:val="18"/>
          <w:szCs w:val="18"/>
        </w:rPr>
        <w:t xml:space="preserve"> presentation, a non-admitted service event or an admitted mental health episode or phase of care). </w:t>
      </w:r>
    </w:p>
  </w:footnote>
  <w:footnote w:id="17">
    <w:p w14:paraId="72965982" w14:textId="54CACACD" w:rsidR="00D9227C" w:rsidRPr="001729F2" w:rsidRDefault="00D9227C" w:rsidP="00D9227C">
      <w:pPr>
        <w:pStyle w:val="FootnoteText"/>
      </w:pPr>
      <w:r w:rsidRPr="001729F2">
        <w:rPr>
          <w:rStyle w:val="FootnoteReference"/>
        </w:rPr>
        <w:footnoteRef/>
      </w:r>
      <w:r w:rsidRPr="001729F2">
        <w:t xml:space="preserve"> </w:t>
      </w:r>
      <w:r w:rsidRPr="001729F2">
        <w:rPr>
          <w:i/>
          <w:iCs/>
          <w:sz w:val="18"/>
          <w:szCs w:val="18"/>
        </w:rPr>
        <w:t>GWAU represents a casemix adjusted measure of activity and has been determined using IHACPA’s NEP24 pricing model parameters</w:t>
      </w:r>
      <w:r w:rsidRPr="001729F2">
        <w:rPr>
          <w:sz w:val="18"/>
          <w:szCs w:val="18"/>
        </w:rPr>
        <w:t xml:space="preserve">. </w:t>
      </w:r>
      <w:r w:rsidRPr="001729F2">
        <w:rPr>
          <w:i/>
          <w:sz w:val="18"/>
          <w:szCs w:val="18"/>
        </w:rPr>
        <w:t xml:space="preserve">GWAU excludes community mental health, </w:t>
      </w:r>
      <w:r w:rsidR="002573C8">
        <w:rPr>
          <w:i/>
          <w:sz w:val="18"/>
          <w:szCs w:val="18"/>
        </w:rPr>
        <w:t>as it</w:t>
      </w:r>
      <w:r w:rsidR="002573C8" w:rsidRPr="001729F2">
        <w:rPr>
          <w:i/>
          <w:sz w:val="18"/>
          <w:szCs w:val="18"/>
        </w:rPr>
        <w:t xml:space="preserve"> </w:t>
      </w:r>
      <w:r w:rsidRPr="001729F2">
        <w:rPr>
          <w:i/>
          <w:sz w:val="18"/>
          <w:szCs w:val="18"/>
        </w:rPr>
        <w:t>was not priced in 2023-24, hence price weights were not available.</w:t>
      </w:r>
    </w:p>
  </w:footnote>
  <w:footnote w:id="18">
    <w:p w14:paraId="5A8C3A27" w14:textId="02D30540" w:rsidR="00295F2B" w:rsidRDefault="00295F2B">
      <w:pPr>
        <w:pStyle w:val="FootnoteText"/>
      </w:pPr>
      <w:r>
        <w:rPr>
          <w:rStyle w:val="FootnoteReference"/>
        </w:rPr>
        <w:footnoteRef/>
      </w:r>
      <w:r>
        <w:t xml:space="preserve"> </w:t>
      </w:r>
      <w:r w:rsidRPr="00A710EE">
        <w:rPr>
          <w:i/>
          <w:iCs/>
          <w:sz w:val="18"/>
          <w:szCs w:val="18"/>
        </w:rPr>
        <w:t xml:space="preserve">An ICU facility </w:t>
      </w:r>
      <w:r w:rsidR="00E96993">
        <w:rPr>
          <w:i/>
          <w:iCs/>
          <w:color w:val="44546A" w:themeColor="text2"/>
          <w:sz w:val="18"/>
          <w:szCs w:val="18"/>
        </w:rPr>
        <w:t>reporting</w:t>
      </w:r>
      <w:r w:rsidRPr="00A710EE">
        <w:rPr>
          <w:i/>
          <w:iCs/>
          <w:color w:val="44546A" w:themeColor="text2"/>
          <w:sz w:val="18"/>
          <w:szCs w:val="18"/>
        </w:rPr>
        <w:t xml:space="preserve"> 24,000 hours of ICU activity annually, and at least 20% of all hours involve mechanical ventilation.</w:t>
      </w:r>
    </w:p>
  </w:footnote>
  <w:footnote w:id="19">
    <w:p w14:paraId="218EEBED" w14:textId="36AD8C04" w:rsidR="00EF69C8" w:rsidRPr="0075654D" w:rsidRDefault="00EF69C8" w:rsidP="00EF69C8">
      <w:pPr>
        <w:pStyle w:val="FootnoteText"/>
        <w:rPr>
          <w:i/>
          <w:sz w:val="18"/>
          <w:szCs w:val="18"/>
        </w:rPr>
      </w:pPr>
      <w:r>
        <w:rPr>
          <w:rStyle w:val="FootnoteReference"/>
        </w:rPr>
        <w:footnoteRef/>
      </w:r>
      <w:r>
        <w:t xml:space="preserve"> </w:t>
      </w:r>
      <w:r w:rsidRPr="00454888">
        <w:rPr>
          <w:i/>
          <w:sz w:val="18"/>
          <w:szCs w:val="18"/>
        </w:rPr>
        <w:t>For this analysis, a hospital episode refers to a submitted record in the NHCDC, which acts as a raw count of activity without any casemix adjustment (</w:t>
      </w:r>
      <w:r>
        <w:rPr>
          <w:i/>
          <w:sz w:val="18"/>
          <w:szCs w:val="18"/>
        </w:rPr>
        <w:t>e.g.</w:t>
      </w:r>
      <w:r w:rsidR="00245372">
        <w:rPr>
          <w:i/>
          <w:sz w:val="18"/>
          <w:szCs w:val="18"/>
        </w:rPr>
        <w:t>,</w:t>
      </w:r>
      <w:r>
        <w:rPr>
          <w:i/>
          <w:sz w:val="18"/>
          <w:szCs w:val="18"/>
        </w:rPr>
        <w:t xml:space="preserve"> </w:t>
      </w:r>
      <w:r w:rsidRPr="00454888">
        <w:rPr>
          <w:i/>
          <w:sz w:val="18"/>
          <w:szCs w:val="18"/>
        </w:rPr>
        <w:t xml:space="preserve">a separation of admitted acute care, an </w:t>
      </w:r>
      <w:r w:rsidR="004B2B8A">
        <w:rPr>
          <w:i/>
          <w:sz w:val="18"/>
          <w:szCs w:val="18"/>
        </w:rPr>
        <w:t>ED</w:t>
      </w:r>
      <w:r w:rsidRPr="00454888">
        <w:rPr>
          <w:i/>
          <w:sz w:val="18"/>
          <w:szCs w:val="18"/>
        </w:rPr>
        <w:t xml:space="preserve"> presentation, a non-admitted service event or an admitted mental health episode or phase of care)</w:t>
      </w:r>
      <w:r>
        <w:rPr>
          <w:i/>
          <w:sz w:val="18"/>
          <w:szCs w:val="18"/>
        </w:rPr>
        <w:t>.</w:t>
      </w:r>
      <w:r w:rsidRPr="00454888">
        <w:rPr>
          <w:i/>
          <w:sz w:val="18"/>
          <w:szCs w:val="18"/>
        </w:rPr>
        <w:t xml:space="preserve"> </w:t>
      </w:r>
    </w:p>
  </w:footnote>
  <w:footnote w:id="20">
    <w:p w14:paraId="02FDA8DC" w14:textId="489412D2" w:rsidR="00EF69C8" w:rsidRDefault="00EF69C8" w:rsidP="00EF69C8">
      <w:pPr>
        <w:pStyle w:val="FootnoteText"/>
      </w:pPr>
      <w:r>
        <w:rPr>
          <w:rStyle w:val="FootnoteReference"/>
        </w:rPr>
        <w:footnoteRef/>
      </w:r>
      <w:r>
        <w:t xml:space="preserve"> </w:t>
      </w:r>
      <w:r w:rsidRPr="00F66EBD">
        <w:rPr>
          <w:i/>
          <w:iCs/>
          <w:sz w:val="18"/>
          <w:szCs w:val="18"/>
        </w:rPr>
        <w:t>GWAU represents a casemix adjusted measure of activity and has been determined using IHACPA’s NEP24 pricing model parameters</w:t>
      </w:r>
      <w:r w:rsidRPr="00F66EBD">
        <w:rPr>
          <w:sz w:val="18"/>
          <w:szCs w:val="18"/>
        </w:rPr>
        <w:t xml:space="preserve">. </w:t>
      </w:r>
      <w:r w:rsidRPr="00C84446">
        <w:rPr>
          <w:i/>
          <w:sz w:val="18"/>
          <w:szCs w:val="18"/>
        </w:rPr>
        <w:t>GWAU excludes community mental health, which was not priced in 2023-24, hence price weights were not available</w:t>
      </w:r>
      <w:r>
        <w:rPr>
          <w:i/>
          <w:sz w:val="18"/>
          <w:szCs w:val="18"/>
        </w:rPr>
        <w:t>.</w:t>
      </w:r>
    </w:p>
  </w:footnote>
  <w:footnote w:id="21">
    <w:p w14:paraId="06C8AA5D" w14:textId="747D1581" w:rsidR="00295F2B" w:rsidRDefault="00295F2B">
      <w:pPr>
        <w:pStyle w:val="FootnoteText"/>
      </w:pPr>
      <w:r>
        <w:rPr>
          <w:rStyle w:val="FootnoteReference"/>
        </w:rPr>
        <w:footnoteRef/>
      </w:r>
      <w:r>
        <w:t xml:space="preserve"> </w:t>
      </w:r>
      <w:r w:rsidRPr="00A710EE">
        <w:rPr>
          <w:i/>
          <w:iCs/>
          <w:sz w:val="18"/>
          <w:szCs w:val="18"/>
        </w:rPr>
        <w:t xml:space="preserve">An ICU facility </w:t>
      </w:r>
      <w:r w:rsidR="00F271C8">
        <w:rPr>
          <w:i/>
          <w:iCs/>
          <w:color w:val="44546A" w:themeColor="text2"/>
          <w:sz w:val="18"/>
          <w:szCs w:val="18"/>
        </w:rPr>
        <w:t>reporting</w:t>
      </w:r>
      <w:r w:rsidRPr="00A710EE">
        <w:rPr>
          <w:i/>
          <w:iCs/>
          <w:color w:val="44546A" w:themeColor="text2"/>
          <w:sz w:val="18"/>
          <w:szCs w:val="18"/>
        </w:rPr>
        <w:t xml:space="preserve"> 24,000 hours of ICU activity annually, and at least 20% of all hours involve mechanical ventilation.</w:t>
      </w:r>
    </w:p>
  </w:footnote>
  <w:footnote w:id="22">
    <w:p w14:paraId="26BE99C0" w14:textId="27A257A4" w:rsidR="005379CE" w:rsidRPr="001729F2" w:rsidRDefault="005379CE" w:rsidP="005379CE">
      <w:pPr>
        <w:pStyle w:val="FootnoteText"/>
        <w:rPr>
          <w:i/>
          <w:sz w:val="18"/>
          <w:szCs w:val="18"/>
        </w:rPr>
      </w:pPr>
      <w:r w:rsidRPr="001729F2">
        <w:rPr>
          <w:rStyle w:val="FootnoteReference"/>
        </w:rPr>
        <w:footnoteRef/>
      </w:r>
      <w:r w:rsidRPr="001729F2">
        <w:t xml:space="preserve"> </w:t>
      </w:r>
      <w:r w:rsidRPr="001729F2">
        <w:rPr>
          <w:i/>
          <w:sz w:val="18"/>
          <w:szCs w:val="18"/>
        </w:rPr>
        <w:t>For this analysis, a hospital episode refers to a submitted record in the NHCDC, which acts as a raw count of activity without any casemix adjustment (</w:t>
      </w:r>
      <w:r w:rsidR="00711F2E">
        <w:rPr>
          <w:i/>
          <w:sz w:val="18"/>
          <w:szCs w:val="18"/>
        </w:rPr>
        <w:t>e.g.,</w:t>
      </w:r>
      <w:r w:rsidRPr="001729F2">
        <w:rPr>
          <w:i/>
          <w:sz w:val="18"/>
          <w:szCs w:val="18"/>
        </w:rPr>
        <w:t xml:space="preserve"> a separation of admitted acute care, an </w:t>
      </w:r>
      <w:r w:rsidR="004B2B8A">
        <w:rPr>
          <w:i/>
          <w:sz w:val="18"/>
          <w:szCs w:val="18"/>
        </w:rPr>
        <w:t>ED</w:t>
      </w:r>
      <w:r w:rsidRPr="001729F2">
        <w:rPr>
          <w:i/>
          <w:sz w:val="18"/>
          <w:szCs w:val="18"/>
        </w:rPr>
        <w:t xml:space="preserve"> presentation, a non-admitted service event or an admitted mental health episode or phase of care). </w:t>
      </w:r>
    </w:p>
  </w:footnote>
  <w:footnote w:id="23">
    <w:p w14:paraId="791D24ED" w14:textId="73A2D143" w:rsidR="005379CE" w:rsidRPr="001729F2" w:rsidRDefault="005379CE" w:rsidP="005379CE">
      <w:pPr>
        <w:pStyle w:val="FootnoteText"/>
      </w:pPr>
      <w:r w:rsidRPr="001729F2">
        <w:rPr>
          <w:rStyle w:val="FootnoteReference"/>
        </w:rPr>
        <w:footnoteRef/>
      </w:r>
      <w:r w:rsidRPr="001729F2">
        <w:t xml:space="preserve"> </w:t>
      </w:r>
      <w:r w:rsidRPr="001729F2">
        <w:rPr>
          <w:i/>
          <w:iCs/>
          <w:sz w:val="18"/>
          <w:szCs w:val="18"/>
        </w:rPr>
        <w:t>GWAU represents a casemix adjusted measure of activity and has been determined using IHACPA’s NEP24 pricing model parameters</w:t>
      </w:r>
      <w:r w:rsidRPr="001729F2">
        <w:rPr>
          <w:sz w:val="18"/>
          <w:szCs w:val="18"/>
        </w:rPr>
        <w:t xml:space="preserve">. </w:t>
      </w:r>
      <w:r w:rsidRPr="001729F2">
        <w:rPr>
          <w:i/>
          <w:sz w:val="18"/>
          <w:szCs w:val="18"/>
        </w:rPr>
        <w:t>GWAU excludes community mental health, which was not priced in 2023-24, hence price weights were not available.</w:t>
      </w:r>
    </w:p>
  </w:footnote>
  <w:footnote w:id="24">
    <w:p w14:paraId="6E1E918E" w14:textId="77777777" w:rsidR="005379CE" w:rsidRPr="001729F2" w:rsidRDefault="005379CE" w:rsidP="005379CE">
      <w:pPr>
        <w:pStyle w:val="FootnoteText"/>
      </w:pPr>
      <w:r w:rsidRPr="001729F2">
        <w:rPr>
          <w:rStyle w:val="FootnoteReference"/>
        </w:rPr>
        <w:footnoteRef/>
      </w:r>
      <w:r w:rsidRPr="001729F2">
        <w:t xml:space="preserve"> </w:t>
      </w:r>
      <w:r w:rsidRPr="001729F2">
        <w:rPr>
          <w:i/>
          <w:iCs/>
          <w:sz w:val="18"/>
          <w:szCs w:val="18"/>
        </w:rPr>
        <w:t xml:space="preserve">For further information surrounding WA changes to workforce FTE and costs see </w:t>
      </w:r>
      <w:hyperlink r:id="rId3" w:history="1">
        <w:r w:rsidRPr="001729F2">
          <w:rPr>
            <w:rStyle w:val="Hyperlink"/>
            <w:i/>
            <w:iCs/>
            <w:sz w:val="18"/>
            <w:szCs w:val="18"/>
          </w:rPr>
          <w:t>Independent Inquiry into Perth Children’s Hospital (PCH).</w:t>
        </w:r>
      </w:hyperlink>
    </w:p>
  </w:footnote>
  <w:footnote w:id="25">
    <w:p w14:paraId="3E906614" w14:textId="3A7965FE" w:rsidR="00B37202" w:rsidRPr="004F1FA1" w:rsidRDefault="00B37202" w:rsidP="00B37202">
      <w:pPr>
        <w:pStyle w:val="FootnoteText"/>
        <w:rPr>
          <w:i/>
        </w:rPr>
      </w:pPr>
      <w:r w:rsidRPr="003C28DB">
        <w:rPr>
          <w:rStyle w:val="FootnoteReference"/>
          <w:i/>
          <w:iCs/>
          <w:sz w:val="18"/>
          <w:szCs w:val="18"/>
        </w:rPr>
        <w:footnoteRef/>
      </w:r>
      <w:r w:rsidRPr="003C28DB">
        <w:rPr>
          <w:i/>
          <w:iCs/>
          <w:sz w:val="18"/>
          <w:szCs w:val="18"/>
        </w:rPr>
        <w:t xml:space="preserve"> An ICU facility </w:t>
      </w:r>
      <w:r w:rsidR="00C610CC">
        <w:rPr>
          <w:i/>
          <w:iCs/>
          <w:color w:val="44546A" w:themeColor="text2"/>
          <w:sz w:val="18"/>
          <w:szCs w:val="18"/>
        </w:rPr>
        <w:t>reporting</w:t>
      </w:r>
      <w:r w:rsidRPr="003C28DB">
        <w:rPr>
          <w:i/>
          <w:iCs/>
          <w:color w:val="44546A" w:themeColor="text2"/>
          <w:sz w:val="18"/>
          <w:szCs w:val="18"/>
        </w:rPr>
        <w:t xml:space="preserve"> 24,000 hours of ICU activity annually, and at least 20% of all hours involve mechanical ventilation.</w:t>
      </w:r>
    </w:p>
  </w:footnote>
  <w:footnote w:id="26">
    <w:p w14:paraId="390D652D" w14:textId="0ACC7E18" w:rsidR="00581F9F" w:rsidRPr="001729F2" w:rsidRDefault="00581F9F" w:rsidP="00581F9F">
      <w:pPr>
        <w:pStyle w:val="FootnoteText"/>
        <w:rPr>
          <w:i/>
          <w:sz w:val="18"/>
          <w:szCs w:val="18"/>
        </w:rPr>
      </w:pPr>
      <w:r w:rsidRPr="001729F2">
        <w:rPr>
          <w:rStyle w:val="FootnoteReference"/>
        </w:rPr>
        <w:footnoteRef/>
      </w:r>
      <w:r w:rsidRPr="001729F2">
        <w:t xml:space="preserve"> </w:t>
      </w:r>
      <w:r w:rsidRPr="001729F2">
        <w:rPr>
          <w:i/>
          <w:sz w:val="18"/>
          <w:szCs w:val="18"/>
        </w:rPr>
        <w:t>For this analysis, a hospital episode refers to a submitted record in the NHCDC, which acts as a raw count of activity without any casemix adjustment (</w:t>
      </w:r>
      <w:r w:rsidR="00711F2E">
        <w:rPr>
          <w:i/>
          <w:sz w:val="18"/>
          <w:szCs w:val="18"/>
        </w:rPr>
        <w:t>e.g.,</w:t>
      </w:r>
      <w:r w:rsidRPr="001729F2">
        <w:rPr>
          <w:i/>
          <w:sz w:val="18"/>
          <w:szCs w:val="18"/>
        </w:rPr>
        <w:t xml:space="preserve"> a separation of admitted acute care, an </w:t>
      </w:r>
      <w:r w:rsidR="004B2B8A">
        <w:rPr>
          <w:i/>
          <w:sz w:val="18"/>
          <w:szCs w:val="18"/>
        </w:rPr>
        <w:t>ED</w:t>
      </w:r>
      <w:r w:rsidRPr="001729F2">
        <w:rPr>
          <w:i/>
          <w:sz w:val="18"/>
          <w:szCs w:val="18"/>
        </w:rPr>
        <w:t xml:space="preserve"> presentation, a non-admitted service event or an admitted mental health episode or phase of care). </w:t>
      </w:r>
    </w:p>
  </w:footnote>
  <w:footnote w:id="27">
    <w:p w14:paraId="51EF5027" w14:textId="4BDB31A2" w:rsidR="00581F9F" w:rsidRDefault="00581F9F" w:rsidP="00581F9F">
      <w:pPr>
        <w:pStyle w:val="FootnoteText"/>
      </w:pPr>
      <w:r w:rsidRPr="001729F2">
        <w:rPr>
          <w:rStyle w:val="FootnoteReference"/>
        </w:rPr>
        <w:footnoteRef/>
      </w:r>
      <w:r w:rsidRPr="001729F2">
        <w:t xml:space="preserve"> </w:t>
      </w:r>
      <w:r w:rsidRPr="001729F2">
        <w:rPr>
          <w:i/>
          <w:iCs/>
          <w:sz w:val="18"/>
          <w:szCs w:val="18"/>
        </w:rPr>
        <w:t>GWAU represents a casemix adjusted measure of activity and has been determined using IHACPA’s NEP24 pricing model parameters</w:t>
      </w:r>
      <w:r w:rsidRPr="001729F2">
        <w:rPr>
          <w:sz w:val="18"/>
          <w:szCs w:val="18"/>
        </w:rPr>
        <w:t xml:space="preserve">. </w:t>
      </w:r>
      <w:r w:rsidRPr="001729F2">
        <w:rPr>
          <w:i/>
          <w:sz w:val="18"/>
          <w:szCs w:val="18"/>
        </w:rPr>
        <w:t>GWAU excludes community mental health, which was not priced in 2023-24, hence price weights were not available.</w:t>
      </w:r>
    </w:p>
  </w:footnote>
  <w:footnote w:id="28">
    <w:p w14:paraId="68FAFE09" w14:textId="6C5A3D4E" w:rsidR="00046D31" w:rsidRDefault="00046D31">
      <w:pPr>
        <w:pStyle w:val="FootnoteText"/>
      </w:pPr>
      <w:r>
        <w:rPr>
          <w:rStyle w:val="FootnoteReference"/>
        </w:rPr>
        <w:footnoteRef/>
      </w:r>
      <w:r>
        <w:t xml:space="preserve"> </w:t>
      </w:r>
      <w:r w:rsidRPr="00AD1F32">
        <w:rPr>
          <w:i/>
          <w:iCs/>
          <w:sz w:val="18"/>
          <w:szCs w:val="18"/>
        </w:rPr>
        <w:t>Community mental health data is not presented in Figure 37 and Figure 38</w:t>
      </w:r>
      <w:r w:rsidRPr="00AD1F32">
        <w:rPr>
          <w:sz w:val="18"/>
          <w:szCs w:val="18"/>
        </w:rPr>
        <w:t xml:space="preserve"> </w:t>
      </w:r>
    </w:p>
  </w:footnote>
  <w:footnote w:id="29">
    <w:p w14:paraId="18414DD3" w14:textId="5E4A8DC6" w:rsidR="00CE69E4" w:rsidRDefault="00CE69E4" w:rsidP="00CE69E4">
      <w:pPr>
        <w:pStyle w:val="FootnoteText"/>
      </w:pPr>
      <w:r>
        <w:rPr>
          <w:rStyle w:val="FootnoteReference"/>
        </w:rPr>
        <w:footnoteRef/>
      </w:r>
      <w:r>
        <w:t xml:space="preserve"> </w:t>
      </w:r>
      <w:r w:rsidRPr="00A710EE">
        <w:rPr>
          <w:i/>
          <w:iCs/>
          <w:sz w:val="18"/>
          <w:szCs w:val="18"/>
        </w:rPr>
        <w:t xml:space="preserve">An ICU facility </w:t>
      </w:r>
      <w:r w:rsidR="00F271C8">
        <w:rPr>
          <w:i/>
          <w:iCs/>
          <w:color w:val="44546A" w:themeColor="text2"/>
          <w:sz w:val="18"/>
          <w:szCs w:val="18"/>
        </w:rPr>
        <w:t>reporting</w:t>
      </w:r>
      <w:r w:rsidRPr="00A710EE">
        <w:rPr>
          <w:i/>
          <w:iCs/>
          <w:color w:val="44546A" w:themeColor="text2"/>
          <w:sz w:val="18"/>
          <w:szCs w:val="18"/>
        </w:rPr>
        <w:t xml:space="preserve"> 24,000 hours of ICU activity annually, and at least 20% of all hours involve mechanical ventilation.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F5F38" w14:textId="2F2DB57D" w:rsidR="002F238B" w:rsidRDefault="008172C7">
    <w:pPr>
      <w:pStyle w:val="Header"/>
    </w:pPr>
    <w:r>
      <w:rPr>
        <w:noProof/>
      </w:rPr>
      <mc:AlternateContent>
        <mc:Choice Requires="wps">
          <w:drawing>
            <wp:anchor distT="0" distB="0" distL="0" distR="0" simplePos="0" relativeHeight="251658245" behindDoc="0" locked="0" layoutInCell="1" allowOverlap="1" wp14:anchorId="079851E9" wp14:editId="193DDF18">
              <wp:simplePos x="635" y="635"/>
              <wp:positionH relativeFrom="page">
                <wp:align>center</wp:align>
              </wp:positionH>
              <wp:positionV relativeFrom="page">
                <wp:align>top</wp:align>
              </wp:positionV>
              <wp:extent cx="551815" cy="405765"/>
              <wp:effectExtent l="0" t="0" r="635" b="13335"/>
              <wp:wrapNone/>
              <wp:docPr id="17659568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6373D6A" w14:textId="403C147A"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851E9" id="_x0000_t202" coordsize="21600,21600" o:spt="202" path="m,l,21600r21600,l21600,xe">
              <v:stroke joinstyle="miter"/>
              <v:path gradientshapeok="t" o:connecttype="rect"/>
            </v:shapetype>
            <v:shape id="_x0000_s1313" type="#_x0000_t202" alt="OFFICIAL" style="position:absolute;margin-left:0;margin-top:0;width:43.45pt;height:31.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76373D6A" w14:textId="403C147A"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p w14:paraId="2571037B" w14:textId="77777777" w:rsidR="00AD2E24" w:rsidRDefault="00AD2E24">
    <w:pPr>
      <w:rPr>
        <w:color w:val="aut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F2458" w14:textId="33C325D7" w:rsidR="0041629D" w:rsidRDefault="008172C7">
    <w:pPr>
      <w:pStyle w:val="Header"/>
    </w:pPr>
    <w:r>
      <w:rPr>
        <w:noProof/>
      </w:rPr>
      <mc:AlternateContent>
        <mc:Choice Requires="wps">
          <w:drawing>
            <wp:anchor distT="0" distB="0" distL="0" distR="0" simplePos="0" relativeHeight="251658254" behindDoc="0" locked="0" layoutInCell="1" allowOverlap="1" wp14:anchorId="608F6FD6" wp14:editId="7A2EA38F">
              <wp:simplePos x="635" y="635"/>
              <wp:positionH relativeFrom="page">
                <wp:align>center</wp:align>
              </wp:positionH>
              <wp:positionV relativeFrom="page">
                <wp:align>top</wp:align>
              </wp:positionV>
              <wp:extent cx="551815" cy="405765"/>
              <wp:effectExtent l="0" t="0" r="635" b="13335"/>
              <wp:wrapNone/>
              <wp:docPr id="116433408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3B9F6C5" w14:textId="203CCCEB"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8F6FD6" id="_x0000_t202" coordsize="21600,21600" o:spt="202" path="m,l,21600r21600,l21600,xe">
              <v:stroke joinstyle="miter"/>
              <v:path gradientshapeok="t" o:connecttype="rect"/>
            </v:shapetype>
            <v:shape id="Text Box 11" o:spid="_x0000_s1373" type="#_x0000_t202" alt="OFFICIAL" style="position:absolute;margin-left:0;margin-top:0;width:43.45pt;height:31.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" filled="f" stroked="f">
              <v:textbox style="mso-fit-shape-to-text:t" inset="0,15pt,0,0">
                <w:txbxContent>
                  <w:p w14:paraId="53B9F6C5" w14:textId="203CCCEB"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D3D93" w14:textId="118D76D1" w:rsidR="00774279" w:rsidRDefault="008172C7" w:rsidP="00774279">
    <w:r>
      <w:rPr>
        <w:noProof/>
      </w:rPr>
      <mc:AlternateContent>
        <mc:Choice Requires="wps">
          <w:drawing>
            <wp:anchor distT="0" distB="0" distL="0" distR="0" simplePos="0" relativeHeight="251658255" behindDoc="0" locked="0" layoutInCell="1" allowOverlap="1" wp14:anchorId="11943A72" wp14:editId="74A68A03">
              <wp:simplePos x="635" y="635"/>
              <wp:positionH relativeFrom="page">
                <wp:align>center</wp:align>
              </wp:positionH>
              <wp:positionV relativeFrom="page">
                <wp:align>top</wp:align>
              </wp:positionV>
              <wp:extent cx="551815" cy="405765"/>
              <wp:effectExtent l="0" t="0" r="635" b="13335"/>
              <wp:wrapNone/>
              <wp:docPr id="1040501821"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19C144FC" w14:textId="2680416E"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943A72" id="_x0000_t202" coordsize="21600,21600" o:spt="202" path="m,l,21600r21600,l21600,xe">
              <v:stroke joinstyle="miter"/>
              <v:path gradientshapeok="t" o:connecttype="rect"/>
            </v:shapetype>
            <v:shape id="Text Box 12" o:spid="_x0000_s1374" type="#_x0000_t202" alt="OFFICIAL" style="position:absolute;margin-left:0;margin-top:0;width:43.45pt;height:31.9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DKDgIAAB0EAAAOAAAAZHJzL2Uyb0RvYy54bWysU8Fu2zAMvQ/YPwi6L7aLOe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mJef5mVEya4/W+fDVwGaRKOmDreSyGLH&#10;jQ9j6pQSaxlYd0qlzSjzmwMxoye7dhitMOwG0jU1nV/a30FzwqkcjAv3lq87rL1hPjwzhxvGQVC1&#10;4QkPqaCvKZwtSlpwP/7mj/lIPEYp6VExNTUoaUrUN4MLieJKRvE5L3O8ucm9mwxz0PeAOizwSVie&#10;zJgX1GRKB/oV9byKhTDEDMdyNQ2TeR9G6eJ74GK1SkmoI8vCxmwtj9CRr0jmy/DKnD0zHnBVjzDJ&#10;iVVviB9z45/erg4B6U9bidyORJ4pRw2mvZ7fSxT5r/eUdX3Vy5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BS5ODKDgIAAB0E&#10;AAAOAAAAAAAAAAAAAAAAAC4CAABkcnMvZTJvRG9jLnhtbFBLAQItABQABgAIAAAAIQBqsAMm2gAA&#10;AAMBAAAPAAAAAAAAAAAAAAAAAGgEAABkcnMvZG93bnJldi54bWxQSwUGAAAAAAQABADzAAAAbwUA&#10;AAAA&#10;" filled="f" stroked="f">
              <v:textbox style="mso-fit-shape-to-text:t" inset="0,15pt,0,0">
                <w:txbxContent>
                  <w:p w14:paraId="19C144FC" w14:textId="2680416E"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774279">
      <w:t>Independent Financial Review of the NHCDC 2023-24</w:t>
    </w:r>
  </w:p>
  <w:p w14:paraId="606DFCB1" w14:textId="2770DDF7" w:rsidR="00FB1708" w:rsidRDefault="00FB1708" w:rsidP="00FB1708">
    <w:pPr>
      <w:spacing w:after="0"/>
    </w:pPr>
    <w:r>
      <w:rPr>
        <w:noProof/>
      </w:rPr>
      <mc:AlternateContent>
        <mc:Choice Requires="wps">
          <w:drawing>
            <wp:inline distT="0" distB="0" distL="0" distR="0" wp14:anchorId="492953E4" wp14:editId="51843688">
              <wp:extent cx="684000" cy="324000"/>
              <wp:effectExtent l="0" t="0" r="40005" b="19050"/>
              <wp:docPr id="2056142086"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355749B0" w14:textId="77777777" w:rsidR="00FB1708" w:rsidRPr="00751EAD" w:rsidRDefault="00FB1708" w:rsidP="00FB1708">
                          <w:pPr>
                            <w:spacing w:after="0"/>
                            <w:rPr>
                              <w:color w:val="auto"/>
                              <w:sz w:val="12"/>
                              <w:szCs w:val="12"/>
                            </w:rPr>
                          </w:pPr>
                          <w:r w:rsidRPr="00751EAD">
                            <w:rPr>
                              <w:color w:val="auto"/>
                              <w:sz w:val="12"/>
                              <w:szCs w:val="12"/>
                            </w:rPr>
                            <w:t>Executive Summary</w:t>
                          </w:r>
                        </w:p>
                        <w:p w14:paraId="70B2A9CB" w14:textId="77777777" w:rsidR="00FB1708" w:rsidRPr="00751EAD" w:rsidRDefault="00FB1708" w:rsidP="00FB1708">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92953E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75"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" adj="16484" filled="f" strokecolor="#b4b5db [3207]" strokeweight="1pt">
              <v:textbox>
                <w:txbxContent>
                  <w:p w14:paraId="355749B0" w14:textId="77777777" w:rsidR="00FB1708" w:rsidRPr="00751EAD" w:rsidRDefault="00FB1708" w:rsidP="00FB1708">
                    <w:pPr>
                      <w:spacing w:after="0"/>
                      <w:rPr>
                        <w:color w:val="auto"/>
                        <w:sz w:val="12"/>
                        <w:szCs w:val="12"/>
                      </w:rPr>
                    </w:pPr>
                    <w:r w:rsidRPr="00751EAD">
                      <w:rPr>
                        <w:color w:val="auto"/>
                        <w:sz w:val="12"/>
                        <w:szCs w:val="12"/>
                      </w:rPr>
                      <w:t>Executive Summary</w:t>
                    </w:r>
                  </w:p>
                  <w:p w14:paraId="70B2A9CB" w14:textId="77777777" w:rsidR="00FB1708" w:rsidRPr="00751EAD" w:rsidRDefault="00FB1708" w:rsidP="00FB1708">
                    <w:pPr>
                      <w:rPr>
                        <w:color w:val="auto"/>
                      </w:rPr>
                    </w:pPr>
                  </w:p>
                </w:txbxContent>
              </v:textbox>
              <w10:anchorlock/>
            </v:shape>
          </w:pict>
        </mc:Fallback>
      </mc:AlternateContent>
    </w:r>
    <w:r>
      <w:rPr>
        <w:noProof/>
      </w:rPr>
      <mc:AlternateContent>
        <mc:Choice Requires="wps">
          <w:drawing>
            <wp:inline distT="0" distB="0" distL="0" distR="0" wp14:anchorId="582CDE0A" wp14:editId="4C4F0F48">
              <wp:extent cx="972000" cy="324000"/>
              <wp:effectExtent l="19050" t="0" r="19050" b="19050"/>
              <wp:docPr id="470910717"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1128CE2E" w14:textId="77777777" w:rsidR="00FB1708" w:rsidRPr="00614A93" w:rsidRDefault="00FB1708" w:rsidP="00FB1708">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82CDE0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76"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" adj="18000" filled="f" strokecolor="#b4b5db [3207]" strokeweight="1pt">
              <v:textbox>
                <w:txbxContent>
                  <w:p w14:paraId="1128CE2E" w14:textId="77777777" w:rsidR="00FB1708" w:rsidRPr="00614A93" w:rsidRDefault="00FB1708" w:rsidP="00FB1708">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100A1B58" wp14:editId="6EC7BECE">
              <wp:extent cx="936000" cy="324000"/>
              <wp:effectExtent l="19050" t="0" r="16510" b="19050"/>
              <wp:docPr id="2095472463"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57A70E2" w14:textId="77777777" w:rsidR="00FB1708" w:rsidRPr="000450AC" w:rsidRDefault="00FB1708" w:rsidP="00FB1708">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0A1B58" id="_x0000_s1377"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" adj="17862" fillcolor="white [3201]" strokecolor="#b4b5db [3207]" strokeweight="1pt">
              <v:textbox>
                <w:txbxContent>
                  <w:p w14:paraId="657A70E2" w14:textId="77777777" w:rsidR="00FB1708" w:rsidRPr="000450AC" w:rsidRDefault="00FB1708" w:rsidP="00FB1708">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7FEFDBBE" wp14:editId="2FCE126B">
              <wp:extent cx="1152000" cy="324000"/>
              <wp:effectExtent l="19050" t="0" r="10160" b="19050"/>
              <wp:docPr id="958880730"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25497475"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EFDBBE" id="_x0000_s1378"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" adj="18563" fillcolor="white [3201]" strokecolor="#b4b5db [3207]" strokeweight="1pt">
              <v:textbox>
                <w:txbxContent>
                  <w:p w14:paraId="25497475"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6A3FBA33" wp14:editId="29D71670">
              <wp:extent cx="936000" cy="324000"/>
              <wp:effectExtent l="19050" t="0" r="16510" b="19050"/>
              <wp:docPr id="1786197557"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7BA0A025"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3FBA33" id="_x0000_s1379"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" adj="17862" fillcolor="#d1d2e9 [1943]" strokecolor="#b4b5db [3207]" strokeweight="1pt">
              <v:textbox>
                <w:txbxContent>
                  <w:p w14:paraId="7BA0A025"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3B848D58" wp14:editId="672F4DD2">
              <wp:extent cx="828000" cy="324000"/>
              <wp:effectExtent l="19050" t="0" r="10795" b="19050"/>
              <wp:docPr id="1595736884"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C2CB05D" w14:textId="77777777" w:rsidR="00FB1708" w:rsidRPr="00A11191" w:rsidRDefault="00FB1708" w:rsidP="00FB1708">
                          <w:pPr>
                            <w:spacing w:after="0"/>
                            <w:rPr>
                              <w:color w:val="auto"/>
                              <w:sz w:val="12"/>
                              <w:szCs w:val="12"/>
                            </w:rPr>
                          </w:pPr>
                          <w:r w:rsidRPr="00A11191">
                            <w:rPr>
                              <w:color w:val="auto"/>
                              <w:sz w:val="12"/>
                              <w:szCs w:val="12"/>
                            </w:rPr>
                            <w:t>IHACPA Review</w:t>
                          </w:r>
                        </w:p>
                        <w:p w14:paraId="3976C29E" w14:textId="77777777" w:rsidR="00FB1708" w:rsidRDefault="00FB1708" w:rsidP="00FB17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848D58" id="_x0000_s1380"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" adj="17374" fillcolor="white [3201]" strokecolor="#b4b5db [3207]" strokeweight="1pt">
              <v:textbox>
                <w:txbxContent>
                  <w:p w14:paraId="5C2CB05D" w14:textId="77777777" w:rsidR="00FB1708" w:rsidRPr="00A11191" w:rsidRDefault="00FB1708" w:rsidP="00FB1708">
                    <w:pPr>
                      <w:spacing w:after="0"/>
                      <w:rPr>
                        <w:color w:val="auto"/>
                        <w:sz w:val="12"/>
                        <w:szCs w:val="12"/>
                      </w:rPr>
                    </w:pPr>
                    <w:r w:rsidRPr="00A11191">
                      <w:rPr>
                        <w:color w:val="auto"/>
                        <w:sz w:val="12"/>
                        <w:szCs w:val="12"/>
                      </w:rPr>
                      <w:t>IHACPA Review</w:t>
                    </w:r>
                  </w:p>
                  <w:p w14:paraId="3976C29E" w14:textId="77777777" w:rsidR="00FB1708" w:rsidRDefault="00FB1708" w:rsidP="00FB1708"/>
                </w:txbxContent>
              </v:textbox>
              <w10:anchorlock/>
            </v:shape>
          </w:pict>
        </mc:Fallback>
      </mc:AlternateContent>
    </w:r>
  </w:p>
  <w:p w14:paraId="17784514" w14:textId="5136BF92" w:rsidR="0041629D" w:rsidRDefault="00FB1708" w:rsidP="00FB1708">
    <w:pPr>
      <w:pStyle w:val="Header"/>
      <w:spacing w:after="240"/>
    </w:pPr>
    <w:r>
      <w:rPr>
        <w:noProof/>
      </w:rPr>
      <mc:AlternateContent>
        <mc:Choice Requires="wps">
          <w:drawing>
            <wp:inline distT="0" distB="0" distL="0" distR="0" wp14:anchorId="6FBA4F72" wp14:editId="5986CE03">
              <wp:extent cx="540000" cy="180000"/>
              <wp:effectExtent l="0" t="0" r="31750" b="10795"/>
              <wp:docPr id="1061696326" name="Arrow: Pentagon 1"/>
              <wp:cNvGraphicFramePr/>
              <a:graphic xmlns:a="http://schemas.openxmlformats.org/drawingml/2006/main">
                <a:graphicData uri="http://schemas.microsoft.com/office/word/2010/wordprocessingShape">
                  <wps:wsp>
                    <wps:cNvSpPr/>
                    <wps:spPr>
                      <a:xfrm>
                        <a:off x="0" y="0"/>
                        <a:ext cx="540000" cy="180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6A790E60" w14:textId="77777777" w:rsidR="00FB1708" w:rsidRPr="00751EAD" w:rsidRDefault="00FB1708" w:rsidP="00FB1708">
                          <w:pPr>
                            <w:rPr>
                              <w:color w:val="auto"/>
                            </w:rPr>
                          </w:pPr>
                          <w:r>
                            <w:rPr>
                              <w:color w:val="auto"/>
                              <w:sz w:val="12"/>
                              <w:szCs w:val="12"/>
                            </w:rPr>
                            <w:t>NSW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BA4F72" id="_x0000_s1381" type="#_x0000_t1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" adj="18000" filled="f" strokecolor="#b4b5db [3207]" strokeweight="1pt">
              <v:textbox>
                <w:txbxContent>
                  <w:p w14:paraId="6A790E60" w14:textId="77777777" w:rsidR="00FB1708" w:rsidRPr="00751EAD" w:rsidRDefault="00FB1708" w:rsidP="00FB1708">
                    <w:pPr>
                      <w:rPr>
                        <w:color w:val="auto"/>
                      </w:rPr>
                    </w:pPr>
                    <w:r>
                      <w:rPr>
                        <w:color w:val="auto"/>
                        <w:sz w:val="12"/>
                        <w:szCs w:val="12"/>
                      </w:rPr>
                      <w:t>NSW</w:t>
                    </w:r>
                  </w:p>
                </w:txbxContent>
              </v:textbox>
              <w10:anchorlock/>
            </v:shape>
          </w:pict>
        </mc:Fallback>
      </mc:AlternateContent>
    </w:r>
    <w:r>
      <w:rPr>
        <w:noProof/>
      </w:rPr>
      <mc:AlternateContent>
        <mc:Choice Requires="wps">
          <w:drawing>
            <wp:inline distT="0" distB="0" distL="0" distR="0" wp14:anchorId="239A1DD6" wp14:editId="6A775EED">
              <wp:extent cx="540000" cy="180000"/>
              <wp:effectExtent l="19050" t="0" r="12700" b="10795"/>
              <wp:docPr id="554579532"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4129740F" w14:textId="77777777" w:rsidR="00FB1708" w:rsidRPr="00614A93" w:rsidRDefault="00FB1708" w:rsidP="00FB1708">
                          <w:pPr>
                            <w:spacing w:after="0"/>
                            <w:rPr>
                              <w:color w:val="auto"/>
                              <w:sz w:val="12"/>
                              <w:szCs w:val="12"/>
                            </w:rPr>
                          </w:pPr>
                          <w:r>
                            <w:rPr>
                              <w:color w:val="auto"/>
                              <w:sz w:val="12"/>
                              <w:szCs w:val="12"/>
                            </w:rPr>
                            <w:t>Vic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9A1DD6" id="_x0000_s1382"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" adj="18000" fillcolor="#d1d2e9 [1943]" strokecolor="#b4b5db [3207]" strokeweight="1pt">
              <v:textbox>
                <w:txbxContent>
                  <w:p w14:paraId="4129740F" w14:textId="77777777" w:rsidR="00FB1708" w:rsidRPr="00614A93" w:rsidRDefault="00FB1708" w:rsidP="00FB1708">
                    <w:pPr>
                      <w:spacing w:after="0"/>
                      <w:rPr>
                        <w:color w:val="auto"/>
                        <w:sz w:val="12"/>
                        <w:szCs w:val="12"/>
                      </w:rPr>
                    </w:pPr>
                    <w:r>
                      <w:rPr>
                        <w:color w:val="auto"/>
                        <w:sz w:val="12"/>
                        <w:szCs w:val="12"/>
                      </w:rPr>
                      <w:t>Vic</w:t>
                    </w:r>
                  </w:p>
                </w:txbxContent>
              </v:textbox>
              <w10:anchorlock/>
            </v:shape>
          </w:pict>
        </mc:Fallback>
      </mc:AlternateContent>
    </w:r>
    <w:r>
      <w:rPr>
        <w:noProof/>
      </w:rPr>
      <mc:AlternateContent>
        <mc:Choice Requires="wps">
          <w:drawing>
            <wp:inline distT="0" distB="0" distL="0" distR="0" wp14:anchorId="00818F2E" wp14:editId="055E8C77">
              <wp:extent cx="540000" cy="180000"/>
              <wp:effectExtent l="19050" t="0" r="12700" b="10795"/>
              <wp:docPr id="850075055"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E562E9A" w14:textId="4620883C" w:rsidR="00FB1708" w:rsidRPr="000450AC" w:rsidRDefault="00B33D4A" w:rsidP="00FB1708">
                          <w:pPr>
                            <w:spacing w:after="0"/>
                            <w:rPr>
                              <w:color w:val="auto"/>
                              <w:sz w:val="12"/>
                              <w:szCs w:val="12"/>
                            </w:rPr>
                          </w:pPr>
                          <w:r>
                            <w:rPr>
                              <w:color w:val="auto"/>
                              <w:sz w:val="12"/>
                              <w:szCs w:val="12"/>
                            </w:rPr>
                            <w:t>Q</w:t>
                          </w:r>
                          <w:r w:rsidR="006448C6">
                            <w:rPr>
                              <w:color w:val="auto"/>
                              <w:sz w:val="12"/>
                              <w:szCs w:val="12"/>
                            </w:rPr>
                            <w:t>ld</w:t>
                          </w:r>
                          <w:r>
                            <w:rPr>
                              <w:color w:val="auto"/>
                              <w:sz w:val="12"/>
                              <w:szCs w:val="12"/>
                            </w:rPr>
                            <w:t>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818F2E" id="_x0000_s1383"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B50NneWAIAAAgFAAAOAAAAAAAAAAAAAAAAAC4CAABkcnMvZTJvRG9jLnhtbFBLAQItABQA&#10;BgAIAAAAIQBJC/AJ2AAAAAMBAAAPAAAAAAAAAAAAAAAAALIEAABkcnMvZG93bnJldi54bWxQSwUG&#10;AAAAAAQABADzAAAAtwUAAAAA&#10;" adj="18000" fillcolor="white [3201]" strokecolor="#b4b5db [3207]" strokeweight="1pt">
              <v:textbox>
                <w:txbxContent>
                  <w:p w14:paraId="6E562E9A" w14:textId="4620883C" w:rsidR="00FB1708" w:rsidRPr="000450AC" w:rsidRDefault="00B33D4A" w:rsidP="00FB1708">
                    <w:pPr>
                      <w:spacing w:after="0"/>
                      <w:rPr>
                        <w:color w:val="auto"/>
                        <w:sz w:val="12"/>
                        <w:szCs w:val="12"/>
                      </w:rPr>
                    </w:pPr>
                    <w:r>
                      <w:rPr>
                        <w:color w:val="auto"/>
                        <w:sz w:val="12"/>
                        <w:szCs w:val="12"/>
                      </w:rPr>
                      <w:t>Q</w:t>
                    </w:r>
                    <w:r w:rsidR="006448C6">
                      <w:rPr>
                        <w:color w:val="auto"/>
                        <w:sz w:val="12"/>
                        <w:szCs w:val="12"/>
                      </w:rPr>
                      <w:t>ld</w:t>
                    </w:r>
                    <w:r>
                      <w:rPr>
                        <w:color w:val="auto"/>
                        <w:sz w:val="12"/>
                        <w:szCs w:val="12"/>
                      </w:rPr>
                      <w:t>sland</w:t>
                    </w:r>
                  </w:p>
                </w:txbxContent>
              </v:textbox>
              <w10:anchorlock/>
            </v:shape>
          </w:pict>
        </mc:Fallback>
      </mc:AlternateContent>
    </w:r>
    <w:r>
      <w:rPr>
        <w:noProof/>
      </w:rPr>
      <mc:AlternateContent>
        <mc:Choice Requires="wps">
          <w:drawing>
            <wp:inline distT="0" distB="0" distL="0" distR="0" wp14:anchorId="173F5FEA" wp14:editId="754F5932">
              <wp:extent cx="540000" cy="180000"/>
              <wp:effectExtent l="19050" t="0" r="12700" b="10795"/>
              <wp:docPr id="1833475979"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B46AAE6" w14:textId="77777777" w:rsidR="00FB1708" w:rsidRPr="00A11191" w:rsidRDefault="00FB1708" w:rsidP="00FB1708">
                          <w:pPr>
                            <w:spacing w:after="0"/>
                            <w:rPr>
                              <w:color w:val="auto"/>
                              <w:sz w:val="12"/>
                              <w:szCs w:val="12"/>
                            </w:rPr>
                          </w:pPr>
                          <w:r>
                            <w:rPr>
                              <w:color w:val="auto"/>
                              <w:sz w:val="12"/>
                              <w:szCs w:val="12"/>
                            </w:rPr>
                            <w: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3F5FEA" id="_x0000_s1384"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" adj="18000" fillcolor="white [3201]" strokecolor="#b4b5db [3207]" strokeweight="1pt">
              <v:textbox>
                <w:txbxContent>
                  <w:p w14:paraId="7B46AAE6" w14:textId="77777777" w:rsidR="00FB1708" w:rsidRPr="00A11191" w:rsidRDefault="00FB1708" w:rsidP="00FB1708">
                    <w:pPr>
                      <w:spacing w:after="0"/>
                      <w:rPr>
                        <w:color w:val="auto"/>
                        <w:sz w:val="12"/>
                        <w:szCs w:val="12"/>
                      </w:rPr>
                    </w:pPr>
                    <w:r>
                      <w:rPr>
                        <w:color w:val="auto"/>
                        <w:sz w:val="12"/>
                        <w:szCs w:val="12"/>
                      </w:rPr>
                      <w:t>WA</w:t>
                    </w:r>
                  </w:p>
                </w:txbxContent>
              </v:textbox>
              <w10:anchorlock/>
            </v:shape>
          </w:pict>
        </mc:Fallback>
      </mc:AlternateContent>
    </w:r>
    <w:r>
      <w:rPr>
        <w:noProof/>
      </w:rPr>
      <mc:AlternateContent>
        <mc:Choice Requires="wps">
          <w:drawing>
            <wp:inline distT="0" distB="0" distL="0" distR="0" wp14:anchorId="3676F28D" wp14:editId="0C43E618">
              <wp:extent cx="540000" cy="180000"/>
              <wp:effectExtent l="19050" t="0" r="12700" b="10795"/>
              <wp:docPr id="1846915430"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5114DB25" w14:textId="77777777" w:rsidR="00FB1708" w:rsidRPr="00A11191" w:rsidRDefault="00FB1708" w:rsidP="00FB1708">
                          <w:pPr>
                            <w:spacing w:after="0"/>
                            <w:rPr>
                              <w:color w:val="auto"/>
                              <w:sz w:val="12"/>
                              <w:szCs w:val="12"/>
                            </w:rPr>
                          </w:pPr>
                          <w:r>
                            <w:rPr>
                              <w:color w:val="auto"/>
                              <w:sz w:val="12"/>
                              <w:szCs w:val="12"/>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76F28D" id="_x0000_s1385"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" adj="18000" filled="f" strokecolor="#b4b5db [3207]" strokeweight="1pt">
              <v:textbox>
                <w:txbxContent>
                  <w:p w14:paraId="5114DB25" w14:textId="77777777" w:rsidR="00FB1708" w:rsidRPr="00A11191" w:rsidRDefault="00FB1708" w:rsidP="00FB1708">
                    <w:pPr>
                      <w:spacing w:after="0"/>
                      <w:rPr>
                        <w:color w:val="auto"/>
                        <w:sz w:val="12"/>
                        <w:szCs w:val="12"/>
                      </w:rPr>
                    </w:pPr>
                    <w:r>
                      <w:rPr>
                        <w:color w:val="auto"/>
                        <w:sz w:val="12"/>
                        <w:szCs w:val="12"/>
                      </w:rPr>
                      <w:t>SA</w:t>
                    </w:r>
                  </w:p>
                </w:txbxContent>
              </v:textbox>
              <w10:anchorlock/>
            </v:shape>
          </w:pict>
        </mc:Fallback>
      </mc:AlternateContent>
    </w:r>
    <w:r>
      <w:rPr>
        <w:noProof/>
      </w:rPr>
      <mc:AlternateContent>
        <mc:Choice Requires="wps">
          <w:drawing>
            <wp:inline distT="0" distB="0" distL="0" distR="0" wp14:anchorId="23DEEEBA" wp14:editId="3A791E67">
              <wp:extent cx="540000" cy="180000"/>
              <wp:effectExtent l="19050" t="0" r="12700" b="10795"/>
              <wp:docPr id="26314485"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28280537" w14:textId="77777777" w:rsidR="00FB1708" w:rsidRPr="00A11191" w:rsidRDefault="00FB1708" w:rsidP="00FB1708">
                          <w:pPr>
                            <w:spacing w:after="0"/>
                            <w:rPr>
                              <w:color w:val="auto"/>
                              <w:sz w:val="12"/>
                              <w:szCs w:val="12"/>
                            </w:rPr>
                          </w:pPr>
                          <w:r>
                            <w:rPr>
                              <w:color w:val="auto"/>
                              <w:sz w:val="12"/>
                              <w:szCs w:val="12"/>
                            </w:rPr>
                            <w: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DEEEBA" id="_x0000_s1386"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" adj="18000" fillcolor="white [3201]" strokecolor="#b4b5db [3207]" strokeweight="1pt">
              <v:textbox>
                <w:txbxContent>
                  <w:p w14:paraId="28280537" w14:textId="77777777" w:rsidR="00FB1708" w:rsidRPr="00A11191" w:rsidRDefault="00FB1708" w:rsidP="00FB1708">
                    <w:pPr>
                      <w:spacing w:after="0"/>
                      <w:rPr>
                        <w:color w:val="auto"/>
                        <w:sz w:val="12"/>
                        <w:szCs w:val="12"/>
                      </w:rPr>
                    </w:pPr>
                    <w:r>
                      <w:rPr>
                        <w:color w:val="auto"/>
                        <w:sz w:val="12"/>
                        <w:szCs w:val="12"/>
                      </w:rPr>
                      <w:t>ACT</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703E5" w14:textId="08288E94" w:rsidR="0041629D" w:rsidRDefault="008172C7">
    <w:pPr>
      <w:pStyle w:val="Header"/>
    </w:pPr>
    <w:r>
      <w:rPr>
        <w:noProof/>
      </w:rPr>
      <mc:AlternateContent>
        <mc:Choice Requires="wps">
          <w:drawing>
            <wp:anchor distT="0" distB="0" distL="0" distR="0" simplePos="0" relativeHeight="251658253" behindDoc="0" locked="0" layoutInCell="1" allowOverlap="1" wp14:anchorId="16F28BED" wp14:editId="5DFCBE8F">
              <wp:simplePos x="635" y="635"/>
              <wp:positionH relativeFrom="page">
                <wp:align>center</wp:align>
              </wp:positionH>
              <wp:positionV relativeFrom="page">
                <wp:align>top</wp:align>
              </wp:positionV>
              <wp:extent cx="551815" cy="405765"/>
              <wp:effectExtent l="0" t="0" r="635" b="13335"/>
              <wp:wrapNone/>
              <wp:docPr id="138595014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47277D9" w14:textId="666CAC1A"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28BED" id="_x0000_t202" coordsize="21600,21600" o:spt="202" path="m,l,21600r21600,l21600,xe">
              <v:stroke joinstyle="miter"/>
              <v:path gradientshapeok="t" o:connecttype="rect"/>
            </v:shapetype>
            <v:shape id="Text Box 10" o:spid="_x0000_s1389" type="#_x0000_t202" alt="OFFICIAL" style="position:absolute;margin-left:0;margin-top:0;width:43.45pt;height:31.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C3fDSQ8CAAAd&#10;BAAADgAAAAAAAAAAAAAAAAAuAgAAZHJzL2Uyb0RvYy54bWxQSwECLQAUAAYACAAAACEAarADJtoA&#10;AAADAQAADwAAAAAAAAAAAAAAAABpBAAAZHJzL2Rvd25yZXYueG1sUEsFBgAAAAAEAAQA8wAAAHAF&#10;AAAAAA==&#10;" filled="f" stroked="f">
              <v:textbox style="mso-fit-shape-to-text:t" inset="0,15pt,0,0">
                <w:txbxContent>
                  <w:p w14:paraId="747277D9" w14:textId="666CAC1A"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1428" w14:textId="6C8948D2" w:rsidR="00E5185C" w:rsidRDefault="008172C7">
    <w:pPr>
      <w:pStyle w:val="Header"/>
    </w:pPr>
    <w:r>
      <w:rPr>
        <w:noProof/>
      </w:rPr>
      <mc:AlternateContent>
        <mc:Choice Requires="wps">
          <w:drawing>
            <wp:anchor distT="0" distB="0" distL="0" distR="0" simplePos="0" relativeHeight="251658256" behindDoc="0" locked="0" layoutInCell="1" allowOverlap="1" wp14:anchorId="69BB989F" wp14:editId="6B00703A">
              <wp:simplePos x="635" y="635"/>
              <wp:positionH relativeFrom="page">
                <wp:align>center</wp:align>
              </wp:positionH>
              <wp:positionV relativeFrom="page">
                <wp:align>top</wp:align>
              </wp:positionV>
              <wp:extent cx="551815" cy="405765"/>
              <wp:effectExtent l="0" t="0" r="635" b="13335"/>
              <wp:wrapNone/>
              <wp:docPr id="203391740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E53BC8E" w14:textId="5D75523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BB989F" id="_x0000_t202" coordsize="21600,21600" o:spt="202" path="m,l,21600r21600,l21600,xe">
              <v:stroke joinstyle="miter"/>
              <v:path gradientshapeok="t" o:connecttype="rect"/>
            </v:shapetype>
            <v:shape id="Text Box 13" o:spid="_x0000_s1391" type="#_x0000_t202" alt="OFFICIAL" style="position:absolute;margin-left:0;margin-top:0;width:43.45pt;height:31.9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jyDwIAAB0EAAAOAAAAZHJzL2Uyb0RvYy54bWysU01v2zAMvQ/YfxB0X2wXcz+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c17eXJcRJbv8bJ0PXwVoEo2aOtxKIosd&#10;1j6MqVNKrGVg1SmVNqPMbw7EjJ7s0mG0wrAdSNfU9OZ2an8LzRGncjAu3Fu+6rD2mvnwwhxuGAdB&#10;1YZnPKSCvqZwsihpwf34mz/mI/EYpaRHxdTUoKQpUd8MLiSKKxnFXV7meHOTezsZZq8fAHVY4JOw&#10;PJkxL6jJlA70G+p5GQthiBmO5WoaJvMhjNLF98DFcpmSUEeWhbXZWB6hI1+RzNfhjTl7Yjzgqp5g&#10;khOr3hE/5sY/vV3uA9KfthK5HYk8UY4aTHs9vZco8l/vKevyqhc/AQ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TAmI8g8CAAAd&#10;BAAADgAAAAAAAAAAAAAAAAAuAgAAZHJzL2Uyb0RvYy54bWxQSwECLQAUAAYACAAAACEAarADJtoA&#10;AAADAQAADwAAAAAAAAAAAAAAAABpBAAAZHJzL2Rvd25yZXYueG1sUEsFBgAAAAAEAAQA8wAAAHAF&#10;AAAAAA==&#10;" filled="f" stroked="f">
              <v:textbox style="mso-fit-shape-to-text:t" inset="0,15pt,0,0">
                <w:txbxContent>
                  <w:p w14:paraId="2E53BC8E" w14:textId="5D75523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5279" w14:textId="636DE9C5" w:rsidR="00FB1708" w:rsidRDefault="008172C7" w:rsidP="00FB1708">
    <w:r>
      <w:rPr>
        <w:noProof/>
      </w:rPr>
      <mc:AlternateContent>
        <mc:Choice Requires="wps">
          <w:drawing>
            <wp:anchor distT="0" distB="0" distL="0" distR="0" simplePos="0" relativeHeight="251658257" behindDoc="0" locked="0" layoutInCell="1" allowOverlap="1" wp14:anchorId="315DEA81" wp14:editId="6EFC4B86">
              <wp:simplePos x="635" y="635"/>
              <wp:positionH relativeFrom="page">
                <wp:align>center</wp:align>
              </wp:positionH>
              <wp:positionV relativeFrom="page">
                <wp:align>top</wp:align>
              </wp:positionV>
              <wp:extent cx="551815" cy="405765"/>
              <wp:effectExtent l="0" t="0" r="635" b="13335"/>
              <wp:wrapNone/>
              <wp:docPr id="87050849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579203C" w14:textId="02D672D8"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5DEA81" id="_x0000_t202" coordsize="21600,21600" o:spt="202" path="m,l,21600r21600,l21600,xe">
              <v:stroke joinstyle="miter"/>
              <v:path gradientshapeok="t" o:connecttype="rect"/>
            </v:shapetype>
            <v:shape id="Text Box 14" o:spid="_x0000_s1392" type="#_x0000_t202" alt="OFFICIAL" style="position:absolute;margin-left:0;margin-top:0;width:43.45pt;height:31.9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rPDwIAAB0EAAAOAAAAZHJzL2Uyb0RvYy54bWysU01v2zAMvQ/YfxB0X2wXcz+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c17eXJcRJbv8bJ0PXwVoEo2aOtxKIosd&#10;1j6MqVNKrGVg1SmVNqPMbw7EjJ7s0mG0wrAdSNfU9OZuan8LzRGncjAu3Fu+6rD2mvnwwhxuGAdB&#10;1YZnPKSCvqZwsihpwf34mz/mI/EYpaRHxdTUoKQpUd8MLiSKKxnFXV7meHOTezsZZq8fAHVY4JOw&#10;PJkxL6jJlA70G+p5GQthiBmO5WoaJvMhjNLF98DFcpmSUEeWhbXZWB6hI1+RzNfhjTl7Yjzgqp5g&#10;khOr3hE/5sY/vV3uA9KfthK5HYk8UY4aTHs9vZco8l/vKevyqhc/AQ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IbY6zw8CAAAd&#10;BAAADgAAAAAAAAAAAAAAAAAuAgAAZHJzL2Uyb0RvYy54bWxQSwECLQAUAAYACAAAACEAarADJtoA&#10;AAADAQAADwAAAAAAAAAAAAAAAABpBAAAZHJzL2Rvd25yZXYueG1sUEsFBgAAAAAEAAQA8wAAAHAF&#10;AAAAAA==&#10;" filled="f" stroked="f">
              <v:textbox style="mso-fit-shape-to-text:t" inset="0,15pt,0,0">
                <w:txbxContent>
                  <w:p w14:paraId="3579203C" w14:textId="02D672D8"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FB1708">
      <w:t>Independent Financial Review of the NHCDC 2023-24</w:t>
    </w:r>
  </w:p>
  <w:p w14:paraId="3A1FEA36" w14:textId="0DDBD71B" w:rsidR="00FB1708" w:rsidRDefault="00FB1708" w:rsidP="00FB1708">
    <w:pPr>
      <w:spacing w:after="0"/>
    </w:pPr>
    <w:r>
      <w:rPr>
        <w:noProof/>
      </w:rPr>
      <mc:AlternateContent>
        <mc:Choice Requires="wps">
          <w:drawing>
            <wp:inline distT="0" distB="0" distL="0" distR="0" wp14:anchorId="4B98CE5F" wp14:editId="4031F87D">
              <wp:extent cx="684000" cy="324000"/>
              <wp:effectExtent l="0" t="0" r="40005" b="19050"/>
              <wp:docPr id="160596156"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7E527713" w14:textId="77777777" w:rsidR="00FB1708" w:rsidRPr="00751EAD" w:rsidRDefault="00FB1708" w:rsidP="00FB1708">
                          <w:pPr>
                            <w:spacing w:after="0"/>
                            <w:rPr>
                              <w:color w:val="auto"/>
                              <w:sz w:val="12"/>
                              <w:szCs w:val="12"/>
                            </w:rPr>
                          </w:pPr>
                          <w:r w:rsidRPr="00751EAD">
                            <w:rPr>
                              <w:color w:val="auto"/>
                              <w:sz w:val="12"/>
                              <w:szCs w:val="12"/>
                            </w:rPr>
                            <w:t>Executive Summary</w:t>
                          </w:r>
                        </w:p>
                        <w:p w14:paraId="3CAF21BE" w14:textId="77777777" w:rsidR="00FB1708" w:rsidRPr="00751EAD" w:rsidRDefault="00FB1708" w:rsidP="00FB1708">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B98CE5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93"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" adj="16484" filled="f" strokecolor="#b4b5db [3207]" strokeweight="1pt">
              <v:textbox>
                <w:txbxContent>
                  <w:p w14:paraId="7E527713" w14:textId="77777777" w:rsidR="00FB1708" w:rsidRPr="00751EAD" w:rsidRDefault="00FB1708" w:rsidP="00FB1708">
                    <w:pPr>
                      <w:spacing w:after="0"/>
                      <w:rPr>
                        <w:color w:val="auto"/>
                        <w:sz w:val="12"/>
                        <w:szCs w:val="12"/>
                      </w:rPr>
                    </w:pPr>
                    <w:r w:rsidRPr="00751EAD">
                      <w:rPr>
                        <w:color w:val="auto"/>
                        <w:sz w:val="12"/>
                        <w:szCs w:val="12"/>
                      </w:rPr>
                      <w:t>Executive Summary</w:t>
                    </w:r>
                  </w:p>
                  <w:p w14:paraId="3CAF21BE" w14:textId="77777777" w:rsidR="00FB1708" w:rsidRPr="00751EAD" w:rsidRDefault="00FB1708" w:rsidP="00FB1708">
                    <w:pPr>
                      <w:rPr>
                        <w:color w:val="auto"/>
                      </w:rPr>
                    </w:pPr>
                  </w:p>
                </w:txbxContent>
              </v:textbox>
              <w10:anchorlock/>
            </v:shape>
          </w:pict>
        </mc:Fallback>
      </mc:AlternateContent>
    </w:r>
    <w:r>
      <w:rPr>
        <w:noProof/>
      </w:rPr>
      <mc:AlternateContent>
        <mc:Choice Requires="wps">
          <w:drawing>
            <wp:inline distT="0" distB="0" distL="0" distR="0" wp14:anchorId="5816B56A" wp14:editId="7A3A93D2">
              <wp:extent cx="972000" cy="324000"/>
              <wp:effectExtent l="19050" t="0" r="19050" b="19050"/>
              <wp:docPr id="1606857244"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25AE4A05" w14:textId="77777777" w:rsidR="00FB1708" w:rsidRPr="00614A93" w:rsidRDefault="00FB1708" w:rsidP="00FB1708">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816B56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94"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" adj="18000" filled="f" strokecolor="#b4b5db [3207]" strokeweight="1pt">
              <v:textbox>
                <w:txbxContent>
                  <w:p w14:paraId="25AE4A05" w14:textId="77777777" w:rsidR="00FB1708" w:rsidRPr="00614A93" w:rsidRDefault="00FB1708" w:rsidP="00FB1708">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3445EA35" wp14:editId="7936C419">
              <wp:extent cx="936000" cy="324000"/>
              <wp:effectExtent l="19050" t="0" r="16510" b="19050"/>
              <wp:docPr id="542770582"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2A5A6D0C" w14:textId="77777777" w:rsidR="00FB1708" w:rsidRPr="000450AC" w:rsidRDefault="00FB1708" w:rsidP="00FB1708">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45EA35" id="_x0000_s1395"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" adj="17862" fillcolor="white [3201]" strokecolor="#b4b5db [3207]" strokeweight="1pt">
              <v:textbox>
                <w:txbxContent>
                  <w:p w14:paraId="2A5A6D0C" w14:textId="77777777" w:rsidR="00FB1708" w:rsidRPr="000450AC" w:rsidRDefault="00FB1708" w:rsidP="00FB1708">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450DF2E9" wp14:editId="432CA9FD">
              <wp:extent cx="1152000" cy="324000"/>
              <wp:effectExtent l="19050" t="0" r="10160" b="19050"/>
              <wp:docPr id="2013582317"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A1626EB"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0DF2E9" id="_x0000_s1396"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" adj="18563" fillcolor="white [3201]" strokecolor="#b4b5db [3207]" strokeweight="1pt">
              <v:textbox>
                <w:txbxContent>
                  <w:p w14:paraId="6A1626EB"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68AEB7DB" wp14:editId="11D02BCC">
              <wp:extent cx="936000" cy="324000"/>
              <wp:effectExtent l="19050" t="0" r="16510" b="19050"/>
              <wp:docPr id="2130396553"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143DB8A7"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AEB7DB" id="_x0000_s1397"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" adj="17862" fillcolor="#d1d2e9 [1943]" strokecolor="#b4b5db [3207]" strokeweight="1pt">
              <v:textbox>
                <w:txbxContent>
                  <w:p w14:paraId="143DB8A7"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7A2CDF69" wp14:editId="2683C917">
              <wp:extent cx="828000" cy="324000"/>
              <wp:effectExtent l="19050" t="0" r="10795" b="19050"/>
              <wp:docPr id="343525086"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1EE1A76D" w14:textId="77777777" w:rsidR="00FB1708" w:rsidRPr="00A11191" w:rsidRDefault="00FB1708" w:rsidP="00FB1708">
                          <w:pPr>
                            <w:spacing w:after="0"/>
                            <w:rPr>
                              <w:color w:val="auto"/>
                              <w:sz w:val="12"/>
                              <w:szCs w:val="12"/>
                            </w:rPr>
                          </w:pPr>
                          <w:r w:rsidRPr="00A11191">
                            <w:rPr>
                              <w:color w:val="auto"/>
                              <w:sz w:val="12"/>
                              <w:szCs w:val="12"/>
                            </w:rPr>
                            <w:t>IHACPA Review</w:t>
                          </w:r>
                        </w:p>
                        <w:p w14:paraId="51E0C262" w14:textId="77777777" w:rsidR="00FB1708" w:rsidRDefault="00FB1708" w:rsidP="00FB17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2CDF69" id="_x0000_s1398"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" adj="17374" fillcolor="white [3201]" strokecolor="#b4b5db [3207]" strokeweight="1pt">
              <v:textbox>
                <w:txbxContent>
                  <w:p w14:paraId="1EE1A76D" w14:textId="77777777" w:rsidR="00FB1708" w:rsidRPr="00A11191" w:rsidRDefault="00FB1708" w:rsidP="00FB1708">
                    <w:pPr>
                      <w:spacing w:after="0"/>
                      <w:rPr>
                        <w:color w:val="auto"/>
                        <w:sz w:val="12"/>
                        <w:szCs w:val="12"/>
                      </w:rPr>
                    </w:pPr>
                    <w:r w:rsidRPr="00A11191">
                      <w:rPr>
                        <w:color w:val="auto"/>
                        <w:sz w:val="12"/>
                        <w:szCs w:val="12"/>
                      </w:rPr>
                      <w:t>IHACPA Review</w:t>
                    </w:r>
                  </w:p>
                  <w:p w14:paraId="51E0C262" w14:textId="77777777" w:rsidR="00FB1708" w:rsidRDefault="00FB1708" w:rsidP="00FB1708"/>
                </w:txbxContent>
              </v:textbox>
              <w10:anchorlock/>
            </v:shape>
          </w:pict>
        </mc:Fallback>
      </mc:AlternateContent>
    </w:r>
  </w:p>
  <w:p w14:paraId="2CE9F7F9" w14:textId="3AAEE0A2" w:rsidR="0041629D" w:rsidRDefault="00FB1708" w:rsidP="00FB1708">
    <w:pPr>
      <w:pStyle w:val="Header"/>
      <w:spacing w:after="240"/>
    </w:pPr>
    <w:r>
      <w:rPr>
        <w:noProof/>
      </w:rPr>
      <mc:AlternateContent>
        <mc:Choice Requires="wps">
          <w:drawing>
            <wp:inline distT="0" distB="0" distL="0" distR="0" wp14:anchorId="019FA498" wp14:editId="647A0387">
              <wp:extent cx="540000" cy="180000"/>
              <wp:effectExtent l="0" t="0" r="31750" b="10795"/>
              <wp:docPr id="981018518" name="Arrow: Pentagon 1"/>
              <wp:cNvGraphicFramePr/>
              <a:graphic xmlns:a="http://schemas.openxmlformats.org/drawingml/2006/main">
                <a:graphicData uri="http://schemas.microsoft.com/office/word/2010/wordprocessingShape">
                  <wps:wsp>
                    <wps:cNvSpPr/>
                    <wps:spPr>
                      <a:xfrm>
                        <a:off x="0" y="0"/>
                        <a:ext cx="540000" cy="180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03E9F7EA" w14:textId="77777777" w:rsidR="00FB1708" w:rsidRPr="00751EAD" w:rsidRDefault="00FB1708" w:rsidP="00FB1708">
                          <w:pPr>
                            <w:rPr>
                              <w:color w:val="auto"/>
                            </w:rPr>
                          </w:pPr>
                          <w:r>
                            <w:rPr>
                              <w:color w:val="auto"/>
                              <w:sz w:val="12"/>
                              <w:szCs w:val="12"/>
                            </w:rPr>
                            <w:t>NSW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9FA498" id="_x0000_s1399" type="#_x0000_t1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" adj="18000" filled="f" strokecolor="#b4b5db [3207]" strokeweight="1pt">
              <v:textbox>
                <w:txbxContent>
                  <w:p w14:paraId="03E9F7EA" w14:textId="77777777" w:rsidR="00FB1708" w:rsidRPr="00751EAD" w:rsidRDefault="00FB1708" w:rsidP="00FB1708">
                    <w:pPr>
                      <w:rPr>
                        <w:color w:val="auto"/>
                      </w:rPr>
                    </w:pPr>
                    <w:r>
                      <w:rPr>
                        <w:color w:val="auto"/>
                        <w:sz w:val="12"/>
                        <w:szCs w:val="12"/>
                      </w:rPr>
                      <w:t>NSW</w:t>
                    </w:r>
                  </w:p>
                </w:txbxContent>
              </v:textbox>
              <w10:anchorlock/>
            </v:shape>
          </w:pict>
        </mc:Fallback>
      </mc:AlternateContent>
    </w:r>
    <w:r>
      <w:rPr>
        <w:noProof/>
      </w:rPr>
      <mc:AlternateContent>
        <mc:Choice Requires="wps">
          <w:drawing>
            <wp:inline distT="0" distB="0" distL="0" distR="0" wp14:anchorId="37E6479C" wp14:editId="74164FF8">
              <wp:extent cx="540000" cy="180000"/>
              <wp:effectExtent l="19050" t="0" r="12700" b="10795"/>
              <wp:docPr id="1111264051"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41D86EB3" w14:textId="77777777" w:rsidR="00FB1708" w:rsidRPr="00614A93" w:rsidRDefault="00FB1708" w:rsidP="00FB1708">
                          <w:pPr>
                            <w:spacing w:after="0"/>
                            <w:rPr>
                              <w:color w:val="auto"/>
                              <w:sz w:val="12"/>
                              <w:szCs w:val="12"/>
                            </w:rPr>
                          </w:pPr>
                          <w:r>
                            <w:rPr>
                              <w:color w:val="auto"/>
                              <w:sz w:val="12"/>
                              <w:szCs w:val="12"/>
                            </w:rPr>
                            <w:t>Vic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E6479C" id="_x0000_s1400"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" adj="18000" filled="f" strokecolor="#b4b5db [3207]" strokeweight="1pt">
              <v:textbox>
                <w:txbxContent>
                  <w:p w14:paraId="41D86EB3" w14:textId="77777777" w:rsidR="00FB1708" w:rsidRPr="00614A93" w:rsidRDefault="00FB1708" w:rsidP="00FB1708">
                    <w:pPr>
                      <w:spacing w:after="0"/>
                      <w:rPr>
                        <w:color w:val="auto"/>
                        <w:sz w:val="12"/>
                        <w:szCs w:val="12"/>
                      </w:rPr>
                    </w:pPr>
                    <w:r>
                      <w:rPr>
                        <w:color w:val="auto"/>
                        <w:sz w:val="12"/>
                        <w:szCs w:val="12"/>
                      </w:rPr>
                      <w:t>Vic</w:t>
                    </w:r>
                  </w:p>
                </w:txbxContent>
              </v:textbox>
              <w10:anchorlock/>
            </v:shape>
          </w:pict>
        </mc:Fallback>
      </mc:AlternateContent>
    </w:r>
    <w:r>
      <w:rPr>
        <w:noProof/>
      </w:rPr>
      <mc:AlternateContent>
        <mc:Choice Requires="wps">
          <w:drawing>
            <wp:inline distT="0" distB="0" distL="0" distR="0" wp14:anchorId="330DB314" wp14:editId="74E5D504">
              <wp:extent cx="540000" cy="180000"/>
              <wp:effectExtent l="19050" t="0" r="12700" b="10795"/>
              <wp:docPr id="1448873543"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271BA6B1" w14:textId="2B078547" w:rsidR="00FB1708" w:rsidRPr="000450AC" w:rsidRDefault="001F21FE" w:rsidP="00FB1708">
                          <w:pPr>
                            <w:spacing w:after="0"/>
                            <w:rPr>
                              <w:color w:val="auto"/>
                              <w:sz w:val="12"/>
                              <w:szCs w:val="12"/>
                            </w:rPr>
                          </w:pPr>
                          <w:r>
                            <w:rPr>
                              <w:color w:val="auto"/>
                              <w:sz w:val="12"/>
                              <w:szCs w:val="12"/>
                            </w:rPr>
                            <w:t>Qld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0DB314" id="_x0000_s1401"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" adj="18000" fillcolor="#d1d2e9 [1943]" strokecolor="#b4b5db [3207]" strokeweight="1pt">
              <v:textbox>
                <w:txbxContent>
                  <w:p w14:paraId="271BA6B1" w14:textId="2B078547" w:rsidR="00FB1708" w:rsidRPr="000450AC" w:rsidRDefault="001F21FE" w:rsidP="00FB1708">
                    <w:pPr>
                      <w:spacing w:after="0"/>
                      <w:rPr>
                        <w:color w:val="auto"/>
                        <w:sz w:val="12"/>
                        <w:szCs w:val="12"/>
                      </w:rPr>
                    </w:pPr>
                    <w:r>
                      <w:rPr>
                        <w:color w:val="auto"/>
                        <w:sz w:val="12"/>
                        <w:szCs w:val="12"/>
                      </w:rPr>
                      <w:t>Qld</w:t>
                    </w:r>
                  </w:p>
                </w:txbxContent>
              </v:textbox>
              <w10:anchorlock/>
            </v:shape>
          </w:pict>
        </mc:Fallback>
      </mc:AlternateContent>
    </w:r>
    <w:r>
      <w:rPr>
        <w:noProof/>
      </w:rPr>
      <mc:AlternateContent>
        <mc:Choice Requires="wps">
          <w:drawing>
            <wp:inline distT="0" distB="0" distL="0" distR="0" wp14:anchorId="093945C3" wp14:editId="7535F811">
              <wp:extent cx="540000" cy="180000"/>
              <wp:effectExtent l="19050" t="0" r="12700" b="10795"/>
              <wp:docPr id="2026190692"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AD689B9" w14:textId="77777777" w:rsidR="00FB1708" w:rsidRPr="00A11191" w:rsidRDefault="00FB1708" w:rsidP="00FB1708">
                          <w:pPr>
                            <w:spacing w:after="0"/>
                            <w:rPr>
                              <w:color w:val="auto"/>
                              <w:sz w:val="12"/>
                              <w:szCs w:val="12"/>
                            </w:rPr>
                          </w:pPr>
                          <w:r>
                            <w:rPr>
                              <w:color w:val="auto"/>
                              <w:sz w:val="12"/>
                              <w:szCs w:val="12"/>
                            </w:rPr>
                            <w: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3945C3" id="_x0000_s1402"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DLebr/WAIAAAgFAAAOAAAAAAAAAAAAAAAAAC4CAABkcnMvZTJvRG9jLnhtbFBLAQItABQA&#10;BgAIAAAAIQBJC/AJ2AAAAAMBAAAPAAAAAAAAAAAAAAAAALIEAABkcnMvZG93bnJldi54bWxQSwUG&#10;AAAAAAQABADzAAAAtwUAAAAA&#10;" adj="18000" fillcolor="white [3201]" strokecolor="#b4b5db [3207]" strokeweight="1pt">
              <v:textbox>
                <w:txbxContent>
                  <w:p w14:paraId="6AD689B9" w14:textId="77777777" w:rsidR="00FB1708" w:rsidRPr="00A11191" w:rsidRDefault="00FB1708" w:rsidP="00FB1708">
                    <w:pPr>
                      <w:spacing w:after="0"/>
                      <w:rPr>
                        <w:color w:val="auto"/>
                        <w:sz w:val="12"/>
                        <w:szCs w:val="12"/>
                      </w:rPr>
                    </w:pPr>
                    <w:r>
                      <w:rPr>
                        <w:color w:val="auto"/>
                        <w:sz w:val="12"/>
                        <w:szCs w:val="12"/>
                      </w:rPr>
                      <w:t>WA</w:t>
                    </w:r>
                  </w:p>
                </w:txbxContent>
              </v:textbox>
              <w10:anchorlock/>
            </v:shape>
          </w:pict>
        </mc:Fallback>
      </mc:AlternateContent>
    </w:r>
    <w:r>
      <w:rPr>
        <w:noProof/>
      </w:rPr>
      <mc:AlternateContent>
        <mc:Choice Requires="wps">
          <w:drawing>
            <wp:inline distT="0" distB="0" distL="0" distR="0" wp14:anchorId="7D0787FC" wp14:editId="24F8D100">
              <wp:extent cx="540000" cy="180000"/>
              <wp:effectExtent l="19050" t="0" r="12700" b="10795"/>
              <wp:docPr id="1860871414"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5AD018E8" w14:textId="77777777" w:rsidR="00FB1708" w:rsidRPr="00A11191" w:rsidRDefault="00FB1708" w:rsidP="00FB1708">
                          <w:pPr>
                            <w:spacing w:after="0"/>
                            <w:rPr>
                              <w:color w:val="auto"/>
                              <w:sz w:val="12"/>
                              <w:szCs w:val="12"/>
                            </w:rPr>
                          </w:pPr>
                          <w:r>
                            <w:rPr>
                              <w:color w:val="auto"/>
                              <w:sz w:val="12"/>
                              <w:szCs w:val="12"/>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787FC" id="_x0000_s1403"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" adj="18000" filled="f" strokecolor="#b4b5db [3207]" strokeweight="1pt">
              <v:textbox>
                <w:txbxContent>
                  <w:p w14:paraId="5AD018E8" w14:textId="77777777" w:rsidR="00FB1708" w:rsidRPr="00A11191" w:rsidRDefault="00FB1708" w:rsidP="00FB1708">
                    <w:pPr>
                      <w:spacing w:after="0"/>
                      <w:rPr>
                        <w:color w:val="auto"/>
                        <w:sz w:val="12"/>
                        <w:szCs w:val="12"/>
                      </w:rPr>
                    </w:pPr>
                    <w:r>
                      <w:rPr>
                        <w:color w:val="auto"/>
                        <w:sz w:val="12"/>
                        <w:szCs w:val="12"/>
                      </w:rPr>
                      <w:t>SA</w:t>
                    </w:r>
                  </w:p>
                </w:txbxContent>
              </v:textbox>
              <w10:anchorlock/>
            </v:shape>
          </w:pict>
        </mc:Fallback>
      </mc:AlternateContent>
    </w:r>
    <w:r>
      <w:rPr>
        <w:noProof/>
      </w:rPr>
      <mc:AlternateContent>
        <mc:Choice Requires="wps">
          <w:drawing>
            <wp:inline distT="0" distB="0" distL="0" distR="0" wp14:anchorId="7876A99D" wp14:editId="7B55EA36">
              <wp:extent cx="540000" cy="180000"/>
              <wp:effectExtent l="19050" t="0" r="12700" b="10795"/>
              <wp:docPr id="1815513172"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C58578A" w14:textId="77777777" w:rsidR="00FB1708" w:rsidRPr="00A11191" w:rsidRDefault="00FB1708" w:rsidP="00FB1708">
                          <w:pPr>
                            <w:spacing w:after="0"/>
                            <w:rPr>
                              <w:color w:val="auto"/>
                              <w:sz w:val="12"/>
                              <w:szCs w:val="12"/>
                            </w:rPr>
                          </w:pPr>
                          <w:r>
                            <w:rPr>
                              <w:color w:val="auto"/>
                              <w:sz w:val="12"/>
                              <w:szCs w:val="12"/>
                            </w:rPr>
                            <w: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76A99D" id="_x0000_s1404"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" adj="18000" fillcolor="white [3201]" strokecolor="#b4b5db [3207]" strokeweight="1pt">
              <v:textbox>
                <w:txbxContent>
                  <w:p w14:paraId="7C58578A" w14:textId="77777777" w:rsidR="00FB1708" w:rsidRPr="00A11191" w:rsidRDefault="00FB1708" w:rsidP="00FB1708">
                    <w:pPr>
                      <w:spacing w:after="0"/>
                      <w:rPr>
                        <w:color w:val="auto"/>
                        <w:sz w:val="12"/>
                        <w:szCs w:val="12"/>
                      </w:rPr>
                    </w:pPr>
                    <w:r>
                      <w:rPr>
                        <w:color w:val="auto"/>
                        <w:sz w:val="12"/>
                        <w:szCs w:val="12"/>
                      </w:rPr>
                      <w:t>ACT</w:t>
                    </w:r>
                  </w:p>
                </w:txbxContent>
              </v:textbox>
              <w10:anchorlock/>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1AD5" w14:textId="5A12CDB0" w:rsidR="004C6DCC" w:rsidRDefault="008172C7" w:rsidP="00774279">
    <w:r>
      <w:rPr>
        <w:noProof/>
      </w:rPr>
      <mc:AlternateContent>
        <mc:Choice Requires="wps">
          <w:drawing>
            <wp:anchor distT="0" distB="0" distL="0" distR="0" simplePos="0" relativeHeight="251658258" behindDoc="0" locked="0" layoutInCell="1" allowOverlap="1" wp14:anchorId="3412B821" wp14:editId="4C7593C0">
              <wp:simplePos x="635" y="635"/>
              <wp:positionH relativeFrom="page">
                <wp:align>center</wp:align>
              </wp:positionH>
              <wp:positionV relativeFrom="page">
                <wp:align>top</wp:align>
              </wp:positionV>
              <wp:extent cx="551815" cy="405765"/>
              <wp:effectExtent l="0" t="0" r="635" b="13335"/>
              <wp:wrapNone/>
              <wp:docPr id="1278378854"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1651BDFC" w14:textId="58F2208C"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12B821" id="_x0000_t202" coordsize="21600,21600" o:spt="202" path="m,l,21600r21600,l21600,xe">
              <v:stroke joinstyle="miter"/>
              <v:path gradientshapeok="t" o:connecttype="rect"/>
            </v:shapetype>
            <v:shape id="Text Box 15" o:spid="_x0000_s1405" type="#_x0000_t202" alt="OFFICIAL" style="position:absolute;margin-left:0;margin-top:0;width:43.45pt;height:31.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8hUKVw8CAAAd&#10;BAAADgAAAAAAAAAAAAAAAAAuAgAAZHJzL2Uyb0RvYy54bWxQSwECLQAUAAYACAAAACEAarADJtoA&#10;AAADAQAADwAAAAAAAAAAAAAAAABpBAAAZHJzL2Rvd25yZXYueG1sUEsFBgAAAAAEAAQA8wAAAHAF&#10;AAAAAA==&#10;" filled="f" stroked="f">
              <v:textbox style="mso-fit-shape-to-text:t" inset="0,15pt,0,0">
                <w:txbxContent>
                  <w:p w14:paraId="1651BDFC" w14:textId="58F2208C"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4C6DCC">
      <w:t>Independent Financial Review of the NHCDC 2023-24</w:t>
    </w:r>
  </w:p>
  <w:p w14:paraId="069676FF" w14:textId="5EA0285E" w:rsidR="00FB1708" w:rsidRDefault="00FB1708" w:rsidP="00FB1708">
    <w:pPr>
      <w:spacing w:after="0"/>
    </w:pPr>
    <w:r>
      <w:rPr>
        <w:noProof/>
      </w:rPr>
      <mc:AlternateContent>
        <mc:Choice Requires="wps">
          <w:drawing>
            <wp:inline distT="0" distB="0" distL="0" distR="0" wp14:anchorId="320C0477" wp14:editId="12140A0C">
              <wp:extent cx="684000" cy="324000"/>
              <wp:effectExtent l="0" t="0" r="40005" b="19050"/>
              <wp:docPr id="126171593"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0CFB141D" w14:textId="77777777" w:rsidR="00FB1708" w:rsidRPr="00751EAD" w:rsidRDefault="00FB1708" w:rsidP="00FB1708">
                          <w:pPr>
                            <w:spacing w:after="0"/>
                            <w:rPr>
                              <w:color w:val="auto"/>
                              <w:sz w:val="12"/>
                              <w:szCs w:val="12"/>
                            </w:rPr>
                          </w:pPr>
                          <w:r w:rsidRPr="00751EAD">
                            <w:rPr>
                              <w:color w:val="auto"/>
                              <w:sz w:val="12"/>
                              <w:szCs w:val="12"/>
                            </w:rPr>
                            <w:t>Executive Summary</w:t>
                          </w:r>
                        </w:p>
                        <w:p w14:paraId="173F4A18" w14:textId="77777777" w:rsidR="00FB1708" w:rsidRPr="00751EAD" w:rsidRDefault="00FB1708" w:rsidP="00FB1708">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20C047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06"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" adj="16484" filled="f" strokecolor="#b4b5db [3207]" strokeweight="1pt">
              <v:textbox>
                <w:txbxContent>
                  <w:p w14:paraId="0CFB141D" w14:textId="77777777" w:rsidR="00FB1708" w:rsidRPr="00751EAD" w:rsidRDefault="00FB1708" w:rsidP="00FB1708">
                    <w:pPr>
                      <w:spacing w:after="0"/>
                      <w:rPr>
                        <w:color w:val="auto"/>
                        <w:sz w:val="12"/>
                        <w:szCs w:val="12"/>
                      </w:rPr>
                    </w:pPr>
                    <w:r w:rsidRPr="00751EAD">
                      <w:rPr>
                        <w:color w:val="auto"/>
                        <w:sz w:val="12"/>
                        <w:szCs w:val="12"/>
                      </w:rPr>
                      <w:t>Executive Summary</w:t>
                    </w:r>
                  </w:p>
                  <w:p w14:paraId="173F4A18" w14:textId="77777777" w:rsidR="00FB1708" w:rsidRPr="00751EAD" w:rsidRDefault="00FB1708" w:rsidP="00FB1708">
                    <w:pPr>
                      <w:rPr>
                        <w:color w:val="auto"/>
                      </w:rPr>
                    </w:pPr>
                  </w:p>
                </w:txbxContent>
              </v:textbox>
              <w10:anchorlock/>
            </v:shape>
          </w:pict>
        </mc:Fallback>
      </mc:AlternateContent>
    </w:r>
    <w:r>
      <w:rPr>
        <w:noProof/>
      </w:rPr>
      <mc:AlternateContent>
        <mc:Choice Requires="wps">
          <w:drawing>
            <wp:inline distT="0" distB="0" distL="0" distR="0" wp14:anchorId="25D22668" wp14:editId="0A183887">
              <wp:extent cx="972000" cy="324000"/>
              <wp:effectExtent l="19050" t="0" r="19050" b="19050"/>
              <wp:docPr id="1231944788"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720A3EFA" w14:textId="77777777" w:rsidR="00FB1708" w:rsidRPr="00614A93" w:rsidRDefault="00FB1708" w:rsidP="00FB1708">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5D2266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407"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" adj="18000" filled="f" strokecolor="#b4b5db [3207]" strokeweight="1pt">
              <v:textbox>
                <w:txbxContent>
                  <w:p w14:paraId="720A3EFA" w14:textId="77777777" w:rsidR="00FB1708" w:rsidRPr="00614A93" w:rsidRDefault="00FB1708" w:rsidP="00FB1708">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5E3D573A" wp14:editId="72483125">
              <wp:extent cx="936000" cy="324000"/>
              <wp:effectExtent l="19050" t="0" r="16510" b="19050"/>
              <wp:docPr id="1199505024"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E1EE8DF" w14:textId="77777777" w:rsidR="00FB1708" w:rsidRPr="000450AC" w:rsidRDefault="00FB1708" w:rsidP="00FB1708">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3D573A" id="_x0000_s1408"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" adj="17862" fillcolor="white [3201]" strokecolor="#b4b5db [3207]" strokeweight="1pt">
              <v:textbox>
                <w:txbxContent>
                  <w:p w14:paraId="0E1EE8DF" w14:textId="77777777" w:rsidR="00FB1708" w:rsidRPr="000450AC" w:rsidRDefault="00FB1708" w:rsidP="00FB1708">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569259EB" wp14:editId="4790616A">
              <wp:extent cx="1152000" cy="324000"/>
              <wp:effectExtent l="19050" t="0" r="10160" b="19050"/>
              <wp:docPr id="488815048"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2D863CA"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9259EB" id="_x0000_s1409"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" adj="18563" fillcolor="white [3201]" strokecolor="#b4b5db [3207]" strokeweight="1pt">
              <v:textbox>
                <w:txbxContent>
                  <w:p w14:paraId="52D863CA"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7F475DAD" wp14:editId="6FE1A32A">
              <wp:extent cx="936000" cy="324000"/>
              <wp:effectExtent l="19050" t="0" r="16510" b="19050"/>
              <wp:docPr id="1662232566"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2BBDFC77"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475DAD" id="_x0000_s1410"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" adj="17862" fillcolor="#d1d2e9 [1943]" strokecolor="#b4b5db [3207]" strokeweight="1pt">
              <v:textbox>
                <w:txbxContent>
                  <w:p w14:paraId="2BBDFC77"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3E3D830F" wp14:editId="58D9B994">
              <wp:extent cx="828000" cy="324000"/>
              <wp:effectExtent l="19050" t="0" r="10795" b="19050"/>
              <wp:docPr id="943451596"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328B3A19" w14:textId="77777777" w:rsidR="00FB1708" w:rsidRPr="00A11191" w:rsidRDefault="00FB1708" w:rsidP="00FB1708">
                          <w:pPr>
                            <w:spacing w:after="0"/>
                            <w:rPr>
                              <w:color w:val="auto"/>
                              <w:sz w:val="12"/>
                              <w:szCs w:val="12"/>
                            </w:rPr>
                          </w:pPr>
                          <w:r w:rsidRPr="00A11191">
                            <w:rPr>
                              <w:color w:val="auto"/>
                              <w:sz w:val="12"/>
                              <w:szCs w:val="12"/>
                            </w:rPr>
                            <w:t>IHACPA Review</w:t>
                          </w:r>
                        </w:p>
                        <w:p w14:paraId="224094E5" w14:textId="77777777" w:rsidR="00FB1708" w:rsidRDefault="00FB1708" w:rsidP="00FB17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3D830F" id="_x0000_s1411"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" adj="17374" fillcolor="white [3201]" strokecolor="#b4b5db [3207]" strokeweight="1pt">
              <v:textbox>
                <w:txbxContent>
                  <w:p w14:paraId="328B3A19" w14:textId="77777777" w:rsidR="00FB1708" w:rsidRPr="00A11191" w:rsidRDefault="00FB1708" w:rsidP="00FB1708">
                    <w:pPr>
                      <w:spacing w:after="0"/>
                      <w:rPr>
                        <w:color w:val="auto"/>
                        <w:sz w:val="12"/>
                        <w:szCs w:val="12"/>
                      </w:rPr>
                    </w:pPr>
                    <w:r w:rsidRPr="00A11191">
                      <w:rPr>
                        <w:color w:val="auto"/>
                        <w:sz w:val="12"/>
                        <w:szCs w:val="12"/>
                      </w:rPr>
                      <w:t>IHACPA Review</w:t>
                    </w:r>
                  </w:p>
                  <w:p w14:paraId="224094E5" w14:textId="77777777" w:rsidR="00FB1708" w:rsidRDefault="00FB1708" w:rsidP="00FB1708"/>
                </w:txbxContent>
              </v:textbox>
              <w10:anchorlock/>
            </v:shape>
          </w:pict>
        </mc:Fallback>
      </mc:AlternateContent>
    </w:r>
  </w:p>
  <w:p w14:paraId="097D798E" w14:textId="1D5B943D" w:rsidR="00AB4CED" w:rsidRDefault="00FB1708" w:rsidP="00FB1708">
    <w:pPr>
      <w:pStyle w:val="Header"/>
      <w:spacing w:after="240"/>
    </w:pPr>
    <w:r>
      <w:rPr>
        <w:noProof/>
      </w:rPr>
      <mc:AlternateContent>
        <mc:Choice Requires="wps">
          <w:drawing>
            <wp:inline distT="0" distB="0" distL="0" distR="0" wp14:anchorId="021C5631" wp14:editId="142352DF">
              <wp:extent cx="540000" cy="180000"/>
              <wp:effectExtent l="0" t="0" r="31750" b="10795"/>
              <wp:docPr id="448320146" name="Arrow: Pentagon 1"/>
              <wp:cNvGraphicFramePr/>
              <a:graphic xmlns:a="http://schemas.openxmlformats.org/drawingml/2006/main">
                <a:graphicData uri="http://schemas.microsoft.com/office/word/2010/wordprocessingShape">
                  <wps:wsp>
                    <wps:cNvSpPr/>
                    <wps:spPr>
                      <a:xfrm>
                        <a:off x="0" y="0"/>
                        <a:ext cx="540000" cy="180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76016050" w14:textId="77777777" w:rsidR="00FB1708" w:rsidRPr="00751EAD" w:rsidRDefault="00FB1708" w:rsidP="00FB1708">
                          <w:pPr>
                            <w:rPr>
                              <w:color w:val="auto"/>
                            </w:rPr>
                          </w:pPr>
                          <w:r>
                            <w:rPr>
                              <w:color w:val="auto"/>
                              <w:sz w:val="12"/>
                              <w:szCs w:val="12"/>
                            </w:rPr>
                            <w:t>NSW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1C5631" id="_x0000_s1412" type="#_x0000_t1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" adj="18000" filled="f" strokecolor="#b4b5db [3207]" strokeweight="1pt">
              <v:textbox>
                <w:txbxContent>
                  <w:p w14:paraId="76016050" w14:textId="77777777" w:rsidR="00FB1708" w:rsidRPr="00751EAD" w:rsidRDefault="00FB1708" w:rsidP="00FB1708">
                    <w:pPr>
                      <w:rPr>
                        <w:color w:val="auto"/>
                      </w:rPr>
                    </w:pPr>
                    <w:r>
                      <w:rPr>
                        <w:color w:val="auto"/>
                        <w:sz w:val="12"/>
                        <w:szCs w:val="12"/>
                      </w:rPr>
                      <w:t>NSW</w:t>
                    </w:r>
                  </w:p>
                </w:txbxContent>
              </v:textbox>
              <w10:anchorlock/>
            </v:shape>
          </w:pict>
        </mc:Fallback>
      </mc:AlternateContent>
    </w:r>
    <w:r>
      <w:rPr>
        <w:noProof/>
      </w:rPr>
      <mc:AlternateContent>
        <mc:Choice Requires="wps">
          <w:drawing>
            <wp:inline distT="0" distB="0" distL="0" distR="0" wp14:anchorId="2A2EE9EA" wp14:editId="11998EDB">
              <wp:extent cx="540000" cy="180000"/>
              <wp:effectExtent l="19050" t="0" r="12700" b="10795"/>
              <wp:docPr id="418654445"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2DD8D699" w14:textId="77777777" w:rsidR="00FB1708" w:rsidRPr="00614A93" w:rsidRDefault="00FB1708" w:rsidP="00FB1708">
                          <w:pPr>
                            <w:spacing w:after="0"/>
                            <w:rPr>
                              <w:color w:val="auto"/>
                              <w:sz w:val="12"/>
                              <w:szCs w:val="12"/>
                            </w:rPr>
                          </w:pPr>
                          <w:r>
                            <w:rPr>
                              <w:color w:val="auto"/>
                              <w:sz w:val="12"/>
                              <w:szCs w:val="12"/>
                            </w:rPr>
                            <w:t>Vic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2EE9EA" id="_x0000_s1413"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" adj="18000" filled="f" strokecolor="#b4b5db [3207]" strokeweight="1pt">
              <v:textbox>
                <w:txbxContent>
                  <w:p w14:paraId="2DD8D699" w14:textId="77777777" w:rsidR="00FB1708" w:rsidRPr="00614A93" w:rsidRDefault="00FB1708" w:rsidP="00FB1708">
                    <w:pPr>
                      <w:spacing w:after="0"/>
                      <w:rPr>
                        <w:color w:val="auto"/>
                        <w:sz w:val="12"/>
                        <w:szCs w:val="12"/>
                      </w:rPr>
                    </w:pPr>
                    <w:r>
                      <w:rPr>
                        <w:color w:val="auto"/>
                        <w:sz w:val="12"/>
                        <w:szCs w:val="12"/>
                      </w:rPr>
                      <w:t>Vic</w:t>
                    </w:r>
                  </w:p>
                </w:txbxContent>
              </v:textbox>
              <w10:anchorlock/>
            </v:shape>
          </w:pict>
        </mc:Fallback>
      </mc:AlternateContent>
    </w:r>
    <w:r>
      <w:rPr>
        <w:noProof/>
      </w:rPr>
      <mc:AlternateContent>
        <mc:Choice Requires="wps">
          <w:drawing>
            <wp:inline distT="0" distB="0" distL="0" distR="0" wp14:anchorId="2F3CB43D" wp14:editId="46DB5E54">
              <wp:extent cx="540000" cy="180000"/>
              <wp:effectExtent l="19050" t="0" r="12700" b="10795"/>
              <wp:docPr id="664430858"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2AD7708" w14:textId="3BA48274" w:rsidR="00FB1708" w:rsidRPr="000450AC" w:rsidRDefault="00B33D4A" w:rsidP="00FB1708">
                          <w:pPr>
                            <w:spacing w:after="0"/>
                            <w:rPr>
                              <w:color w:val="auto"/>
                              <w:sz w:val="12"/>
                              <w:szCs w:val="12"/>
                            </w:rPr>
                          </w:pPr>
                          <w:r>
                            <w:rPr>
                              <w:color w:val="auto"/>
                              <w:sz w:val="12"/>
                              <w:szCs w:val="12"/>
                            </w:rPr>
                            <w:t>Q</w:t>
                          </w:r>
                          <w:r w:rsidR="002F4E2C">
                            <w:rPr>
                              <w:color w:val="auto"/>
                              <w:sz w:val="12"/>
                              <w:szCs w:val="12"/>
                            </w:rPr>
                            <w:t>ld</w:t>
                          </w:r>
                          <w:r>
                            <w:rPr>
                              <w:color w:val="auto"/>
                              <w:sz w:val="12"/>
                              <w:szCs w:val="12"/>
                            </w:rPr>
                            <w:t>ensland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3CB43D" id="_x0000_s1414"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DB6AhTWAIAAAkFAAAOAAAAAAAAAAAAAAAAAC4CAABkcnMvZTJvRG9jLnhtbFBLAQItABQA&#10;BgAIAAAAIQBJC/AJ2AAAAAMBAAAPAAAAAAAAAAAAAAAAALIEAABkcnMvZG93bnJldi54bWxQSwUG&#10;AAAAAAQABADzAAAAtwUAAAAA&#10;" adj="18000" fillcolor="white [3201]" strokecolor="#b4b5db [3207]" strokeweight="1pt">
              <v:textbox>
                <w:txbxContent>
                  <w:p w14:paraId="72AD7708" w14:textId="3BA48274" w:rsidR="00FB1708" w:rsidRPr="000450AC" w:rsidRDefault="00B33D4A" w:rsidP="00FB1708">
                    <w:pPr>
                      <w:spacing w:after="0"/>
                      <w:rPr>
                        <w:color w:val="auto"/>
                        <w:sz w:val="12"/>
                        <w:szCs w:val="12"/>
                      </w:rPr>
                    </w:pPr>
                    <w:r>
                      <w:rPr>
                        <w:color w:val="auto"/>
                        <w:sz w:val="12"/>
                        <w:szCs w:val="12"/>
                      </w:rPr>
                      <w:t>Q</w:t>
                    </w:r>
                    <w:r w:rsidR="002F4E2C">
                      <w:rPr>
                        <w:color w:val="auto"/>
                        <w:sz w:val="12"/>
                        <w:szCs w:val="12"/>
                      </w:rPr>
                      <w:t>ld</w:t>
                    </w:r>
                    <w:r>
                      <w:rPr>
                        <w:color w:val="auto"/>
                        <w:sz w:val="12"/>
                        <w:szCs w:val="12"/>
                      </w:rPr>
                      <w:t>ensland</w:t>
                    </w:r>
                  </w:p>
                </w:txbxContent>
              </v:textbox>
              <w10:anchorlock/>
            </v:shape>
          </w:pict>
        </mc:Fallback>
      </mc:AlternateContent>
    </w:r>
    <w:r>
      <w:rPr>
        <w:noProof/>
      </w:rPr>
      <mc:AlternateContent>
        <mc:Choice Requires="wps">
          <w:drawing>
            <wp:inline distT="0" distB="0" distL="0" distR="0" wp14:anchorId="68BE9202" wp14:editId="7F548B7E">
              <wp:extent cx="540000" cy="180000"/>
              <wp:effectExtent l="19050" t="0" r="12700" b="10795"/>
              <wp:docPr id="703142327"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03BC6ABE" w14:textId="77777777" w:rsidR="00FB1708" w:rsidRPr="00A11191" w:rsidRDefault="00FB1708" w:rsidP="00FB1708">
                          <w:pPr>
                            <w:spacing w:after="0"/>
                            <w:rPr>
                              <w:color w:val="auto"/>
                              <w:sz w:val="12"/>
                              <w:szCs w:val="12"/>
                            </w:rPr>
                          </w:pPr>
                          <w:r>
                            <w:rPr>
                              <w:color w:val="auto"/>
                              <w:sz w:val="12"/>
                              <w:szCs w:val="12"/>
                            </w:rPr>
                            <w: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BE9202" id="_x0000_s1415"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" adj="18000" fillcolor="#d1d2e9 [1943]" strokecolor="#b4b5db [3207]" strokeweight="1pt">
              <v:textbox>
                <w:txbxContent>
                  <w:p w14:paraId="03BC6ABE" w14:textId="77777777" w:rsidR="00FB1708" w:rsidRPr="00A11191" w:rsidRDefault="00FB1708" w:rsidP="00FB1708">
                    <w:pPr>
                      <w:spacing w:after="0"/>
                      <w:rPr>
                        <w:color w:val="auto"/>
                        <w:sz w:val="12"/>
                        <w:szCs w:val="12"/>
                      </w:rPr>
                    </w:pPr>
                    <w:r>
                      <w:rPr>
                        <w:color w:val="auto"/>
                        <w:sz w:val="12"/>
                        <w:szCs w:val="12"/>
                      </w:rPr>
                      <w:t>WA</w:t>
                    </w:r>
                  </w:p>
                </w:txbxContent>
              </v:textbox>
              <w10:anchorlock/>
            </v:shape>
          </w:pict>
        </mc:Fallback>
      </mc:AlternateContent>
    </w:r>
    <w:r>
      <w:rPr>
        <w:noProof/>
      </w:rPr>
      <mc:AlternateContent>
        <mc:Choice Requires="wps">
          <w:drawing>
            <wp:inline distT="0" distB="0" distL="0" distR="0" wp14:anchorId="52DDC075" wp14:editId="202D3C92">
              <wp:extent cx="540000" cy="180000"/>
              <wp:effectExtent l="19050" t="0" r="12700" b="10795"/>
              <wp:docPr id="2068550848"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4B4FFC19" w14:textId="77777777" w:rsidR="00FB1708" w:rsidRPr="00A11191" w:rsidRDefault="00FB1708" w:rsidP="00FB1708">
                          <w:pPr>
                            <w:spacing w:after="0"/>
                            <w:rPr>
                              <w:color w:val="auto"/>
                              <w:sz w:val="12"/>
                              <w:szCs w:val="12"/>
                            </w:rPr>
                          </w:pPr>
                          <w:r>
                            <w:rPr>
                              <w:color w:val="auto"/>
                              <w:sz w:val="12"/>
                              <w:szCs w:val="12"/>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DDC075" id="_x0000_s1416"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" adj="18000" filled="f" strokecolor="#b4b5db [3207]" strokeweight="1pt">
              <v:textbox>
                <w:txbxContent>
                  <w:p w14:paraId="4B4FFC19" w14:textId="77777777" w:rsidR="00FB1708" w:rsidRPr="00A11191" w:rsidRDefault="00FB1708" w:rsidP="00FB1708">
                    <w:pPr>
                      <w:spacing w:after="0"/>
                      <w:rPr>
                        <w:color w:val="auto"/>
                        <w:sz w:val="12"/>
                        <w:szCs w:val="12"/>
                      </w:rPr>
                    </w:pPr>
                    <w:r>
                      <w:rPr>
                        <w:color w:val="auto"/>
                        <w:sz w:val="12"/>
                        <w:szCs w:val="12"/>
                      </w:rPr>
                      <w:t>SA</w:t>
                    </w:r>
                  </w:p>
                </w:txbxContent>
              </v:textbox>
              <w10:anchorlock/>
            </v:shape>
          </w:pict>
        </mc:Fallback>
      </mc:AlternateContent>
    </w:r>
    <w:r>
      <w:rPr>
        <w:noProof/>
      </w:rPr>
      <mc:AlternateContent>
        <mc:Choice Requires="wps">
          <w:drawing>
            <wp:inline distT="0" distB="0" distL="0" distR="0" wp14:anchorId="02796E61" wp14:editId="078C41B4">
              <wp:extent cx="540000" cy="180000"/>
              <wp:effectExtent l="19050" t="0" r="12700" b="10795"/>
              <wp:docPr id="743401317"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68734CE" w14:textId="77777777" w:rsidR="00FB1708" w:rsidRPr="00A11191" w:rsidRDefault="00FB1708" w:rsidP="00FB1708">
                          <w:pPr>
                            <w:spacing w:after="0"/>
                            <w:rPr>
                              <w:color w:val="auto"/>
                              <w:sz w:val="12"/>
                              <w:szCs w:val="12"/>
                            </w:rPr>
                          </w:pPr>
                          <w:r>
                            <w:rPr>
                              <w:color w:val="auto"/>
                              <w:sz w:val="12"/>
                              <w:szCs w:val="12"/>
                            </w:rPr>
                            <w: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796E61" id="_x0000_s1417"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CMC3KEWAIAAAkFAAAOAAAAAAAAAAAAAAAAAC4CAABkcnMvZTJvRG9jLnhtbFBLAQItABQA&#10;BgAIAAAAIQBJC/AJ2AAAAAMBAAAPAAAAAAAAAAAAAAAAALIEAABkcnMvZG93bnJldi54bWxQSwUG&#10;AAAAAAQABADzAAAAtwUAAAAA&#10;" adj="18000" fillcolor="white [3201]" strokecolor="#b4b5db [3207]" strokeweight="1pt">
              <v:textbox>
                <w:txbxContent>
                  <w:p w14:paraId="568734CE" w14:textId="77777777" w:rsidR="00FB1708" w:rsidRPr="00A11191" w:rsidRDefault="00FB1708" w:rsidP="00FB1708">
                    <w:pPr>
                      <w:spacing w:after="0"/>
                      <w:rPr>
                        <w:color w:val="auto"/>
                        <w:sz w:val="12"/>
                        <w:szCs w:val="12"/>
                      </w:rPr>
                    </w:pPr>
                    <w:r>
                      <w:rPr>
                        <w:color w:val="auto"/>
                        <w:sz w:val="12"/>
                        <w:szCs w:val="12"/>
                      </w:rPr>
                      <w:t>ACT</w:t>
                    </w:r>
                  </w:p>
                </w:txbxContent>
              </v:textbox>
              <w10:anchorlock/>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05659" w14:textId="6086D96D" w:rsidR="0090220E" w:rsidRDefault="008172C7" w:rsidP="00774279">
    <w:r>
      <w:rPr>
        <w:noProof/>
      </w:rPr>
      <mc:AlternateContent>
        <mc:Choice Requires="wps">
          <w:drawing>
            <wp:anchor distT="0" distB="0" distL="0" distR="0" simplePos="0" relativeHeight="251658259" behindDoc="0" locked="0" layoutInCell="1" allowOverlap="1" wp14:anchorId="67738969" wp14:editId="160D2BDA">
              <wp:simplePos x="635" y="635"/>
              <wp:positionH relativeFrom="page">
                <wp:align>center</wp:align>
              </wp:positionH>
              <wp:positionV relativeFrom="page">
                <wp:align>top</wp:align>
              </wp:positionV>
              <wp:extent cx="551815" cy="405765"/>
              <wp:effectExtent l="0" t="0" r="635" b="13335"/>
              <wp:wrapNone/>
              <wp:docPr id="1023523900"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2EB249F" w14:textId="11E887E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738969" id="_x0000_t202" coordsize="21600,21600" o:spt="202" path="m,l,21600r21600,l21600,xe">
              <v:stroke joinstyle="miter"/>
              <v:path gradientshapeok="t" o:connecttype="rect"/>
            </v:shapetype>
            <v:shape id="Text Box 16" o:spid="_x0000_s1418" type="#_x0000_t202" alt="OFFICIAL" style="position:absolute;margin-left:0;margin-top:0;width:43.45pt;height:31.9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" filled="f" stroked="f">
              <v:textbox style="mso-fit-shape-to-text:t" inset="0,15pt,0,0">
                <w:txbxContent>
                  <w:p w14:paraId="02EB249F" w14:textId="11E887E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90220E">
      <w:t>Independent Financial Review of the NHCDC 2023-24</w:t>
    </w:r>
  </w:p>
  <w:p w14:paraId="00D4313F" w14:textId="60E52F55" w:rsidR="00FB1708" w:rsidRDefault="00FB1708" w:rsidP="00FB1708">
    <w:pPr>
      <w:spacing w:after="0"/>
    </w:pPr>
    <w:r>
      <w:rPr>
        <w:noProof/>
      </w:rPr>
      <mc:AlternateContent>
        <mc:Choice Requires="wps">
          <w:drawing>
            <wp:inline distT="0" distB="0" distL="0" distR="0" wp14:anchorId="0A3A4602" wp14:editId="789C6402">
              <wp:extent cx="684000" cy="324000"/>
              <wp:effectExtent l="0" t="0" r="40005" b="19050"/>
              <wp:docPr id="1988340980"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41AFD6AC" w14:textId="77777777" w:rsidR="00FB1708" w:rsidRPr="00751EAD" w:rsidRDefault="00FB1708" w:rsidP="00FB1708">
                          <w:pPr>
                            <w:spacing w:after="0"/>
                            <w:rPr>
                              <w:color w:val="auto"/>
                              <w:sz w:val="12"/>
                              <w:szCs w:val="12"/>
                            </w:rPr>
                          </w:pPr>
                          <w:r w:rsidRPr="00751EAD">
                            <w:rPr>
                              <w:color w:val="auto"/>
                              <w:sz w:val="12"/>
                              <w:szCs w:val="12"/>
                            </w:rPr>
                            <w:t>Executive Summary</w:t>
                          </w:r>
                        </w:p>
                        <w:p w14:paraId="11CB6991" w14:textId="77777777" w:rsidR="00FB1708" w:rsidRPr="00751EAD" w:rsidRDefault="00FB1708" w:rsidP="00FB1708">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A3A460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19"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" adj="16484" filled="f" strokecolor="#b4b5db [3207]" strokeweight="1pt">
              <v:textbox>
                <w:txbxContent>
                  <w:p w14:paraId="41AFD6AC" w14:textId="77777777" w:rsidR="00FB1708" w:rsidRPr="00751EAD" w:rsidRDefault="00FB1708" w:rsidP="00FB1708">
                    <w:pPr>
                      <w:spacing w:after="0"/>
                      <w:rPr>
                        <w:color w:val="auto"/>
                        <w:sz w:val="12"/>
                        <w:szCs w:val="12"/>
                      </w:rPr>
                    </w:pPr>
                    <w:r w:rsidRPr="00751EAD">
                      <w:rPr>
                        <w:color w:val="auto"/>
                        <w:sz w:val="12"/>
                        <w:szCs w:val="12"/>
                      </w:rPr>
                      <w:t>Executive Summary</w:t>
                    </w:r>
                  </w:p>
                  <w:p w14:paraId="11CB6991" w14:textId="77777777" w:rsidR="00FB1708" w:rsidRPr="00751EAD" w:rsidRDefault="00FB1708" w:rsidP="00FB1708">
                    <w:pPr>
                      <w:rPr>
                        <w:color w:val="auto"/>
                      </w:rPr>
                    </w:pPr>
                  </w:p>
                </w:txbxContent>
              </v:textbox>
              <w10:anchorlock/>
            </v:shape>
          </w:pict>
        </mc:Fallback>
      </mc:AlternateContent>
    </w:r>
    <w:r>
      <w:rPr>
        <w:noProof/>
      </w:rPr>
      <mc:AlternateContent>
        <mc:Choice Requires="wps">
          <w:drawing>
            <wp:inline distT="0" distB="0" distL="0" distR="0" wp14:anchorId="22B5A427" wp14:editId="2D6736B9">
              <wp:extent cx="972000" cy="324000"/>
              <wp:effectExtent l="19050" t="0" r="19050" b="19050"/>
              <wp:docPr id="1324937658"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439D946D" w14:textId="77777777" w:rsidR="00FB1708" w:rsidRPr="00614A93" w:rsidRDefault="00FB1708" w:rsidP="00FB1708">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2B5A42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420"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" adj="18000" filled="f" strokecolor="#b4b5db [3207]" strokeweight="1pt">
              <v:textbox>
                <w:txbxContent>
                  <w:p w14:paraId="439D946D" w14:textId="77777777" w:rsidR="00FB1708" w:rsidRPr="00614A93" w:rsidRDefault="00FB1708" w:rsidP="00FB1708">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6BAB26C7" wp14:editId="1FFB9CC0">
              <wp:extent cx="936000" cy="324000"/>
              <wp:effectExtent l="19050" t="0" r="16510" b="19050"/>
              <wp:docPr id="1008544142"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F53EEA5" w14:textId="77777777" w:rsidR="00FB1708" w:rsidRPr="000450AC" w:rsidRDefault="00FB1708" w:rsidP="00FB1708">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AB26C7" id="_x0000_s1421"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" adj="17862" fillcolor="white [3201]" strokecolor="#b4b5db [3207]" strokeweight="1pt">
              <v:textbox>
                <w:txbxContent>
                  <w:p w14:paraId="0F53EEA5" w14:textId="77777777" w:rsidR="00FB1708" w:rsidRPr="000450AC" w:rsidRDefault="00FB1708" w:rsidP="00FB1708">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12B9405A" wp14:editId="67E684ED">
              <wp:extent cx="1152000" cy="324000"/>
              <wp:effectExtent l="19050" t="0" r="10160" b="19050"/>
              <wp:docPr id="463550708"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21F6E9A3"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B9405A" id="_x0000_s1422"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" adj="18563" fillcolor="white [3201]" strokecolor="#b4b5db [3207]" strokeweight="1pt">
              <v:textbox>
                <w:txbxContent>
                  <w:p w14:paraId="21F6E9A3"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7B26949F" wp14:editId="12209FD6">
              <wp:extent cx="936000" cy="324000"/>
              <wp:effectExtent l="19050" t="0" r="16510" b="19050"/>
              <wp:docPr id="663876890"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0169D9AF"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26949F" id="_x0000_s1423"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" adj="17862" fillcolor="#d1d2e9 [1943]" strokecolor="#b4b5db [3207]" strokeweight="1pt">
              <v:textbox>
                <w:txbxContent>
                  <w:p w14:paraId="0169D9AF"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08A082D4" wp14:editId="10C7A755">
              <wp:extent cx="828000" cy="324000"/>
              <wp:effectExtent l="19050" t="0" r="10795" b="19050"/>
              <wp:docPr id="1265415106"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4D0C44C" w14:textId="77777777" w:rsidR="00FB1708" w:rsidRPr="00A11191" w:rsidRDefault="00FB1708" w:rsidP="00FB1708">
                          <w:pPr>
                            <w:spacing w:after="0"/>
                            <w:rPr>
                              <w:color w:val="auto"/>
                              <w:sz w:val="12"/>
                              <w:szCs w:val="12"/>
                            </w:rPr>
                          </w:pPr>
                          <w:r w:rsidRPr="00A11191">
                            <w:rPr>
                              <w:color w:val="auto"/>
                              <w:sz w:val="12"/>
                              <w:szCs w:val="12"/>
                            </w:rPr>
                            <w:t>IHACPA Review</w:t>
                          </w:r>
                        </w:p>
                        <w:p w14:paraId="68077A84" w14:textId="77777777" w:rsidR="00FB1708" w:rsidRDefault="00FB1708" w:rsidP="00FB17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A082D4" id="_x0000_s1424"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" adj="17374" fillcolor="white [3201]" strokecolor="#b4b5db [3207]" strokeweight="1pt">
              <v:textbox>
                <w:txbxContent>
                  <w:p w14:paraId="54D0C44C" w14:textId="77777777" w:rsidR="00FB1708" w:rsidRPr="00A11191" w:rsidRDefault="00FB1708" w:rsidP="00FB1708">
                    <w:pPr>
                      <w:spacing w:after="0"/>
                      <w:rPr>
                        <w:color w:val="auto"/>
                        <w:sz w:val="12"/>
                        <w:szCs w:val="12"/>
                      </w:rPr>
                    </w:pPr>
                    <w:r w:rsidRPr="00A11191">
                      <w:rPr>
                        <w:color w:val="auto"/>
                        <w:sz w:val="12"/>
                        <w:szCs w:val="12"/>
                      </w:rPr>
                      <w:t>IHACPA Review</w:t>
                    </w:r>
                  </w:p>
                  <w:p w14:paraId="68077A84" w14:textId="77777777" w:rsidR="00FB1708" w:rsidRDefault="00FB1708" w:rsidP="00FB1708"/>
                </w:txbxContent>
              </v:textbox>
              <w10:anchorlock/>
            </v:shape>
          </w:pict>
        </mc:Fallback>
      </mc:AlternateContent>
    </w:r>
  </w:p>
  <w:p w14:paraId="6B5829BE" w14:textId="081A11D4" w:rsidR="0021666C" w:rsidRDefault="00FB1708" w:rsidP="00FB1708">
    <w:pPr>
      <w:pStyle w:val="Header"/>
      <w:spacing w:after="240"/>
    </w:pPr>
    <w:r>
      <w:rPr>
        <w:noProof/>
      </w:rPr>
      <mc:AlternateContent>
        <mc:Choice Requires="wps">
          <w:drawing>
            <wp:inline distT="0" distB="0" distL="0" distR="0" wp14:anchorId="47F579D9" wp14:editId="2F505F96">
              <wp:extent cx="540000" cy="180000"/>
              <wp:effectExtent l="0" t="0" r="31750" b="10795"/>
              <wp:docPr id="1170461747" name="Arrow: Pentagon 1"/>
              <wp:cNvGraphicFramePr/>
              <a:graphic xmlns:a="http://schemas.openxmlformats.org/drawingml/2006/main">
                <a:graphicData uri="http://schemas.microsoft.com/office/word/2010/wordprocessingShape">
                  <wps:wsp>
                    <wps:cNvSpPr/>
                    <wps:spPr>
                      <a:xfrm>
                        <a:off x="0" y="0"/>
                        <a:ext cx="540000" cy="180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073B6027" w14:textId="77777777" w:rsidR="00FB1708" w:rsidRPr="00751EAD" w:rsidRDefault="00FB1708" w:rsidP="00FB1708">
                          <w:pPr>
                            <w:rPr>
                              <w:color w:val="auto"/>
                            </w:rPr>
                          </w:pPr>
                          <w:r>
                            <w:rPr>
                              <w:color w:val="auto"/>
                              <w:sz w:val="12"/>
                              <w:szCs w:val="12"/>
                            </w:rPr>
                            <w:t>NSW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F579D9" id="_x0000_s1425" type="#_x0000_t1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" adj="18000" filled="f" strokecolor="#b4b5db [3207]" strokeweight="1pt">
              <v:textbox>
                <w:txbxContent>
                  <w:p w14:paraId="073B6027" w14:textId="77777777" w:rsidR="00FB1708" w:rsidRPr="00751EAD" w:rsidRDefault="00FB1708" w:rsidP="00FB1708">
                    <w:pPr>
                      <w:rPr>
                        <w:color w:val="auto"/>
                      </w:rPr>
                    </w:pPr>
                    <w:r>
                      <w:rPr>
                        <w:color w:val="auto"/>
                        <w:sz w:val="12"/>
                        <w:szCs w:val="12"/>
                      </w:rPr>
                      <w:t>NSW</w:t>
                    </w:r>
                  </w:p>
                </w:txbxContent>
              </v:textbox>
              <w10:anchorlock/>
            </v:shape>
          </w:pict>
        </mc:Fallback>
      </mc:AlternateContent>
    </w:r>
    <w:r>
      <w:rPr>
        <w:noProof/>
      </w:rPr>
      <mc:AlternateContent>
        <mc:Choice Requires="wps">
          <w:drawing>
            <wp:inline distT="0" distB="0" distL="0" distR="0" wp14:anchorId="396FCA98" wp14:editId="387ECBEA">
              <wp:extent cx="540000" cy="180000"/>
              <wp:effectExtent l="19050" t="0" r="12700" b="10795"/>
              <wp:docPr id="1637470981"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0BE47CA9" w14:textId="77777777" w:rsidR="00FB1708" w:rsidRPr="00614A93" w:rsidRDefault="00FB1708" w:rsidP="00FB1708">
                          <w:pPr>
                            <w:spacing w:after="0"/>
                            <w:rPr>
                              <w:color w:val="auto"/>
                              <w:sz w:val="12"/>
                              <w:szCs w:val="12"/>
                            </w:rPr>
                          </w:pPr>
                          <w:r>
                            <w:rPr>
                              <w:color w:val="auto"/>
                              <w:sz w:val="12"/>
                              <w:szCs w:val="12"/>
                            </w:rPr>
                            <w:t>Vic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6FCA98" id="_x0000_s1426"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" adj="18000" filled="f" strokecolor="#b4b5db [3207]" strokeweight="1pt">
              <v:textbox>
                <w:txbxContent>
                  <w:p w14:paraId="0BE47CA9" w14:textId="77777777" w:rsidR="00FB1708" w:rsidRPr="00614A93" w:rsidRDefault="00FB1708" w:rsidP="00FB1708">
                    <w:pPr>
                      <w:spacing w:after="0"/>
                      <w:rPr>
                        <w:color w:val="auto"/>
                        <w:sz w:val="12"/>
                        <w:szCs w:val="12"/>
                      </w:rPr>
                    </w:pPr>
                    <w:r>
                      <w:rPr>
                        <w:color w:val="auto"/>
                        <w:sz w:val="12"/>
                        <w:szCs w:val="12"/>
                      </w:rPr>
                      <w:t>Vic</w:t>
                    </w:r>
                  </w:p>
                </w:txbxContent>
              </v:textbox>
              <w10:anchorlock/>
            </v:shape>
          </w:pict>
        </mc:Fallback>
      </mc:AlternateContent>
    </w:r>
    <w:r>
      <w:rPr>
        <w:noProof/>
      </w:rPr>
      <mc:AlternateContent>
        <mc:Choice Requires="wps">
          <w:drawing>
            <wp:inline distT="0" distB="0" distL="0" distR="0" wp14:anchorId="17470E34" wp14:editId="1BF895CB">
              <wp:extent cx="540000" cy="180000"/>
              <wp:effectExtent l="19050" t="0" r="12700" b="10795"/>
              <wp:docPr id="2006356903"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78F0440" w14:textId="76106FB3" w:rsidR="00FB1708" w:rsidRPr="000450AC" w:rsidRDefault="00B33D4A" w:rsidP="00FB1708">
                          <w:pPr>
                            <w:spacing w:after="0"/>
                            <w:rPr>
                              <w:color w:val="auto"/>
                              <w:sz w:val="12"/>
                              <w:szCs w:val="12"/>
                            </w:rPr>
                          </w:pPr>
                          <w:r>
                            <w:rPr>
                              <w:color w:val="auto"/>
                              <w:sz w:val="12"/>
                              <w:szCs w:val="12"/>
                            </w:rPr>
                            <w:t>Q</w:t>
                          </w:r>
                          <w:r w:rsidR="006448C6">
                            <w:rPr>
                              <w:color w:val="auto"/>
                              <w:sz w:val="12"/>
                              <w:szCs w:val="12"/>
                            </w:rPr>
                            <w:t>ld</w:t>
                          </w:r>
                          <w:r>
                            <w:rPr>
                              <w:color w:val="auto"/>
                              <w:sz w:val="12"/>
                              <w:szCs w:val="12"/>
                            </w:rPr>
                            <w:t>ensland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70E34" id="_x0000_s1427"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APtE/rWAIAAAkFAAAOAAAAAAAAAAAAAAAAAC4CAABkcnMvZTJvRG9jLnhtbFBLAQItABQA&#10;BgAIAAAAIQBJC/AJ2AAAAAMBAAAPAAAAAAAAAAAAAAAAALIEAABkcnMvZG93bnJldi54bWxQSwUG&#10;AAAAAAQABADzAAAAtwUAAAAA&#10;" adj="18000" fillcolor="white [3201]" strokecolor="#b4b5db [3207]" strokeweight="1pt">
              <v:textbox>
                <w:txbxContent>
                  <w:p w14:paraId="578F0440" w14:textId="76106FB3" w:rsidR="00FB1708" w:rsidRPr="000450AC" w:rsidRDefault="00B33D4A" w:rsidP="00FB1708">
                    <w:pPr>
                      <w:spacing w:after="0"/>
                      <w:rPr>
                        <w:color w:val="auto"/>
                        <w:sz w:val="12"/>
                        <w:szCs w:val="12"/>
                      </w:rPr>
                    </w:pPr>
                    <w:r>
                      <w:rPr>
                        <w:color w:val="auto"/>
                        <w:sz w:val="12"/>
                        <w:szCs w:val="12"/>
                      </w:rPr>
                      <w:t>Q</w:t>
                    </w:r>
                    <w:r w:rsidR="006448C6">
                      <w:rPr>
                        <w:color w:val="auto"/>
                        <w:sz w:val="12"/>
                        <w:szCs w:val="12"/>
                      </w:rPr>
                      <w:t>ld</w:t>
                    </w:r>
                    <w:r>
                      <w:rPr>
                        <w:color w:val="auto"/>
                        <w:sz w:val="12"/>
                        <w:szCs w:val="12"/>
                      </w:rPr>
                      <w:t>ensland</w:t>
                    </w:r>
                  </w:p>
                </w:txbxContent>
              </v:textbox>
              <w10:anchorlock/>
            </v:shape>
          </w:pict>
        </mc:Fallback>
      </mc:AlternateContent>
    </w:r>
    <w:r>
      <w:rPr>
        <w:noProof/>
      </w:rPr>
      <mc:AlternateContent>
        <mc:Choice Requires="wps">
          <w:drawing>
            <wp:inline distT="0" distB="0" distL="0" distR="0" wp14:anchorId="2A97495D" wp14:editId="08E64C9B">
              <wp:extent cx="540000" cy="180000"/>
              <wp:effectExtent l="19050" t="0" r="12700" b="10795"/>
              <wp:docPr id="1833287484"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24A2E3EC" w14:textId="77777777" w:rsidR="00FB1708" w:rsidRPr="00A11191" w:rsidRDefault="00FB1708" w:rsidP="00FB1708">
                          <w:pPr>
                            <w:spacing w:after="0"/>
                            <w:rPr>
                              <w:color w:val="auto"/>
                              <w:sz w:val="12"/>
                              <w:szCs w:val="12"/>
                            </w:rPr>
                          </w:pPr>
                          <w:r>
                            <w:rPr>
                              <w:color w:val="auto"/>
                              <w:sz w:val="12"/>
                              <w:szCs w:val="12"/>
                            </w:rPr>
                            <w: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97495D" id="_x0000_s1428"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DZ1odmWAIAAAkFAAAOAAAAAAAAAAAAAAAAAC4CAABkcnMvZTJvRG9jLnhtbFBLAQItABQA&#10;BgAIAAAAIQBJC/AJ2AAAAAMBAAAPAAAAAAAAAAAAAAAAALIEAABkcnMvZG93bnJldi54bWxQSwUG&#10;AAAAAAQABADzAAAAtwUAAAAA&#10;" adj="18000" fillcolor="white [3201]" strokecolor="#b4b5db [3207]" strokeweight="1pt">
              <v:textbox>
                <w:txbxContent>
                  <w:p w14:paraId="24A2E3EC" w14:textId="77777777" w:rsidR="00FB1708" w:rsidRPr="00A11191" w:rsidRDefault="00FB1708" w:rsidP="00FB1708">
                    <w:pPr>
                      <w:spacing w:after="0"/>
                      <w:rPr>
                        <w:color w:val="auto"/>
                        <w:sz w:val="12"/>
                        <w:szCs w:val="12"/>
                      </w:rPr>
                    </w:pPr>
                    <w:r>
                      <w:rPr>
                        <w:color w:val="auto"/>
                        <w:sz w:val="12"/>
                        <w:szCs w:val="12"/>
                      </w:rPr>
                      <w:t>WA</w:t>
                    </w:r>
                  </w:p>
                </w:txbxContent>
              </v:textbox>
              <w10:anchorlock/>
            </v:shape>
          </w:pict>
        </mc:Fallback>
      </mc:AlternateContent>
    </w:r>
    <w:r>
      <w:rPr>
        <w:noProof/>
      </w:rPr>
      <mc:AlternateContent>
        <mc:Choice Requires="wps">
          <w:drawing>
            <wp:inline distT="0" distB="0" distL="0" distR="0" wp14:anchorId="64ED4F40" wp14:editId="4D296317">
              <wp:extent cx="540000" cy="180000"/>
              <wp:effectExtent l="19050" t="0" r="12700" b="10795"/>
              <wp:docPr id="1311984987"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72B5FC5C" w14:textId="77777777" w:rsidR="00FB1708" w:rsidRPr="00A11191" w:rsidRDefault="00FB1708" w:rsidP="00FB1708">
                          <w:pPr>
                            <w:spacing w:after="0"/>
                            <w:rPr>
                              <w:color w:val="auto"/>
                              <w:sz w:val="12"/>
                              <w:szCs w:val="12"/>
                            </w:rPr>
                          </w:pPr>
                          <w:r>
                            <w:rPr>
                              <w:color w:val="auto"/>
                              <w:sz w:val="12"/>
                              <w:szCs w:val="12"/>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ED4F40" id="_x0000_s1429"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" adj="18000" fillcolor="#d1d2e9 [1943]" strokecolor="#b4b5db [3207]" strokeweight="1pt">
              <v:textbox>
                <w:txbxContent>
                  <w:p w14:paraId="72B5FC5C" w14:textId="77777777" w:rsidR="00FB1708" w:rsidRPr="00A11191" w:rsidRDefault="00FB1708" w:rsidP="00FB1708">
                    <w:pPr>
                      <w:spacing w:after="0"/>
                      <w:rPr>
                        <w:color w:val="auto"/>
                        <w:sz w:val="12"/>
                        <w:szCs w:val="12"/>
                      </w:rPr>
                    </w:pPr>
                    <w:r>
                      <w:rPr>
                        <w:color w:val="auto"/>
                        <w:sz w:val="12"/>
                        <w:szCs w:val="12"/>
                      </w:rPr>
                      <w:t>SA</w:t>
                    </w:r>
                  </w:p>
                </w:txbxContent>
              </v:textbox>
              <w10:anchorlock/>
            </v:shape>
          </w:pict>
        </mc:Fallback>
      </mc:AlternateContent>
    </w:r>
    <w:r>
      <w:rPr>
        <w:noProof/>
      </w:rPr>
      <mc:AlternateContent>
        <mc:Choice Requires="wps">
          <w:drawing>
            <wp:inline distT="0" distB="0" distL="0" distR="0" wp14:anchorId="2A4747A9" wp14:editId="0B94EA27">
              <wp:extent cx="540000" cy="180000"/>
              <wp:effectExtent l="19050" t="0" r="12700" b="10795"/>
              <wp:docPr id="1202489195"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4A9F404E" w14:textId="77777777" w:rsidR="00FB1708" w:rsidRPr="00A11191" w:rsidRDefault="00FB1708" w:rsidP="00FB1708">
                          <w:pPr>
                            <w:spacing w:after="0"/>
                            <w:rPr>
                              <w:color w:val="auto"/>
                              <w:sz w:val="12"/>
                              <w:szCs w:val="12"/>
                            </w:rPr>
                          </w:pPr>
                          <w:r>
                            <w:rPr>
                              <w:color w:val="auto"/>
                              <w:sz w:val="12"/>
                              <w:szCs w:val="12"/>
                            </w:rPr>
                            <w: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4747A9" id="_x0000_s1430"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" adj="18000" fillcolor="white [3201]" strokecolor="#b4b5db [3207]" strokeweight="1pt">
              <v:textbox>
                <w:txbxContent>
                  <w:p w14:paraId="4A9F404E" w14:textId="77777777" w:rsidR="00FB1708" w:rsidRPr="00A11191" w:rsidRDefault="00FB1708" w:rsidP="00FB1708">
                    <w:pPr>
                      <w:spacing w:after="0"/>
                      <w:rPr>
                        <w:color w:val="auto"/>
                        <w:sz w:val="12"/>
                        <w:szCs w:val="12"/>
                      </w:rPr>
                    </w:pPr>
                    <w:r>
                      <w:rPr>
                        <w:color w:val="auto"/>
                        <w:sz w:val="12"/>
                        <w:szCs w:val="12"/>
                      </w:rPr>
                      <w:t>ACT</w:t>
                    </w:r>
                  </w:p>
                </w:txbxContent>
              </v:textbox>
              <w10:anchorlock/>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088F" w14:textId="30501AB1" w:rsidR="00354BAB" w:rsidRDefault="008172C7" w:rsidP="00774279">
    <w:r>
      <w:rPr>
        <w:noProof/>
      </w:rPr>
      <mc:AlternateContent>
        <mc:Choice Requires="wps">
          <w:drawing>
            <wp:anchor distT="0" distB="0" distL="0" distR="0" simplePos="0" relativeHeight="251658260" behindDoc="0" locked="0" layoutInCell="1" allowOverlap="1" wp14:anchorId="0DA65DA8" wp14:editId="20B49773">
              <wp:simplePos x="635" y="635"/>
              <wp:positionH relativeFrom="page">
                <wp:align>center</wp:align>
              </wp:positionH>
              <wp:positionV relativeFrom="page">
                <wp:align>top</wp:align>
              </wp:positionV>
              <wp:extent cx="551815" cy="405765"/>
              <wp:effectExtent l="0" t="0" r="635" b="13335"/>
              <wp:wrapNone/>
              <wp:docPr id="70139059"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C079493" w14:textId="49DBCA2E"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A65DA8" id="_x0000_t202" coordsize="21600,21600" o:spt="202" path="m,l,21600r21600,l21600,xe">
              <v:stroke joinstyle="miter"/>
              <v:path gradientshapeok="t" o:connecttype="rect"/>
            </v:shapetype>
            <v:shape id="Text Box 17" o:spid="_x0000_s1431" type="#_x0000_t202" alt="OFFICIAL" style="position:absolute;margin-left:0;margin-top:0;width:43.45pt;height:31.9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LDwIAAB4EAAAOAAAAZHJzL2Uyb0RvYy54bWysU8Fu2zAMvQ/YPwi6L7aLuc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zMtPt2VEya4/W+fDVwGaRKOmDreSyGLH&#10;jQ9j6pQSaxlYd0qlzSjzmwMxoye7dhitMOwG0jXYfTGf+t9Bc8KxHIwb95avOyy+YT48M4crxklQ&#10;tuEJD6mgrymcLUpacD/+5o/5yDxGKelRMjU1qGlK1DeDG4nqSkbxOS9zvLnJvZsMc9D3gEIs8E1Y&#10;nsyYF9RkSgf6FQW9ioUwxAzHcjUNk3kfRu3ig+BitUpJKCTLwsZsLY/QkbDI5svwypw9Ux5wV48w&#10;6YlVb5gfc+Of3q4OAflPa4nkjkSeOUcRpsWeH0xU+a/3lHV91sufAA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Zf7Liw8CAAAe&#10;BAAADgAAAAAAAAAAAAAAAAAuAgAAZHJzL2Uyb0RvYy54bWxQSwECLQAUAAYACAAAACEAarADJtoA&#10;AAADAQAADwAAAAAAAAAAAAAAAABpBAAAZHJzL2Rvd25yZXYueG1sUEsFBgAAAAAEAAQA8wAAAHAF&#10;AAAAAA==&#10;" filled="f" stroked="f">
              <v:textbox style="mso-fit-shape-to-text:t" inset="0,15pt,0,0">
                <w:txbxContent>
                  <w:p w14:paraId="7C079493" w14:textId="49DBCA2E"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354BAB">
      <w:t>Independent Financial Review of the NHCDC 2023-24</w:t>
    </w:r>
  </w:p>
  <w:p w14:paraId="6DDF2872" w14:textId="27DDC61C" w:rsidR="00FB1708" w:rsidRDefault="00FB1708" w:rsidP="00FB1708">
    <w:pPr>
      <w:spacing w:after="0"/>
    </w:pPr>
    <w:r>
      <w:rPr>
        <w:noProof/>
      </w:rPr>
      <mc:AlternateContent>
        <mc:Choice Requires="wps">
          <w:drawing>
            <wp:inline distT="0" distB="0" distL="0" distR="0" wp14:anchorId="181E16BC" wp14:editId="555AE783">
              <wp:extent cx="684000" cy="324000"/>
              <wp:effectExtent l="0" t="0" r="40005" b="19050"/>
              <wp:docPr id="1609318666"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145555C9" w14:textId="77777777" w:rsidR="00FB1708" w:rsidRPr="00751EAD" w:rsidRDefault="00FB1708" w:rsidP="00FB1708">
                          <w:pPr>
                            <w:spacing w:after="0"/>
                            <w:rPr>
                              <w:color w:val="auto"/>
                              <w:sz w:val="12"/>
                              <w:szCs w:val="12"/>
                            </w:rPr>
                          </w:pPr>
                          <w:r w:rsidRPr="00751EAD">
                            <w:rPr>
                              <w:color w:val="auto"/>
                              <w:sz w:val="12"/>
                              <w:szCs w:val="12"/>
                            </w:rPr>
                            <w:t>Executive Summary</w:t>
                          </w:r>
                        </w:p>
                        <w:p w14:paraId="28C8AC61" w14:textId="77777777" w:rsidR="00FB1708" w:rsidRPr="00751EAD" w:rsidRDefault="00FB1708" w:rsidP="00FB1708">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1E16B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432"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" adj="16484" filled="f" strokecolor="#b4b5db [3207]" strokeweight="1pt">
              <v:textbox>
                <w:txbxContent>
                  <w:p w14:paraId="145555C9" w14:textId="77777777" w:rsidR="00FB1708" w:rsidRPr="00751EAD" w:rsidRDefault="00FB1708" w:rsidP="00FB1708">
                    <w:pPr>
                      <w:spacing w:after="0"/>
                      <w:rPr>
                        <w:color w:val="auto"/>
                        <w:sz w:val="12"/>
                        <w:szCs w:val="12"/>
                      </w:rPr>
                    </w:pPr>
                    <w:r w:rsidRPr="00751EAD">
                      <w:rPr>
                        <w:color w:val="auto"/>
                        <w:sz w:val="12"/>
                        <w:szCs w:val="12"/>
                      </w:rPr>
                      <w:t>Executive Summary</w:t>
                    </w:r>
                  </w:p>
                  <w:p w14:paraId="28C8AC61" w14:textId="77777777" w:rsidR="00FB1708" w:rsidRPr="00751EAD" w:rsidRDefault="00FB1708" w:rsidP="00FB1708">
                    <w:pPr>
                      <w:rPr>
                        <w:color w:val="auto"/>
                      </w:rPr>
                    </w:pPr>
                  </w:p>
                </w:txbxContent>
              </v:textbox>
              <w10:anchorlock/>
            </v:shape>
          </w:pict>
        </mc:Fallback>
      </mc:AlternateContent>
    </w:r>
    <w:r>
      <w:rPr>
        <w:noProof/>
      </w:rPr>
      <mc:AlternateContent>
        <mc:Choice Requires="wps">
          <w:drawing>
            <wp:inline distT="0" distB="0" distL="0" distR="0" wp14:anchorId="1B7075CB" wp14:editId="4463A11F">
              <wp:extent cx="972000" cy="324000"/>
              <wp:effectExtent l="19050" t="0" r="19050" b="19050"/>
              <wp:docPr id="1186082180"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3589CD18" w14:textId="77777777" w:rsidR="00FB1708" w:rsidRPr="00614A93" w:rsidRDefault="00FB1708" w:rsidP="00FB1708">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B7075C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433"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" adj="18000" filled="f" strokecolor="#b4b5db [3207]" strokeweight="1pt">
              <v:textbox>
                <w:txbxContent>
                  <w:p w14:paraId="3589CD18" w14:textId="77777777" w:rsidR="00FB1708" w:rsidRPr="00614A93" w:rsidRDefault="00FB1708" w:rsidP="00FB1708">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3D28FAD4" wp14:editId="682B6550">
              <wp:extent cx="936000" cy="324000"/>
              <wp:effectExtent l="19050" t="0" r="16510" b="19050"/>
              <wp:docPr id="2043682139"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28DF2FB" w14:textId="77777777" w:rsidR="00FB1708" w:rsidRPr="000450AC" w:rsidRDefault="00FB1708" w:rsidP="00FB1708">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28FAD4" id="_x0000_s1434"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" adj="17862" fillcolor="white [3201]" strokecolor="#b4b5db [3207]" strokeweight="1pt">
              <v:textbox>
                <w:txbxContent>
                  <w:p w14:paraId="028DF2FB" w14:textId="77777777" w:rsidR="00FB1708" w:rsidRPr="000450AC" w:rsidRDefault="00FB1708" w:rsidP="00FB1708">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63DAA725" wp14:editId="564B24A9">
              <wp:extent cx="1152000" cy="324000"/>
              <wp:effectExtent l="19050" t="0" r="10160" b="19050"/>
              <wp:docPr id="317496393"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1AAF31D2"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DAA725" id="_x0000_s1435"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" adj="18563" fillcolor="white [3201]" strokecolor="#b4b5db [3207]" strokeweight="1pt">
              <v:textbox>
                <w:txbxContent>
                  <w:p w14:paraId="1AAF31D2" w14:textId="77777777" w:rsidR="00FB1708" w:rsidRPr="00A11191" w:rsidRDefault="00FB1708" w:rsidP="00FB1708">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76CA0428" wp14:editId="3F0E65D9">
              <wp:extent cx="936000" cy="324000"/>
              <wp:effectExtent l="19050" t="0" r="16510" b="19050"/>
              <wp:docPr id="386134990"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1BEAE891"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CA0428" id="_x0000_s1436"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" adj="17862" fillcolor="#d1d2e9 [1943]" strokecolor="#b4b5db [3207]" strokeweight="1pt">
              <v:textbox>
                <w:txbxContent>
                  <w:p w14:paraId="1BEAE891" w14:textId="77777777" w:rsidR="00FB1708" w:rsidRPr="00A11191" w:rsidRDefault="00FB1708" w:rsidP="00FB1708">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2665FE4A" wp14:editId="31D92929">
              <wp:extent cx="828000" cy="324000"/>
              <wp:effectExtent l="19050" t="0" r="10795" b="19050"/>
              <wp:docPr id="326633068"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1DE8B6C1" w14:textId="77777777" w:rsidR="00FB1708" w:rsidRPr="00A11191" w:rsidRDefault="00FB1708" w:rsidP="00FB1708">
                          <w:pPr>
                            <w:spacing w:after="0"/>
                            <w:rPr>
                              <w:color w:val="auto"/>
                              <w:sz w:val="12"/>
                              <w:szCs w:val="12"/>
                            </w:rPr>
                          </w:pPr>
                          <w:r w:rsidRPr="00A11191">
                            <w:rPr>
                              <w:color w:val="auto"/>
                              <w:sz w:val="12"/>
                              <w:szCs w:val="12"/>
                            </w:rPr>
                            <w:t>IHACPA Review</w:t>
                          </w:r>
                        </w:p>
                        <w:p w14:paraId="03B7C6CF" w14:textId="77777777" w:rsidR="00FB1708" w:rsidRDefault="00FB1708" w:rsidP="00FB170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65FE4A" id="_x0000_s1437"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" adj="17374" fillcolor="white [3201]" strokecolor="#b4b5db [3207]" strokeweight="1pt">
              <v:textbox>
                <w:txbxContent>
                  <w:p w14:paraId="1DE8B6C1" w14:textId="77777777" w:rsidR="00FB1708" w:rsidRPr="00A11191" w:rsidRDefault="00FB1708" w:rsidP="00FB1708">
                    <w:pPr>
                      <w:spacing w:after="0"/>
                      <w:rPr>
                        <w:color w:val="auto"/>
                        <w:sz w:val="12"/>
                        <w:szCs w:val="12"/>
                      </w:rPr>
                    </w:pPr>
                    <w:r w:rsidRPr="00A11191">
                      <w:rPr>
                        <w:color w:val="auto"/>
                        <w:sz w:val="12"/>
                        <w:szCs w:val="12"/>
                      </w:rPr>
                      <w:t>IHACPA Review</w:t>
                    </w:r>
                  </w:p>
                  <w:p w14:paraId="03B7C6CF" w14:textId="77777777" w:rsidR="00FB1708" w:rsidRDefault="00FB1708" w:rsidP="00FB1708"/>
                </w:txbxContent>
              </v:textbox>
              <w10:anchorlock/>
            </v:shape>
          </w:pict>
        </mc:Fallback>
      </mc:AlternateContent>
    </w:r>
  </w:p>
  <w:p w14:paraId="1B14CDC0" w14:textId="34839B5A" w:rsidR="00354BAB" w:rsidRDefault="00FB1708" w:rsidP="00FB1708">
    <w:pPr>
      <w:pStyle w:val="Header"/>
      <w:spacing w:after="240"/>
    </w:pPr>
    <w:r>
      <w:rPr>
        <w:noProof/>
      </w:rPr>
      <mc:AlternateContent>
        <mc:Choice Requires="wps">
          <w:drawing>
            <wp:inline distT="0" distB="0" distL="0" distR="0" wp14:anchorId="73B22083" wp14:editId="139624F3">
              <wp:extent cx="540000" cy="180000"/>
              <wp:effectExtent l="0" t="0" r="31750" b="10795"/>
              <wp:docPr id="1126281161" name="Arrow: Pentagon 1"/>
              <wp:cNvGraphicFramePr/>
              <a:graphic xmlns:a="http://schemas.openxmlformats.org/drawingml/2006/main">
                <a:graphicData uri="http://schemas.microsoft.com/office/word/2010/wordprocessingShape">
                  <wps:wsp>
                    <wps:cNvSpPr/>
                    <wps:spPr>
                      <a:xfrm>
                        <a:off x="0" y="0"/>
                        <a:ext cx="540000" cy="180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4A8EC3FC" w14:textId="77777777" w:rsidR="00FB1708" w:rsidRPr="00751EAD" w:rsidRDefault="00FB1708" w:rsidP="00FB1708">
                          <w:pPr>
                            <w:rPr>
                              <w:color w:val="auto"/>
                            </w:rPr>
                          </w:pPr>
                          <w:r>
                            <w:rPr>
                              <w:color w:val="auto"/>
                              <w:sz w:val="12"/>
                              <w:szCs w:val="12"/>
                            </w:rPr>
                            <w:t>NSW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B22083" id="_x0000_s1438" type="#_x0000_t1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" adj="18000" filled="f" strokecolor="#b4b5db [3207]" strokeweight="1pt">
              <v:textbox>
                <w:txbxContent>
                  <w:p w14:paraId="4A8EC3FC" w14:textId="77777777" w:rsidR="00FB1708" w:rsidRPr="00751EAD" w:rsidRDefault="00FB1708" w:rsidP="00FB1708">
                    <w:pPr>
                      <w:rPr>
                        <w:color w:val="auto"/>
                      </w:rPr>
                    </w:pPr>
                    <w:r>
                      <w:rPr>
                        <w:color w:val="auto"/>
                        <w:sz w:val="12"/>
                        <w:szCs w:val="12"/>
                      </w:rPr>
                      <w:t>NSW</w:t>
                    </w:r>
                  </w:p>
                </w:txbxContent>
              </v:textbox>
              <w10:anchorlock/>
            </v:shape>
          </w:pict>
        </mc:Fallback>
      </mc:AlternateContent>
    </w:r>
    <w:r>
      <w:rPr>
        <w:noProof/>
      </w:rPr>
      <mc:AlternateContent>
        <mc:Choice Requires="wps">
          <w:drawing>
            <wp:inline distT="0" distB="0" distL="0" distR="0" wp14:anchorId="02142C5D" wp14:editId="5CD16953">
              <wp:extent cx="540000" cy="180000"/>
              <wp:effectExtent l="19050" t="0" r="12700" b="10795"/>
              <wp:docPr id="1462349625"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6201707D" w14:textId="77777777" w:rsidR="00FB1708" w:rsidRPr="00614A93" w:rsidRDefault="00FB1708" w:rsidP="00FB1708">
                          <w:pPr>
                            <w:spacing w:after="0"/>
                            <w:rPr>
                              <w:color w:val="auto"/>
                              <w:sz w:val="12"/>
                              <w:szCs w:val="12"/>
                            </w:rPr>
                          </w:pPr>
                          <w:r>
                            <w:rPr>
                              <w:color w:val="auto"/>
                              <w:sz w:val="12"/>
                              <w:szCs w:val="12"/>
                            </w:rPr>
                            <w:t>Vic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142C5D" id="_x0000_s1439"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" adj="18000" filled="f" strokecolor="#b4b5db [3207]" strokeweight="1pt">
              <v:textbox>
                <w:txbxContent>
                  <w:p w14:paraId="6201707D" w14:textId="77777777" w:rsidR="00FB1708" w:rsidRPr="00614A93" w:rsidRDefault="00FB1708" w:rsidP="00FB1708">
                    <w:pPr>
                      <w:spacing w:after="0"/>
                      <w:rPr>
                        <w:color w:val="auto"/>
                        <w:sz w:val="12"/>
                        <w:szCs w:val="12"/>
                      </w:rPr>
                    </w:pPr>
                    <w:r>
                      <w:rPr>
                        <w:color w:val="auto"/>
                        <w:sz w:val="12"/>
                        <w:szCs w:val="12"/>
                      </w:rPr>
                      <w:t>Vic</w:t>
                    </w:r>
                  </w:p>
                </w:txbxContent>
              </v:textbox>
              <w10:anchorlock/>
            </v:shape>
          </w:pict>
        </mc:Fallback>
      </mc:AlternateContent>
    </w:r>
    <w:r>
      <w:rPr>
        <w:noProof/>
      </w:rPr>
      <mc:AlternateContent>
        <mc:Choice Requires="wps">
          <w:drawing>
            <wp:inline distT="0" distB="0" distL="0" distR="0" wp14:anchorId="409C5249" wp14:editId="480D84C6">
              <wp:extent cx="540000" cy="180000"/>
              <wp:effectExtent l="19050" t="0" r="12700" b="10795"/>
              <wp:docPr id="1508120"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C45525C" w14:textId="25DEBAA5" w:rsidR="00FB1708" w:rsidRPr="000450AC" w:rsidRDefault="00B33D4A" w:rsidP="00FB1708">
                          <w:pPr>
                            <w:spacing w:after="0"/>
                            <w:rPr>
                              <w:color w:val="auto"/>
                              <w:sz w:val="12"/>
                              <w:szCs w:val="12"/>
                            </w:rPr>
                          </w:pPr>
                          <w:r>
                            <w:rPr>
                              <w:color w:val="auto"/>
                              <w:sz w:val="12"/>
                              <w:szCs w:val="12"/>
                            </w:rPr>
                            <w:t>Q</w:t>
                          </w:r>
                          <w:r w:rsidR="006448C6">
                            <w:rPr>
                              <w:color w:val="auto"/>
                              <w:sz w:val="12"/>
                              <w:szCs w:val="12"/>
                            </w:rPr>
                            <w:t>ld</w:t>
                          </w:r>
                          <w:r>
                            <w:rPr>
                              <w:color w:val="auto"/>
                              <w:sz w:val="12"/>
                              <w:szCs w:val="12"/>
                            </w:rPr>
                            <w:t>ensland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9C5249" id="_x0000_s1440"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" adj="18000" fillcolor="white [3201]" strokecolor="#b4b5db [3207]" strokeweight="1pt">
              <v:textbox>
                <w:txbxContent>
                  <w:p w14:paraId="6C45525C" w14:textId="25DEBAA5" w:rsidR="00FB1708" w:rsidRPr="000450AC" w:rsidRDefault="00B33D4A" w:rsidP="00FB1708">
                    <w:pPr>
                      <w:spacing w:after="0"/>
                      <w:rPr>
                        <w:color w:val="auto"/>
                        <w:sz w:val="12"/>
                        <w:szCs w:val="12"/>
                      </w:rPr>
                    </w:pPr>
                    <w:r>
                      <w:rPr>
                        <w:color w:val="auto"/>
                        <w:sz w:val="12"/>
                        <w:szCs w:val="12"/>
                      </w:rPr>
                      <w:t>Q</w:t>
                    </w:r>
                    <w:r w:rsidR="006448C6">
                      <w:rPr>
                        <w:color w:val="auto"/>
                        <w:sz w:val="12"/>
                        <w:szCs w:val="12"/>
                      </w:rPr>
                      <w:t>ld</w:t>
                    </w:r>
                    <w:r>
                      <w:rPr>
                        <w:color w:val="auto"/>
                        <w:sz w:val="12"/>
                        <w:szCs w:val="12"/>
                      </w:rPr>
                      <w:t>ensland</w:t>
                    </w:r>
                  </w:p>
                </w:txbxContent>
              </v:textbox>
              <w10:anchorlock/>
            </v:shape>
          </w:pict>
        </mc:Fallback>
      </mc:AlternateContent>
    </w:r>
    <w:r>
      <w:rPr>
        <w:noProof/>
      </w:rPr>
      <mc:AlternateContent>
        <mc:Choice Requires="wps">
          <w:drawing>
            <wp:inline distT="0" distB="0" distL="0" distR="0" wp14:anchorId="49AB79FE" wp14:editId="5273EBD9">
              <wp:extent cx="540000" cy="180000"/>
              <wp:effectExtent l="19050" t="0" r="12700" b="10795"/>
              <wp:docPr id="1590820423"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3A75834A" w14:textId="77777777" w:rsidR="00FB1708" w:rsidRPr="00A11191" w:rsidRDefault="00FB1708" w:rsidP="00FB1708">
                          <w:pPr>
                            <w:spacing w:after="0"/>
                            <w:rPr>
                              <w:color w:val="auto"/>
                              <w:sz w:val="12"/>
                              <w:szCs w:val="12"/>
                            </w:rPr>
                          </w:pPr>
                          <w:r>
                            <w:rPr>
                              <w:color w:val="auto"/>
                              <w:sz w:val="12"/>
                              <w:szCs w:val="12"/>
                            </w:rPr>
                            <w: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AB79FE" id="_x0000_s1441"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" adj="18000" fillcolor="white [3201]" strokecolor="#b4b5db [3207]" strokeweight="1pt">
              <v:textbox>
                <w:txbxContent>
                  <w:p w14:paraId="3A75834A" w14:textId="77777777" w:rsidR="00FB1708" w:rsidRPr="00A11191" w:rsidRDefault="00FB1708" w:rsidP="00FB1708">
                    <w:pPr>
                      <w:spacing w:after="0"/>
                      <w:rPr>
                        <w:color w:val="auto"/>
                        <w:sz w:val="12"/>
                        <w:szCs w:val="12"/>
                      </w:rPr>
                    </w:pPr>
                    <w:r>
                      <w:rPr>
                        <w:color w:val="auto"/>
                        <w:sz w:val="12"/>
                        <w:szCs w:val="12"/>
                      </w:rPr>
                      <w:t>WA</w:t>
                    </w:r>
                  </w:p>
                </w:txbxContent>
              </v:textbox>
              <w10:anchorlock/>
            </v:shape>
          </w:pict>
        </mc:Fallback>
      </mc:AlternateContent>
    </w:r>
    <w:r>
      <w:rPr>
        <w:noProof/>
      </w:rPr>
      <mc:AlternateContent>
        <mc:Choice Requires="wps">
          <w:drawing>
            <wp:inline distT="0" distB="0" distL="0" distR="0" wp14:anchorId="6A5381A2" wp14:editId="20A1251B">
              <wp:extent cx="540000" cy="180000"/>
              <wp:effectExtent l="19050" t="0" r="12700" b="10795"/>
              <wp:docPr id="152771149"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4B0C1E16" w14:textId="77777777" w:rsidR="00FB1708" w:rsidRPr="00A11191" w:rsidRDefault="00FB1708" w:rsidP="00FB1708">
                          <w:pPr>
                            <w:spacing w:after="0"/>
                            <w:rPr>
                              <w:color w:val="auto"/>
                              <w:sz w:val="12"/>
                              <w:szCs w:val="12"/>
                            </w:rPr>
                          </w:pPr>
                          <w:r>
                            <w:rPr>
                              <w:color w:val="auto"/>
                              <w:sz w:val="12"/>
                              <w:szCs w:val="12"/>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5381A2" id="_x0000_s1442"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" adj="18000" filled="f" strokecolor="#b4b5db [3207]" strokeweight="1pt">
              <v:textbox>
                <w:txbxContent>
                  <w:p w14:paraId="4B0C1E16" w14:textId="77777777" w:rsidR="00FB1708" w:rsidRPr="00A11191" w:rsidRDefault="00FB1708" w:rsidP="00FB1708">
                    <w:pPr>
                      <w:spacing w:after="0"/>
                      <w:rPr>
                        <w:color w:val="auto"/>
                        <w:sz w:val="12"/>
                        <w:szCs w:val="12"/>
                      </w:rPr>
                    </w:pPr>
                    <w:r>
                      <w:rPr>
                        <w:color w:val="auto"/>
                        <w:sz w:val="12"/>
                        <w:szCs w:val="12"/>
                      </w:rPr>
                      <w:t>SA</w:t>
                    </w:r>
                  </w:p>
                </w:txbxContent>
              </v:textbox>
              <w10:anchorlock/>
            </v:shape>
          </w:pict>
        </mc:Fallback>
      </mc:AlternateContent>
    </w:r>
    <w:r>
      <w:rPr>
        <w:noProof/>
      </w:rPr>
      <mc:AlternateContent>
        <mc:Choice Requires="wps">
          <w:drawing>
            <wp:inline distT="0" distB="0" distL="0" distR="0" wp14:anchorId="61193CF2" wp14:editId="2C974EF5">
              <wp:extent cx="540000" cy="180000"/>
              <wp:effectExtent l="19050" t="0" r="12700" b="10795"/>
              <wp:docPr id="386364337"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2AEAFDE5" w14:textId="77777777" w:rsidR="00FB1708" w:rsidRPr="00A11191" w:rsidRDefault="00FB1708" w:rsidP="00FB1708">
                          <w:pPr>
                            <w:spacing w:after="0"/>
                            <w:rPr>
                              <w:color w:val="auto"/>
                              <w:sz w:val="12"/>
                              <w:szCs w:val="12"/>
                            </w:rPr>
                          </w:pPr>
                          <w:r>
                            <w:rPr>
                              <w:color w:val="auto"/>
                              <w:sz w:val="12"/>
                              <w:szCs w:val="12"/>
                            </w:rPr>
                            <w: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193CF2" id="_x0000_s1443"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" adj="18000" fillcolor="#d1d2e9 [1943]" strokecolor="#b4b5db [3207]" strokeweight="1pt">
              <v:textbox>
                <w:txbxContent>
                  <w:p w14:paraId="2AEAFDE5" w14:textId="77777777" w:rsidR="00FB1708" w:rsidRPr="00A11191" w:rsidRDefault="00FB1708" w:rsidP="00FB1708">
                    <w:pPr>
                      <w:spacing w:after="0"/>
                      <w:rPr>
                        <w:color w:val="auto"/>
                        <w:sz w:val="12"/>
                        <w:szCs w:val="12"/>
                      </w:rPr>
                    </w:pPr>
                    <w:r>
                      <w:rPr>
                        <w:color w:val="auto"/>
                        <w:sz w:val="12"/>
                        <w:szCs w:val="12"/>
                      </w:rPr>
                      <w:t>ACT</w:t>
                    </w:r>
                  </w:p>
                </w:txbxContent>
              </v:textbox>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C21BE" w14:textId="6EDF6DB8" w:rsidR="009A274B" w:rsidRDefault="008172C7" w:rsidP="00FB1708">
    <w:r>
      <w:rPr>
        <w:noProof/>
      </w:rPr>
      <mc:AlternateContent>
        <mc:Choice Requires="wps">
          <w:drawing>
            <wp:anchor distT="0" distB="0" distL="0" distR="0" simplePos="0" relativeHeight="251658261" behindDoc="0" locked="0" layoutInCell="1" allowOverlap="1" wp14:anchorId="0CED9A54" wp14:editId="0BB9864B">
              <wp:simplePos x="635" y="635"/>
              <wp:positionH relativeFrom="page">
                <wp:align>center</wp:align>
              </wp:positionH>
              <wp:positionV relativeFrom="page">
                <wp:align>top</wp:align>
              </wp:positionV>
              <wp:extent cx="551815" cy="405765"/>
              <wp:effectExtent l="0" t="0" r="635" b="13335"/>
              <wp:wrapNone/>
              <wp:docPr id="796064075"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950D14D" w14:textId="6C7A469E"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ED9A54" id="_x0000_t202" coordsize="21600,21600" o:spt="202" path="m,l,21600r21600,l21600,xe">
              <v:stroke joinstyle="miter"/>
              <v:path gradientshapeok="t" o:connecttype="rect"/>
            </v:shapetype>
            <v:shape id="Text Box 18" o:spid="_x0000_s1444" type="#_x0000_t202" alt="OFFICIAL" style="position:absolute;margin-left:0;margin-top:0;width:43.45pt;height:31.9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DmDwIAAB4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KS8/X5cRJbv8bJ0P3wRoEo2aOtxKIosd&#10;1j6MqVNKrGVg1SmVNqPMbw7EjJ7s0mG0wrAdSNdg9x/P/W+hOeJYDsaNe8tXHRZfMx+emMMV4yQo&#10;2/CIh1TQ1xROFiUtuJ9/88d8ZB6jlPQomZoa1DQl6rvBjUR1JaP4kpc53tzk3k6G2es7QCEW+CYs&#10;T2bMC2oypQP9goJexkIYYoZjuZqGybwLo3bxQXCxXKYkFJJlYW02lkfoSFhk83l4Yc6eKA+4qweY&#10;9MSqN8yPufFPb5f7gPyntURyRyJPnKMI02JPDyaq/PU9ZV2e9eIXAA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leLg5g8CAAAe&#10;BAAADgAAAAAAAAAAAAAAAAAuAgAAZHJzL2Uyb0RvYy54bWxQSwECLQAUAAYACAAAACEAarADJtoA&#10;AAADAQAADwAAAAAAAAAAAAAAAABpBAAAZHJzL2Rvd25yZXYueG1sUEsFBgAAAAAEAAQA8wAAAHAF&#10;AAAAAA==&#10;" filled="f" stroked="f">
              <v:textbox style="mso-fit-shape-to-text:t" inset="0,15pt,0,0">
                <w:txbxContent>
                  <w:p w14:paraId="3950D14D" w14:textId="6C7A469E"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DE1E1B">
      <w:t>Independent Financial Review of the NHCDC 2023-24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401F" w14:textId="6B08E020" w:rsidR="006B6DD0" w:rsidRPr="001729F2" w:rsidRDefault="008172C7" w:rsidP="0061125F">
    <w:r>
      <w:rPr>
        <w:noProof/>
      </w:rPr>
      <mc:AlternateContent>
        <mc:Choice Requires="wps">
          <w:drawing>
            <wp:anchor distT="0" distB="0" distL="0" distR="0" simplePos="0" relativeHeight="251658246" behindDoc="0" locked="0" layoutInCell="1" allowOverlap="1" wp14:anchorId="652A902A" wp14:editId="5D67071C">
              <wp:simplePos x="914400" y="461176"/>
              <wp:positionH relativeFrom="page">
                <wp:align>center</wp:align>
              </wp:positionH>
              <wp:positionV relativeFrom="page">
                <wp:align>top</wp:align>
              </wp:positionV>
              <wp:extent cx="551815" cy="405765"/>
              <wp:effectExtent l="0" t="0" r="635" b="13335"/>
              <wp:wrapNone/>
              <wp:docPr id="14680960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75F6CA0" w14:textId="12D6F0CC"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A902A" id="_x0000_t202" coordsize="21600,21600" o:spt="202" path="m,l,21600r21600,l21600,xe">
              <v:stroke joinstyle="miter"/>
              <v:path gradientshapeok="t" o:connecttype="rect"/>
            </v:shapetype>
            <v:shape id="Text Box 3" o:spid="_x0000_s1314" type="#_x0000_t202" alt="OFFICIAL" style="position:absolute;margin-left:0;margin-top:0;width:43.45pt;height:31.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BDA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S+/XJc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" filled="f" stroked="f">
              <v:textbox style="mso-fit-shape-to-text:t" inset="0,15pt,0,0">
                <w:txbxContent>
                  <w:p w14:paraId="275F6CA0" w14:textId="12D6F0CC"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7A2B79">
      <w:t>Independent Financial Review of the NHCDC 2023-24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8F368" w14:textId="63D1BCD7" w:rsidR="00457CF0" w:rsidRDefault="008172C7">
    <w:pPr>
      <w:rPr>
        <w:color w:val="auto"/>
      </w:rPr>
    </w:pPr>
    <w:r>
      <w:rPr>
        <w:noProof/>
        <w:color w:val="auto"/>
      </w:rPr>
      <mc:AlternateContent>
        <mc:Choice Requires="wps">
          <w:drawing>
            <wp:anchor distT="0" distB="0" distL="0" distR="0" simplePos="0" relativeHeight="251658244" behindDoc="0" locked="0" layoutInCell="1" allowOverlap="1" wp14:anchorId="00466451" wp14:editId="553F8801">
              <wp:simplePos x="635" y="635"/>
              <wp:positionH relativeFrom="page">
                <wp:align>center</wp:align>
              </wp:positionH>
              <wp:positionV relativeFrom="page">
                <wp:align>top</wp:align>
              </wp:positionV>
              <wp:extent cx="551815" cy="405765"/>
              <wp:effectExtent l="0" t="0" r="635" b="13335"/>
              <wp:wrapNone/>
              <wp:docPr id="46431359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FBED0F3" w14:textId="4662C8E1"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66451" id="_x0000_t202" coordsize="21600,21600" o:spt="202" path="m,l,21600r21600,l21600,xe">
              <v:stroke joinstyle="miter"/>
              <v:path gradientshapeok="t" o:connecttype="rect"/>
            </v:shapetype>
            <v:shape id="_x0000_s1317" type="#_x0000_t202" alt="OFFICIAL" style="position:absolute;margin-left:0;margin-top:0;width:43.45pt;height:31.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GKDQIAABwEAAAOAAAAZHJzL2Uyb0RvYy54bWysU8Fu2zAMvQ/YPwi6L7aLue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nJdfrs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" filled="f" stroked="f">
              <v:textbox style="mso-fit-shape-to-text:t" inset="0,15pt,0,0">
                <w:txbxContent>
                  <w:p w14:paraId="2FBED0F3" w14:textId="4662C8E1"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p>
  <w:p w14:paraId="1E185C27" w14:textId="77777777" w:rsidR="00C4036A" w:rsidRDefault="00C4036A">
    <w:pPr>
      <w:rPr>
        <w:color w:val="auto"/>
      </w:rPr>
    </w:pPr>
  </w:p>
  <w:p w14:paraId="3FB2A887" w14:textId="77777777" w:rsidR="00C4036A" w:rsidRDefault="00C4036A"/>
  <w:p w14:paraId="58943915" w14:textId="25E11F98" w:rsidR="00762C3E" w:rsidRDefault="00762C3E">
    <w:pPr>
      <w:rPr>
        <w:color w:val="auto"/>
      </w:rPr>
    </w:pPr>
  </w:p>
  <w:p w14:paraId="39314826" w14:textId="52B3D8E2" w:rsidR="00AD2E24" w:rsidRDefault="00AD2E24">
    <w:pPr>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5FECF" w14:textId="555A153D" w:rsidR="002F238B" w:rsidRDefault="008172C7" w:rsidP="0061125F">
    <w:r>
      <w:rPr>
        <w:noProof/>
      </w:rPr>
      <mc:AlternateContent>
        <mc:Choice Requires="wps">
          <w:drawing>
            <wp:anchor distT="0" distB="0" distL="0" distR="0" simplePos="0" relativeHeight="251658247" behindDoc="0" locked="0" layoutInCell="1" allowOverlap="1" wp14:anchorId="754C8282" wp14:editId="6D1AA587">
              <wp:simplePos x="635" y="635"/>
              <wp:positionH relativeFrom="page">
                <wp:align>center</wp:align>
              </wp:positionH>
              <wp:positionV relativeFrom="page">
                <wp:align>top</wp:align>
              </wp:positionV>
              <wp:extent cx="551815" cy="405765"/>
              <wp:effectExtent l="0" t="0" r="635" b="13335"/>
              <wp:wrapNone/>
              <wp:docPr id="91564229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0123BB64" w14:textId="52D8A09A"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C8282" id="_x0000_t202" coordsize="21600,21600" o:spt="202" path="m,l,21600r21600,l21600,xe">
              <v:stroke joinstyle="miter"/>
              <v:path gradientshapeok="t" o:connecttype="rect"/>
            </v:shapetype>
            <v:shape id="Text Box 4" o:spid="_x0000_s1319" type="#_x0000_t202" alt="OFFICIAL" style="position:absolute;margin-left:0;margin-top:0;width:43.45pt;height:31.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TxDgIAABwEAAAOAAAAZHJzL2Uyb0RvYy54bWysU8Fu2zAMvQ/YPwi6L7aLOe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mJef5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CwmqTxDgIAABwE&#10;AAAOAAAAAAAAAAAAAAAAAC4CAABkcnMvZTJvRG9jLnhtbFBLAQItABQABgAIAAAAIQBqsAMm2gAA&#10;AAMBAAAPAAAAAAAAAAAAAAAAAGgEAABkcnMvZG93bnJldi54bWxQSwUGAAAAAAQABADzAAAAbwUA&#10;AAAA&#10;" filled="f" stroked="f">
              <v:textbox style="mso-fit-shape-to-text:t" inset="0,15pt,0,0">
                <w:txbxContent>
                  <w:p w14:paraId="0123BB64" w14:textId="52D8A09A"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2F238B">
      <w:t>Independent Financial Review of the NHCDC 2023-24</w:t>
    </w:r>
  </w:p>
  <w:p w14:paraId="148D1DD9" w14:textId="09C22CEC" w:rsidR="002F238B" w:rsidRPr="001729F2" w:rsidRDefault="002F238B" w:rsidP="00E32FC8">
    <w:r>
      <w:rPr>
        <w:noProof/>
      </w:rPr>
      <mc:AlternateContent>
        <mc:Choice Requires="wps">
          <w:drawing>
            <wp:inline distT="0" distB="0" distL="0" distR="0" wp14:anchorId="1111749D" wp14:editId="7B52BBDE">
              <wp:extent cx="684000" cy="324000"/>
              <wp:effectExtent l="0" t="0" r="40005" b="19050"/>
              <wp:docPr id="1913632746"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solidFill>
                        <a:schemeClr val="accent4">
                          <a:lumMod val="60000"/>
                          <a:lumOff val="40000"/>
                        </a:schemeClr>
                      </a:solid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76089369" w14:textId="77777777" w:rsidR="002F238B" w:rsidRPr="00A11191" w:rsidRDefault="002F238B" w:rsidP="000B3D91">
                          <w:pPr>
                            <w:spacing w:after="0"/>
                            <w:rPr>
                              <w:color w:val="auto"/>
                              <w:sz w:val="12"/>
                              <w:szCs w:val="12"/>
                            </w:rPr>
                          </w:pPr>
                          <w:r w:rsidRPr="00A11191">
                            <w:rPr>
                              <w:color w:val="auto"/>
                              <w:sz w:val="12"/>
                              <w:szCs w:val="12"/>
                            </w:rPr>
                            <w:t>Executive Summary</w:t>
                          </w:r>
                        </w:p>
                        <w:p w14:paraId="1431CDF2" w14:textId="77777777" w:rsidR="002F238B" w:rsidRDefault="002F238B">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111749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320"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" adj="16484" fillcolor="#d1d2e9 [1943]" strokecolor="#b4b5db [3207]" strokeweight="1pt">
              <v:textbox>
                <w:txbxContent>
                  <w:p w14:paraId="76089369" w14:textId="77777777" w:rsidR="002F238B" w:rsidRPr="00A11191" w:rsidRDefault="002F238B" w:rsidP="000B3D91">
                    <w:pPr>
                      <w:spacing w:after="0"/>
                      <w:rPr>
                        <w:color w:val="auto"/>
                        <w:sz w:val="12"/>
                        <w:szCs w:val="12"/>
                      </w:rPr>
                    </w:pPr>
                    <w:r w:rsidRPr="00A11191">
                      <w:rPr>
                        <w:color w:val="auto"/>
                        <w:sz w:val="12"/>
                        <w:szCs w:val="12"/>
                      </w:rPr>
                      <w:t>Executive Summary</w:t>
                    </w:r>
                  </w:p>
                  <w:p w14:paraId="1431CDF2" w14:textId="77777777" w:rsidR="002F238B" w:rsidRDefault="002F238B">
                    <w:pPr>
                      <w:rPr>
                        <w:color w:val="auto"/>
                      </w:rPr>
                    </w:pPr>
                  </w:p>
                </w:txbxContent>
              </v:textbox>
              <w10:anchorlock/>
            </v:shape>
          </w:pict>
        </mc:Fallback>
      </mc:AlternateContent>
    </w:r>
    <w:r>
      <w:rPr>
        <w:noProof/>
      </w:rPr>
      <mc:AlternateContent>
        <mc:Choice Requires="wps">
          <w:drawing>
            <wp:inline distT="0" distB="0" distL="0" distR="0" wp14:anchorId="2B88ACEC" wp14:editId="7A07555D">
              <wp:extent cx="972000" cy="324000"/>
              <wp:effectExtent l="19050" t="0" r="19050" b="19050"/>
              <wp:docPr id="407179799"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387639A" w14:textId="77777777" w:rsidR="002F238B" w:rsidRPr="00614A93" w:rsidRDefault="002F238B" w:rsidP="000B3D91">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B88ACE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21"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" adj="18000" fillcolor="white [3201]" strokecolor="#b4b5db [3207]" strokeweight="1pt">
              <v:textbox>
                <w:txbxContent>
                  <w:p w14:paraId="6387639A" w14:textId="77777777" w:rsidR="002F238B" w:rsidRPr="00614A93" w:rsidRDefault="002F238B" w:rsidP="000B3D91">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092DCD58" wp14:editId="189EDAD0">
              <wp:extent cx="936000" cy="324000"/>
              <wp:effectExtent l="19050" t="0" r="16510" b="19050"/>
              <wp:docPr id="29012958"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4505CAF5" w14:textId="77777777" w:rsidR="002F238B" w:rsidRPr="000450AC" w:rsidRDefault="002F238B" w:rsidP="000B3D91">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2DCD58" id="_x0000_s1322"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" adj="17862" fillcolor="white [3201]" strokecolor="#b4b5db [3207]" strokeweight="1pt">
              <v:textbox>
                <w:txbxContent>
                  <w:p w14:paraId="4505CAF5" w14:textId="77777777" w:rsidR="002F238B" w:rsidRPr="000450AC" w:rsidRDefault="002F238B" w:rsidP="000B3D91">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4124EE81" wp14:editId="5AFE50C1">
              <wp:extent cx="1152000" cy="324000"/>
              <wp:effectExtent l="19050" t="0" r="10160" b="19050"/>
              <wp:docPr id="1203453290"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30013E1" w14:textId="77777777" w:rsidR="002F238B" w:rsidRPr="00A11191" w:rsidRDefault="002F238B" w:rsidP="00C43977">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24EE81" id="_x0000_s1323"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" adj="18563" fillcolor="white [3201]" strokecolor="#b4b5db [3207]" strokeweight="1pt">
              <v:textbox>
                <w:txbxContent>
                  <w:p w14:paraId="030013E1" w14:textId="77777777" w:rsidR="002F238B" w:rsidRPr="00A11191" w:rsidRDefault="002F238B" w:rsidP="00C43977">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2930DA61" wp14:editId="3CD518E2">
              <wp:extent cx="936000" cy="324000"/>
              <wp:effectExtent l="19050" t="0" r="16510" b="19050"/>
              <wp:docPr id="78220737"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362ED90" w14:textId="77777777" w:rsidR="002F238B" w:rsidRPr="00A11191" w:rsidRDefault="002F238B" w:rsidP="000B3D91">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30DA61" id="_x0000_s1324"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" adj="17862" fillcolor="white [3201]" strokecolor="#b4b5db [3207]" strokeweight="1pt">
              <v:textbox>
                <w:txbxContent>
                  <w:p w14:paraId="7362ED90" w14:textId="77777777" w:rsidR="002F238B" w:rsidRPr="00A11191" w:rsidRDefault="002F238B" w:rsidP="000B3D91">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12107CCE" wp14:editId="10B30BA4">
              <wp:extent cx="828000" cy="324000"/>
              <wp:effectExtent l="19050" t="0" r="10795" b="19050"/>
              <wp:docPr id="502343815"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E222922" w14:textId="20247F3C" w:rsidR="002F238B" w:rsidRPr="00A11191" w:rsidRDefault="002F238B" w:rsidP="008E16B8">
                          <w:pPr>
                            <w:spacing w:after="0"/>
                            <w:rPr>
                              <w:color w:val="auto"/>
                              <w:sz w:val="12"/>
                              <w:szCs w:val="12"/>
                            </w:rPr>
                          </w:pPr>
                          <w:r w:rsidRPr="00A11191">
                            <w:rPr>
                              <w:color w:val="auto"/>
                              <w:sz w:val="12"/>
                              <w:szCs w:val="12"/>
                            </w:rPr>
                            <w:t xml:space="preserve">IHACPA </w:t>
                          </w:r>
                          <w:r w:rsidR="00072C27" w:rsidRPr="00A11191">
                            <w:rPr>
                              <w:color w:val="auto"/>
                              <w:sz w:val="12"/>
                              <w:szCs w:val="12"/>
                            </w:rPr>
                            <w:t>R</w:t>
                          </w:r>
                          <w:r w:rsidRPr="00A11191">
                            <w:rPr>
                              <w:color w:val="auto"/>
                              <w:sz w:val="12"/>
                              <w:szCs w:val="12"/>
                            </w:rPr>
                            <w:t>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107CCE" id="_x0000_s1325"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" adj="17374" fillcolor="white [3201]" strokecolor="#b4b5db [3207]" strokeweight="1pt">
              <v:textbox>
                <w:txbxContent>
                  <w:p w14:paraId="0E222922" w14:textId="20247F3C" w:rsidR="002F238B" w:rsidRPr="00A11191" w:rsidRDefault="002F238B" w:rsidP="008E16B8">
                    <w:pPr>
                      <w:spacing w:after="0"/>
                      <w:rPr>
                        <w:color w:val="auto"/>
                        <w:sz w:val="12"/>
                        <w:szCs w:val="12"/>
                      </w:rPr>
                    </w:pPr>
                    <w:r w:rsidRPr="00A11191">
                      <w:rPr>
                        <w:color w:val="auto"/>
                        <w:sz w:val="12"/>
                        <w:szCs w:val="12"/>
                      </w:rPr>
                      <w:t xml:space="preserve">IHACPA </w:t>
                    </w:r>
                    <w:r w:rsidR="00072C27" w:rsidRPr="00A11191">
                      <w:rPr>
                        <w:color w:val="auto"/>
                        <w:sz w:val="12"/>
                        <w:szCs w:val="12"/>
                      </w:rPr>
                      <w:t>R</w:t>
                    </w:r>
                    <w:r w:rsidRPr="00A11191">
                      <w:rPr>
                        <w:color w:val="auto"/>
                        <w:sz w:val="12"/>
                        <w:szCs w:val="12"/>
                      </w:rPr>
                      <w:t>eview</w:t>
                    </w: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38796" w14:textId="57DE4447" w:rsidR="00D1714F" w:rsidRDefault="008172C7" w:rsidP="00EE044A">
    <w:r>
      <w:rPr>
        <w:noProof/>
      </w:rPr>
      <mc:AlternateContent>
        <mc:Choice Requires="wps">
          <w:drawing>
            <wp:anchor distT="0" distB="0" distL="0" distR="0" simplePos="0" relativeHeight="251658248" behindDoc="0" locked="0" layoutInCell="1" allowOverlap="1" wp14:anchorId="02F2B058" wp14:editId="7E9BD738">
              <wp:simplePos x="635" y="635"/>
              <wp:positionH relativeFrom="page">
                <wp:align>center</wp:align>
              </wp:positionH>
              <wp:positionV relativeFrom="page">
                <wp:align>top</wp:align>
              </wp:positionV>
              <wp:extent cx="551815" cy="405765"/>
              <wp:effectExtent l="0" t="0" r="635" b="13335"/>
              <wp:wrapNone/>
              <wp:docPr id="139185899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1F52446B" w14:textId="321788C6"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F2B058" id="_x0000_t202" coordsize="21600,21600" o:spt="202" path="m,l,21600r21600,l21600,xe">
              <v:stroke joinstyle="miter"/>
              <v:path gradientshapeok="t" o:connecttype="rect"/>
            </v:shapetype>
            <v:shape id="Text Box 5" o:spid="_x0000_s1326" type="#_x0000_t202" alt="OFFICIAL" style="position:absolute;margin-left:0;margin-top:0;width:43.45pt;height:31.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jwo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KS8/X5cRJbv8bJ0P3wRoEo2aOtxKIosd&#10;1j6MqVNKrGVg1SmVNqPMbw7EjJ7s0mG0wrAdSNdg9x+n9rfQHHEqB+PCveWrDmuvmQ9PzOGGcRBU&#10;bXjEQyroawoni5IW3M+/+WM+Eo9RSnpUTE0NSpoS9d3gQqK4klF8ycscb25ybyfD7PUdoA4LfBKW&#10;JzPmBTWZ0oF+QT0vYyEMMcOxXE3DZN6FUbr4HrhYLlMS6siysDYbyyN05CuS+Ty8MGdPjAdc1QNM&#10;cmLVG+LH3Pint8t9QPrTViK3I5EnylGDaa+n9xJF/vqesi6vevEL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AO1jwoDgIAAB0E&#10;AAAOAAAAAAAAAAAAAAAAAC4CAABkcnMvZTJvRG9jLnhtbFBLAQItABQABgAIAAAAIQBqsAMm2gAA&#10;AAMBAAAPAAAAAAAAAAAAAAAAAGgEAABkcnMvZG93bnJldi54bWxQSwUGAAAAAAQABADzAAAAbwUA&#10;AAAA&#10;" filled="f" stroked="f">
              <v:textbox style="mso-fit-shape-to-text:t" inset="0,15pt,0,0">
                <w:txbxContent>
                  <w:p w14:paraId="1F52446B" w14:textId="321788C6"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D1714F">
      <w:t>Independent Financial Review of the NHCDC 2023-24</w:t>
    </w:r>
  </w:p>
  <w:p w14:paraId="4E805EA2" w14:textId="193235A7" w:rsidR="00D1714F" w:rsidRDefault="00A37976" w:rsidP="00E32FC8">
    <w:r>
      <w:rPr>
        <w:noProof/>
      </w:rPr>
      <mc:AlternateContent>
        <mc:Choice Requires="wps">
          <w:drawing>
            <wp:inline distT="0" distB="0" distL="0" distR="0" wp14:anchorId="533E5A16" wp14:editId="158B5E9E">
              <wp:extent cx="684000" cy="324000"/>
              <wp:effectExtent l="0" t="0" r="40005" b="19050"/>
              <wp:docPr id="844030603"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2DBB5514" w14:textId="77777777" w:rsidR="00A37976" w:rsidRPr="00751EAD" w:rsidRDefault="00A37976" w:rsidP="00A37976">
                          <w:pPr>
                            <w:spacing w:after="0"/>
                            <w:rPr>
                              <w:color w:val="auto"/>
                              <w:sz w:val="12"/>
                              <w:szCs w:val="12"/>
                            </w:rPr>
                          </w:pPr>
                          <w:r w:rsidRPr="00751EAD">
                            <w:rPr>
                              <w:color w:val="auto"/>
                              <w:sz w:val="12"/>
                              <w:szCs w:val="12"/>
                            </w:rPr>
                            <w:t>Executive Summary</w:t>
                          </w:r>
                        </w:p>
                        <w:p w14:paraId="06BBAD25" w14:textId="77777777" w:rsidR="00A37976" w:rsidRPr="00751EAD" w:rsidRDefault="00A37976" w:rsidP="00A37976">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33E5A1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27"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" adj="16484" filled="f" strokecolor="#b4b5db [3207]" strokeweight="1pt">
              <v:textbox>
                <w:txbxContent>
                  <w:p w14:paraId="2DBB5514" w14:textId="77777777" w:rsidR="00A37976" w:rsidRPr="00751EAD" w:rsidRDefault="00A37976" w:rsidP="00A37976">
                    <w:pPr>
                      <w:spacing w:after="0"/>
                      <w:rPr>
                        <w:color w:val="auto"/>
                        <w:sz w:val="12"/>
                        <w:szCs w:val="12"/>
                      </w:rPr>
                    </w:pPr>
                    <w:r w:rsidRPr="00751EAD">
                      <w:rPr>
                        <w:color w:val="auto"/>
                        <w:sz w:val="12"/>
                        <w:szCs w:val="12"/>
                      </w:rPr>
                      <w:t>Executive Summary</w:t>
                    </w:r>
                  </w:p>
                  <w:p w14:paraId="06BBAD25" w14:textId="77777777" w:rsidR="00A37976" w:rsidRPr="00751EAD" w:rsidRDefault="00A37976" w:rsidP="00A37976">
                    <w:pPr>
                      <w:rPr>
                        <w:color w:val="auto"/>
                      </w:rPr>
                    </w:pPr>
                  </w:p>
                </w:txbxContent>
              </v:textbox>
              <w10:anchorlock/>
            </v:shape>
          </w:pict>
        </mc:Fallback>
      </mc:AlternateContent>
    </w:r>
    <w:r>
      <w:rPr>
        <w:noProof/>
      </w:rPr>
      <mc:AlternateContent>
        <mc:Choice Requires="wps">
          <w:drawing>
            <wp:inline distT="0" distB="0" distL="0" distR="0" wp14:anchorId="5FE35891" wp14:editId="6CFEA365">
              <wp:extent cx="972000" cy="324000"/>
              <wp:effectExtent l="19050" t="0" r="19050" b="19050"/>
              <wp:docPr id="1489031821"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68EE25DA" w14:textId="77777777" w:rsidR="00A37976" w:rsidRPr="00614A93" w:rsidRDefault="00A37976" w:rsidP="00A37976">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E35891"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28"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" adj="18000" fillcolor="#d1d2e9 [1943]" strokecolor="#b4b5db [3207]" strokeweight="1pt">
              <v:textbox>
                <w:txbxContent>
                  <w:p w14:paraId="68EE25DA" w14:textId="77777777" w:rsidR="00A37976" w:rsidRPr="00614A93" w:rsidRDefault="00A37976" w:rsidP="00A37976">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648799F3" wp14:editId="4129D91E">
              <wp:extent cx="936000" cy="324000"/>
              <wp:effectExtent l="19050" t="0" r="16510" b="19050"/>
              <wp:docPr id="1931633855"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EEBC30D" w14:textId="77777777" w:rsidR="00A37976" w:rsidRPr="000450AC" w:rsidRDefault="00A37976" w:rsidP="00A37976">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8799F3" id="_x0000_s1329"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" adj="17862" fillcolor="white [3201]" strokecolor="#b4b5db [3207]" strokeweight="1pt">
              <v:textbox>
                <w:txbxContent>
                  <w:p w14:paraId="0EEBC30D" w14:textId="77777777" w:rsidR="00A37976" w:rsidRPr="000450AC" w:rsidRDefault="00A37976" w:rsidP="00A37976">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7D7B2591" wp14:editId="785D2B6D">
              <wp:extent cx="1152000" cy="324000"/>
              <wp:effectExtent l="19050" t="0" r="10160" b="19050"/>
              <wp:docPr id="1922890216"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211DD2F" w14:textId="77777777" w:rsidR="00A37976" w:rsidRPr="00A11191" w:rsidRDefault="00A37976" w:rsidP="00A37976">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7B2591" id="_x0000_s1330"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" adj="18563" fillcolor="white [3201]" strokecolor="#b4b5db [3207]" strokeweight="1pt">
              <v:textbox>
                <w:txbxContent>
                  <w:p w14:paraId="6211DD2F" w14:textId="77777777" w:rsidR="00A37976" w:rsidRPr="00A11191" w:rsidRDefault="00A37976" w:rsidP="00A37976">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0B39478B" wp14:editId="2F7A5645">
              <wp:extent cx="936000" cy="324000"/>
              <wp:effectExtent l="19050" t="0" r="16510" b="19050"/>
              <wp:docPr id="188753195"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F62AA25" w14:textId="77777777" w:rsidR="00A37976" w:rsidRPr="00A11191" w:rsidRDefault="00A37976" w:rsidP="00A37976">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39478B" id="_x0000_s1331"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" adj="17862" fillcolor="white [3201]" strokecolor="#b4b5db [3207]" strokeweight="1pt">
              <v:textbox>
                <w:txbxContent>
                  <w:p w14:paraId="6F62AA25" w14:textId="77777777" w:rsidR="00A37976" w:rsidRPr="00A11191" w:rsidRDefault="00A37976" w:rsidP="00A37976">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034C6671" wp14:editId="2502BA92">
              <wp:extent cx="828000" cy="324000"/>
              <wp:effectExtent l="19050" t="0" r="10795" b="19050"/>
              <wp:docPr id="667653708"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1417E59" w14:textId="77777777" w:rsidR="00A37976" w:rsidRPr="00A11191" w:rsidRDefault="00A37976" w:rsidP="00A37976">
                          <w:pPr>
                            <w:spacing w:after="0"/>
                            <w:rPr>
                              <w:color w:val="auto"/>
                              <w:sz w:val="12"/>
                              <w:szCs w:val="12"/>
                            </w:rPr>
                          </w:pPr>
                          <w:r w:rsidRPr="00A11191">
                            <w:rPr>
                              <w:color w:val="auto"/>
                              <w:sz w:val="12"/>
                              <w:szCs w:val="12"/>
                            </w:rPr>
                            <w:t>IHACPA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4C6671" id="_x0000_s1332"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" adj="17374" fillcolor="white [3201]" strokecolor="#b4b5db [3207]" strokeweight="1pt">
              <v:textbox>
                <w:txbxContent>
                  <w:p w14:paraId="51417E59" w14:textId="77777777" w:rsidR="00A37976" w:rsidRPr="00A11191" w:rsidRDefault="00A37976" w:rsidP="00A37976">
                    <w:pPr>
                      <w:spacing w:after="0"/>
                      <w:rPr>
                        <w:color w:val="auto"/>
                        <w:sz w:val="12"/>
                        <w:szCs w:val="12"/>
                      </w:rPr>
                    </w:pPr>
                    <w:r w:rsidRPr="00A11191">
                      <w:rPr>
                        <w:color w:val="auto"/>
                        <w:sz w:val="12"/>
                        <w:szCs w:val="12"/>
                      </w:rPr>
                      <w:t>IHACPA Review</w:t>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6DB15" w14:textId="3AE5C702" w:rsidR="00B178C4" w:rsidRDefault="008172C7" w:rsidP="00EE044A">
    <w:r>
      <w:rPr>
        <w:noProof/>
      </w:rPr>
      <mc:AlternateContent>
        <mc:Choice Requires="wps">
          <w:drawing>
            <wp:anchor distT="0" distB="0" distL="0" distR="0" simplePos="0" relativeHeight="251658249" behindDoc="0" locked="0" layoutInCell="1" allowOverlap="1" wp14:anchorId="37295114" wp14:editId="0F474DC7">
              <wp:simplePos x="635" y="635"/>
              <wp:positionH relativeFrom="page">
                <wp:align>center</wp:align>
              </wp:positionH>
              <wp:positionV relativeFrom="page">
                <wp:align>top</wp:align>
              </wp:positionV>
              <wp:extent cx="551815" cy="405765"/>
              <wp:effectExtent l="0" t="0" r="635" b="13335"/>
              <wp:wrapNone/>
              <wp:docPr id="73595497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6B2DDF90" w14:textId="59E684B5"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295114" id="_x0000_t202" coordsize="21600,21600" o:spt="202" path="m,l,21600r21600,l21600,xe">
              <v:stroke joinstyle="miter"/>
              <v:path gradientshapeok="t" o:connecttype="rect"/>
            </v:shapetype>
            <v:shape id="Text Box 6" o:spid="_x0000_s1333" type="#_x0000_t202" alt="OFFICIAL" style="position:absolute;margin-left:0;margin-top:0;width:43.45pt;height:31.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g7DQIAAB0EAAAOAAAAZHJzL2Uyb0RvYy54bWysU01v2zAMvQ/YfxB0X2wHc9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Py000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" filled="f" stroked="f">
              <v:textbox style="mso-fit-shape-to-text:t" inset="0,15pt,0,0">
                <w:txbxContent>
                  <w:p w14:paraId="6B2DDF90" w14:textId="59E684B5"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B178C4">
      <w:t>Independent Financial Review of the NHCDC 2023-24</w:t>
    </w:r>
  </w:p>
  <w:p w14:paraId="402FC50E" w14:textId="777BB27F" w:rsidR="00B178C4" w:rsidRDefault="0066481B" w:rsidP="00E32FC8">
    <w:r>
      <w:rPr>
        <w:noProof/>
      </w:rPr>
      <mc:AlternateContent>
        <mc:Choice Requires="wps">
          <w:drawing>
            <wp:inline distT="0" distB="0" distL="0" distR="0" wp14:anchorId="462915C0" wp14:editId="6A5EB8F9">
              <wp:extent cx="684000" cy="324000"/>
              <wp:effectExtent l="0" t="0" r="40005" b="19050"/>
              <wp:docPr id="1404000797"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03A7808F" w14:textId="77777777" w:rsidR="0066481B" w:rsidRPr="00751EAD" w:rsidRDefault="0066481B" w:rsidP="0066481B">
                          <w:pPr>
                            <w:spacing w:after="0"/>
                            <w:rPr>
                              <w:color w:val="auto"/>
                              <w:sz w:val="12"/>
                              <w:szCs w:val="12"/>
                            </w:rPr>
                          </w:pPr>
                          <w:r w:rsidRPr="00751EAD">
                            <w:rPr>
                              <w:color w:val="auto"/>
                              <w:sz w:val="12"/>
                              <w:szCs w:val="12"/>
                            </w:rPr>
                            <w:t>Executive Summary</w:t>
                          </w:r>
                        </w:p>
                        <w:p w14:paraId="4BFB9297" w14:textId="77777777" w:rsidR="0066481B" w:rsidRPr="00751EAD" w:rsidRDefault="0066481B" w:rsidP="0066481B">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62915C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34"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" adj="16484" filled="f" strokecolor="#b4b5db [3207]" strokeweight="1pt">
              <v:textbox>
                <w:txbxContent>
                  <w:p w14:paraId="03A7808F" w14:textId="77777777" w:rsidR="0066481B" w:rsidRPr="00751EAD" w:rsidRDefault="0066481B" w:rsidP="0066481B">
                    <w:pPr>
                      <w:spacing w:after="0"/>
                      <w:rPr>
                        <w:color w:val="auto"/>
                        <w:sz w:val="12"/>
                        <w:szCs w:val="12"/>
                      </w:rPr>
                    </w:pPr>
                    <w:r w:rsidRPr="00751EAD">
                      <w:rPr>
                        <w:color w:val="auto"/>
                        <w:sz w:val="12"/>
                        <w:szCs w:val="12"/>
                      </w:rPr>
                      <w:t>Executive Summary</w:t>
                    </w:r>
                  </w:p>
                  <w:p w14:paraId="4BFB9297" w14:textId="77777777" w:rsidR="0066481B" w:rsidRPr="00751EAD" w:rsidRDefault="0066481B" w:rsidP="0066481B">
                    <w:pPr>
                      <w:rPr>
                        <w:color w:val="auto"/>
                      </w:rPr>
                    </w:pPr>
                  </w:p>
                </w:txbxContent>
              </v:textbox>
              <w10:anchorlock/>
            </v:shape>
          </w:pict>
        </mc:Fallback>
      </mc:AlternateContent>
    </w:r>
    <w:r>
      <w:rPr>
        <w:noProof/>
      </w:rPr>
      <mc:AlternateContent>
        <mc:Choice Requires="wps">
          <w:drawing>
            <wp:inline distT="0" distB="0" distL="0" distR="0" wp14:anchorId="3BD85B74" wp14:editId="502ECADD">
              <wp:extent cx="972000" cy="324000"/>
              <wp:effectExtent l="19050" t="0" r="19050" b="19050"/>
              <wp:docPr id="882985282"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0D337DE1" w14:textId="77777777" w:rsidR="0066481B" w:rsidRPr="00614A93" w:rsidRDefault="0066481B" w:rsidP="0066481B">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BD85B7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35"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" adj="18000" filled="f" strokecolor="#b4b5db [3207]" strokeweight="1pt">
              <v:textbox>
                <w:txbxContent>
                  <w:p w14:paraId="0D337DE1" w14:textId="77777777" w:rsidR="0066481B" w:rsidRPr="00614A93" w:rsidRDefault="0066481B" w:rsidP="0066481B">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0B8BD890" wp14:editId="7ECF2576">
              <wp:extent cx="936000" cy="324000"/>
              <wp:effectExtent l="19050" t="0" r="16510" b="19050"/>
              <wp:docPr id="790935776"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0B70DE1C" w14:textId="77777777" w:rsidR="0066481B" w:rsidRPr="000450AC" w:rsidRDefault="0066481B" w:rsidP="0066481B">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8BD890" id="_x0000_s1336"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" adj="17862" fillcolor="#d1d2e9 [1943]" strokecolor="#b4b5db [3207]" strokeweight="1pt">
              <v:textbox>
                <w:txbxContent>
                  <w:p w14:paraId="0B70DE1C" w14:textId="77777777" w:rsidR="0066481B" w:rsidRPr="000450AC" w:rsidRDefault="0066481B" w:rsidP="0066481B">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043F7C21" wp14:editId="1289A63A">
              <wp:extent cx="1152000" cy="324000"/>
              <wp:effectExtent l="19050" t="0" r="10160" b="19050"/>
              <wp:docPr id="1589097548"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4058296" w14:textId="77777777" w:rsidR="0066481B" w:rsidRPr="00A11191" w:rsidRDefault="0066481B" w:rsidP="0066481B">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3F7C21" id="_x0000_s1337"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" adj="18563" fillcolor="white [3201]" strokecolor="#b4b5db [3207]" strokeweight="1pt">
              <v:textbox>
                <w:txbxContent>
                  <w:p w14:paraId="04058296" w14:textId="77777777" w:rsidR="0066481B" w:rsidRPr="00A11191" w:rsidRDefault="0066481B" w:rsidP="0066481B">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2FE0AC83" wp14:editId="5946E080">
              <wp:extent cx="936000" cy="324000"/>
              <wp:effectExtent l="19050" t="0" r="16510" b="19050"/>
              <wp:docPr id="757534726"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9C54F92" w14:textId="77777777" w:rsidR="0066481B" w:rsidRPr="00A11191" w:rsidRDefault="0066481B" w:rsidP="0066481B">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E0AC83" id="_x0000_s1338"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" adj="17862" fillcolor="white [3201]" strokecolor="#b4b5db [3207]" strokeweight="1pt">
              <v:textbox>
                <w:txbxContent>
                  <w:p w14:paraId="59C54F92" w14:textId="77777777" w:rsidR="0066481B" w:rsidRPr="00A11191" w:rsidRDefault="0066481B" w:rsidP="0066481B">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0F1F7036" wp14:editId="442075B3">
              <wp:extent cx="828000" cy="324000"/>
              <wp:effectExtent l="19050" t="0" r="10795" b="19050"/>
              <wp:docPr id="1246323593"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18A8602" w14:textId="77777777" w:rsidR="0066481B" w:rsidRPr="00A11191" w:rsidRDefault="0066481B" w:rsidP="0066481B">
                          <w:pPr>
                            <w:spacing w:after="0"/>
                            <w:rPr>
                              <w:color w:val="auto"/>
                              <w:sz w:val="12"/>
                              <w:szCs w:val="12"/>
                            </w:rPr>
                          </w:pPr>
                          <w:r w:rsidRPr="00A11191">
                            <w:rPr>
                              <w:color w:val="auto"/>
                              <w:sz w:val="12"/>
                              <w:szCs w:val="12"/>
                            </w:rPr>
                            <w:t>IHACPA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1F7036" id="_x0000_s1339"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" adj="17374" fillcolor="white [3201]" strokecolor="#b4b5db [3207]" strokeweight="1pt">
              <v:textbox>
                <w:txbxContent>
                  <w:p w14:paraId="018A8602" w14:textId="77777777" w:rsidR="0066481B" w:rsidRPr="00A11191" w:rsidRDefault="0066481B" w:rsidP="0066481B">
                    <w:pPr>
                      <w:spacing w:after="0"/>
                      <w:rPr>
                        <w:color w:val="auto"/>
                        <w:sz w:val="12"/>
                        <w:szCs w:val="12"/>
                      </w:rPr>
                    </w:pPr>
                    <w:r w:rsidRPr="00A11191">
                      <w:rPr>
                        <w:color w:val="auto"/>
                        <w:sz w:val="12"/>
                        <w:szCs w:val="12"/>
                      </w:rPr>
                      <w:t>IHACPA Review</w:t>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04887" w14:textId="36C60C77" w:rsidR="00B178C4" w:rsidRDefault="008172C7" w:rsidP="00EE044A">
    <w:r>
      <w:rPr>
        <w:noProof/>
      </w:rPr>
      <mc:AlternateContent>
        <mc:Choice Requires="wps">
          <w:drawing>
            <wp:anchor distT="0" distB="0" distL="0" distR="0" simplePos="0" relativeHeight="251658250" behindDoc="0" locked="0" layoutInCell="1" allowOverlap="1" wp14:anchorId="5500B51C" wp14:editId="32FDBE3E">
              <wp:simplePos x="635" y="635"/>
              <wp:positionH relativeFrom="page">
                <wp:align>center</wp:align>
              </wp:positionH>
              <wp:positionV relativeFrom="page">
                <wp:align>top</wp:align>
              </wp:positionV>
              <wp:extent cx="551815" cy="405765"/>
              <wp:effectExtent l="0" t="0" r="635" b="13335"/>
              <wp:wrapNone/>
              <wp:docPr id="70726502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46B4F00" w14:textId="43C27037"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0B51C" id="_x0000_t202" coordsize="21600,21600" o:spt="202" path="m,l,21600r21600,l21600,xe">
              <v:stroke joinstyle="miter"/>
              <v:path gradientshapeok="t" o:connecttype="rect"/>
            </v:shapetype>
            <v:shape id="Text Box 7" o:spid="_x0000_s1340" type="#_x0000_t202" alt="OFFICIAL" style="position:absolute;margin-left:0;margin-top:0;width:43.45pt;height:31.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VNq1iw8CAAAd&#10;BAAADgAAAAAAAAAAAAAAAAAuAgAAZHJzL2Uyb0RvYy54bWxQSwECLQAUAAYACAAAACEAarADJtoA&#10;AAADAQAADwAAAAAAAAAAAAAAAABpBAAAZHJzL2Rvd25yZXYueG1sUEsFBgAAAAAEAAQA8wAAAHAF&#10;AAAAAA==&#10;" filled="f" stroked="f">
              <v:textbox style="mso-fit-shape-to-text:t" inset="0,15pt,0,0">
                <w:txbxContent>
                  <w:p w14:paraId="246B4F00" w14:textId="43C27037"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B178C4">
      <w:t>Independent Financial Review of the NHCDC 2023-24</w:t>
    </w:r>
  </w:p>
  <w:p w14:paraId="07243964" w14:textId="3D55E604" w:rsidR="000865AA" w:rsidRDefault="000865AA" w:rsidP="000865AA">
    <w:r>
      <w:rPr>
        <w:noProof/>
      </w:rPr>
      <mc:AlternateContent>
        <mc:Choice Requires="wps">
          <w:drawing>
            <wp:inline distT="0" distB="0" distL="0" distR="0" wp14:anchorId="595D725E" wp14:editId="70F9569D">
              <wp:extent cx="684000" cy="324000"/>
              <wp:effectExtent l="0" t="0" r="40005" b="19050"/>
              <wp:docPr id="459901592"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1457E3CA" w14:textId="77777777" w:rsidR="000865AA" w:rsidRPr="00751EAD" w:rsidRDefault="000865AA" w:rsidP="000865AA">
                          <w:pPr>
                            <w:spacing w:after="0"/>
                            <w:rPr>
                              <w:color w:val="auto"/>
                              <w:sz w:val="12"/>
                              <w:szCs w:val="12"/>
                            </w:rPr>
                          </w:pPr>
                          <w:r w:rsidRPr="00751EAD">
                            <w:rPr>
                              <w:color w:val="auto"/>
                              <w:sz w:val="12"/>
                              <w:szCs w:val="12"/>
                            </w:rPr>
                            <w:t>Executive Summary</w:t>
                          </w:r>
                        </w:p>
                        <w:p w14:paraId="0ACA68D2" w14:textId="77777777" w:rsidR="000865AA" w:rsidRPr="00751EAD" w:rsidRDefault="000865AA" w:rsidP="000865AA">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95D725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41"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" adj="16484" filled="f" strokecolor="#b4b5db [3207]" strokeweight="1pt">
              <v:textbox>
                <w:txbxContent>
                  <w:p w14:paraId="1457E3CA" w14:textId="77777777" w:rsidR="000865AA" w:rsidRPr="00751EAD" w:rsidRDefault="000865AA" w:rsidP="000865AA">
                    <w:pPr>
                      <w:spacing w:after="0"/>
                      <w:rPr>
                        <w:color w:val="auto"/>
                        <w:sz w:val="12"/>
                        <w:szCs w:val="12"/>
                      </w:rPr>
                    </w:pPr>
                    <w:r w:rsidRPr="00751EAD">
                      <w:rPr>
                        <w:color w:val="auto"/>
                        <w:sz w:val="12"/>
                        <w:szCs w:val="12"/>
                      </w:rPr>
                      <w:t>Executive Summary</w:t>
                    </w:r>
                  </w:p>
                  <w:p w14:paraId="0ACA68D2" w14:textId="77777777" w:rsidR="000865AA" w:rsidRPr="00751EAD" w:rsidRDefault="000865AA" w:rsidP="000865AA">
                    <w:pPr>
                      <w:rPr>
                        <w:color w:val="auto"/>
                      </w:rPr>
                    </w:pPr>
                  </w:p>
                </w:txbxContent>
              </v:textbox>
              <w10:anchorlock/>
            </v:shape>
          </w:pict>
        </mc:Fallback>
      </mc:AlternateContent>
    </w:r>
    <w:r>
      <w:rPr>
        <w:noProof/>
      </w:rPr>
      <mc:AlternateContent>
        <mc:Choice Requires="wps">
          <w:drawing>
            <wp:inline distT="0" distB="0" distL="0" distR="0" wp14:anchorId="287CB667" wp14:editId="536E6083">
              <wp:extent cx="972000" cy="324000"/>
              <wp:effectExtent l="19050" t="0" r="19050" b="19050"/>
              <wp:docPr id="1380420729"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1223E8C1" w14:textId="77777777" w:rsidR="000865AA" w:rsidRPr="00614A93" w:rsidRDefault="000865AA" w:rsidP="000865AA">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87CB66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42"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" adj="18000" filled="f" strokecolor="#b4b5db [3207]" strokeweight="1pt">
              <v:textbox>
                <w:txbxContent>
                  <w:p w14:paraId="1223E8C1" w14:textId="77777777" w:rsidR="000865AA" w:rsidRPr="00614A93" w:rsidRDefault="000865AA" w:rsidP="000865AA">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4C796C4A" wp14:editId="24C4D284">
              <wp:extent cx="936000" cy="324000"/>
              <wp:effectExtent l="19050" t="0" r="16510" b="19050"/>
              <wp:docPr id="1659705321"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06A4EAE4" w14:textId="77777777" w:rsidR="000865AA" w:rsidRPr="000450AC" w:rsidRDefault="000865AA" w:rsidP="000865AA">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796C4A" id="_x0000_s1343"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" adj="17862" filled="f" strokecolor="#b4b5db [3207]" strokeweight="1pt">
              <v:textbox>
                <w:txbxContent>
                  <w:p w14:paraId="06A4EAE4" w14:textId="77777777" w:rsidR="000865AA" w:rsidRPr="000450AC" w:rsidRDefault="000865AA" w:rsidP="000865AA">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42929DA4" wp14:editId="32695193">
              <wp:extent cx="1152000" cy="324000"/>
              <wp:effectExtent l="19050" t="0" r="10160" b="19050"/>
              <wp:docPr id="1106176655"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7FD3D7D5" w14:textId="77777777" w:rsidR="000865AA" w:rsidRPr="00A11191" w:rsidRDefault="000865AA" w:rsidP="000865AA">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929DA4" id="_x0000_s1344"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" adj="18563" fillcolor="#d1d2e9 [1943]" strokecolor="#b4b5db [3207]" strokeweight="1pt">
              <v:textbox>
                <w:txbxContent>
                  <w:p w14:paraId="7FD3D7D5" w14:textId="77777777" w:rsidR="000865AA" w:rsidRPr="00A11191" w:rsidRDefault="000865AA" w:rsidP="000865AA">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135938BE" wp14:editId="60E29B47">
              <wp:extent cx="936000" cy="324000"/>
              <wp:effectExtent l="19050" t="0" r="16510" b="19050"/>
              <wp:docPr id="2065168207"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3D980971" w14:textId="77777777" w:rsidR="000865AA" w:rsidRPr="00A11191" w:rsidRDefault="000865AA" w:rsidP="000865AA">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5938BE" id="_x0000_s1345"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" adj="17862" fillcolor="white [3201]" strokecolor="#b4b5db [3207]" strokeweight="1pt">
              <v:textbox>
                <w:txbxContent>
                  <w:p w14:paraId="3D980971" w14:textId="77777777" w:rsidR="000865AA" w:rsidRPr="00A11191" w:rsidRDefault="000865AA" w:rsidP="000865AA">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706BCCDB" wp14:editId="729ED422">
              <wp:extent cx="828000" cy="324000"/>
              <wp:effectExtent l="19050" t="0" r="10795" b="19050"/>
              <wp:docPr id="495167632"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CAF16E2" w14:textId="77777777" w:rsidR="000865AA" w:rsidRPr="00A11191" w:rsidRDefault="000865AA" w:rsidP="000865AA">
                          <w:pPr>
                            <w:spacing w:after="0"/>
                            <w:rPr>
                              <w:color w:val="auto"/>
                              <w:sz w:val="12"/>
                              <w:szCs w:val="12"/>
                            </w:rPr>
                          </w:pPr>
                          <w:r w:rsidRPr="00A11191">
                            <w:rPr>
                              <w:color w:val="auto"/>
                              <w:sz w:val="12"/>
                              <w:szCs w:val="12"/>
                            </w:rPr>
                            <w:t>IHACPA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6BCCDB" id="_x0000_s1346"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" adj="17374" fillcolor="white [3201]" strokecolor="#b4b5db [3207]" strokeweight="1pt">
              <v:textbox>
                <w:txbxContent>
                  <w:p w14:paraId="0CAF16E2" w14:textId="77777777" w:rsidR="000865AA" w:rsidRPr="00A11191" w:rsidRDefault="000865AA" w:rsidP="000865AA">
                    <w:pPr>
                      <w:spacing w:after="0"/>
                      <w:rPr>
                        <w:color w:val="auto"/>
                        <w:sz w:val="12"/>
                        <w:szCs w:val="12"/>
                      </w:rPr>
                    </w:pPr>
                    <w:r w:rsidRPr="00A11191">
                      <w:rPr>
                        <w:color w:val="auto"/>
                        <w:sz w:val="12"/>
                        <w:szCs w:val="12"/>
                      </w:rPr>
                      <w:t>IHACPA Review</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AA8AA" w14:textId="5CF9FAD7" w:rsidR="00182574" w:rsidRDefault="008172C7" w:rsidP="00B8049B">
    <w:r>
      <w:rPr>
        <w:noProof/>
      </w:rPr>
      <mc:AlternateContent>
        <mc:Choice Requires="wps">
          <w:drawing>
            <wp:anchor distT="0" distB="0" distL="0" distR="0" simplePos="0" relativeHeight="251658251" behindDoc="0" locked="0" layoutInCell="1" allowOverlap="1" wp14:anchorId="11AFA07C" wp14:editId="49AEB345">
              <wp:simplePos x="635" y="635"/>
              <wp:positionH relativeFrom="page">
                <wp:align>center</wp:align>
              </wp:positionH>
              <wp:positionV relativeFrom="page">
                <wp:align>top</wp:align>
              </wp:positionV>
              <wp:extent cx="551815" cy="405765"/>
              <wp:effectExtent l="0" t="0" r="635" b="13335"/>
              <wp:wrapNone/>
              <wp:docPr id="86041488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6895C504" w14:textId="54B42AF4"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FA07C" id="_x0000_t202" coordsize="21600,21600" o:spt="202" path="m,l,21600r21600,l21600,xe">
              <v:stroke joinstyle="miter"/>
              <v:path gradientshapeok="t" o:connecttype="rect"/>
            </v:shapetype>
            <v:shape id="Text Box 8" o:spid="_x0000_s1347" type="#_x0000_t202" alt="OFFICIAL" style="position:absolute;margin-left:0;margin-top:0;width:43.45pt;height:31.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" filled="f" stroked="f">
              <v:textbox style="mso-fit-shape-to-text:t" inset="0,15pt,0,0">
                <w:txbxContent>
                  <w:p w14:paraId="6895C504" w14:textId="54B42AF4"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EE044A">
      <w:t>Independent Financial Review of the NHCDC 2023-24</w:t>
    </w:r>
  </w:p>
  <w:p w14:paraId="11B3F73E" w14:textId="02429E28" w:rsidR="00B8049B" w:rsidRDefault="00B8049B" w:rsidP="00B8049B">
    <w:pPr>
      <w:spacing w:after="0"/>
    </w:pPr>
    <w:r>
      <w:rPr>
        <w:noProof/>
      </w:rPr>
      <mc:AlternateContent>
        <mc:Choice Requires="wps">
          <w:drawing>
            <wp:inline distT="0" distB="0" distL="0" distR="0" wp14:anchorId="4020AD63" wp14:editId="6987A73D">
              <wp:extent cx="684000" cy="324000"/>
              <wp:effectExtent l="0" t="0" r="40005" b="19050"/>
              <wp:docPr id="1660305609"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3D62D5C4" w14:textId="77777777" w:rsidR="00B8049B" w:rsidRPr="00751EAD" w:rsidRDefault="00B8049B" w:rsidP="00B8049B">
                          <w:pPr>
                            <w:spacing w:after="0"/>
                            <w:rPr>
                              <w:color w:val="auto"/>
                              <w:sz w:val="12"/>
                              <w:szCs w:val="12"/>
                            </w:rPr>
                          </w:pPr>
                          <w:r w:rsidRPr="00751EAD">
                            <w:rPr>
                              <w:color w:val="auto"/>
                              <w:sz w:val="12"/>
                              <w:szCs w:val="12"/>
                            </w:rPr>
                            <w:t>Executive Summary</w:t>
                          </w:r>
                        </w:p>
                        <w:p w14:paraId="13AF87FD" w14:textId="77777777" w:rsidR="00B8049B" w:rsidRPr="00751EAD" w:rsidRDefault="00B8049B" w:rsidP="00B8049B">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020AD6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48"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" adj="16484" filled="f" strokecolor="#b4b5db [3207]" strokeweight="1pt">
              <v:textbox>
                <w:txbxContent>
                  <w:p w14:paraId="3D62D5C4" w14:textId="77777777" w:rsidR="00B8049B" w:rsidRPr="00751EAD" w:rsidRDefault="00B8049B" w:rsidP="00B8049B">
                    <w:pPr>
                      <w:spacing w:after="0"/>
                      <w:rPr>
                        <w:color w:val="auto"/>
                        <w:sz w:val="12"/>
                        <w:szCs w:val="12"/>
                      </w:rPr>
                    </w:pPr>
                    <w:r w:rsidRPr="00751EAD">
                      <w:rPr>
                        <w:color w:val="auto"/>
                        <w:sz w:val="12"/>
                        <w:szCs w:val="12"/>
                      </w:rPr>
                      <w:t>Executive Summary</w:t>
                    </w:r>
                  </w:p>
                  <w:p w14:paraId="13AF87FD" w14:textId="77777777" w:rsidR="00B8049B" w:rsidRPr="00751EAD" w:rsidRDefault="00B8049B" w:rsidP="00B8049B">
                    <w:pPr>
                      <w:rPr>
                        <w:color w:val="auto"/>
                      </w:rPr>
                    </w:pPr>
                  </w:p>
                </w:txbxContent>
              </v:textbox>
              <w10:anchorlock/>
            </v:shape>
          </w:pict>
        </mc:Fallback>
      </mc:AlternateContent>
    </w:r>
    <w:r>
      <w:rPr>
        <w:noProof/>
      </w:rPr>
      <mc:AlternateContent>
        <mc:Choice Requires="wps">
          <w:drawing>
            <wp:inline distT="0" distB="0" distL="0" distR="0" wp14:anchorId="1A78B0D3" wp14:editId="7756402E">
              <wp:extent cx="972000" cy="324000"/>
              <wp:effectExtent l="19050" t="0" r="19050" b="19050"/>
              <wp:docPr id="1157038634"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5000A8D6" w14:textId="77777777" w:rsidR="00B8049B" w:rsidRPr="00614A93" w:rsidRDefault="00B8049B" w:rsidP="00B8049B">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78B0D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49"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" adj="18000" filled="f" strokecolor="#b4b5db [3207]" strokeweight="1pt">
              <v:textbox>
                <w:txbxContent>
                  <w:p w14:paraId="5000A8D6" w14:textId="77777777" w:rsidR="00B8049B" w:rsidRPr="00614A93" w:rsidRDefault="00B8049B" w:rsidP="00B8049B">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4217F181" wp14:editId="2B98B782">
              <wp:extent cx="936000" cy="324000"/>
              <wp:effectExtent l="19050" t="0" r="16510" b="19050"/>
              <wp:docPr id="995474478"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4459EEDC" w14:textId="77777777" w:rsidR="00B8049B" w:rsidRPr="000450AC" w:rsidRDefault="00B8049B" w:rsidP="00B8049B">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17F181" id="_x0000_s1350"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" adj="17862" fillcolor="white [3201]" strokecolor="#b4b5db [3207]" strokeweight="1pt">
              <v:textbox>
                <w:txbxContent>
                  <w:p w14:paraId="4459EEDC" w14:textId="77777777" w:rsidR="00B8049B" w:rsidRPr="000450AC" w:rsidRDefault="00B8049B" w:rsidP="00B8049B">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1CC4C14F" wp14:editId="4338A753">
              <wp:extent cx="1152000" cy="324000"/>
              <wp:effectExtent l="19050" t="0" r="10160" b="19050"/>
              <wp:docPr id="705256609"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492D54F3" w14:textId="77777777" w:rsidR="00B8049B" w:rsidRPr="00A11191" w:rsidRDefault="00B8049B" w:rsidP="00B8049B">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C4C14F" id="_x0000_s1351"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" adj="18563" fillcolor="white [3201]" strokecolor="#b4b5db [3207]" strokeweight="1pt">
              <v:textbox>
                <w:txbxContent>
                  <w:p w14:paraId="492D54F3" w14:textId="77777777" w:rsidR="00B8049B" w:rsidRPr="00A11191" w:rsidRDefault="00B8049B" w:rsidP="00B8049B">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559347F5" wp14:editId="690F8FEE">
              <wp:extent cx="936000" cy="324000"/>
              <wp:effectExtent l="19050" t="0" r="16510" b="19050"/>
              <wp:docPr id="72495777"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46A24AB6" w14:textId="77777777" w:rsidR="00B8049B" w:rsidRPr="00A11191" w:rsidRDefault="00B8049B" w:rsidP="00B8049B">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9347F5" id="_x0000_s1352"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" adj="17862" fillcolor="#d1d2e9 [1943]" strokecolor="#b4b5db [3207]" strokeweight="1pt">
              <v:textbox>
                <w:txbxContent>
                  <w:p w14:paraId="46A24AB6" w14:textId="77777777" w:rsidR="00B8049B" w:rsidRPr="00A11191" w:rsidRDefault="00B8049B" w:rsidP="00B8049B">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403CB55E" wp14:editId="7406BC26">
              <wp:extent cx="828000" cy="324000"/>
              <wp:effectExtent l="19050" t="0" r="10795" b="19050"/>
              <wp:docPr id="1439492288"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5B1901F4" w14:textId="77777777" w:rsidR="00B8049B" w:rsidRPr="00A11191" w:rsidRDefault="00B8049B" w:rsidP="00B8049B">
                          <w:pPr>
                            <w:spacing w:after="0"/>
                            <w:rPr>
                              <w:color w:val="auto"/>
                              <w:sz w:val="12"/>
                              <w:szCs w:val="12"/>
                            </w:rPr>
                          </w:pPr>
                          <w:r w:rsidRPr="00A11191">
                            <w:rPr>
                              <w:color w:val="auto"/>
                              <w:sz w:val="12"/>
                              <w:szCs w:val="12"/>
                            </w:rPr>
                            <w:t>IHACPA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CB55E" id="_x0000_s1353"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" adj="17374" fillcolor="white [3201]" strokecolor="#b4b5db [3207]" strokeweight="1pt">
              <v:textbox>
                <w:txbxContent>
                  <w:p w14:paraId="5B1901F4" w14:textId="77777777" w:rsidR="00B8049B" w:rsidRPr="00A11191" w:rsidRDefault="00B8049B" w:rsidP="00B8049B">
                    <w:pPr>
                      <w:spacing w:after="0"/>
                      <w:rPr>
                        <w:color w:val="auto"/>
                        <w:sz w:val="12"/>
                        <w:szCs w:val="12"/>
                      </w:rPr>
                    </w:pPr>
                    <w:r w:rsidRPr="00A11191">
                      <w:rPr>
                        <w:color w:val="auto"/>
                        <w:sz w:val="12"/>
                        <w:szCs w:val="12"/>
                      </w:rPr>
                      <w:t>IHACPA Review</w:t>
                    </w:r>
                  </w:p>
                </w:txbxContent>
              </v:textbox>
              <w10:anchorlock/>
            </v:shape>
          </w:pict>
        </mc:Fallback>
      </mc:AlternateContent>
    </w:r>
  </w:p>
  <w:p w14:paraId="37727798" w14:textId="21B74DB4" w:rsidR="00E901C5" w:rsidRPr="001729F2" w:rsidRDefault="00B8049B" w:rsidP="00603BBE">
    <w:r>
      <w:rPr>
        <w:noProof/>
      </w:rPr>
      <mc:AlternateContent>
        <mc:Choice Requires="wps">
          <w:drawing>
            <wp:inline distT="0" distB="0" distL="0" distR="0" wp14:anchorId="11D9D6C5" wp14:editId="3BA9E815">
              <wp:extent cx="540000" cy="180000"/>
              <wp:effectExtent l="0" t="0" r="31750" b="10795"/>
              <wp:docPr id="1915721951" name="Arrow: Pentagon 1"/>
              <wp:cNvGraphicFramePr/>
              <a:graphic xmlns:a="http://schemas.openxmlformats.org/drawingml/2006/main">
                <a:graphicData uri="http://schemas.microsoft.com/office/word/2010/wordprocessingShape">
                  <wps:wsp>
                    <wps:cNvSpPr/>
                    <wps:spPr>
                      <a:xfrm>
                        <a:off x="0" y="0"/>
                        <a:ext cx="540000" cy="180000"/>
                      </a:xfrm>
                      <a:prstGeom prst="homePlate">
                        <a:avLst/>
                      </a:prstGeom>
                      <a:solidFill>
                        <a:schemeClr val="accent4">
                          <a:lumMod val="60000"/>
                          <a:lumOff val="40000"/>
                        </a:schemeClr>
                      </a:solid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77107A85" w14:textId="47A7EB09" w:rsidR="00B8049B" w:rsidRPr="00751EAD" w:rsidRDefault="00B8049B" w:rsidP="00B8049B">
                          <w:pPr>
                            <w:rPr>
                              <w:color w:val="auto"/>
                            </w:rPr>
                          </w:pPr>
                          <w:r>
                            <w:rPr>
                              <w:color w:val="auto"/>
                              <w:sz w:val="12"/>
                              <w:szCs w:val="12"/>
                            </w:rPr>
                            <w:t>NSW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D9D6C5" id="_x0000_s1354" type="#_x0000_t1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" adj="18000" fillcolor="#d1d2e9 [1943]" strokecolor="#b4b5db [3207]" strokeweight="1pt">
              <v:textbox>
                <w:txbxContent>
                  <w:p w14:paraId="77107A85" w14:textId="47A7EB09" w:rsidR="00B8049B" w:rsidRPr="00751EAD" w:rsidRDefault="00B8049B" w:rsidP="00B8049B">
                    <w:pPr>
                      <w:rPr>
                        <w:color w:val="auto"/>
                      </w:rPr>
                    </w:pPr>
                    <w:r>
                      <w:rPr>
                        <w:color w:val="auto"/>
                        <w:sz w:val="12"/>
                        <w:szCs w:val="12"/>
                      </w:rPr>
                      <w:t>NSW</w:t>
                    </w:r>
                  </w:p>
                </w:txbxContent>
              </v:textbox>
              <w10:anchorlock/>
            </v:shape>
          </w:pict>
        </mc:Fallback>
      </mc:AlternateContent>
    </w:r>
    <w:r>
      <w:rPr>
        <w:noProof/>
      </w:rPr>
      <mc:AlternateContent>
        <mc:Choice Requires="wps">
          <w:drawing>
            <wp:inline distT="0" distB="0" distL="0" distR="0" wp14:anchorId="4082FFEA" wp14:editId="0067C05D">
              <wp:extent cx="540000" cy="180000"/>
              <wp:effectExtent l="19050" t="0" r="12700" b="10795"/>
              <wp:docPr id="2088889396"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4E39404B" w14:textId="7FFA08C8" w:rsidR="00B8049B" w:rsidRPr="00614A93" w:rsidRDefault="00B8049B" w:rsidP="00B8049B">
                          <w:pPr>
                            <w:spacing w:after="0"/>
                            <w:rPr>
                              <w:color w:val="auto"/>
                              <w:sz w:val="12"/>
                              <w:szCs w:val="12"/>
                            </w:rPr>
                          </w:pPr>
                          <w:r>
                            <w:rPr>
                              <w:color w:val="auto"/>
                              <w:sz w:val="12"/>
                              <w:szCs w:val="12"/>
                            </w:rPr>
                            <w:t>Vic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82FFEA" id="_x0000_s1355"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" adj="18000" filled="f" strokecolor="#b4b5db [3207]" strokeweight="1pt">
              <v:textbox>
                <w:txbxContent>
                  <w:p w14:paraId="4E39404B" w14:textId="7FFA08C8" w:rsidR="00B8049B" w:rsidRPr="00614A93" w:rsidRDefault="00B8049B" w:rsidP="00B8049B">
                    <w:pPr>
                      <w:spacing w:after="0"/>
                      <w:rPr>
                        <w:color w:val="auto"/>
                        <w:sz w:val="12"/>
                        <w:szCs w:val="12"/>
                      </w:rPr>
                    </w:pPr>
                    <w:r>
                      <w:rPr>
                        <w:color w:val="auto"/>
                        <w:sz w:val="12"/>
                        <w:szCs w:val="12"/>
                      </w:rPr>
                      <w:t>Vic</w:t>
                    </w:r>
                  </w:p>
                </w:txbxContent>
              </v:textbox>
              <w10:anchorlock/>
            </v:shape>
          </w:pict>
        </mc:Fallback>
      </mc:AlternateContent>
    </w:r>
    <w:r>
      <w:rPr>
        <w:noProof/>
      </w:rPr>
      <mc:AlternateContent>
        <mc:Choice Requires="wps">
          <w:drawing>
            <wp:inline distT="0" distB="0" distL="0" distR="0" wp14:anchorId="38CFF416" wp14:editId="1A1C3977">
              <wp:extent cx="540000" cy="180000"/>
              <wp:effectExtent l="19050" t="0" r="12700" b="10795"/>
              <wp:docPr id="305105166"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5646061" w14:textId="15A04B01" w:rsidR="00B8049B" w:rsidRPr="000450AC" w:rsidRDefault="00B33D4A" w:rsidP="00B8049B">
                          <w:pPr>
                            <w:spacing w:after="0"/>
                            <w:rPr>
                              <w:color w:val="auto"/>
                              <w:sz w:val="12"/>
                              <w:szCs w:val="12"/>
                            </w:rPr>
                          </w:pPr>
                          <w:r>
                            <w:rPr>
                              <w:color w:val="auto"/>
                              <w:sz w:val="12"/>
                              <w:szCs w:val="12"/>
                            </w:rPr>
                            <w:t>Q</w:t>
                          </w:r>
                          <w:r w:rsidR="00F90E4C">
                            <w:rPr>
                              <w:color w:val="auto"/>
                              <w:sz w:val="12"/>
                              <w:szCs w:val="12"/>
                            </w:rPr>
                            <w:t>ld</w:t>
                          </w:r>
                          <w:r>
                            <w:rPr>
                              <w:color w:val="auto"/>
                              <w:sz w:val="12"/>
                              <w:szCs w:val="12"/>
                            </w:rPr>
                            <w:t>ensland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CFF416" id="_x0000_s1356"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" adj="18000" fillcolor="white [3201]" strokecolor="#b4b5db [3207]" strokeweight="1pt">
              <v:textbox>
                <w:txbxContent>
                  <w:p w14:paraId="05646061" w14:textId="15A04B01" w:rsidR="00B8049B" w:rsidRPr="000450AC" w:rsidRDefault="00B33D4A" w:rsidP="00B8049B">
                    <w:pPr>
                      <w:spacing w:after="0"/>
                      <w:rPr>
                        <w:color w:val="auto"/>
                        <w:sz w:val="12"/>
                        <w:szCs w:val="12"/>
                      </w:rPr>
                    </w:pPr>
                    <w:r>
                      <w:rPr>
                        <w:color w:val="auto"/>
                        <w:sz w:val="12"/>
                        <w:szCs w:val="12"/>
                      </w:rPr>
                      <w:t>Q</w:t>
                    </w:r>
                    <w:r w:rsidR="00F90E4C">
                      <w:rPr>
                        <w:color w:val="auto"/>
                        <w:sz w:val="12"/>
                        <w:szCs w:val="12"/>
                      </w:rPr>
                      <w:t>ld</w:t>
                    </w:r>
                    <w:r>
                      <w:rPr>
                        <w:color w:val="auto"/>
                        <w:sz w:val="12"/>
                        <w:szCs w:val="12"/>
                      </w:rPr>
                      <w:t>ensland</w:t>
                    </w:r>
                  </w:p>
                </w:txbxContent>
              </v:textbox>
              <w10:anchorlock/>
            </v:shape>
          </w:pict>
        </mc:Fallback>
      </mc:AlternateContent>
    </w:r>
    <w:r>
      <w:rPr>
        <w:noProof/>
      </w:rPr>
      <mc:AlternateContent>
        <mc:Choice Requires="wps">
          <w:drawing>
            <wp:inline distT="0" distB="0" distL="0" distR="0" wp14:anchorId="0534B392" wp14:editId="183EAF8B">
              <wp:extent cx="540000" cy="180000"/>
              <wp:effectExtent l="19050" t="0" r="12700" b="10795"/>
              <wp:docPr id="1547374151"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6D228A0" w14:textId="033B5168" w:rsidR="00B8049B" w:rsidRPr="00A11191" w:rsidRDefault="00B8049B" w:rsidP="00B8049B">
                          <w:pPr>
                            <w:spacing w:after="0"/>
                            <w:rPr>
                              <w:color w:val="auto"/>
                              <w:sz w:val="12"/>
                              <w:szCs w:val="12"/>
                            </w:rPr>
                          </w:pPr>
                          <w:r>
                            <w:rPr>
                              <w:color w:val="auto"/>
                              <w:sz w:val="12"/>
                              <w:szCs w:val="12"/>
                            </w:rPr>
                            <w: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34B392" id="_x0000_s1357"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" adj="18000" fillcolor="white [3201]" strokecolor="#b4b5db [3207]" strokeweight="1pt">
              <v:textbox>
                <w:txbxContent>
                  <w:p w14:paraId="76D228A0" w14:textId="033B5168" w:rsidR="00B8049B" w:rsidRPr="00A11191" w:rsidRDefault="00B8049B" w:rsidP="00B8049B">
                    <w:pPr>
                      <w:spacing w:after="0"/>
                      <w:rPr>
                        <w:color w:val="auto"/>
                        <w:sz w:val="12"/>
                        <w:szCs w:val="12"/>
                      </w:rPr>
                    </w:pPr>
                    <w:r>
                      <w:rPr>
                        <w:color w:val="auto"/>
                        <w:sz w:val="12"/>
                        <w:szCs w:val="12"/>
                      </w:rPr>
                      <w:t>WA</w:t>
                    </w:r>
                  </w:p>
                </w:txbxContent>
              </v:textbox>
              <w10:anchorlock/>
            </v:shape>
          </w:pict>
        </mc:Fallback>
      </mc:AlternateContent>
    </w:r>
    <w:r>
      <w:rPr>
        <w:noProof/>
      </w:rPr>
      <mc:AlternateContent>
        <mc:Choice Requires="wps">
          <w:drawing>
            <wp:inline distT="0" distB="0" distL="0" distR="0" wp14:anchorId="062980B9" wp14:editId="646FF22D">
              <wp:extent cx="540000" cy="180000"/>
              <wp:effectExtent l="19050" t="0" r="12700" b="10795"/>
              <wp:docPr id="1769875955"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3890063F" w14:textId="280B9AA9" w:rsidR="00B8049B" w:rsidRPr="00A11191" w:rsidRDefault="00B8049B" w:rsidP="00B8049B">
                          <w:pPr>
                            <w:spacing w:after="0"/>
                            <w:rPr>
                              <w:color w:val="auto"/>
                              <w:sz w:val="12"/>
                              <w:szCs w:val="12"/>
                            </w:rPr>
                          </w:pPr>
                          <w:r>
                            <w:rPr>
                              <w:color w:val="auto"/>
                              <w:sz w:val="12"/>
                              <w:szCs w:val="12"/>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2980B9" id="_x0000_s1358"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" adj="18000" filled="f" strokecolor="#b4b5db [3207]" strokeweight="1pt">
              <v:textbox>
                <w:txbxContent>
                  <w:p w14:paraId="3890063F" w14:textId="280B9AA9" w:rsidR="00B8049B" w:rsidRPr="00A11191" w:rsidRDefault="00B8049B" w:rsidP="00B8049B">
                    <w:pPr>
                      <w:spacing w:after="0"/>
                      <w:rPr>
                        <w:color w:val="auto"/>
                        <w:sz w:val="12"/>
                        <w:szCs w:val="12"/>
                      </w:rPr>
                    </w:pPr>
                    <w:r>
                      <w:rPr>
                        <w:color w:val="auto"/>
                        <w:sz w:val="12"/>
                        <w:szCs w:val="12"/>
                      </w:rPr>
                      <w:t>SA</w:t>
                    </w:r>
                  </w:p>
                </w:txbxContent>
              </v:textbox>
              <w10:anchorlock/>
            </v:shape>
          </w:pict>
        </mc:Fallback>
      </mc:AlternateContent>
    </w:r>
    <w:r>
      <w:rPr>
        <w:noProof/>
      </w:rPr>
      <mc:AlternateContent>
        <mc:Choice Requires="wps">
          <w:drawing>
            <wp:inline distT="0" distB="0" distL="0" distR="0" wp14:anchorId="70F41E43" wp14:editId="7AC1ACED">
              <wp:extent cx="540000" cy="180000"/>
              <wp:effectExtent l="19050" t="0" r="12700" b="10795"/>
              <wp:docPr id="592074772"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A35F86D" w14:textId="021F1A8A" w:rsidR="00B8049B" w:rsidRPr="00A11191" w:rsidRDefault="00B8049B" w:rsidP="00B8049B">
                          <w:pPr>
                            <w:spacing w:after="0"/>
                            <w:rPr>
                              <w:color w:val="auto"/>
                              <w:sz w:val="12"/>
                              <w:szCs w:val="12"/>
                            </w:rPr>
                          </w:pPr>
                          <w:r>
                            <w:rPr>
                              <w:color w:val="auto"/>
                              <w:sz w:val="12"/>
                              <w:szCs w:val="12"/>
                            </w:rPr>
                            <w: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F41E43" id="_x0000_s1359"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CKUsz1WAIAAAgFAAAOAAAAAAAAAAAAAAAAAC4CAABkcnMvZTJvRG9jLnhtbFBLAQItABQA&#10;BgAIAAAAIQBJC/AJ2AAAAAMBAAAPAAAAAAAAAAAAAAAAALIEAABkcnMvZG93bnJldi54bWxQSwUG&#10;AAAAAAQABADzAAAAtwUAAAAA&#10;" adj="18000" fillcolor="white [3201]" strokecolor="#b4b5db [3207]" strokeweight="1pt">
              <v:textbox>
                <w:txbxContent>
                  <w:p w14:paraId="7A35F86D" w14:textId="021F1A8A" w:rsidR="00B8049B" w:rsidRPr="00A11191" w:rsidRDefault="00B8049B" w:rsidP="00B8049B">
                    <w:pPr>
                      <w:spacing w:after="0"/>
                      <w:rPr>
                        <w:color w:val="auto"/>
                        <w:sz w:val="12"/>
                        <w:szCs w:val="12"/>
                      </w:rPr>
                    </w:pPr>
                    <w:r>
                      <w:rPr>
                        <w:color w:val="auto"/>
                        <w:sz w:val="12"/>
                        <w:szCs w:val="12"/>
                      </w:rPr>
                      <w:t>ACT</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0207" w14:textId="7A37D9AB" w:rsidR="00394778" w:rsidRDefault="008172C7" w:rsidP="002D154F">
    <w:r>
      <w:rPr>
        <w:noProof/>
      </w:rPr>
      <mc:AlternateContent>
        <mc:Choice Requires="wps">
          <w:drawing>
            <wp:anchor distT="0" distB="0" distL="0" distR="0" simplePos="0" relativeHeight="251658252" behindDoc="0" locked="0" layoutInCell="1" allowOverlap="1" wp14:anchorId="4E121A9C" wp14:editId="1C0EFBAB">
              <wp:simplePos x="635" y="635"/>
              <wp:positionH relativeFrom="page">
                <wp:align>center</wp:align>
              </wp:positionH>
              <wp:positionV relativeFrom="page">
                <wp:align>top</wp:align>
              </wp:positionV>
              <wp:extent cx="551815" cy="405765"/>
              <wp:effectExtent l="0" t="0" r="635" b="13335"/>
              <wp:wrapNone/>
              <wp:docPr id="53115486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6F1F7C91" w14:textId="25FABFE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121A9C" id="_x0000_t202" coordsize="21600,21600" o:spt="202" path="m,l,21600r21600,l21600,xe">
              <v:stroke joinstyle="miter"/>
              <v:path gradientshapeok="t" o:connecttype="rect"/>
            </v:shapetype>
            <v:shape id="Text Box 9" o:spid="_x0000_s1360" type="#_x0000_t202" alt="OFFICIAL" style="position:absolute;margin-left:0;margin-top:0;width:43.45pt;height:31.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IhDgIAAB0EAAAOAAAAZHJzL2Uyb0RvYy54bWysU01v2zAMvQ/YfxB0X2wXcz+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" filled="f" stroked="f">
              <v:textbox style="mso-fit-shape-to-text:t" inset="0,15pt,0,0">
                <w:txbxContent>
                  <w:p w14:paraId="6F1F7C91" w14:textId="25FABFE9" w:rsidR="008172C7" w:rsidRPr="008172C7" w:rsidRDefault="008172C7" w:rsidP="008172C7">
                    <w:pPr>
                      <w:spacing w:after="0"/>
                      <w:rPr>
                        <w:rFonts w:ascii="Calibri" w:eastAsia="Calibri" w:hAnsi="Calibri" w:cs="Calibri"/>
                        <w:noProof/>
                        <w:color w:val="FF0000"/>
                        <w:sz w:val="24"/>
                        <w:szCs w:val="24"/>
                      </w:rPr>
                    </w:pPr>
                    <w:r w:rsidRPr="008172C7">
                      <w:rPr>
                        <w:rFonts w:ascii="Calibri" w:eastAsia="Calibri" w:hAnsi="Calibri" w:cs="Calibri"/>
                        <w:noProof/>
                        <w:color w:val="FF0000"/>
                        <w:sz w:val="24"/>
                        <w:szCs w:val="24"/>
                      </w:rPr>
                      <w:t>OFFICIAL</w:t>
                    </w:r>
                  </w:p>
                </w:txbxContent>
              </v:textbox>
              <w10:wrap anchorx="page" anchory="page"/>
            </v:shape>
          </w:pict>
        </mc:Fallback>
      </mc:AlternateContent>
    </w:r>
    <w:r w:rsidR="00394778">
      <w:t>Independent Financial Review of the NHCDC 2023-2</w:t>
    </w:r>
    <w:r w:rsidR="00F32D88">
      <w:t>4</w:t>
    </w:r>
  </w:p>
  <w:p w14:paraId="20AB4BEC" w14:textId="182A51D8" w:rsidR="002D154F" w:rsidRDefault="002D154F" w:rsidP="002D154F">
    <w:pPr>
      <w:spacing w:after="0"/>
    </w:pPr>
    <w:r>
      <w:rPr>
        <w:noProof/>
      </w:rPr>
      <mc:AlternateContent>
        <mc:Choice Requires="wps">
          <w:drawing>
            <wp:inline distT="0" distB="0" distL="0" distR="0" wp14:anchorId="318906CC" wp14:editId="70D68BA2">
              <wp:extent cx="684000" cy="324000"/>
              <wp:effectExtent l="0" t="0" r="40005" b="19050"/>
              <wp:docPr id="1444103394" name="Arrow: Pentagon 1"/>
              <wp:cNvGraphicFramePr/>
              <a:graphic xmlns:a="http://schemas.openxmlformats.org/drawingml/2006/main">
                <a:graphicData uri="http://schemas.microsoft.com/office/word/2010/wordprocessingShape">
                  <wps:wsp>
                    <wps:cNvSpPr/>
                    <wps:spPr>
                      <a:xfrm>
                        <a:off x="0" y="0"/>
                        <a:ext cx="684000" cy="324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48D12571" w14:textId="77777777" w:rsidR="002D154F" w:rsidRPr="00751EAD" w:rsidRDefault="002D154F" w:rsidP="002D154F">
                          <w:pPr>
                            <w:spacing w:after="0"/>
                            <w:rPr>
                              <w:color w:val="auto"/>
                              <w:sz w:val="12"/>
                              <w:szCs w:val="12"/>
                            </w:rPr>
                          </w:pPr>
                          <w:r w:rsidRPr="00751EAD">
                            <w:rPr>
                              <w:color w:val="auto"/>
                              <w:sz w:val="12"/>
                              <w:szCs w:val="12"/>
                            </w:rPr>
                            <w:t>Executive Summary</w:t>
                          </w:r>
                        </w:p>
                        <w:p w14:paraId="1A964488" w14:textId="77777777" w:rsidR="002D154F" w:rsidRPr="00751EAD" w:rsidRDefault="002D154F" w:rsidP="002D154F">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18906C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61" type="#_x0000_t15" style="width:53.8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" adj="16484" filled="f" strokecolor="#b4b5db [3207]" strokeweight="1pt">
              <v:textbox>
                <w:txbxContent>
                  <w:p w14:paraId="48D12571" w14:textId="77777777" w:rsidR="002D154F" w:rsidRPr="00751EAD" w:rsidRDefault="002D154F" w:rsidP="002D154F">
                    <w:pPr>
                      <w:spacing w:after="0"/>
                      <w:rPr>
                        <w:color w:val="auto"/>
                        <w:sz w:val="12"/>
                        <w:szCs w:val="12"/>
                      </w:rPr>
                    </w:pPr>
                    <w:r w:rsidRPr="00751EAD">
                      <w:rPr>
                        <w:color w:val="auto"/>
                        <w:sz w:val="12"/>
                        <w:szCs w:val="12"/>
                      </w:rPr>
                      <w:t>Executive Summary</w:t>
                    </w:r>
                  </w:p>
                  <w:p w14:paraId="1A964488" w14:textId="77777777" w:rsidR="002D154F" w:rsidRPr="00751EAD" w:rsidRDefault="002D154F" w:rsidP="002D154F">
                    <w:pPr>
                      <w:rPr>
                        <w:color w:val="auto"/>
                      </w:rPr>
                    </w:pPr>
                  </w:p>
                </w:txbxContent>
              </v:textbox>
              <w10:anchorlock/>
            </v:shape>
          </w:pict>
        </mc:Fallback>
      </mc:AlternateContent>
    </w:r>
    <w:r>
      <w:rPr>
        <w:noProof/>
      </w:rPr>
      <mc:AlternateContent>
        <mc:Choice Requires="wps">
          <w:drawing>
            <wp:inline distT="0" distB="0" distL="0" distR="0" wp14:anchorId="71B7C9A6" wp14:editId="32BFD2A0">
              <wp:extent cx="972000" cy="324000"/>
              <wp:effectExtent l="19050" t="0" r="19050" b="19050"/>
              <wp:docPr id="1778481818" name="Arrow: Pentagon 1"/>
              <wp:cNvGraphicFramePr/>
              <a:graphic xmlns:a="http://schemas.openxmlformats.org/drawingml/2006/main">
                <a:graphicData uri="http://schemas.microsoft.com/office/word/2010/wordprocessingShape">
                  <wps:wsp>
                    <wps:cNvSpPr/>
                    <wps:spPr>
                      <a:xfrm>
                        <a:off x="0" y="0"/>
                        <a:ext cx="972000" cy="324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11CFDF24" w14:textId="77777777" w:rsidR="002D154F" w:rsidRPr="00614A93" w:rsidRDefault="002D154F" w:rsidP="002D154F">
                          <w:pPr>
                            <w:spacing w:after="0"/>
                            <w:rPr>
                              <w:color w:val="auto"/>
                              <w:sz w:val="12"/>
                              <w:szCs w:val="12"/>
                            </w:rPr>
                          </w:pPr>
                          <w:r w:rsidRPr="00614A93">
                            <w:rPr>
                              <w:color w:val="auto"/>
                              <w:sz w:val="12"/>
                              <w:szCs w:val="12"/>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1B7C9A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362" type="#_x0000_t55" style="width:76.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" adj="18000" filled="f" strokecolor="#b4b5db [3207]" strokeweight="1pt">
              <v:textbox>
                <w:txbxContent>
                  <w:p w14:paraId="11CFDF24" w14:textId="77777777" w:rsidR="002D154F" w:rsidRPr="00614A93" w:rsidRDefault="002D154F" w:rsidP="002D154F">
                    <w:pPr>
                      <w:spacing w:after="0"/>
                      <w:rPr>
                        <w:color w:val="auto"/>
                        <w:sz w:val="12"/>
                        <w:szCs w:val="12"/>
                      </w:rPr>
                    </w:pPr>
                    <w:r w:rsidRPr="00614A93">
                      <w:rPr>
                        <w:color w:val="auto"/>
                        <w:sz w:val="12"/>
                        <w:szCs w:val="12"/>
                      </w:rPr>
                      <w:t>Introduction</w:t>
                    </w:r>
                  </w:p>
                </w:txbxContent>
              </v:textbox>
              <w10:anchorlock/>
            </v:shape>
          </w:pict>
        </mc:Fallback>
      </mc:AlternateContent>
    </w:r>
    <w:r>
      <w:rPr>
        <w:noProof/>
      </w:rPr>
      <mc:AlternateContent>
        <mc:Choice Requires="wps">
          <w:drawing>
            <wp:inline distT="0" distB="0" distL="0" distR="0" wp14:anchorId="04001E91" wp14:editId="13A15D5F">
              <wp:extent cx="936000" cy="324000"/>
              <wp:effectExtent l="19050" t="0" r="16510" b="19050"/>
              <wp:docPr id="544288780"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6EB0115C" w14:textId="77777777" w:rsidR="002D154F" w:rsidRPr="000450AC" w:rsidRDefault="002D154F" w:rsidP="002D154F">
                          <w:pPr>
                            <w:spacing w:after="0"/>
                            <w:rPr>
                              <w:color w:val="auto"/>
                              <w:sz w:val="12"/>
                              <w:szCs w:val="12"/>
                            </w:rPr>
                          </w:pPr>
                          <w:r w:rsidRPr="000450AC">
                            <w:rPr>
                              <w:color w:val="auto"/>
                              <w:sz w:val="12"/>
                              <w:szCs w:val="12"/>
                            </w:rPr>
                            <w:t>Cost Driver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001E91" id="_x0000_s1363"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" adj="17862" fillcolor="white [3201]" strokecolor="#b4b5db [3207]" strokeweight="1pt">
              <v:textbox>
                <w:txbxContent>
                  <w:p w14:paraId="6EB0115C" w14:textId="77777777" w:rsidR="002D154F" w:rsidRPr="000450AC" w:rsidRDefault="002D154F" w:rsidP="002D154F">
                    <w:pPr>
                      <w:spacing w:after="0"/>
                      <w:rPr>
                        <w:color w:val="auto"/>
                        <w:sz w:val="12"/>
                        <w:szCs w:val="12"/>
                      </w:rPr>
                    </w:pPr>
                    <w:r w:rsidRPr="000450AC">
                      <w:rPr>
                        <w:color w:val="auto"/>
                        <w:sz w:val="12"/>
                        <w:szCs w:val="12"/>
                      </w:rPr>
                      <w:t>Cost Driver analysis</w:t>
                    </w:r>
                  </w:p>
                </w:txbxContent>
              </v:textbox>
              <w10:anchorlock/>
            </v:shape>
          </w:pict>
        </mc:Fallback>
      </mc:AlternateContent>
    </w:r>
    <w:r>
      <w:rPr>
        <w:noProof/>
      </w:rPr>
      <mc:AlternateContent>
        <mc:Choice Requires="wps">
          <w:drawing>
            <wp:inline distT="0" distB="0" distL="0" distR="0" wp14:anchorId="3087BDEF" wp14:editId="628E4B0B">
              <wp:extent cx="1152000" cy="324000"/>
              <wp:effectExtent l="19050" t="0" r="10160" b="19050"/>
              <wp:docPr id="1120174389" name="Arrow: Pentagon 1"/>
              <wp:cNvGraphicFramePr/>
              <a:graphic xmlns:a="http://schemas.openxmlformats.org/drawingml/2006/main">
                <a:graphicData uri="http://schemas.microsoft.com/office/word/2010/wordprocessingShape">
                  <wps:wsp>
                    <wps:cNvSpPr/>
                    <wps:spPr>
                      <a:xfrm>
                        <a:off x="0" y="0"/>
                        <a:ext cx="1152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396F9D8" w14:textId="77777777" w:rsidR="002D154F" w:rsidRPr="00A11191" w:rsidRDefault="002D154F" w:rsidP="002D154F">
                          <w:pPr>
                            <w:spacing w:after="0"/>
                            <w:rPr>
                              <w:color w:val="auto"/>
                              <w:sz w:val="12"/>
                              <w:szCs w:val="12"/>
                            </w:rPr>
                          </w:pPr>
                          <w:r w:rsidRPr="00A11191">
                            <w:rPr>
                              <w:color w:val="auto"/>
                              <w:sz w:val="12"/>
                              <w:szCs w:val="12"/>
                            </w:rPr>
                            <w:t>Key findings &amp; recommendations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87BDEF" id="_x0000_s1364" type="#_x0000_t55" style="width:90.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" adj="18563" fillcolor="white [3201]" strokecolor="#b4b5db [3207]" strokeweight="1pt">
              <v:textbox>
                <w:txbxContent>
                  <w:p w14:paraId="7396F9D8" w14:textId="77777777" w:rsidR="002D154F" w:rsidRPr="00A11191" w:rsidRDefault="002D154F" w:rsidP="002D154F">
                    <w:pPr>
                      <w:spacing w:after="0"/>
                      <w:rPr>
                        <w:color w:val="auto"/>
                        <w:sz w:val="12"/>
                        <w:szCs w:val="12"/>
                      </w:rPr>
                    </w:pPr>
                    <w:r w:rsidRPr="00A11191">
                      <w:rPr>
                        <w:color w:val="auto"/>
                        <w:sz w:val="12"/>
                        <w:szCs w:val="12"/>
                      </w:rPr>
                      <w:t>Key findings &amp; recommendations</w:t>
                    </w:r>
                  </w:p>
                </w:txbxContent>
              </v:textbox>
              <w10:anchorlock/>
            </v:shape>
          </w:pict>
        </mc:Fallback>
      </mc:AlternateContent>
    </w:r>
    <w:r>
      <w:rPr>
        <w:noProof/>
      </w:rPr>
      <mc:AlternateContent>
        <mc:Choice Requires="wps">
          <w:drawing>
            <wp:inline distT="0" distB="0" distL="0" distR="0" wp14:anchorId="6627A69A" wp14:editId="1A2F4321">
              <wp:extent cx="936000" cy="324000"/>
              <wp:effectExtent l="19050" t="0" r="16510" b="19050"/>
              <wp:docPr id="1657720763" name="Arrow: Pentagon 1"/>
              <wp:cNvGraphicFramePr/>
              <a:graphic xmlns:a="http://schemas.openxmlformats.org/drawingml/2006/main">
                <a:graphicData uri="http://schemas.microsoft.com/office/word/2010/wordprocessingShape">
                  <wps:wsp>
                    <wps:cNvSpPr/>
                    <wps:spPr>
                      <a:xfrm>
                        <a:off x="0" y="0"/>
                        <a:ext cx="936000" cy="324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71B1557C" w14:textId="77777777" w:rsidR="002D154F" w:rsidRPr="00A11191" w:rsidRDefault="002D154F" w:rsidP="002D154F">
                          <w:pPr>
                            <w:spacing w:after="0"/>
                            <w:rPr>
                              <w:color w:val="auto"/>
                              <w:sz w:val="12"/>
                              <w:szCs w:val="12"/>
                            </w:rPr>
                          </w:pPr>
                          <w:r w:rsidRPr="00A11191">
                            <w:rPr>
                              <w:color w:val="auto"/>
                              <w:sz w:val="12"/>
                              <w:szCs w:val="12"/>
                            </w:rPr>
                            <w:t>Jurisdiction chapters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27A69A" id="_x0000_s1365" type="#_x0000_t55" style="width:73.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" adj="17862" fillcolor="#d1d2e9 [1943]" strokecolor="#b4b5db [3207]" strokeweight="1pt">
              <v:textbox>
                <w:txbxContent>
                  <w:p w14:paraId="71B1557C" w14:textId="77777777" w:rsidR="002D154F" w:rsidRPr="00A11191" w:rsidRDefault="002D154F" w:rsidP="002D154F">
                    <w:pPr>
                      <w:spacing w:after="0"/>
                      <w:rPr>
                        <w:color w:val="auto"/>
                        <w:sz w:val="12"/>
                        <w:szCs w:val="12"/>
                      </w:rPr>
                    </w:pPr>
                    <w:r w:rsidRPr="00A11191">
                      <w:rPr>
                        <w:color w:val="auto"/>
                        <w:sz w:val="12"/>
                        <w:szCs w:val="12"/>
                      </w:rPr>
                      <w:t>Jurisdiction chapters</w:t>
                    </w:r>
                  </w:p>
                </w:txbxContent>
              </v:textbox>
              <w10:anchorlock/>
            </v:shape>
          </w:pict>
        </mc:Fallback>
      </mc:AlternateContent>
    </w:r>
    <w:r>
      <w:rPr>
        <w:noProof/>
      </w:rPr>
      <mc:AlternateContent>
        <mc:Choice Requires="wps">
          <w:drawing>
            <wp:inline distT="0" distB="0" distL="0" distR="0" wp14:anchorId="222F1305" wp14:editId="02F96BFB">
              <wp:extent cx="828000" cy="324000"/>
              <wp:effectExtent l="19050" t="0" r="10795" b="19050"/>
              <wp:docPr id="1285171927" name="Arrow: Pentagon 1"/>
              <wp:cNvGraphicFramePr/>
              <a:graphic xmlns:a="http://schemas.openxmlformats.org/drawingml/2006/main">
                <a:graphicData uri="http://schemas.microsoft.com/office/word/2010/wordprocessingShape">
                  <wps:wsp>
                    <wps:cNvSpPr/>
                    <wps:spPr>
                      <a:xfrm>
                        <a:off x="0" y="0"/>
                        <a:ext cx="828000" cy="324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3B297B58" w14:textId="77777777" w:rsidR="002D154F" w:rsidRPr="00A11191" w:rsidRDefault="002D154F" w:rsidP="002D154F">
                          <w:pPr>
                            <w:spacing w:after="0"/>
                            <w:rPr>
                              <w:color w:val="auto"/>
                              <w:sz w:val="12"/>
                              <w:szCs w:val="12"/>
                            </w:rPr>
                          </w:pPr>
                          <w:r w:rsidRPr="00A11191">
                            <w:rPr>
                              <w:color w:val="auto"/>
                              <w:sz w:val="12"/>
                              <w:szCs w:val="12"/>
                            </w:rPr>
                            <w:t>IHACPA Review</w:t>
                          </w:r>
                        </w:p>
                        <w:p w14:paraId="0E478E8C" w14:textId="77777777" w:rsidR="00394778" w:rsidRDefault="003947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2F1305" id="_x0000_s1366" type="#_x0000_t55" style="width:65.2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" adj="17374" fillcolor="white [3201]" strokecolor="#b4b5db [3207]" strokeweight="1pt">
              <v:textbox>
                <w:txbxContent>
                  <w:p w14:paraId="3B297B58" w14:textId="77777777" w:rsidR="002D154F" w:rsidRPr="00A11191" w:rsidRDefault="002D154F" w:rsidP="002D154F">
                    <w:pPr>
                      <w:spacing w:after="0"/>
                      <w:rPr>
                        <w:color w:val="auto"/>
                        <w:sz w:val="12"/>
                        <w:szCs w:val="12"/>
                      </w:rPr>
                    </w:pPr>
                    <w:r w:rsidRPr="00A11191">
                      <w:rPr>
                        <w:color w:val="auto"/>
                        <w:sz w:val="12"/>
                        <w:szCs w:val="12"/>
                      </w:rPr>
                      <w:t>IHACPA Review</w:t>
                    </w:r>
                  </w:p>
                  <w:p w14:paraId="0E478E8C" w14:textId="77777777" w:rsidR="00394778" w:rsidRDefault="00394778"/>
                </w:txbxContent>
              </v:textbox>
              <w10:anchorlock/>
            </v:shape>
          </w:pict>
        </mc:Fallback>
      </mc:AlternateContent>
    </w:r>
  </w:p>
  <w:p w14:paraId="1C9986B2" w14:textId="1B3CE979" w:rsidR="0050508E" w:rsidRDefault="002D154F" w:rsidP="00FB1708">
    <w:pPr>
      <w:pStyle w:val="Header"/>
      <w:spacing w:after="240"/>
    </w:pPr>
    <w:r>
      <w:rPr>
        <w:noProof/>
      </w:rPr>
      <mc:AlternateContent>
        <mc:Choice Requires="wps">
          <w:drawing>
            <wp:inline distT="0" distB="0" distL="0" distR="0" wp14:anchorId="2DC19DEC" wp14:editId="5FFEA609">
              <wp:extent cx="540000" cy="180000"/>
              <wp:effectExtent l="0" t="0" r="31750" b="10795"/>
              <wp:docPr id="505377136" name="Arrow: Pentagon 1"/>
              <wp:cNvGraphicFramePr/>
              <a:graphic xmlns:a="http://schemas.openxmlformats.org/drawingml/2006/main">
                <a:graphicData uri="http://schemas.microsoft.com/office/word/2010/wordprocessingShape">
                  <wps:wsp>
                    <wps:cNvSpPr/>
                    <wps:spPr>
                      <a:xfrm>
                        <a:off x="0" y="0"/>
                        <a:ext cx="540000" cy="180000"/>
                      </a:xfrm>
                      <a:prstGeom prst="homePlate">
                        <a:avLst/>
                      </a:prstGeom>
                      <a:no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2A26A590" w14:textId="77777777" w:rsidR="002D154F" w:rsidRPr="00751EAD" w:rsidRDefault="002D154F" w:rsidP="002D154F">
                          <w:pPr>
                            <w:rPr>
                              <w:color w:val="auto"/>
                            </w:rPr>
                          </w:pPr>
                          <w:r>
                            <w:rPr>
                              <w:color w:val="auto"/>
                              <w:sz w:val="12"/>
                              <w:szCs w:val="12"/>
                            </w:rPr>
                            <w:t>NSW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DC19DEC" id="_x0000_s1367" type="#_x0000_t1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" adj="18000" filled="f" strokecolor="#b4b5db [3207]" strokeweight="1pt">
              <v:textbox>
                <w:txbxContent>
                  <w:p w14:paraId="2A26A590" w14:textId="77777777" w:rsidR="002D154F" w:rsidRPr="00751EAD" w:rsidRDefault="002D154F" w:rsidP="002D154F">
                    <w:pPr>
                      <w:rPr>
                        <w:color w:val="auto"/>
                      </w:rPr>
                    </w:pPr>
                    <w:r>
                      <w:rPr>
                        <w:color w:val="auto"/>
                        <w:sz w:val="12"/>
                        <w:szCs w:val="12"/>
                      </w:rPr>
                      <w:t>NSW</w:t>
                    </w:r>
                  </w:p>
                </w:txbxContent>
              </v:textbox>
              <w10:anchorlock/>
            </v:shape>
          </w:pict>
        </mc:Fallback>
      </mc:AlternateContent>
    </w:r>
    <w:r>
      <w:rPr>
        <w:noProof/>
      </w:rPr>
      <mc:AlternateContent>
        <mc:Choice Requires="wps">
          <w:drawing>
            <wp:inline distT="0" distB="0" distL="0" distR="0" wp14:anchorId="23344ACB" wp14:editId="4F3D846D">
              <wp:extent cx="540000" cy="180000"/>
              <wp:effectExtent l="19050" t="0" r="12700" b="10795"/>
              <wp:docPr id="1148613591"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27AA4288" w14:textId="77777777" w:rsidR="002D154F" w:rsidRPr="00614A93" w:rsidRDefault="002D154F" w:rsidP="002D154F">
                          <w:pPr>
                            <w:spacing w:after="0"/>
                            <w:rPr>
                              <w:color w:val="auto"/>
                              <w:sz w:val="12"/>
                              <w:szCs w:val="12"/>
                            </w:rPr>
                          </w:pPr>
                          <w:r>
                            <w:rPr>
                              <w:color w:val="auto"/>
                              <w:sz w:val="12"/>
                              <w:szCs w:val="12"/>
                            </w:rPr>
                            <w:t>Vic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344ACB" id="_x0000_s1368"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" adj="18000" fillcolor="#d1d2e9 [1943]" strokecolor="#b4b5db [3207]" strokeweight="1pt">
              <v:textbox>
                <w:txbxContent>
                  <w:p w14:paraId="27AA4288" w14:textId="77777777" w:rsidR="002D154F" w:rsidRPr="00614A93" w:rsidRDefault="002D154F" w:rsidP="002D154F">
                    <w:pPr>
                      <w:spacing w:after="0"/>
                      <w:rPr>
                        <w:color w:val="auto"/>
                        <w:sz w:val="12"/>
                        <w:szCs w:val="12"/>
                      </w:rPr>
                    </w:pPr>
                    <w:r>
                      <w:rPr>
                        <w:color w:val="auto"/>
                        <w:sz w:val="12"/>
                        <w:szCs w:val="12"/>
                      </w:rPr>
                      <w:t>Vic</w:t>
                    </w:r>
                  </w:p>
                </w:txbxContent>
              </v:textbox>
              <w10:anchorlock/>
            </v:shape>
          </w:pict>
        </mc:Fallback>
      </mc:AlternateContent>
    </w:r>
    <w:r>
      <w:rPr>
        <w:noProof/>
      </w:rPr>
      <mc:AlternateContent>
        <mc:Choice Requires="wps">
          <w:drawing>
            <wp:inline distT="0" distB="0" distL="0" distR="0" wp14:anchorId="591A4A90" wp14:editId="60AB540C">
              <wp:extent cx="540000" cy="180000"/>
              <wp:effectExtent l="19050" t="0" r="12700" b="10795"/>
              <wp:docPr id="1743296808"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49C71E3E" w14:textId="6AAA74B8" w:rsidR="002D154F" w:rsidRPr="000450AC" w:rsidRDefault="00B33D4A" w:rsidP="002D154F">
                          <w:pPr>
                            <w:spacing w:after="0"/>
                            <w:rPr>
                              <w:color w:val="auto"/>
                              <w:sz w:val="12"/>
                              <w:szCs w:val="12"/>
                            </w:rPr>
                          </w:pPr>
                          <w:r>
                            <w:rPr>
                              <w:color w:val="auto"/>
                              <w:sz w:val="12"/>
                              <w:szCs w:val="12"/>
                            </w:rPr>
                            <w:t>Q</w:t>
                          </w:r>
                          <w:r w:rsidR="00F90E4C">
                            <w:rPr>
                              <w:color w:val="auto"/>
                              <w:sz w:val="12"/>
                              <w:szCs w:val="12"/>
                            </w:rPr>
                            <w:t>ld</w:t>
                          </w:r>
                          <w:r>
                            <w:rPr>
                              <w:color w:val="auto"/>
                              <w:sz w:val="12"/>
                              <w:szCs w:val="12"/>
                            </w:rPr>
                            <w:t>ensland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1A4A90" id="_x0000_s1369"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AJ7fGaWAIAAAgFAAAOAAAAAAAAAAAAAAAAAC4CAABkcnMvZTJvRG9jLnhtbFBLAQItABQA&#10;BgAIAAAAIQBJC/AJ2AAAAAMBAAAPAAAAAAAAAAAAAAAAALIEAABkcnMvZG93bnJldi54bWxQSwUG&#10;AAAAAAQABADzAAAAtwUAAAAA&#10;" adj="18000" fillcolor="white [3201]" strokecolor="#b4b5db [3207]" strokeweight="1pt">
              <v:textbox>
                <w:txbxContent>
                  <w:p w14:paraId="49C71E3E" w14:textId="6AAA74B8" w:rsidR="002D154F" w:rsidRPr="000450AC" w:rsidRDefault="00B33D4A" w:rsidP="002D154F">
                    <w:pPr>
                      <w:spacing w:after="0"/>
                      <w:rPr>
                        <w:color w:val="auto"/>
                        <w:sz w:val="12"/>
                        <w:szCs w:val="12"/>
                      </w:rPr>
                    </w:pPr>
                    <w:r>
                      <w:rPr>
                        <w:color w:val="auto"/>
                        <w:sz w:val="12"/>
                        <w:szCs w:val="12"/>
                      </w:rPr>
                      <w:t>Q</w:t>
                    </w:r>
                    <w:r w:rsidR="00F90E4C">
                      <w:rPr>
                        <w:color w:val="auto"/>
                        <w:sz w:val="12"/>
                        <w:szCs w:val="12"/>
                      </w:rPr>
                      <w:t>ld</w:t>
                    </w:r>
                    <w:r>
                      <w:rPr>
                        <w:color w:val="auto"/>
                        <w:sz w:val="12"/>
                        <w:szCs w:val="12"/>
                      </w:rPr>
                      <w:t>ensland</w:t>
                    </w:r>
                  </w:p>
                </w:txbxContent>
              </v:textbox>
              <w10:anchorlock/>
            </v:shape>
          </w:pict>
        </mc:Fallback>
      </mc:AlternateContent>
    </w:r>
    <w:r>
      <w:rPr>
        <w:noProof/>
      </w:rPr>
      <mc:AlternateContent>
        <mc:Choice Requires="wps">
          <w:drawing>
            <wp:inline distT="0" distB="0" distL="0" distR="0" wp14:anchorId="27C4331E" wp14:editId="2CE9C8D0">
              <wp:extent cx="540000" cy="180000"/>
              <wp:effectExtent l="19050" t="0" r="12700" b="10795"/>
              <wp:docPr id="485405034"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76E00B42" w14:textId="77777777" w:rsidR="002D154F" w:rsidRPr="00A11191" w:rsidRDefault="002D154F" w:rsidP="002D154F">
                          <w:pPr>
                            <w:spacing w:after="0"/>
                            <w:rPr>
                              <w:color w:val="auto"/>
                              <w:sz w:val="12"/>
                              <w:szCs w:val="12"/>
                            </w:rPr>
                          </w:pPr>
                          <w:r>
                            <w:rPr>
                              <w:color w:val="auto"/>
                              <w:sz w:val="12"/>
                              <w:szCs w:val="12"/>
                            </w:rPr>
                            <w:t>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C4331E" id="_x0000_s1370"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DfjzkXWAIAAAgFAAAOAAAAAAAAAAAAAAAAAC4CAABkcnMvZTJvRG9jLnhtbFBLAQItABQA&#10;BgAIAAAAIQBJC/AJ2AAAAAMBAAAPAAAAAAAAAAAAAAAAALIEAABkcnMvZG93bnJldi54bWxQSwUG&#10;AAAAAAQABADzAAAAtwUAAAAA&#10;" adj="18000" fillcolor="white [3201]" strokecolor="#b4b5db [3207]" strokeweight="1pt">
              <v:textbox>
                <w:txbxContent>
                  <w:p w14:paraId="76E00B42" w14:textId="77777777" w:rsidR="002D154F" w:rsidRPr="00A11191" w:rsidRDefault="002D154F" w:rsidP="002D154F">
                    <w:pPr>
                      <w:spacing w:after="0"/>
                      <w:rPr>
                        <w:color w:val="auto"/>
                        <w:sz w:val="12"/>
                        <w:szCs w:val="12"/>
                      </w:rPr>
                    </w:pPr>
                    <w:r>
                      <w:rPr>
                        <w:color w:val="auto"/>
                        <w:sz w:val="12"/>
                        <w:szCs w:val="12"/>
                      </w:rPr>
                      <w:t>WA</w:t>
                    </w:r>
                  </w:p>
                </w:txbxContent>
              </v:textbox>
              <w10:anchorlock/>
            </v:shape>
          </w:pict>
        </mc:Fallback>
      </mc:AlternateContent>
    </w:r>
    <w:r>
      <w:rPr>
        <w:noProof/>
      </w:rPr>
      <mc:AlternateContent>
        <mc:Choice Requires="wps">
          <w:drawing>
            <wp:inline distT="0" distB="0" distL="0" distR="0" wp14:anchorId="4119643F" wp14:editId="06279417">
              <wp:extent cx="540000" cy="180000"/>
              <wp:effectExtent l="19050" t="0" r="12700" b="10795"/>
              <wp:docPr id="862089217"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noFill/>
                      <a:ln/>
                    </wps:spPr>
                    <wps:style>
                      <a:lnRef idx="2">
                        <a:schemeClr val="accent4"/>
                      </a:lnRef>
                      <a:fillRef idx="1">
                        <a:schemeClr val="lt1"/>
                      </a:fillRef>
                      <a:effectRef idx="0">
                        <a:schemeClr val="accent4"/>
                      </a:effectRef>
                      <a:fontRef idx="minor">
                        <a:schemeClr val="dk1"/>
                      </a:fontRef>
                    </wps:style>
                    <wps:txbx>
                      <w:txbxContent>
                        <w:p w14:paraId="2F9F1BD6" w14:textId="77777777" w:rsidR="002D154F" w:rsidRPr="00A11191" w:rsidRDefault="002D154F" w:rsidP="002D154F">
                          <w:pPr>
                            <w:spacing w:after="0"/>
                            <w:rPr>
                              <w:color w:val="auto"/>
                              <w:sz w:val="12"/>
                              <w:szCs w:val="12"/>
                            </w:rPr>
                          </w:pPr>
                          <w:r>
                            <w:rPr>
                              <w:color w:val="auto"/>
                              <w:sz w:val="12"/>
                              <w:szCs w:val="12"/>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19643F" id="_x0000_s1371"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" adj="18000" filled="f" strokecolor="#b4b5db [3207]" strokeweight="1pt">
              <v:textbox>
                <w:txbxContent>
                  <w:p w14:paraId="2F9F1BD6" w14:textId="77777777" w:rsidR="002D154F" w:rsidRPr="00A11191" w:rsidRDefault="002D154F" w:rsidP="002D154F">
                    <w:pPr>
                      <w:spacing w:after="0"/>
                      <w:rPr>
                        <w:color w:val="auto"/>
                        <w:sz w:val="12"/>
                        <w:szCs w:val="12"/>
                      </w:rPr>
                    </w:pPr>
                    <w:r>
                      <w:rPr>
                        <w:color w:val="auto"/>
                        <w:sz w:val="12"/>
                        <w:szCs w:val="12"/>
                      </w:rPr>
                      <w:t>SA</w:t>
                    </w:r>
                  </w:p>
                </w:txbxContent>
              </v:textbox>
              <w10:anchorlock/>
            </v:shape>
          </w:pict>
        </mc:Fallback>
      </mc:AlternateContent>
    </w:r>
    <w:r>
      <w:rPr>
        <w:noProof/>
      </w:rPr>
      <mc:AlternateContent>
        <mc:Choice Requires="wps">
          <w:drawing>
            <wp:inline distT="0" distB="0" distL="0" distR="0" wp14:anchorId="3768E99B" wp14:editId="4ED6C270">
              <wp:extent cx="540000" cy="180000"/>
              <wp:effectExtent l="19050" t="0" r="12700" b="10795"/>
              <wp:docPr id="1309558920" name="Arrow: Pentagon 1"/>
              <wp:cNvGraphicFramePr/>
              <a:graphic xmlns:a="http://schemas.openxmlformats.org/drawingml/2006/main">
                <a:graphicData uri="http://schemas.microsoft.com/office/word/2010/wordprocessingShape">
                  <wps:wsp>
                    <wps:cNvSpPr/>
                    <wps:spPr>
                      <a:xfrm>
                        <a:off x="0" y="0"/>
                        <a:ext cx="540000" cy="180000"/>
                      </a:xfrm>
                      <a:prstGeom prst="chevron">
                        <a:avLst/>
                      </a:prstGeom>
                      <a:ln/>
                    </wps:spPr>
                    <wps:style>
                      <a:lnRef idx="2">
                        <a:schemeClr val="accent4"/>
                      </a:lnRef>
                      <a:fillRef idx="1">
                        <a:schemeClr val="lt1"/>
                      </a:fillRef>
                      <a:effectRef idx="0">
                        <a:schemeClr val="accent4"/>
                      </a:effectRef>
                      <a:fontRef idx="minor">
                        <a:schemeClr val="dk1"/>
                      </a:fontRef>
                    </wps:style>
                    <wps:txbx>
                      <w:txbxContent>
                        <w:p w14:paraId="05FB9C64" w14:textId="77777777" w:rsidR="002D154F" w:rsidRPr="00A11191" w:rsidRDefault="002D154F" w:rsidP="002D154F">
                          <w:pPr>
                            <w:spacing w:after="0"/>
                            <w:rPr>
                              <w:color w:val="auto"/>
                              <w:sz w:val="12"/>
                              <w:szCs w:val="12"/>
                            </w:rPr>
                          </w:pPr>
                          <w:r>
                            <w:rPr>
                              <w:color w:val="auto"/>
                              <w:sz w:val="12"/>
                              <w:szCs w:val="12"/>
                            </w:rPr>
                            <w: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68E99B" id="_x0000_s1372" type="#_x0000_t55" style="width:42.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" adj="18000" fillcolor="white [3201]" strokecolor="#b4b5db [3207]" strokeweight="1pt">
              <v:textbox>
                <w:txbxContent>
                  <w:p w14:paraId="05FB9C64" w14:textId="77777777" w:rsidR="002D154F" w:rsidRPr="00A11191" w:rsidRDefault="002D154F" w:rsidP="002D154F">
                    <w:pPr>
                      <w:spacing w:after="0"/>
                      <w:rPr>
                        <w:color w:val="auto"/>
                        <w:sz w:val="12"/>
                        <w:szCs w:val="12"/>
                      </w:rPr>
                    </w:pPr>
                    <w:r>
                      <w:rPr>
                        <w:color w:val="auto"/>
                        <w:sz w:val="12"/>
                        <w:szCs w:val="12"/>
                      </w:rPr>
                      <w:t>ACT</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3655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606F1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D609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E400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3C4FF4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5E6EE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C166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204B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7A39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8A23C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C22D2"/>
    <w:multiLevelType w:val="hybridMultilevel"/>
    <w:tmpl w:val="0120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1539F5"/>
    <w:multiLevelType w:val="hybridMultilevel"/>
    <w:tmpl w:val="3FFAB7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13B6034"/>
    <w:multiLevelType w:val="hybridMultilevel"/>
    <w:tmpl w:val="F8C062C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3" w15:restartNumberingAfterBreak="0">
    <w:nsid w:val="01BF25D0"/>
    <w:multiLevelType w:val="hybridMultilevel"/>
    <w:tmpl w:val="A4B2D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7F7BE5"/>
    <w:multiLevelType w:val="hybridMultilevel"/>
    <w:tmpl w:val="AAA85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37C5EDD"/>
    <w:multiLevelType w:val="hybridMultilevel"/>
    <w:tmpl w:val="26B6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4C476C7"/>
    <w:multiLevelType w:val="hybridMultilevel"/>
    <w:tmpl w:val="256AA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CDD2B6A"/>
    <w:multiLevelType w:val="hybridMultilevel"/>
    <w:tmpl w:val="9E607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8E4021"/>
    <w:multiLevelType w:val="hybridMultilevel"/>
    <w:tmpl w:val="E116A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C728CF"/>
    <w:multiLevelType w:val="hybridMultilevel"/>
    <w:tmpl w:val="7A766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F14E23"/>
    <w:multiLevelType w:val="hybridMultilevel"/>
    <w:tmpl w:val="C3589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553D5A"/>
    <w:multiLevelType w:val="multilevel"/>
    <w:tmpl w:val="D00C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282273A"/>
    <w:multiLevelType w:val="hybridMultilevel"/>
    <w:tmpl w:val="25D0EA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2A02611"/>
    <w:multiLevelType w:val="hybridMultilevel"/>
    <w:tmpl w:val="1EF86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2CD64F7"/>
    <w:multiLevelType w:val="hybridMultilevel"/>
    <w:tmpl w:val="4B0A32C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5" w15:restartNumberingAfterBreak="0">
    <w:nsid w:val="132F28DC"/>
    <w:multiLevelType w:val="hybridMultilevel"/>
    <w:tmpl w:val="94CCF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35145BE"/>
    <w:multiLevelType w:val="hybridMultilevel"/>
    <w:tmpl w:val="86D64E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AE263B"/>
    <w:multiLevelType w:val="hybridMultilevel"/>
    <w:tmpl w:val="CEAE6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3BE0968"/>
    <w:multiLevelType w:val="hybridMultilevel"/>
    <w:tmpl w:val="2732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418077B"/>
    <w:multiLevelType w:val="hybridMultilevel"/>
    <w:tmpl w:val="F76ECD4A"/>
    <w:lvl w:ilvl="0" w:tplc="CD12B72E">
      <w:start w:val="1"/>
      <w:numFmt w:val="bullet"/>
      <w:pStyle w:val="Tablebulletpoi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48D1AF5"/>
    <w:multiLevelType w:val="hybridMultilevel"/>
    <w:tmpl w:val="B5307AF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1" w15:restartNumberingAfterBreak="0">
    <w:nsid w:val="154F3D17"/>
    <w:multiLevelType w:val="hybridMultilevel"/>
    <w:tmpl w:val="988A7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63E0ECA"/>
    <w:multiLevelType w:val="hybridMultilevel"/>
    <w:tmpl w:val="2564AF54"/>
    <w:lvl w:ilvl="0" w:tplc="A432C540">
      <w:start w:val="1"/>
      <w:numFmt w:val="decimal"/>
      <w:lvlText w:val="%1."/>
      <w:lvlJc w:val="left"/>
      <w:pPr>
        <w:ind w:left="1020" w:hanging="360"/>
      </w:pPr>
    </w:lvl>
    <w:lvl w:ilvl="1" w:tplc="A2926C46">
      <w:start w:val="1"/>
      <w:numFmt w:val="decimal"/>
      <w:lvlText w:val="%2."/>
      <w:lvlJc w:val="left"/>
      <w:pPr>
        <w:ind w:left="1020" w:hanging="360"/>
      </w:pPr>
    </w:lvl>
    <w:lvl w:ilvl="2" w:tplc="42229C42">
      <w:start w:val="1"/>
      <w:numFmt w:val="decimal"/>
      <w:lvlText w:val="%3."/>
      <w:lvlJc w:val="left"/>
      <w:pPr>
        <w:ind w:left="1020" w:hanging="360"/>
      </w:pPr>
    </w:lvl>
    <w:lvl w:ilvl="3" w:tplc="1E9EE5D4">
      <w:start w:val="1"/>
      <w:numFmt w:val="decimal"/>
      <w:lvlText w:val="%4."/>
      <w:lvlJc w:val="left"/>
      <w:pPr>
        <w:ind w:left="1020" w:hanging="360"/>
      </w:pPr>
    </w:lvl>
    <w:lvl w:ilvl="4" w:tplc="972E422C">
      <w:start w:val="1"/>
      <w:numFmt w:val="decimal"/>
      <w:lvlText w:val="%5."/>
      <w:lvlJc w:val="left"/>
      <w:pPr>
        <w:ind w:left="1020" w:hanging="360"/>
      </w:pPr>
    </w:lvl>
    <w:lvl w:ilvl="5" w:tplc="001C8CA8">
      <w:start w:val="1"/>
      <w:numFmt w:val="decimal"/>
      <w:lvlText w:val="%6."/>
      <w:lvlJc w:val="left"/>
      <w:pPr>
        <w:ind w:left="1020" w:hanging="360"/>
      </w:pPr>
    </w:lvl>
    <w:lvl w:ilvl="6" w:tplc="A364C170">
      <w:start w:val="1"/>
      <w:numFmt w:val="decimal"/>
      <w:lvlText w:val="%7."/>
      <w:lvlJc w:val="left"/>
      <w:pPr>
        <w:ind w:left="1020" w:hanging="360"/>
      </w:pPr>
    </w:lvl>
    <w:lvl w:ilvl="7" w:tplc="84620D50">
      <w:start w:val="1"/>
      <w:numFmt w:val="decimal"/>
      <w:lvlText w:val="%8."/>
      <w:lvlJc w:val="left"/>
      <w:pPr>
        <w:ind w:left="1020" w:hanging="360"/>
      </w:pPr>
    </w:lvl>
    <w:lvl w:ilvl="8" w:tplc="FB9E9FA8">
      <w:start w:val="1"/>
      <w:numFmt w:val="decimal"/>
      <w:lvlText w:val="%9."/>
      <w:lvlJc w:val="left"/>
      <w:pPr>
        <w:ind w:left="1020" w:hanging="360"/>
      </w:pPr>
    </w:lvl>
  </w:abstractNum>
  <w:abstractNum w:abstractNumId="33" w15:restartNumberingAfterBreak="0">
    <w:nsid w:val="17D0413F"/>
    <w:multiLevelType w:val="multilevel"/>
    <w:tmpl w:val="B9DE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9CE28D6"/>
    <w:multiLevelType w:val="hybridMultilevel"/>
    <w:tmpl w:val="BC466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A7477FC"/>
    <w:multiLevelType w:val="hybridMultilevel"/>
    <w:tmpl w:val="3ECEC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A927E74"/>
    <w:multiLevelType w:val="hybridMultilevel"/>
    <w:tmpl w:val="4372D1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BC1774C"/>
    <w:multiLevelType w:val="hybridMultilevel"/>
    <w:tmpl w:val="C630B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C1921B3"/>
    <w:multiLevelType w:val="hybridMultilevel"/>
    <w:tmpl w:val="09F20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C2E3A47"/>
    <w:multiLevelType w:val="hybridMultilevel"/>
    <w:tmpl w:val="5F7481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CA5179A"/>
    <w:multiLevelType w:val="hybridMultilevel"/>
    <w:tmpl w:val="77B6FD76"/>
    <w:lvl w:ilvl="0" w:tplc="0F904FD0">
      <w:numFmt w:val="bullet"/>
      <w:lvlText w:val="-"/>
      <w:lvlJc w:val="left"/>
      <w:pPr>
        <w:ind w:left="720" w:hanging="360"/>
      </w:pPr>
      <w:rPr>
        <w:rFonts w:ascii="Avenir Next LT Pro" w:eastAsiaTheme="minorEastAsia" w:hAnsi="Avenir Next L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D690EF9"/>
    <w:multiLevelType w:val="hybridMultilevel"/>
    <w:tmpl w:val="14B83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E530759"/>
    <w:multiLevelType w:val="hybridMultilevel"/>
    <w:tmpl w:val="9886F510"/>
    <w:lvl w:ilvl="0" w:tplc="FFFFFFFF">
      <w:start w:val="1"/>
      <w:numFmt w:val="decimal"/>
      <w:lvlText w:val="%1."/>
      <w:lvlJc w:val="left"/>
      <w:pPr>
        <w:tabs>
          <w:tab w:val="num" w:pos="720"/>
        </w:tabs>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3" w15:restartNumberingAfterBreak="0">
    <w:nsid w:val="1F13641F"/>
    <w:multiLevelType w:val="hybridMultilevel"/>
    <w:tmpl w:val="8CDC6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F3D210C"/>
    <w:multiLevelType w:val="hybridMultilevel"/>
    <w:tmpl w:val="1C02D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FB64332"/>
    <w:multiLevelType w:val="hybridMultilevel"/>
    <w:tmpl w:val="53CAC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0660FEC"/>
    <w:multiLevelType w:val="hybridMultilevel"/>
    <w:tmpl w:val="FFBA1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0E81E5C"/>
    <w:multiLevelType w:val="hybridMultilevel"/>
    <w:tmpl w:val="CB6685A8"/>
    <w:lvl w:ilvl="0" w:tplc="05FE313E">
      <w:start w:val="1"/>
      <w:numFmt w:val="bullet"/>
      <w:lvlText w:val=""/>
      <w:lvlJc w:val="left"/>
      <w:pPr>
        <w:ind w:left="1080" w:hanging="360"/>
      </w:pPr>
      <w:rPr>
        <w:rFonts w:ascii="Symbol" w:hAnsi="Symbol"/>
      </w:rPr>
    </w:lvl>
    <w:lvl w:ilvl="1" w:tplc="9E5464A0">
      <w:start w:val="1"/>
      <w:numFmt w:val="bullet"/>
      <w:lvlText w:val=""/>
      <w:lvlJc w:val="left"/>
      <w:pPr>
        <w:ind w:left="1080" w:hanging="360"/>
      </w:pPr>
      <w:rPr>
        <w:rFonts w:ascii="Symbol" w:hAnsi="Symbol"/>
      </w:rPr>
    </w:lvl>
    <w:lvl w:ilvl="2" w:tplc="C14C0E66">
      <w:start w:val="1"/>
      <w:numFmt w:val="bullet"/>
      <w:lvlText w:val=""/>
      <w:lvlJc w:val="left"/>
      <w:pPr>
        <w:ind w:left="1080" w:hanging="360"/>
      </w:pPr>
      <w:rPr>
        <w:rFonts w:ascii="Symbol" w:hAnsi="Symbol"/>
      </w:rPr>
    </w:lvl>
    <w:lvl w:ilvl="3" w:tplc="A16A09E2">
      <w:start w:val="1"/>
      <w:numFmt w:val="bullet"/>
      <w:lvlText w:val=""/>
      <w:lvlJc w:val="left"/>
      <w:pPr>
        <w:ind w:left="1080" w:hanging="360"/>
      </w:pPr>
      <w:rPr>
        <w:rFonts w:ascii="Symbol" w:hAnsi="Symbol"/>
      </w:rPr>
    </w:lvl>
    <w:lvl w:ilvl="4" w:tplc="6F1CEBBC">
      <w:start w:val="1"/>
      <w:numFmt w:val="bullet"/>
      <w:lvlText w:val=""/>
      <w:lvlJc w:val="left"/>
      <w:pPr>
        <w:ind w:left="1080" w:hanging="360"/>
      </w:pPr>
      <w:rPr>
        <w:rFonts w:ascii="Symbol" w:hAnsi="Symbol"/>
      </w:rPr>
    </w:lvl>
    <w:lvl w:ilvl="5" w:tplc="0ACCAC64">
      <w:start w:val="1"/>
      <w:numFmt w:val="bullet"/>
      <w:lvlText w:val=""/>
      <w:lvlJc w:val="left"/>
      <w:pPr>
        <w:ind w:left="1080" w:hanging="360"/>
      </w:pPr>
      <w:rPr>
        <w:rFonts w:ascii="Symbol" w:hAnsi="Symbol"/>
      </w:rPr>
    </w:lvl>
    <w:lvl w:ilvl="6" w:tplc="1018C5E6">
      <w:start w:val="1"/>
      <w:numFmt w:val="bullet"/>
      <w:lvlText w:val=""/>
      <w:lvlJc w:val="left"/>
      <w:pPr>
        <w:ind w:left="1080" w:hanging="360"/>
      </w:pPr>
      <w:rPr>
        <w:rFonts w:ascii="Symbol" w:hAnsi="Symbol"/>
      </w:rPr>
    </w:lvl>
    <w:lvl w:ilvl="7" w:tplc="C0668D12">
      <w:start w:val="1"/>
      <w:numFmt w:val="bullet"/>
      <w:lvlText w:val=""/>
      <w:lvlJc w:val="left"/>
      <w:pPr>
        <w:ind w:left="1080" w:hanging="360"/>
      </w:pPr>
      <w:rPr>
        <w:rFonts w:ascii="Symbol" w:hAnsi="Symbol"/>
      </w:rPr>
    </w:lvl>
    <w:lvl w:ilvl="8" w:tplc="520AB358">
      <w:start w:val="1"/>
      <w:numFmt w:val="bullet"/>
      <w:lvlText w:val=""/>
      <w:lvlJc w:val="left"/>
      <w:pPr>
        <w:ind w:left="1080" w:hanging="360"/>
      </w:pPr>
      <w:rPr>
        <w:rFonts w:ascii="Symbol" w:hAnsi="Symbol"/>
      </w:rPr>
    </w:lvl>
  </w:abstractNum>
  <w:abstractNum w:abstractNumId="48" w15:restartNumberingAfterBreak="0">
    <w:nsid w:val="25090BD8"/>
    <w:multiLevelType w:val="hybridMultilevel"/>
    <w:tmpl w:val="282A54B0"/>
    <w:lvl w:ilvl="0" w:tplc="570C029E">
      <w:start w:val="1"/>
      <w:numFmt w:val="decimal"/>
      <w:lvlText w:val="%1."/>
      <w:lvlJc w:val="left"/>
      <w:pPr>
        <w:ind w:left="1020" w:hanging="360"/>
      </w:pPr>
    </w:lvl>
    <w:lvl w:ilvl="1" w:tplc="B3BCA6CA">
      <w:start w:val="1"/>
      <w:numFmt w:val="decimal"/>
      <w:lvlText w:val="%2."/>
      <w:lvlJc w:val="left"/>
      <w:pPr>
        <w:ind w:left="1020" w:hanging="360"/>
      </w:pPr>
    </w:lvl>
    <w:lvl w:ilvl="2" w:tplc="19F8A34A">
      <w:start w:val="1"/>
      <w:numFmt w:val="decimal"/>
      <w:lvlText w:val="%3."/>
      <w:lvlJc w:val="left"/>
      <w:pPr>
        <w:ind w:left="1020" w:hanging="360"/>
      </w:pPr>
    </w:lvl>
    <w:lvl w:ilvl="3" w:tplc="D07A6FD4">
      <w:start w:val="1"/>
      <w:numFmt w:val="decimal"/>
      <w:lvlText w:val="%4."/>
      <w:lvlJc w:val="left"/>
      <w:pPr>
        <w:ind w:left="1020" w:hanging="360"/>
      </w:pPr>
    </w:lvl>
    <w:lvl w:ilvl="4" w:tplc="7A56D764">
      <w:start w:val="1"/>
      <w:numFmt w:val="decimal"/>
      <w:lvlText w:val="%5."/>
      <w:lvlJc w:val="left"/>
      <w:pPr>
        <w:ind w:left="1020" w:hanging="360"/>
      </w:pPr>
    </w:lvl>
    <w:lvl w:ilvl="5" w:tplc="A778421E">
      <w:start w:val="1"/>
      <w:numFmt w:val="decimal"/>
      <w:lvlText w:val="%6."/>
      <w:lvlJc w:val="left"/>
      <w:pPr>
        <w:ind w:left="1020" w:hanging="360"/>
      </w:pPr>
    </w:lvl>
    <w:lvl w:ilvl="6" w:tplc="042C816C">
      <w:start w:val="1"/>
      <w:numFmt w:val="decimal"/>
      <w:lvlText w:val="%7."/>
      <w:lvlJc w:val="left"/>
      <w:pPr>
        <w:ind w:left="1020" w:hanging="360"/>
      </w:pPr>
    </w:lvl>
    <w:lvl w:ilvl="7" w:tplc="8FFAEA80">
      <w:start w:val="1"/>
      <w:numFmt w:val="decimal"/>
      <w:lvlText w:val="%8."/>
      <w:lvlJc w:val="left"/>
      <w:pPr>
        <w:ind w:left="1020" w:hanging="360"/>
      </w:pPr>
    </w:lvl>
    <w:lvl w:ilvl="8" w:tplc="D67E1894">
      <w:start w:val="1"/>
      <w:numFmt w:val="decimal"/>
      <w:lvlText w:val="%9."/>
      <w:lvlJc w:val="left"/>
      <w:pPr>
        <w:ind w:left="1020" w:hanging="360"/>
      </w:pPr>
    </w:lvl>
  </w:abstractNum>
  <w:abstractNum w:abstractNumId="49" w15:restartNumberingAfterBreak="0">
    <w:nsid w:val="25AB4B8B"/>
    <w:multiLevelType w:val="hybridMultilevel"/>
    <w:tmpl w:val="CAFE1F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635669B"/>
    <w:multiLevelType w:val="hybridMultilevel"/>
    <w:tmpl w:val="D6923B9A"/>
    <w:lvl w:ilvl="0" w:tplc="EC30A614">
      <w:numFmt w:val="bullet"/>
      <w:lvlText w:val="•"/>
      <w:lvlJc w:val="left"/>
      <w:pPr>
        <w:ind w:left="1080" w:hanging="720"/>
      </w:pPr>
      <w:rPr>
        <w:rFonts w:ascii="Avenir Next LT Pro" w:eastAsiaTheme="minorEastAsia" w:hAnsi="Avenir Next L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7496122"/>
    <w:multiLevelType w:val="hybridMultilevel"/>
    <w:tmpl w:val="1EF864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7867FB6"/>
    <w:multiLevelType w:val="hybridMultilevel"/>
    <w:tmpl w:val="8954B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8F87F0D"/>
    <w:multiLevelType w:val="hybridMultilevel"/>
    <w:tmpl w:val="F7565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92A6FB4"/>
    <w:multiLevelType w:val="hybridMultilevel"/>
    <w:tmpl w:val="14D6C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92E0616"/>
    <w:multiLevelType w:val="hybridMultilevel"/>
    <w:tmpl w:val="455E9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AA1183A"/>
    <w:multiLevelType w:val="hybridMultilevel"/>
    <w:tmpl w:val="3110B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AE8460D"/>
    <w:multiLevelType w:val="hybridMultilevel"/>
    <w:tmpl w:val="34DC3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C160EBE"/>
    <w:multiLevelType w:val="hybridMultilevel"/>
    <w:tmpl w:val="9A5A0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C171BEC"/>
    <w:multiLevelType w:val="hybridMultilevel"/>
    <w:tmpl w:val="C72A2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C1B320B"/>
    <w:multiLevelType w:val="hybridMultilevel"/>
    <w:tmpl w:val="317E0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D7B15C1"/>
    <w:multiLevelType w:val="hybridMultilevel"/>
    <w:tmpl w:val="797E7D06"/>
    <w:lvl w:ilvl="0" w:tplc="F42E1B48">
      <w:start w:val="1"/>
      <w:numFmt w:val="decimal"/>
      <w:lvlText w:val="%1."/>
      <w:lvlJc w:val="left"/>
      <w:pPr>
        <w:ind w:left="1020" w:hanging="360"/>
      </w:pPr>
    </w:lvl>
    <w:lvl w:ilvl="1" w:tplc="EE4205DA">
      <w:start w:val="1"/>
      <w:numFmt w:val="decimal"/>
      <w:lvlText w:val="%2."/>
      <w:lvlJc w:val="left"/>
      <w:pPr>
        <w:ind w:left="1020" w:hanging="360"/>
      </w:pPr>
    </w:lvl>
    <w:lvl w:ilvl="2" w:tplc="C2B66880">
      <w:start w:val="1"/>
      <w:numFmt w:val="decimal"/>
      <w:lvlText w:val="%3."/>
      <w:lvlJc w:val="left"/>
      <w:pPr>
        <w:ind w:left="1020" w:hanging="360"/>
      </w:pPr>
    </w:lvl>
    <w:lvl w:ilvl="3" w:tplc="8AA42D1A">
      <w:start w:val="1"/>
      <w:numFmt w:val="decimal"/>
      <w:lvlText w:val="%4."/>
      <w:lvlJc w:val="left"/>
      <w:pPr>
        <w:ind w:left="1020" w:hanging="360"/>
      </w:pPr>
    </w:lvl>
    <w:lvl w:ilvl="4" w:tplc="84B21170">
      <w:start w:val="1"/>
      <w:numFmt w:val="decimal"/>
      <w:lvlText w:val="%5."/>
      <w:lvlJc w:val="left"/>
      <w:pPr>
        <w:ind w:left="1020" w:hanging="360"/>
      </w:pPr>
    </w:lvl>
    <w:lvl w:ilvl="5" w:tplc="41B4FDF8">
      <w:start w:val="1"/>
      <w:numFmt w:val="decimal"/>
      <w:lvlText w:val="%6."/>
      <w:lvlJc w:val="left"/>
      <w:pPr>
        <w:ind w:left="1020" w:hanging="360"/>
      </w:pPr>
    </w:lvl>
    <w:lvl w:ilvl="6" w:tplc="B90A2D5C">
      <w:start w:val="1"/>
      <w:numFmt w:val="decimal"/>
      <w:lvlText w:val="%7."/>
      <w:lvlJc w:val="left"/>
      <w:pPr>
        <w:ind w:left="1020" w:hanging="360"/>
      </w:pPr>
    </w:lvl>
    <w:lvl w:ilvl="7" w:tplc="9CDAC9B8">
      <w:start w:val="1"/>
      <w:numFmt w:val="decimal"/>
      <w:lvlText w:val="%8."/>
      <w:lvlJc w:val="left"/>
      <w:pPr>
        <w:ind w:left="1020" w:hanging="360"/>
      </w:pPr>
    </w:lvl>
    <w:lvl w:ilvl="8" w:tplc="337C63DC">
      <w:start w:val="1"/>
      <w:numFmt w:val="decimal"/>
      <w:lvlText w:val="%9."/>
      <w:lvlJc w:val="left"/>
      <w:pPr>
        <w:ind w:left="1020" w:hanging="360"/>
      </w:pPr>
    </w:lvl>
  </w:abstractNum>
  <w:abstractNum w:abstractNumId="62" w15:restartNumberingAfterBreak="0">
    <w:nsid w:val="2EDC7097"/>
    <w:multiLevelType w:val="hybridMultilevel"/>
    <w:tmpl w:val="22F8F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FA745AA"/>
    <w:multiLevelType w:val="hybridMultilevel"/>
    <w:tmpl w:val="A7F02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156715C"/>
    <w:multiLevelType w:val="hybridMultilevel"/>
    <w:tmpl w:val="5BE6FB5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5" w15:restartNumberingAfterBreak="0">
    <w:nsid w:val="31832151"/>
    <w:multiLevelType w:val="hybridMultilevel"/>
    <w:tmpl w:val="A3F21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6244DA4"/>
    <w:multiLevelType w:val="hybridMultilevel"/>
    <w:tmpl w:val="C3D0A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F525B0B"/>
    <w:multiLevelType w:val="hybridMultilevel"/>
    <w:tmpl w:val="F482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18121B7"/>
    <w:multiLevelType w:val="hybridMultilevel"/>
    <w:tmpl w:val="3C9EC4D2"/>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69" w15:restartNumberingAfterBreak="0">
    <w:nsid w:val="437063F8"/>
    <w:multiLevelType w:val="hybridMultilevel"/>
    <w:tmpl w:val="D5801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3D875A4"/>
    <w:multiLevelType w:val="hybridMultilevel"/>
    <w:tmpl w:val="C34E2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5A3444E"/>
    <w:multiLevelType w:val="hybridMultilevel"/>
    <w:tmpl w:val="4CE66D4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2" w15:restartNumberingAfterBreak="0">
    <w:nsid w:val="45C430A5"/>
    <w:multiLevelType w:val="hybridMultilevel"/>
    <w:tmpl w:val="C1009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6881370"/>
    <w:multiLevelType w:val="multilevel"/>
    <w:tmpl w:val="EC7E6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7722576"/>
    <w:multiLevelType w:val="hybridMultilevel"/>
    <w:tmpl w:val="BC0253D2"/>
    <w:lvl w:ilvl="0" w:tplc="0D7C9F96">
      <w:start w:val="1"/>
      <w:numFmt w:val="bullet"/>
      <w:lvlText w:val=""/>
      <w:lvlJc w:val="left"/>
      <w:pPr>
        <w:ind w:left="720" w:hanging="360"/>
      </w:pPr>
      <w:rPr>
        <w:rFonts w:ascii="Symbol" w:hAnsi="Symbol"/>
      </w:rPr>
    </w:lvl>
    <w:lvl w:ilvl="1" w:tplc="C7EAFD28">
      <w:start w:val="1"/>
      <w:numFmt w:val="bullet"/>
      <w:lvlText w:val=""/>
      <w:lvlJc w:val="left"/>
      <w:pPr>
        <w:ind w:left="720" w:hanging="360"/>
      </w:pPr>
      <w:rPr>
        <w:rFonts w:ascii="Symbol" w:hAnsi="Symbol"/>
      </w:rPr>
    </w:lvl>
    <w:lvl w:ilvl="2" w:tplc="6D340254">
      <w:start w:val="1"/>
      <w:numFmt w:val="bullet"/>
      <w:lvlText w:val=""/>
      <w:lvlJc w:val="left"/>
      <w:pPr>
        <w:ind w:left="720" w:hanging="360"/>
      </w:pPr>
      <w:rPr>
        <w:rFonts w:ascii="Symbol" w:hAnsi="Symbol"/>
      </w:rPr>
    </w:lvl>
    <w:lvl w:ilvl="3" w:tplc="9A1487D6">
      <w:start w:val="1"/>
      <w:numFmt w:val="bullet"/>
      <w:lvlText w:val=""/>
      <w:lvlJc w:val="left"/>
      <w:pPr>
        <w:ind w:left="720" w:hanging="360"/>
      </w:pPr>
      <w:rPr>
        <w:rFonts w:ascii="Symbol" w:hAnsi="Symbol"/>
      </w:rPr>
    </w:lvl>
    <w:lvl w:ilvl="4" w:tplc="BB6EFE3E">
      <w:start w:val="1"/>
      <w:numFmt w:val="bullet"/>
      <w:lvlText w:val=""/>
      <w:lvlJc w:val="left"/>
      <w:pPr>
        <w:ind w:left="720" w:hanging="360"/>
      </w:pPr>
      <w:rPr>
        <w:rFonts w:ascii="Symbol" w:hAnsi="Symbol"/>
      </w:rPr>
    </w:lvl>
    <w:lvl w:ilvl="5" w:tplc="42B44FE2">
      <w:start w:val="1"/>
      <w:numFmt w:val="bullet"/>
      <w:lvlText w:val=""/>
      <w:lvlJc w:val="left"/>
      <w:pPr>
        <w:ind w:left="720" w:hanging="360"/>
      </w:pPr>
      <w:rPr>
        <w:rFonts w:ascii="Symbol" w:hAnsi="Symbol"/>
      </w:rPr>
    </w:lvl>
    <w:lvl w:ilvl="6" w:tplc="267A5A20">
      <w:start w:val="1"/>
      <w:numFmt w:val="bullet"/>
      <w:lvlText w:val=""/>
      <w:lvlJc w:val="left"/>
      <w:pPr>
        <w:ind w:left="720" w:hanging="360"/>
      </w:pPr>
      <w:rPr>
        <w:rFonts w:ascii="Symbol" w:hAnsi="Symbol"/>
      </w:rPr>
    </w:lvl>
    <w:lvl w:ilvl="7" w:tplc="E6DE5A92">
      <w:start w:val="1"/>
      <w:numFmt w:val="bullet"/>
      <w:lvlText w:val=""/>
      <w:lvlJc w:val="left"/>
      <w:pPr>
        <w:ind w:left="720" w:hanging="360"/>
      </w:pPr>
      <w:rPr>
        <w:rFonts w:ascii="Symbol" w:hAnsi="Symbol"/>
      </w:rPr>
    </w:lvl>
    <w:lvl w:ilvl="8" w:tplc="184EB056">
      <w:start w:val="1"/>
      <w:numFmt w:val="bullet"/>
      <w:lvlText w:val=""/>
      <w:lvlJc w:val="left"/>
      <w:pPr>
        <w:ind w:left="720" w:hanging="360"/>
      </w:pPr>
      <w:rPr>
        <w:rFonts w:ascii="Symbol" w:hAnsi="Symbol"/>
      </w:rPr>
    </w:lvl>
  </w:abstractNum>
  <w:abstractNum w:abstractNumId="75" w15:restartNumberingAfterBreak="0">
    <w:nsid w:val="47C47E97"/>
    <w:multiLevelType w:val="hybridMultilevel"/>
    <w:tmpl w:val="5C6AD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8262051"/>
    <w:multiLevelType w:val="hybridMultilevel"/>
    <w:tmpl w:val="F1C48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88424BE"/>
    <w:multiLevelType w:val="multilevel"/>
    <w:tmpl w:val="FD24F0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489F3570"/>
    <w:multiLevelType w:val="hybridMultilevel"/>
    <w:tmpl w:val="80D87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9AD3EFA"/>
    <w:multiLevelType w:val="hybridMultilevel"/>
    <w:tmpl w:val="7550F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C6928D5"/>
    <w:multiLevelType w:val="hybridMultilevel"/>
    <w:tmpl w:val="C780ED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CAF0D58"/>
    <w:multiLevelType w:val="hybridMultilevel"/>
    <w:tmpl w:val="118C76B2"/>
    <w:lvl w:ilvl="0" w:tplc="0C090001">
      <w:start w:val="1"/>
      <w:numFmt w:val="bullet"/>
      <w:lvlText w:val=""/>
      <w:lvlJc w:val="left"/>
      <w:pPr>
        <w:ind w:left="870" w:hanging="360"/>
      </w:pPr>
      <w:rPr>
        <w:rFonts w:ascii="Symbol" w:hAnsi="Symbol" w:hint="default"/>
      </w:rPr>
    </w:lvl>
    <w:lvl w:ilvl="1" w:tplc="0C090003" w:tentative="1">
      <w:start w:val="1"/>
      <w:numFmt w:val="bullet"/>
      <w:lvlText w:val="o"/>
      <w:lvlJc w:val="left"/>
      <w:pPr>
        <w:ind w:left="1590" w:hanging="360"/>
      </w:pPr>
      <w:rPr>
        <w:rFonts w:ascii="Courier New" w:hAnsi="Courier New" w:cs="Courier New" w:hint="default"/>
      </w:rPr>
    </w:lvl>
    <w:lvl w:ilvl="2" w:tplc="0C090005" w:tentative="1">
      <w:start w:val="1"/>
      <w:numFmt w:val="bullet"/>
      <w:lvlText w:val=""/>
      <w:lvlJc w:val="left"/>
      <w:pPr>
        <w:ind w:left="2310" w:hanging="360"/>
      </w:pPr>
      <w:rPr>
        <w:rFonts w:ascii="Wingdings" w:hAnsi="Wingdings" w:hint="default"/>
      </w:rPr>
    </w:lvl>
    <w:lvl w:ilvl="3" w:tplc="0C090001" w:tentative="1">
      <w:start w:val="1"/>
      <w:numFmt w:val="bullet"/>
      <w:lvlText w:val=""/>
      <w:lvlJc w:val="left"/>
      <w:pPr>
        <w:ind w:left="3030" w:hanging="360"/>
      </w:pPr>
      <w:rPr>
        <w:rFonts w:ascii="Symbol" w:hAnsi="Symbol" w:hint="default"/>
      </w:rPr>
    </w:lvl>
    <w:lvl w:ilvl="4" w:tplc="0C090003" w:tentative="1">
      <w:start w:val="1"/>
      <w:numFmt w:val="bullet"/>
      <w:lvlText w:val="o"/>
      <w:lvlJc w:val="left"/>
      <w:pPr>
        <w:ind w:left="3750" w:hanging="360"/>
      </w:pPr>
      <w:rPr>
        <w:rFonts w:ascii="Courier New" w:hAnsi="Courier New" w:cs="Courier New" w:hint="default"/>
      </w:rPr>
    </w:lvl>
    <w:lvl w:ilvl="5" w:tplc="0C090005" w:tentative="1">
      <w:start w:val="1"/>
      <w:numFmt w:val="bullet"/>
      <w:lvlText w:val=""/>
      <w:lvlJc w:val="left"/>
      <w:pPr>
        <w:ind w:left="4470" w:hanging="360"/>
      </w:pPr>
      <w:rPr>
        <w:rFonts w:ascii="Wingdings" w:hAnsi="Wingdings" w:hint="default"/>
      </w:rPr>
    </w:lvl>
    <w:lvl w:ilvl="6" w:tplc="0C090001" w:tentative="1">
      <w:start w:val="1"/>
      <w:numFmt w:val="bullet"/>
      <w:lvlText w:val=""/>
      <w:lvlJc w:val="left"/>
      <w:pPr>
        <w:ind w:left="5190" w:hanging="360"/>
      </w:pPr>
      <w:rPr>
        <w:rFonts w:ascii="Symbol" w:hAnsi="Symbol" w:hint="default"/>
      </w:rPr>
    </w:lvl>
    <w:lvl w:ilvl="7" w:tplc="0C090003" w:tentative="1">
      <w:start w:val="1"/>
      <w:numFmt w:val="bullet"/>
      <w:lvlText w:val="o"/>
      <w:lvlJc w:val="left"/>
      <w:pPr>
        <w:ind w:left="5910" w:hanging="360"/>
      </w:pPr>
      <w:rPr>
        <w:rFonts w:ascii="Courier New" w:hAnsi="Courier New" w:cs="Courier New" w:hint="default"/>
      </w:rPr>
    </w:lvl>
    <w:lvl w:ilvl="8" w:tplc="0C090005" w:tentative="1">
      <w:start w:val="1"/>
      <w:numFmt w:val="bullet"/>
      <w:lvlText w:val=""/>
      <w:lvlJc w:val="left"/>
      <w:pPr>
        <w:ind w:left="6630" w:hanging="360"/>
      </w:pPr>
      <w:rPr>
        <w:rFonts w:ascii="Wingdings" w:hAnsi="Wingdings" w:hint="default"/>
      </w:rPr>
    </w:lvl>
  </w:abstractNum>
  <w:abstractNum w:abstractNumId="82" w15:restartNumberingAfterBreak="0">
    <w:nsid w:val="4CEF342E"/>
    <w:multiLevelType w:val="hybridMultilevel"/>
    <w:tmpl w:val="02FA7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D8C2F25"/>
    <w:multiLevelType w:val="multilevel"/>
    <w:tmpl w:val="6E008996"/>
    <w:lvl w:ilvl="0">
      <w:start w:val="1"/>
      <w:numFmt w:val="bullet"/>
      <w:lvlRestart w:val="0"/>
      <w:pStyle w:val="TableNormalBullet1"/>
      <w:lvlText w:val=""/>
      <w:lvlJc w:val="left"/>
      <w:pPr>
        <w:tabs>
          <w:tab w:val="num" w:pos="283"/>
        </w:tabs>
        <w:ind w:left="284" w:hanging="284"/>
      </w:pPr>
      <w:rPr>
        <w:rFonts w:ascii="Symbol" w:hAnsi="Symbol" w:hint="default"/>
        <w:b w:val="0"/>
        <w:i w:val="0"/>
        <w:color w:val="auto"/>
      </w:rPr>
    </w:lvl>
    <w:lvl w:ilvl="1">
      <w:start w:val="1"/>
      <w:numFmt w:val="bullet"/>
      <w:lvlRestart w:val="0"/>
      <w:pStyle w:val="TableNormalBullet2"/>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NormalBullet3"/>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84" w15:restartNumberingAfterBreak="0">
    <w:nsid w:val="4EF42EE4"/>
    <w:multiLevelType w:val="hybridMultilevel"/>
    <w:tmpl w:val="61F2E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FD61C60"/>
    <w:multiLevelType w:val="hybridMultilevel"/>
    <w:tmpl w:val="074095D2"/>
    <w:lvl w:ilvl="0" w:tplc="450A06CE">
      <w:start w:val="1"/>
      <w:numFmt w:val="bullet"/>
      <w:pStyle w:val="CV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0AF22AA"/>
    <w:multiLevelType w:val="hybridMultilevel"/>
    <w:tmpl w:val="3326A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19F7921"/>
    <w:multiLevelType w:val="hybridMultilevel"/>
    <w:tmpl w:val="52E0C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2A24A7D"/>
    <w:multiLevelType w:val="hybridMultilevel"/>
    <w:tmpl w:val="C6A0A5B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9" w15:restartNumberingAfterBreak="0">
    <w:nsid w:val="52DB6246"/>
    <w:multiLevelType w:val="hybridMultilevel"/>
    <w:tmpl w:val="A430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7257D3B"/>
    <w:multiLevelType w:val="hybridMultilevel"/>
    <w:tmpl w:val="0DF4A6D6"/>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91" w15:restartNumberingAfterBreak="0">
    <w:nsid w:val="5AFC5178"/>
    <w:multiLevelType w:val="hybridMultilevel"/>
    <w:tmpl w:val="45927384"/>
    <w:lvl w:ilvl="0" w:tplc="01162AA0">
      <w:start w:val="1"/>
      <w:numFmt w:val="decimal"/>
      <w:lvlText w:val="%1."/>
      <w:lvlJc w:val="left"/>
      <w:pPr>
        <w:tabs>
          <w:tab w:val="num" w:pos="720"/>
        </w:tabs>
        <w:ind w:left="720" w:hanging="360"/>
      </w:pPr>
    </w:lvl>
    <w:lvl w:ilvl="1" w:tplc="A1748884">
      <w:start w:val="1"/>
      <w:numFmt w:val="decimal"/>
      <w:lvlText w:val="%2."/>
      <w:lvlJc w:val="left"/>
      <w:pPr>
        <w:tabs>
          <w:tab w:val="num" w:pos="1440"/>
        </w:tabs>
        <w:ind w:left="1440" w:hanging="360"/>
      </w:pPr>
    </w:lvl>
    <w:lvl w:ilvl="2" w:tplc="D3364406" w:tentative="1">
      <w:start w:val="1"/>
      <w:numFmt w:val="decimal"/>
      <w:lvlText w:val="%3."/>
      <w:lvlJc w:val="left"/>
      <w:pPr>
        <w:tabs>
          <w:tab w:val="num" w:pos="2160"/>
        </w:tabs>
        <w:ind w:left="2160" w:hanging="360"/>
      </w:pPr>
    </w:lvl>
    <w:lvl w:ilvl="3" w:tplc="FE18882E" w:tentative="1">
      <w:start w:val="1"/>
      <w:numFmt w:val="decimal"/>
      <w:lvlText w:val="%4."/>
      <w:lvlJc w:val="left"/>
      <w:pPr>
        <w:tabs>
          <w:tab w:val="num" w:pos="2880"/>
        </w:tabs>
        <w:ind w:left="2880" w:hanging="360"/>
      </w:pPr>
    </w:lvl>
    <w:lvl w:ilvl="4" w:tplc="C854D4B2" w:tentative="1">
      <w:start w:val="1"/>
      <w:numFmt w:val="decimal"/>
      <w:lvlText w:val="%5."/>
      <w:lvlJc w:val="left"/>
      <w:pPr>
        <w:tabs>
          <w:tab w:val="num" w:pos="3600"/>
        </w:tabs>
        <w:ind w:left="3600" w:hanging="360"/>
      </w:pPr>
    </w:lvl>
    <w:lvl w:ilvl="5" w:tplc="4A200732" w:tentative="1">
      <w:start w:val="1"/>
      <w:numFmt w:val="decimal"/>
      <w:lvlText w:val="%6."/>
      <w:lvlJc w:val="left"/>
      <w:pPr>
        <w:tabs>
          <w:tab w:val="num" w:pos="4320"/>
        </w:tabs>
        <w:ind w:left="4320" w:hanging="360"/>
      </w:pPr>
    </w:lvl>
    <w:lvl w:ilvl="6" w:tplc="4770F2D8" w:tentative="1">
      <w:start w:val="1"/>
      <w:numFmt w:val="decimal"/>
      <w:lvlText w:val="%7."/>
      <w:lvlJc w:val="left"/>
      <w:pPr>
        <w:tabs>
          <w:tab w:val="num" w:pos="5040"/>
        </w:tabs>
        <w:ind w:left="5040" w:hanging="360"/>
      </w:pPr>
    </w:lvl>
    <w:lvl w:ilvl="7" w:tplc="F55450DE" w:tentative="1">
      <w:start w:val="1"/>
      <w:numFmt w:val="decimal"/>
      <w:lvlText w:val="%8."/>
      <w:lvlJc w:val="left"/>
      <w:pPr>
        <w:tabs>
          <w:tab w:val="num" w:pos="5760"/>
        </w:tabs>
        <w:ind w:left="5760" w:hanging="360"/>
      </w:pPr>
    </w:lvl>
    <w:lvl w:ilvl="8" w:tplc="C890BF3A" w:tentative="1">
      <w:start w:val="1"/>
      <w:numFmt w:val="decimal"/>
      <w:lvlText w:val="%9."/>
      <w:lvlJc w:val="left"/>
      <w:pPr>
        <w:tabs>
          <w:tab w:val="num" w:pos="6480"/>
        </w:tabs>
        <w:ind w:left="6480" w:hanging="360"/>
      </w:pPr>
    </w:lvl>
  </w:abstractNum>
  <w:abstractNum w:abstractNumId="92" w15:restartNumberingAfterBreak="0">
    <w:nsid w:val="5FA51467"/>
    <w:multiLevelType w:val="hybridMultilevel"/>
    <w:tmpl w:val="D4289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0E50CA4"/>
    <w:multiLevelType w:val="multilevel"/>
    <w:tmpl w:val="28C0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1B775C4"/>
    <w:multiLevelType w:val="hybridMultilevel"/>
    <w:tmpl w:val="417C9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61B745F"/>
    <w:multiLevelType w:val="hybridMultilevel"/>
    <w:tmpl w:val="6DF86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832201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7" w15:restartNumberingAfterBreak="0">
    <w:nsid w:val="6AD41F6D"/>
    <w:multiLevelType w:val="hybridMultilevel"/>
    <w:tmpl w:val="BDF02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AFB63C4"/>
    <w:multiLevelType w:val="hybridMultilevel"/>
    <w:tmpl w:val="58762DB0"/>
    <w:lvl w:ilvl="0" w:tplc="2640E900">
      <w:start w:val="1"/>
      <w:numFmt w:val="bullet"/>
      <w:lvlText w:val=""/>
      <w:lvlJc w:val="left"/>
      <w:pPr>
        <w:ind w:left="1080" w:hanging="360"/>
      </w:pPr>
      <w:rPr>
        <w:rFonts w:ascii="Symbol" w:hAnsi="Symbol"/>
      </w:rPr>
    </w:lvl>
    <w:lvl w:ilvl="1" w:tplc="285E00EC">
      <w:start w:val="1"/>
      <w:numFmt w:val="bullet"/>
      <w:lvlText w:val=""/>
      <w:lvlJc w:val="left"/>
      <w:pPr>
        <w:ind w:left="1080" w:hanging="360"/>
      </w:pPr>
      <w:rPr>
        <w:rFonts w:ascii="Symbol" w:hAnsi="Symbol"/>
      </w:rPr>
    </w:lvl>
    <w:lvl w:ilvl="2" w:tplc="94F2A552">
      <w:start w:val="1"/>
      <w:numFmt w:val="bullet"/>
      <w:lvlText w:val=""/>
      <w:lvlJc w:val="left"/>
      <w:pPr>
        <w:ind w:left="1080" w:hanging="360"/>
      </w:pPr>
      <w:rPr>
        <w:rFonts w:ascii="Symbol" w:hAnsi="Symbol"/>
      </w:rPr>
    </w:lvl>
    <w:lvl w:ilvl="3" w:tplc="AFFE31C0">
      <w:start w:val="1"/>
      <w:numFmt w:val="bullet"/>
      <w:lvlText w:val=""/>
      <w:lvlJc w:val="left"/>
      <w:pPr>
        <w:ind w:left="1080" w:hanging="360"/>
      </w:pPr>
      <w:rPr>
        <w:rFonts w:ascii="Symbol" w:hAnsi="Symbol"/>
      </w:rPr>
    </w:lvl>
    <w:lvl w:ilvl="4" w:tplc="1662F98A">
      <w:start w:val="1"/>
      <w:numFmt w:val="bullet"/>
      <w:lvlText w:val=""/>
      <w:lvlJc w:val="left"/>
      <w:pPr>
        <w:ind w:left="1080" w:hanging="360"/>
      </w:pPr>
      <w:rPr>
        <w:rFonts w:ascii="Symbol" w:hAnsi="Symbol"/>
      </w:rPr>
    </w:lvl>
    <w:lvl w:ilvl="5" w:tplc="C058607A">
      <w:start w:val="1"/>
      <w:numFmt w:val="bullet"/>
      <w:lvlText w:val=""/>
      <w:lvlJc w:val="left"/>
      <w:pPr>
        <w:ind w:left="1080" w:hanging="360"/>
      </w:pPr>
      <w:rPr>
        <w:rFonts w:ascii="Symbol" w:hAnsi="Symbol"/>
      </w:rPr>
    </w:lvl>
    <w:lvl w:ilvl="6" w:tplc="C6FC3208">
      <w:start w:val="1"/>
      <w:numFmt w:val="bullet"/>
      <w:lvlText w:val=""/>
      <w:lvlJc w:val="left"/>
      <w:pPr>
        <w:ind w:left="1080" w:hanging="360"/>
      </w:pPr>
      <w:rPr>
        <w:rFonts w:ascii="Symbol" w:hAnsi="Symbol"/>
      </w:rPr>
    </w:lvl>
    <w:lvl w:ilvl="7" w:tplc="E6DE7DBC">
      <w:start w:val="1"/>
      <w:numFmt w:val="bullet"/>
      <w:lvlText w:val=""/>
      <w:lvlJc w:val="left"/>
      <w:pPr>
        <w:ind w:left="1080" w:hanging="360"/>
      </w:pPr>
      <w:rPr>
        <w:rFonts w:ascii="Symbol" w:hAnsi="Symbol"/>
      </w:rPr>
    </w:lvl>
    <w:lvl w:ilvl="8" w:tplc="06A8DC04">
      <w:start w:val="1"/>
      <w:numFmt w:val="bullet"/>
      <w:lvlText w:val=""/>
      <w:lvlJc w:val="left"/>
      <w:pPr>
        <w:ind w:left="1080" w:hanging="360"/>
      </w:pPr>
      <w:rPr>
        <w:rFonts w:ascii="Symbol" w:hAnsi="Symbol"/>
      </w:rPr>
    </w:lvl>
  </w:abstractNum>
  <w:abstractNum w:abstractNumId="99" w15:restartNumberingAfterBreak="0">
    <w:nsid w:val="6B683D8C"/>
    <w:multiLevelType w:val="multilevel"/>
    <w:tmpl w:val="DA04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B7242B0"/>
    <w:multiLevelType w:val="hybridMultilevel"/>
    <w:tmpl w:val="573AE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F46288C"/>
    <w:multiLevelType w:val="hybridMultilevel"/>
    <w:tmpl w:val="8E4801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FB53DCA"/>
    <w:multiLevelType w:val="hybridMultilevel"/>
    <w:tmpl w:val="5E068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FD57FB3"/>
    <w:multiLevelType w:val="hybridMultilevel"/>
    <w:tmpl w:val="92741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2BA1976"/>
    <w:multiLevelType w:val="hybridMultilevel"/>
    <w:tmpl w:val="E7183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34C6A6B"/>
    <w:multiLevelType w:val="hybridMultilevel"/>
    <w:tmpl w:val="C1BE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4896FAB"/>
    <w:multiLevelType w:val="hybridMultilevel"/>
    <w:tmpl w:val="7AD4B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63D49ED"/>
    <w:multiLevelType w:val="hybridMultilevel"/>
    <w:tmpl w:val="76D06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74E42D7"/>
    <w:multiLevelType w:val="hybridMultilevel"/>
    <w:tmpl w:val="FFFADBBC"/>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09" w15:restartNumberingAfterBreak="0">
    <w:nsid w:val="7804162B"/>
    <w:multiLevelType w:val="hybridMultilevel"/>
    <w:tmpl w:val="419C5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8470074"/>
    <w:multiLevelType w:val="hybridMultilevel"/>
    <w:tmpl w:val="4328B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8522F71"/>
    <w:multiLevelType w:val="hybridMultilevel"/>
    <w:tmpl w:val="D1C63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B02911"/>
    <w:multiLevelType w:val="hybridMultilevel"/>
    <w:tmpl w:val="4610675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3" w15:restartNumberingAfterBreak="0">
    <w:nsid w:val="7CBC0682"/>
    <w:multiLevelType w:val="hybridMultilevel"/>
    <w:tmpl w:val="BF84D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D697C1D"/>
    <w:multiLevelType w:val="hybridMultilevel"/>
    <w:tmpl w:val="5128C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6714275">
    <w:abstractNumId w:val="50"/>
  </w:num>
  <w:num w:numId="2" w16cid:durableId="485709621">
    <w:abstractNumId w:val="83"/>
  </w:num>
  <w:num w:numId="3" w16cid:durableId="2046060286">
    <w:abstractNumId w:val="114"/>
  </w:num>
  <w:num w:numId="4" w16cid:durableId="1653101391">
    <w:abstractNumId w:val="85"/>
  </w:num>
  <w:num w:numId="5" w16cid:durableId="1909925291">
    <w:abstractNumId w:val="77"/>
  </w:num>
  <w:num w:numId="6" w16cid:durableId="1644657700">
    <w:abstractNumId w:val="78"/>
  </w:num>
  <w:num w:numId="7" w16cid:durableId="1283075239">
    <w:abstractNumId w:val="64"/>
  </w:num>
  <w:num w:numId="8" w16cid:durableId="1622884015">
    <w:abstractNumId w:val="26"/>
  </w:num>
  <w:num w:numId="9" w16cid:durableId="1872962264">
    <w:abstractNumId w:val="111"/>
  </w:num>
  <w:num w:numId="10" w16cid:durableId="704216138">
    <w:abstractNumId w:val="108"/>
  </w:num>
  <w:num w:numId="11" w16cid:durableId="2070758573">
    <w:abstractNumId w:val="101"/>
  </w:num>
  <w:num w:numId="12" w16cid:durableId="500394275">
    <w:abstractNumId w:val="68"/>
  </w:num>
  <w:num w:numId="13" w16cid:durableId="1846360247">
    <w:abstractNumId w:val="99"/>
  </w:num>
  <w:num w:numId="14" w16cid:durableId="2084519720">
    <w:abstractNumId w:val="59"/>
  </w:num>
  <w:num w:numId="15" w16cid:durableId="182977940">
    <w:abstractNumId w:val="52"/>
  </w:num>
  <w:num w:numId="16" w16cid:durableId="210002853">
    <w:abstractNumId w:val="113"/>
  </w:num>
  <w:num w:numId="17" w16cid:durableId="1660306642">
    <w:abstractNumId w:val="94"/>
  </w:num>
  <w:num w:numId="18" w16cid:durableId="1431045703">
    <w:abstractNumId w:val="109"/>
  </w:num>
  <w:num w:numId="19" w16cid:durableId="979923666">
    <w:abstractNumId w:val="46"/>
  </w:num>
  <w:num w:numId="20" w16cid:durableId="1821338185">
    <w:abstractNumId w:val="75"/>
  </w:num>
  <w:num w:numId="21" w16cid:durableId="1509370619">
    <w:abstractNumId w:val="29"/>
  </w:num>
  <w:num w:numId="22" w16cid:durableId="2079864321">
    <w:abstractNumId w:val="12"/>
  </w:num>
  <w:num w:numId="23" w16cid:durableId="433936850">
    <w:abstractNumId w:val="36"/>
  </w:num>
  <w:num w:numId="24" w16cid:durableId="336545352">
    <w:abstractNumId w:val="18"/>
  </w:num>
  <w:num w:numId="25" w16cid:durableId="843591652">
    <w:abstractNumId w:val="61"/>
  </w:num>
  <w:num w:numId="26" w16cid:durableId="1313290232">
    <w:abstractNumId w:val="32"/>
  </w:num>
  <w:num w:numId="27" w16cid:durableId="2782703">
    <w:abstractNumId w:val="93"/>
  </w:num>
  <w:num w:numId="28" w16cid:durableId="1913928921">
    <w:abstractNumId w:val="33"/>
  </w:num>
  <w:num w:numId="29" w16cid:durableId="656999689">
    <w:abstractNumId w:val="48"/>
  </w:num>
  <w:num w:numId="30" w16cid:durableId="414329164">
    <w:abstractNumId w:val="20"/>
  </w:num>
  <w:num w:numId="31" w16cid:durableId="1121611164">
    <w:abstractNumId w:val="87"/>
  </w:num>
  <w:num w:numId="32" w16cid:durableId="659774203">
    <w:abstractNumId w:val="49"/>
  </w:num>
  <w:num w:numId="33" w16cid:durableId="2134010141">
    <w:abstractNumId w:val="76"/>
  </w:num>
  <w:num w:numId="34" w16cid:durableId="942759133">
    <w:abstractNumId w:val="90"/>
  </w:num>
  <w:num w:numId="35" w16cid:durableId="98913564">
    <w:abstractNumId w:val="103"/>
  </w:num>
  <w:num w:numId="36" w16cid:durableId="1605386424">
    <w:abstractNumId w:val="30"/>
  </w:num>
  <w:num w:numId="37" w16cid:durableId="953441795">
    <w:abstractNumId w:val="88"/>
  </w:num>
  <w:num w:numId="38" w16cid:durableId="282469185">
    <w:abstractNumId w:val="41"/>
  </w:num>
  <w:num w:numId="39" w16cid:durableId="1874153548">
    <w:abstractNumId w:val="71"/>
  </w:num>
  <w:num w:numId="40" w16cid:durableId="414404333">
    <w:abstractNumId w:val="19"/>
  </w:num>
  <w:num w:numId="41" w16cid:durableId="492795030">
    <w:abstractNumId w:val="95"/>
  </w:num>
  <w:num w:numId="42" w16cid:durableId="1631545648">
    <w:abstractNumId w:val="23"/>
  </w:num>
  <w:num w:numId="43" w16cid:durableId="970986313">
    <w:abstractNumId w:val="17"/>
  </w:num>
  <w:num w:numId="44" w16cid:durableId="1945923030">
    <w:abstractNumId w:val="14"/>
  </w:num>
  <w:num w:numId="45" w16cid:durableId="27267106">
    <w:abstractNumId w:val="38"/>
  </w:num>
  <w:num w:numId="46" w16cid:durableId="2084251158">
    <w:abstractNumId w:val="69"/>
  </w:num>
  <w:num w:numId="47" w16cid:durableId="1918398735">
    <w:abstractNumId w:val="34"/>
  </w:num>
  <w:num w:numId="48" w16cid:durableId="610742859">
    <w:abstractNumId w:val="24"/>
  </w:num>
  <w:num w:numId="49" w16cid:durableId="955670917">
    <w:abstractNumId w:val="110"/>
  </w:num>
  <w:num w:numId="50" w16cid:durableId="2032300249">
    <w:abstractNumId w:val="22"/>
  </w:num>
  <w:num w:numId="51" w16cid:durableId="1551847361">
    <w:abstractNumId w:val="92"/>
  </w:num>
  <w:num w:numId="52" w16cid:durableId="192230745">
    <w:abstractNumId w:val="89"/>
  </w:num>
  <w:num w:numId="53" w16cid:durableId="1810632036">
    <w:abstractNumId w:val="105"/>
  </w:num>
  <w:num w:numId="54" w16cid:durableId="1892228671">
    <w:abstractNumId w:val="45"/>
  </w:num>
  <w:num w:numId="55" w16cid:durableId="1556309746">
    <w:abstractNumId w:val="60"/>
  </w:num>
  <w:num w:numId="56" w16cid:durableId="197401329">
    <w:abstractNumId w:val="42"/>
  </w:num>
  <w:num w:numId="57" w16cid:durableId="1597521143">
    <w:abstractNumId w:val="44"/>
  </w:num>
  <w:num w:numId="58" w16cid:durableId="953757178">
    <w:abstractNumId w:val="112"/>
  </w:num>
  <w:num w:numId="59" w16cid:durableId="494423379">
    <w:abstractNumId w:val="57"/>
  </w:num>
  <w:num w:numId="60" w16cid:durableId="1427916935">
    <w:abstractNumId w:val="66"/>
  </w:num>
  <w:num w:numId="61" w16cid:durableId="1143425019">
    <w:abstractNumId w:val="91"/>
  </w:num>
  <w:num w:numId="62" w16cid:durableId="1558666280">
    <w:abstractNumId w:val="51"/>
  </w:num>
  <w:num w:numId="63" w16cid:durableId="2141531097">
    <w:abstractNumId w:val="21"/>
  </w:num>
  <w:num w:numId="64" w16cid:durableId="719283828">
    <w:abstractNumId w:val="58"/>
  </w:num>
  <w:num w:numId="65" w16cid:durableId="1781334182">
    <w:abstractNumId w:val="31"/>
  </w:num>
  <w:num w:numId="66" w16cid:durableId="2049212365">
    <w:abstractNumId w:val="67"/>
  </w:num>
  <w:num w:numId="67" w16cid:durableId="1212154380">
    <w:abstractNumId w:val="72"/>
  </w:num>
  <w:num w:numId="68" w16cid:durableId="1152483115">
    <w:abstractNumId w:val="97"/>
  </w:num>
  <w:num w:numId="69" w16cid:durableId="1901624737">
    <w:abstractNumId w:val="73"/>
  </w:num>
  <w:num w:numId="70" w16cid:durableId="154996074">
    <w:abstractNumId w:val="86"/>
  </w:num>
  <w:num w:numId="71" w16cid:durableId="518854673">
    <w:abstractNumId w:val="102"/>
  </w:num>
  <w:num w:numId="72" w16cid:durableId="1005087177">
    <w:abstractNumId w:val="25"/>
  </w:num>
  <w:num w:numId="73" w16cid:durableId="2020766916">
    <w:abstractNumId w:val="80"/>
  </w:num>
  <w:num w:numId="74" w16cid:durableId="1697081278">
    <w:abstractNumId w:val="62"/>
  </w:num>
  <w:num w:numId="75" w16cid:durableId="101996538">
    <w:abstractNumId w:val="82"/>
  </w:num>
  <w:num w:numId="76" w16cid:durableId="1507135022">
    <w:abstractNumId w:val="63"/>
  </w:num>
  <w:num w:numId="77" w16cid:durableId="1785882847">
    <w:abstractNumId w:val="13"/>
  </w:num>
  <w:num w:numId="78" w16cid:durableId="1815289573">
    <w:abstractNumId w:val="10"/>
  </w:num>
  <w:num w:numId="79" w16cid:durableId="1624729025">
    <w:abstractNumId w:val="77"/>
  </w:num>
  <w:num w:numId="80" w16cid:durableId="1527476129">
    <w:abstractNumId w:val="65"/>
  </w:num>
  <w:num w:numId="81" w16cid:durableId="772630412">
    <w:abstractNumId w:val="56"/>
  </w:num>
  <w:num w:numId="82" w16cid:durableId="310597359">
    <w:abstractNumId w:val="79"/>
  </w:num>
  <w:num w:numId="83" w16cid:durableId="182018544">
    <w:abstractNumId w:val="15"/>
  </w:num>
  <w:num w:numId="84" w16cid:durableId="787747343">
    <w:abstractNumId w:val="107"/>
  </w:num>
  <w:num w:numId="85" w16cid:durableId="1954971349">
    <w:abstractNumId w:val="11"/>
  </w:num>
  <w:num w:numId="86" w16cid:durableId="267011367">
    <w:abstractNumId w:val="39"/>
  </w:num>
  <w:num w:numId="87" w16cid:durableId="1902014996">
    <w:abstractNumId w:val="54"/>
  </w:num>
  <w:num w:numId="88" w16cid:durableId="290943829">
    <w:abstractNumId w:val="81"/>
  </w:num>
  <w:num w:numId="89" w16cid:durableId="1903250748">
    <w:abstractNumId w:val="77"/>
  </w:num>
  <w:num w:numId="90" w16cid:durableId="883056089">
    <w:abstractNumId w:val="55"/>
  </w:num>
  <w:num w:numId="91" w16cid:durableId="1068572745">
    <w:abstractNumId w:val="84"/>
  </w:num>
  <w:num w:numId="92" w16cid:durableId="393620901">
    <w:abstractNumId w:val="98"/>
  </w:num>
  <w:num w:numId="93" w16cid:durableId="1081756126">
    <w:abstractNumId w:val="43"/>
  </w:num>
  <w:num w:numId="94" w16cid:durableId="667100101">
    <w:abstractNumId w:val="106"/>
  </w:num>
  <w:num w:numId="95" w16cid:durableId="691296124">
    <w:abstractNumId w:val="16"/>
  </w:num>
  <w:num w:numId="96" w16cid:durableId="850491644">
    <w:abstractNumId w:val="37"/>
  </w:num>
  <w:num w:numId="97" w16cid:durableId="1581522400">
    <w:abstractNumId w:val="47"/>
  </w:num>
  <w:num w:numId="98" w16cid:durableId="528954612">
    <w:abstractNumId w:val="70"/>
  </w:num>
  <w:num w:numId="99" w16cid:durableId="1725058786">
    <w:abstractNumId w:val="100"/>
  </w:num>
  <w:num w:numId="100" w16cid:durableId="1479764358">
    <w:abstractNumId w:val="40"/>
  </w:num>
  <w:num w:numId="101" w16cid:durableId="1300568863">
    <w:abstractNumId w:val="35"/>
  </w:num>
  <w:num w:numId="102" w16cid:durableId="1937244373">
    <w:abstractNumId w:val="28"/>
  </w:num>
  <w:num w:numId="103" w16cid:durableId="335037130">
    <w:abstractNumId w:val="27"/>
  </w:num>
  <w:num w:numId="104" w16cid:durableId="787508034">
    <w:abstractNumId w:val="111"/>
  </w:num>
  <w:num w:numId="105" w16cid:durableId="45686699">
    <w:abstractNumId w:val="53"/>
  </w:num>
  <w:num w:numId="106" w16cid:durableId="1839999451">
    <w:abstractNumId w:val="96"/>
  </w:num>
  <w:num w:numId="107" w16cid:durableId="689526248">
    <w:abstractNumId w:val="74"/>
  </w:num>
  <w:num w:numId="108" w16cid:durableId="234516523">
    <w:abstractNumId w:val="104"/>
  </w:num>
  <w:num w:numId="109" w16cid:durableId="1471048730">
    <w:abstractNumId w:val="9"/>
  </w:num>
  <w:num w:numId="110" w16cid:durableId="964655646">
    <w:abstractNumId w:val="7"/>
  </w:num>
  <w:num w:numId="111" w16cid:durableId="1318269958">
    <w:abstractNumId w:val="6"/>
  </w:num>
  <w:num w:numId="112" w16cid:durableId="867641067">
    <w:abstractNumId w:val="5"/>
  </w:num>
  <w:num w:numId="113" w16cid:durableId="105196478">
    <w:abstractNumId w:val="4"/>
  </w:num>
  <w:num w:numId="114" w16cid:durableId="1844974635">
    <w:abstractNumId w:val="8"/>
  </w:num>
  <w:num w:numId="115" w16cid:durableId="1079668900">
    <w:abstractNumId w:val="3"/>
  </w:num>
  <w:num w:numId="116" w16cid:durableId="591280557">
    <w:abstractNumId w:val="2"/>
  </w:num>
  <w:num w:numId="117" w16cid:durableId="2032761382">
    <w:abstractNumId w:val="1"/>
  </w:num>
  <w:num w:numId="118" w16cid:durableId="66078432">
    <w:abstractNumId w:val="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characterSpacingControl w:val="doNotCompress"/>
  <w:hdrShapeDefaults>
    <o:shapedefaults v:ext="edit" spidmax="2050"/>
  </w:hdrShapeDefaults>
  <w:footnotePr>
    <w:pos w:val="beneathTex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17286E"/>
    <w:rsid w:val="00000025"/>
    <w:rsid w:val="000001B2"/>
    <w:rsid w:val="00000277"/>
    <w:rsid w:val="00000778"/>
    <w:rsid w:val="00000BAB"/>
    <w:rsid w:val="00000C4B"/>
    <w:rsid w:val="00000F24"/>
    <w:rsid w:val="00001190"/>
    <w:rsid w:val="000011D2"/>
    <w:rsid w:val="0000142C"/>
    <w:rsid w:val="0000161B"/>
    <w:rsid w:val="000019AC"/>
    <w:rsid w:val="00001A11"/>
    <w:rsid w:val="0000239F"/>
    <w:rsid w:val="000028D2"/>
    <w:rsid w:val="0000291E"/>
    <w:rsid w:val="00002A34"/>
    <w:rsid w:val="00002A77"/>
    <w:rsid w:val="00002BCF"/>
    <w:rsid w:val="00002C11"/>
    <w:rsid w:val="00002CCB"/>
    <w:rsid w:val="0000304F"/>
    <w:rsid w:val="000030CF"/>
    <w:rsid w:val="0000320F"/>
    <w:rsid w:val="0000323B"/>
    <w:rsid w:val="00003C3F"/>
    <w:rsid w:val="00003CE0"/>
    <w:rsid w:val="00003F2A"/>
    <w:rsid w:val="00004209"/>
    <w:rsid w:val="000042CB"/>
    <w:rsid w:val="00004D74"/>
    <w:rsid w:val="000050B9"/>
    <w:rsid w:val="0000526B"/>
    <w:rsid w:val="000052DB"/>
    <w:rsid w:val="00005ECC"/>
    <w:rsid w:val="0000621B"/>
    <w:rsid w:val="00006292"/>
    <w:rsid w:val="0000639D"/>
    <w:rsid w:val="00006407"/>
    <w:rsid w:val="00006666"/>
    <w:rsid w:val="0000681B"/>
    <w:rsid w:val="000069C6"/>
    <w:rsid w:val="00007261"/>
    <w:rsid w:val="0000729D"/>
    <w:rsid w:val="0000784E"/>
    <w:rsid w:val="000078E5"/>
    <w:rsid w:val="00007EBB"/>
    <w:rsid w:val="00007F56"/>
    <w:rsid w:val="00010109"/>
    <w:rsid w:val="000101BA"/>
    <w:rsid w:val="000102A2"/>
    <w:rsid w:val="00010774"/>
    <w:rsid w:val="000107BD"/>
    <w:rsid w:val="000109BE"/>
    <w:rsid w:val="00010A3D"/>
    <w:rsid w:val="00010D3F"/>
    <w:rsid w:val="00010EE3"/>
    <w:rsid w:val="00011128"/>
    <w:rsid w:val="000111D0"/>
    <w:rsid w:val="00011539"/>
    <w:rsid w:val="00011F42"/>
    <w:rsid w:val="0001226F"/>
    <w:rsid w:val="00012CFD"/>
    <w:rsid w:val="00012F6A"/>
    <w:rsid w:val="0001303F"/>
    <w:rsid w:val="00013051"/>
    <w:rsid w:val="000131BA"/>
    <w:rsid w:val="00013880"/>
    <w:rsid w:val="00013E08"/>
    <w:rsid w:val="00013F35"/>
    <w:rsid w:val="0001400E"/>
    <w:rsid w:val="0001403C"/>
    <w:rsid w:val="000140DE"/>
    <w:rsid w:val="0001447A"/>
    <w:rsid w:val="0001451B"/>
    <w:rsid w:val="000145B7"/>
    <w:rsid w:val="00014811"/>
    <w:rsid w:val="00014975"/>
    <w:rsid w:val="00014C43"/>
    <w:rsid w:val="00014D4D"/>
    <w:rsid w:val="00014E0F"/>
    <w:rsid w:val="00014EE9"/>
    <w:rsid w:val="00015319"/>
    <w:rsid w:val="00015556"/>
    <w:rsid w:val="00015684"/>
    <w:rsid w:val="0001580F"/>
    <w:rsid w:val="00015852"/>
    <w:rsid w:val="00015918"/>
    <w:rsid w:val="00015A42"/>
    <w:rsid w:val="000160D9"/>
    <w:rsid w:val="0001629D"/>
    <w:rsid w:val="0001632B"/>
    <w:rsid w:val="00016A0B"/>
    <w:rsid w:val="00016A8C"/>
    <w:rsid w:val="00016AAC"/>
    <w:rsid w:val="00016BE9"/>
    <w:rsid w:val="00017176"/>
    <w:rsid w:val="00017572"/>
    <w:rsid w:val="0001784E"/>
    <w:rsid w:val="00017B08"/>
    <w:rsid w:val="00017D16"/>
    <w:rsid w:val="00017FB7"/>
    <w:rsid w:val="00017FDD"/>
    <w:rsid w:val="00020014"/>
    <w:rsid w:val="00020054"/>
    <w:rsid w:val="000200B7"/>
    <w:rsid w:val="0002016B"/>
    <w:rsid w:val="000206A8"/>
    <w:rsid w:val="00021070"/>
    <w:rsid w:val="00021623"/>
    <w:rsid w:val="00021702"/>
    <w:rsid w:val="0002173F"/>
    <w:rsid w:val="00021AA5"/>
    <w:rsid w:val="00021B78"/>
    <w:rsid w:val="00021BA7"/>
    <w:rsid w:val="00021D08"/>
    <w:rsid w:val="00021FB5"/>
    <w:rsid w:val="000220AE"/>
    <w:rsid w:val="00022183"/>
    <w:rsid w:val="000222F0"/>
    <w:rsid w:val="00022422"/>
    <w:rsid w:val="0002262F"/>
    <w:rsid w:val="00022B75"/>
    <w:rsid w:val="00022B7B"/>
    <w:rsid w:val="00022B92"/>
    <w:rsid w:val="00022C7D"/>
    <w:rsid w:val="000237A7"/>
    <w:rsid w:val="00023A94"/>
    <w:rsid w:val="00023C3B"/>
    <w:rsid w:val="0002409D"/>
    <w:rsid w:val="00024186"/>
    <w:rsid w:val="00024242"/>
    <w:rsid w:val="00024382"/>
    <w:rsid w:val="000247B7"/>
    <w:rsid w:val="0002483E"/>
    <w:rsid w:val="00024A4A"/>
    <w:rsid w:val="00024C0B"/>
    <w:rsid w:val="000252C8"/>
    <w:rsid w:val="00025830"/>
    <w:rsid w:val="00025DA0"/>
    <w:rsid w:val="00025FD8"/>
    <w:rsid w:val="0002665D"/>
    <w:rsid w:val="00026DF0"/>
    <w:rsid w:val="000272EF"/>
    <w:rsid w:val="000275A4"/>
    <w:rsid w:val="00027929"/>
    <w:rsid w:val="00027B8C"/>
    <w:rsid w:val="00027FCD"/>
    <w:rsid w:val="00030108"/>
    <w:rsid w:val="000302F8"/>
    <w:rsid w:val="00030829"/>
    <w:rsid w:val="00030C54"/>
    <w:rsid w:val="00031263"/>
    <w:rsid w:val="00031A42"/>
    <w:rsid w:val="00031B87"/>
    <w:rsid w:val="00031C84"/>
    <w:rsid w:val="00031C8E"/>
    <w:rsid w:val="00031DA9"/>
    <w:rsid w:val="00031E2C"/>
    <w:rsid w:val="00031E8C"/>
    <w:rsid w:val="0003217C"/>
    <w:rsid w:val="00032455"/>
    <w:rsid w:val="00032D9E"/>
    <w:rsid w:val="00033027"/>
    <w:rsid w:val="00033092"/>
    <w:rsid w:val="000331B7"/>
    <w:rsid w:val="000332A2"/>
    <w:rsid w:val="000334CD"/>
    <w:rsid w:val="00033677"/>
    <w:rsid w:val="00033757"/>
    <w:rsid w:val="00033764"/>
    <w:rsid w:val="00033821"/>
    <w:rsid w:val="000339D2"/>
    <w:rsid w:val="00033C28"/>
    <w:rsid w:val="00034178"/>
    <w:rsid w:val="00034380"/>
    <w:rsid w:val="00034524"/>
    <w:rsid w:val="00034D60"/>
    <w:rsid w:val="000351D3"/>
    <w:rsid w:val="000353AE"/>
    <w:rsid w:val="00035DEE"/>
    <w:rsid w:val="00035E67"/>
    <w:rsid w:val="000360C7"/>
    <w:rsid w:val="00036291"/>
    <w:rsid w:val="00036400"/>
    <w:rsid w:val="000364CD"/>
    <w:rsid w:val="00036B19"/>
    <w:rsid w:val="00036BF1"/>
    <w:rsid w:val="00036EC2"/>
    <w:rsid w:val="000370AD"/>
    <w:rsid w:val="0003711A"/>
    <w:rsid w:val="00037302"/>
    <w:rsid w:val="0003732A"/>
    <w:rsid w:val="00037896"/>
    <w:rsid w:val="00037A09"/>
    <w:rsid w:val="00037C11"/>
    <w:rsid w:val="00040000"/>
    <w:rsid w:val="00040257"/>
    <w:rsid w:val="00040417"/>
    <w:rsid w:val="00040486"/>
    <w:rsid w:val="00041158"/>
    <w:rsid w:val="00041494"/>
    <w:rsid w:val="0004153B"/>
    <w:rsid w:val="00041DD4"/>
    <w:rsid w:val="00041F8C"/>
    <w:rsid w:val="000422D1"/>
    <w:rsid w:val="00042339"/>
    <w:rsid w:val="00042955"/>
    <w:rsid w:val="00042D68"/>
    <w:rsid w:val="00042DE2"/>
    <w:rsid w:val="000430A4"/>
    <w:rsid w:val="000430B3"/>
    <w:rsid w:val="000430B8"/>
    <w:rsid w:val="00043392"/>
    <w:rsid w:val="00043485"/>
    <w:rsid w:val="000434BD"/>
    <w:rsid w:val="000437E8"/>
    <w:rsid w:val="00043897"/>
    <w:rsid w:val="00043B22"/>
    <w:rsid w:val="00043B4C"/>
    <w:rsid w:val="000448B8"/>
    <w:rsid w:val="000449F1"/>
    <w:rsid w:val="00044B84"/>
    <w:rsid w:val="00044E94"/>
    <w:rsid w:val="00044F20"/>
    <w:rsid w:val="000450AC"/>
    <w:rsid w:val="000455CA"/>
    <w:rsid w:val="00045630"/>
    <w:rsid w:val="00045801"/>
    <w:rsid w:val="00045852"/>
    <w:rsid w:val="00045D5F"/>
    <w:rsid w:val="00045FCF"/>
    <w:rsid w:val="0004617F"/>
    <w:rsid w:val="000463BE"/>
    <w:rsid w:val="000463F3"/>
    <w:rsid w:val="0004642B"/>
    <w:rsid w:val="00046648"/>
    <w:rsid w:val="000466B3"/>
    <w:rsid w:val="00046A3B"/>
    <w:rsid w:val="00046D31"/>
    <w:rsid w:val="00047077"/>
    <w:rsid w:val="0004708D"/>
    <w:rsid w:val="00047169"/>
    <w:rsid w:val="0004727A"/>
    <w:rsid w:val="00047548"/>
    <w:rsid w:val="0004789F"/>
    <w:rsid w:val="00047C6D"/>
    <w:rsid w:val="000500A8"/>
    <w:rsid w:val="00050849"/>
    <w:rsid w:val="00050D44"/>
    <w:rsid w:val="0005149F"/>
    <w:rsid w:val="000515F3"/>
    <w:rsid w:val="00051821"/>
    <w:rsid w:val="00051BD6"/>
    <w:rsid w:val="000524F4"/>
    <w:rsid w:val="000528C1"/>
    <w:rsid w:val="00052A38"/>
    <w:rsid w:val="00052FD7"/>
    <w:rsid w:val="00053075"/>
    <w:rsid w:val="000530A2"/>
    <w:rsid w:val="000536DD"/>
    <w:rsid w:val="00053B72"/>
    <w:rsid w:val="00053E38"/>
    <w:rsid w:val="00054246"/>
    <w:rsid w:val="000543A6"/>
    <w:rsid w:val="000544D1"/>
    <w:rsid w:val="000546DF"/>
    <w:rsid w:val="000549D0"/>
    <w:rsid w:val="00054BBF"/>
    <w:rsid w:val="0005504E"/>
    <w:rsid w:val="00055219"/>
    <w:rsid w:val="0005576D"/>
    <w:rsid w:val="00055AF4"/>
    <w:rsid w:val="00055C94"/>
    <w:rsid w:val="00055F27"/>
    <w:rsid w:val="0005615E"/>
    <w:rsid w:val="0005637F"/>
    <w:rsid w:val="000565FD"/>
    <w:rsid w:val="0005693B"/>
    <w:rsid w:val="00057467"/>
    <w:rsid w:val="0005753D"/>
    <w:rsid w:val="00057773"/>
    <w:rsid w:val="00057B8C"/>
    <w:rsid w:val="00057D47"/>
    <w:rsid w:val="00057D4B"/>
    <w:rsid w:val="00060219"/>
    <w:rsid w:val="00060498"/>
    <w:rsid w:val="00060634"/>
    <w:rsid w:val="000607B2"/>
    <w:rsid w:val="000609CF"/>
    <w:rsid w:val="00060A74"/>
    <w:rsid w:val="00060C35"/>
    <w:rsid w:val="00060C39"/>
    <w:rsid w:val="00060F9D"/>
    <w:rsid w:val="00060FDE"/>
    <w:rsid w:val="000614F8"/>
    <w:rsid w:val="00061712"/>
    <w:rsid w:val="000619EF"/>
    <w:rsid w:val="00061BBD"/>
    <w:rsid w:val="00061E5B"/>
    <w:rsid w:val="00061ED7"/>
    <w:rsid w:val="00061FF1"/>
    <w:rsid w:val="000623A9"/>
    <w:rsid w:val="0006324A"/>
    <w:rsid w:val="00063385"/>
    <w:rsid w:val="000635A6"/>
    <w:rsid w:val="000636BF"/>
    <w:rsid w:val="000638FA"/>
    <w:rsid w:val="0006410D"/>
    <w:rsid w:val="00064133"/>
    <w:rsid w:val="00064606"/>
    <w:rsid w:val="000648B8"/>
    <w:rsid w:val="000649FD"/>
    <w:rsid w:val="00064C73"/>
    <w:rsid w:val="00064DB8"/>
    <w:rsid w:val="00064E39"/>
    <w:rsid w:val="0006507C"/>
    <w:rsid w:val="00065180"/>
    <w:rsid w:val="000652B6"/>
    <w:rsid w:val="0006552E"/>
    <w:rsid w:val="00065544"/>
    <w:rsid w:val="00065AFC"/>
    <w:rsid w:val="00065F48"/>
    <w:rsid w:val="000660F7"/>
    <w:rsid w:val="00066312"/>
    <w:rsid w:val="00066A03"/>
    <w:rsid w:val="00066A7D"/>
    <w:rsid w:val="00066DFA"/>
    <w:rsid w:val="00067121"/>
    <w:rsid w:val="00067142"/>
    <w:rsid w:val="000672D8"/>
    <w:rsid w:val="0006778A"/>
    <w:rsid w:val="000677E9"/>
    <w:rsid w:val="00067805"/>
    <w:rsid w:val="000678D7"/>
    <w:rsid w:val="00067A63"/>
    <w:rsid w:val="00067D51"/>
    <w:rsid w:val="00067D76"/>
    <w:rsid w:val="00067DE0"/>
    <w:rsid w:val="00067F05"/>
    <w:rsid w:val="0007002C"/>
    <w:rsid w:val="00070681"/>
    <w:rsid w:val="00070DCD"/>
    <w:rsid w:val="00071041"/>
    <w:rsid w:val="000713A4"/>
    <w:rsid w:val="0007142F"/>
    <w:rsid w:val="0007175F"/>
    <w:rsid w:val="00071C39"/>
    <w:rsid w:val="0007249B"/>
    <w:rsid w:val="000726B3"/>
    <w:rsid w:val="000726EA"/>
    <w:rsid w:val="000729FC"/>
    <w:rsid w:val="00072BEC"/>
    <w:rsid w:val="00072C27"/>
    <w:rsid w:val="00072DAA"/>
    <w:rsid w:val="00072EA7"/>
    <w:rsid w:val="00073084"/>
    <w:rsid w:val="0007315C"/>
    <w:rsid w:val="00073164"/>
    <w:rsid w:val="000733EA"/>
    <w:rsid w:val="00073481"/>
    <w:rsid w:val="000734A1"/>
    <w:rsid w:val="000734AA"/>
    <w:rsid w:val="000734D0"/>
    <w:rsid w:val="00073500"/>
    <w:rsid w:val="000738AB"/>
    <w:rsid w:val="00073F22"/>
    <w:rsid w:val="0007422A"/>
    <w:rsid w:val="000743CD"/>
    <w:rsid w:val="0007482E"/>
    <w:rsid w:val="00074B5D"/>
    <w:rsid w:val="000752D6"/>
    <w:rsid w:val="0007532C"/>
    <w:rsid w:val="0007536A"/>
    <w:rsid w:val="00075467"/>
    <w:rsid w:val="00075E21"/>
    <w:rsid w:val="00075F29"/>
    <w:rsid w:val="000769AC"/>
    <w:rsid w:val="00076D72"/>
    <w:rsid w:val="0007706D"/>
    <w:rsid w:val="000774A0"/>
    <w:rsid w:val="0007768E"/>
    <w:rsid w:val="0007793D"/>
    <w:rsid w:val="000779DC"/>
    <w:rsid w:val="00077B96"/>
    <w:rsid w:val="00077BD9"/>
    <w:rsid w:val="00077E87"/>
    <w:rsid w:val="00077ED7"/>
    <w:rsid w:val="000804A5"/>
    <w:rsid w:val="000804B2"/>
    <w:rsid w:val="0008051C"/>
    <w:rsid w:val="000805F5"/>
    <w:rsid w:val="00080A03"/>
    <w:rsid w:val="00080A17"/>
    <w:rsid w:val="00080C06"/>
    <w:rsid w:val="00081186"/>
    <w:rsid w:val="00081265"/>
    <w:rsid w:val="0008183F"/>
    <w:rsid w:val="000818B9"/>
    <w:rsid w:val="000820DB"/>
    <w:rsid w:val="0008226B"/>
    <w:rsid w:val="00082290"/>
    <w:rsid w:val="0008237C"/>
    <w:rsid w:val="00082397"/>
    <w:rsid w:val="0008262E"/>
    <w:rsid w:val="00082874"/>
    <w:rsid w:val="00082D07"/>
    <w:rsid w:val="00082FBF"/>
    <w:rsid w:val="00082FC8"/>
    <w:rsid w:val="000832BE"/>
    <w:rsid w:val="000836B1"/>
    <w:rsid w:val="000837C7"/>
    <w:rsid w:val="00083B17"/>
    <w:rsid w:val="00083F03"/>
    <w:rsid w:val="00083FC1"/>
    <w:rsid w:val="000844EE"/>
    <w:rsid w:val="00084503"/>
    <w:rsid w:val="00084564"/>
    <w:rsid w:val="00084CA8"/>
    <w:rsid w:val="00084D29"/>
    <w:rsid w:val="00084DCE"/>
    <w:rsid w:val="00084FE5"/>
    <w:rsid w:val="00085380"/>
    <w:rsid w:val="00085389"/>
    <w:rsid w:val="0008550F"/>
    <w:rsid w:val="00085825"/>
    <w:rsid w:val="00085D2F"/>
    <w:rsid w:val="00086077"/>
    <w:rsid w:val="000861FE"/>
    <w:rsid w:val="000865AA"/>
    <w:rsid w:val="0008675C"/>
    <w:rsid w:val="0008687A"/>
    <w:rsid w:val="00086883"/>
    <w:rsid w:val="00086909"/>
    <w:rsid w:val="00086E9A"/>
    <w:rsid w:val="0008723C"/>
    <w:rsid w:val="00087251"/>
    <w:rsid w:val="00087629"/>
    <w:rsid w:val="00087EB0"/>
    <w:rsid w:val="00087F68"/>
    <w:rsid w:val="0009021B"/>
    <w:rsid w:val="000902A1"/>
    <w:rsid w:val="000902A3"/>
    <w:rsid w:val="0009031D"/>
    <w:rsid w:val="00090756"/>
    <w:rsid w:val="00090921"/>
    <w:rsid w:val="00090D29"/>
    <w:rsid w:val="00091246"/>
    <w:rsid w:val="00091297"/>
    <w:rsid w:val="00091B5B"/>
    <w:rsid w:val="00091F4C"/>
    <w:rsid w:val="00092913"/>
    <w:rsid w:val="00093153"/>
    <w:rsid w:val="000932F2"/>
    <w:rsid w:val="000933D3"/>
    <w:rsid w:val="00093744"/>
    <w:rsid w:val="0009385F"/>
    <w:rsid w:val="0009387C"/>
    <w:rsid w:val="00093F25"/>
    <w:rsid w:val="00093F88"/>
    <w:rsid w:val="00094037"/>
    <w:rsid w:val="00094064"/>
    <w:rsid w:val="000940F3"/>
    <w:rsid w:val="000942C6"/>
    <w:rsid w:val="0009437A"/>
    <w:rsid w:val="000945E8"/>
    <w:rsid w:val="000948DC"/>
    <w:rsid w:val="00094C11"/>
    <w:rsid w:val="00094CBF"/>
    <w:rsid w:val="00094EB8"/>
    <w:rsid w:val="000954DC"/>
    <w:rsid w:val="00095810"/>
    <w:rsid w:val="00095D87"/>
    <w:rsid w:val="0009623D"/>
    <w:rsid w:val="0009630C"/>
    <w:rsid w:val="00096475"/>
    <w:rsid w:val="000969EA"/>
    <w:rsid w:val="00096BA6"/>
    <w:rsid w:val="00096D09"/>
    <w:rsid w:val="000971B4"/>
    <w:rsid w:val="00097AEC"/>
    <w:rsid w:val="00097C3B"/>
    <w:rsid w:val="00097D88"/>
    <w:rsid w:val="00097E87"/>
    <w:rsid w:val="00097EAA"/>
    <w:rsid w:val="000A042D"/>
    <w:rsid w:val="000A0789"/>
    <w:rsid w:val="000A08FF"/>
    <w:rsid w:val="000A0E1D"/>
    <w:rsid w:val="000A10E1"/>
    <w:rsid w:val="000A12A7"/>
    <w:rsid w:val="000A1F21"/>
    <w:rsid w:val="000A2307"/>
    <w:rsid w:val="000A2E08"/>
    <w:rsid w:val="000A3032"/>
    <w:rsid w:val="000A306A"/>
    <w:rsid w:val="000A32C4"/>
    <w:rsid w:val="000A3943"/>
    <w:rsid w:val="000A3AE0"/>
    <w:rsid w:val="000A3CAF"/>
    <w:rsid w:val="000A43A5"/>
    <w:rsid w:val="000A43CE"/>
    <w:rsid w:val="000A44E4"/>
    <w:rsid w:val="000A492C"/>
    <w:rsid w:val="000A4A1B"/>
    <w:rsid w:val="000A4B1B"/>
    <w:rsid w:val="000A4B2B"/>
    <w:rsid w:val="000A4BB3"/>
    <w:rsid w:val="000A4F82"/>
    <w:rsid w:val="000A550C"/>
    <w:rsid w:val="000A5510"/>
    <w:rsid w:val="000A5725"/>
    <w:rsid w:val="000A573E"/>
    <w:rsid w:val="000A5760"/>
    <w:rsid w:val="000A5C30"/>
    <w:rsid w:val="000A6302"/>
    <w:rsid w:val="000A63F7"/>
    <w:rsid w:val="000A6686"/>
    <w:rsid w:val="000A6D88"/>
    <w:rsid w:val="000A7276"/>
    <w:rsid w:val="000A742D"/>
    <w:rsid w:val="000A78F1"/>
    <w:rsid w:val="000A79B2"/>
    <w:rsid w:val="000A7A9D"/>
    <w:rsid w:val="000B00B1"/>
    <w:rsid w:val="000B0156"/>
    <w:rsid w:val="000B0A23"/>
    <w:rsid w:val="000B0CF4"/>
    <w:rsid w:val="000B136E"/>
    <w:rsid w:val="000B1B99"/>
    <w:rsid w:val="000B1FD4"/>
    <w:rsid w:val="000B2240"/>
    <w:rsid w:val="000B2381"/>
    <w:rsid w:val="000B249C"/>
    <w:rsid w:val="000B2673"/>
    <w:rsid w:val="000B29F0"/>
    <w:rsid w:val="000B2D99"/>
    <w:rsid w:val="000B2E75"/>
    <w:rsid w:val="000B3002"/>
    <w:rsid w:val="000B35DA"/>
    <w:rsid w:val="000B36AF"/>
    <w:rsid w:val="000B39C2"/>
    <w:rsid w:val="000B3D91"/>
    <w:rsid w:val="000B4556"/>
    <w:rsid w:val="000B4589"/>
    <w:rsid w:val="000B45C1"/>
    <w:rsid w:val="000B4910"/>
    <w:rsid w:val="000B4E86"/>
    <w:rsid w:val="000B4FEE"/>
    <w:rsid w:val="000B53DD"/>
    <w:rsid w:val="000B54FD"/>
    <w:rsid w:val="000B5512"/>
    <w:rsid w:val="000B5820"/>
    <w:rsid w:val="000B5BC2"/>
    <w:rsid w:val="000B5C2C"/>
    <w:rsid w:val="000B5C67"/>
    <w:rsid w:val="000B5D1C"/>
    <w:rsid w:val="000B63F9"/>
    <w:rsid w:val="000B67BE"/>
    <w:rsid w:val="000B6B67"/>
    <w:rsid w:val="000B6B74"/>
    <w:rsid w:val="000B70BA"/>
    <w:rsid w:val="000B72B5"/>
    <w:rsid w:val="000B7348"/>
    <w:rsid w:val="000B762B"/>
    <w:rsid w:val="000B7635"/>
    <w:rsid w:val="000B77EC"/>
    <w:rsid w:val="000B7939"/>
    <w:rsid w:val="000B7AF9"/>
    <w:rsid w:val="000C051C"/>
    <w:rsid w:val="000C0650"/>
    <w:rsid w:val="000C06FB"/>
    <w:rsid w:val="000C0702"/>
    <w:rsid w:val="000C0758"/>
    <w:rsid w:val="000C08B7"/>
    <w:rsid w:val="000C0A01"/>
    <w:rsid w:val="000C0E04"/>
    <w:rsid w:val="000C125D"/>
    <w:rsid w:val="000C18CE"/>
    <w:rsid w:val="000C19F4"/>
    <w:rsid w:val="000C1E57"/>
    <w:rsid w:val="000C2173"/>
    <w:rsid w:val="000C25EA"/>
    <w:rsid w:val="000C2795"/>
    <w:rsid w:val="000C27C7"/>
    <w:rsid w:val="000C2928"/>
    <w:rsid w:val="000C2B8B"/>
    <w:rsid w:val="000C2F2E"/>
    <w:rsid w:val="000C308B"/>
    <w:rsid w:val="000C30C4"/>
    <w:rsid w:val="000C313F"/>
    <w:rsid w:val="000C3427"/>
    <w:rsid w:val="000C34F5"/>
    <w:rsid w:val="000C366E"/>
    <w:rsid w:val="000C37F7"/>
    <w:rsid w:val="000C3D65"/>
    <w:rsid w:val="000C4108"/>
    <w:rsid w:val="000C419E"/>
    <w:rsid w:val="000C4C26"/>
    <w:rsid w:val="000C500C"/>
    <w:rsid w:val="000C52E2"/>
    <w:rsid w:val="000C537C"/>
    <w:rsid w:val="000C550B"/>
    <w:rsid w:val="000C57C2"/>
    <w:rsid w:val="000C598D"/>
    <w:rsid w:val="000C5D03"/>
    <w:rsid w:val="000C606D"/>
    <w:rsid w:val="000C60F9"/>
    <w:rsid w:val="000C6215"/>
    <w:rsid w:val="000C621F"/>
    <w:rsid w:val="000C67FC"/>
    <w:rsid w:val="000C68AF"/>
    <w:rsid w:val="000C693B"/>
    <w:rsid w:val="000C7354"/>
    <w:rsid w:val="000C7886"/>
    <w:rsid w:val="000C795A"/>
    <w:rsid w:val="000D0004"/>
    <w:rsid w:val="000D00AE"/>
    <w:rsid w:val="000D0505"/>
    <w:rsid w:val="000D0548"/>
    <w:rsid w:val="000D060F"/>
    <w:rsid w:val="000D08C0"/>
    <w:rsid w:val="000D0B0F"/>
    <w:rsid w:val="000D0BFF"/>
    <w:rsid w:val="000D0D05"/>
    <w:rsid w:val="000D0D8E"/>
    <w:rsid w:val="000D0E1D"/>
    <w:rsid w:val="000D136A"/>
    <w:rsid w:val="000D1705"/>
    <w:rsid w:val="000D1C3D"/>
    <w:rsid w:val="000D1CA9"/>
    <w:rsid w:val="000D1EB5"/>
    <w:rsid w:val="000D2274"/>
    <w:rsid w:val="000D23D8"/>
    <w:rsid w:val="000D25AE"/>
    <w:rsid w:val="000D2CD6"/>
    <w:rsid w:val="000D3099"/>
    <w:rsid w:val="000D30C7"/>
    <w:rsid w:val="000D32FE"/>
    <w:rsid w:val="000D3679"/>
    <w:rsid w:val="000D36EB"/>
    <w:rsid w:val="000D3A90"/>
    <w:rsid w:val="000D3B31"/>
    <w:rsid w:val="000D3D85"/>
    <w:rsid w:val="000D42EE"/>
    <w:rsid w:val="000D4697"/>
    <w:rsid w:val="000D4699"/>
    <w:rsid w:val="000D4EF4"/>
    <w:rsid w:val="000D5068"/>
    <w:rsid w:val="000D5122"/>
    <w:rsid w:val="000D5305"/>
    <w:rsid w:val="000D5350"/>
    <w:rsid w:val="000D5374"/>
    <w:rsid w:val="000D5447"/>
    <w:rsid w:val="000D587A"/>
    <w:rsid w:val="000D5B75"/>
    <w:rsid w:val="000D5BF9"/>
    <w:rsid w:val="000D60E5"/>
    <w:rsid w:val="000D69FF"/>
    <w:rsid w:val="000D7579"/>
    <w:rsid w:val="000D7879"/>
    <w:rsid w:val="000D7A5D"/>
    <w:rsid w:val="000D7ADD"/>
    <w:rsid w:val="000D7C37"/>
    <w:rsid w:val="000D7C7D"/>
    <w:rsid w:val="000E004D"/>
    <w:rsid w:val="000E015D"/>
    <w:rsid w:val="000E0831"/>
    <w:rsid w:val="000E09C2"/>
    <w:rsid w:val="000E0D37"/>
    <w:rsid w:val="000E0D75"/>
    <w:rsid w:val="000E10AA"/>
    <w:rsid w:val="000E136D"/>
    <w:rsid w:val="000E1538"/>
    <w:rsid w:val="000E1971"/>
    <w:rsid w:val="000E1B61"/>
    <w:rsid w:val="000E1F1F"/>
    <w:rsid w:val="000E1F62"/>
    <w:rsid w:val="000E233F"/>
    <w:rsid w:val="000E2E93"/>
    <w:rsid w:val="000E2F40"/>
    <w:rsid w:val="000E3969"/>
    <w:rsid w:val="000E39FE"/>
    <w:rsid w:val="000E3B1C"/>
    <w:rsid w:val="000E440C"/>
    <w:rsid w:val="000E493E"/>
    <w:rsid w:val="000E4C33"/>
    <w:rsid w:val="000E4C46"/>
    <w:rsid w:val="000E50F1"/>
    <w:rsid w:val="000E522C"/>
    <w:rsid w:val="000E59F4"/>
    <w:rsid w:val="000E5C62"/>
    <w:rsid w:val="000E6009"/>
    <w:rsid w:val="000E612C"/>
    <w:rsid w:val="000E64A2"/>
    <w:rsid w:val="000E64C0"/>
    <w:rsid w:val="000E64E0"/>
    <w:rsid w:val="000E6958"/>
    <w:rsid w:val="000E6BED"/>
    <w:rsid w:val="000E6C77"/>
    <w:rsid w:val="000E7528"/>
    <w:rsid w:val="000E7673"/>
    <w:rsid w:val="000E7BC4"/>
    <w:rsid w:val="000F02AC"/>
    <w:rsid w:val="000F040E"/>
    <w:rsid w:val="000F0775"/>
    <w:rsid w:val="000F0CBE"/>
    <w:rsid w:val="000F0F50"/>
    <w:rsid w:val="000F0F7F"/>
    <w:rsid w:val="000F1021"/>
    <w:rsid w:val="000F12F1"/>
    <w:rsid w:val="000F13EF"/>
    <w:rsid w:val="000F15DA"/>
    <w:rsid w:val="000F1843"/>
    <w:rsid w:val="000F1E75"/>
    <w:rsid w:val="000F2523"/>
    <w:rsid w:val="000F2582"/>
    <w:rsid w:val="000F2F5B"/>
    <w:rsid w:val="000F3334"/>
    <w:rsid w:val="000F378C"/>
    <w:rsid w:val="000F39B6"/>
    <w:rsid w:val="000F3AB4"/>
    <w:rsid w:val="000F3AF9"/>
    <w:rsid w:val="000F3D2A"/>
    <w:rsid w:val="000F3DCF"/>
    <w:rsid w:val="000F4084"/>
    <w:rsid w:val="000F4349"/>
    <w:rsid w:val="000F492E"/>
    <w:rsid w:val="000F4A6E"/>
    <w:rsid w:val="000F4BD2"/>
    <w:rsid w:val="000F500C"/>
    <w:rsid w:val="000F504A"/>
    <w:rsid w:val="000F5311"/>
    <w:rsid w:val="000F53B5"/>
    <w:rsid w:val="000F5C1B"/>
    <w:rsid w:val="000F5DFB"/>
    <w:rsid w:val="000F6070"/>
    <w:rsid w:val="000F6319"/>
    <w:rsid w:val="000F65F0"/>
    <w:rsid w:val="000F662C"/>
    <w:rsid w:val="000F6A8A"/>
    <w:rsid w:val="000F6BD1"/>
    <w:rsid w:val="000F6F31"/>
    <w:rsid w:val="000F733C"/>
    <w:rsid w:val="000F733F"/>
    <w:rsid w:val="000F7CD7"/>
    <w:rsid w:val="001002EB"/>
    <w:rsid w:val="00100559"/>
    <w:rsid w:val="00100AD9"/>
    <w:rsid w:val="00100DB3"/>
    <w:rsid w:val="00101629"/>
    <w:rsid w:val="00101B06"/>
    <w:rsid w:val="00101B44"/>
    <w:rsid w:val="00101DAE"/>
    <w:rsid w:val="00101EC9"/>
    <w:rsid w:val="001021C3"/>
    <w:rsid w:val="00102441"/>
    <w:rsid w:val="0010272E"/>
    <w:rsid w:val="00102792"/>
    <w:rsid w:val="00102814"/>
    <w:rsid w:val="00102861"/>
    <w:rsid w:val="001029F0"/>
    <w:rsid w:val="00102C98"/>
    <w:rsid w:val="00102F9E"/>
    <w:rsid w:val="00103248"/>
    <w:rsid w:val="0010336B"/>
    <w:rsid w:val="00103394"/>
    <w:rsid w:val="0010349B"/>
    <w:rsid w:val="001038AE"/>
    <w:rsid w:val="001039C0"/>
    <w:rsid w:val="00103FBA"/>
    <w:rsid w:val="001040A9"/>
    <w:rsid w:val="00104183"/>
    <w:rsid w:val="001042DA"/>
    <w:rsid w:val="00104983"/>
    <w:rsid w:val="00104BD9"/>
    <w:rsid w:val="00104F63"/>
    <w:rsid w:val="00105200"/>
    <w:rsid w:val="001052FB"/>
    <w:rsid w:val="00105B02"/>
    <w:rsid w:val="00105C7E"/>
    <w:rsid w:val="001063F1"/>
    <w:rsid w:val="0010643C"/>
    <w:rsid w:val="00106735"/>
    <w:rsid w:val="00106D19"/>
    <w:rsid w:val="001073A9"/>
    <w:rsid w:val="00107725"/>
    <w:rsid w:val="00110328"/>
    <w:rsid w:val="00110512"/>
    <w:rsid w:val="0011087A"/>
    <w:rsid w:val="00110A2E"/>
    <w:rsid w:val="001112A9"/>
    <w:rsid w:val="001112AF"/>
    <w:rsid w:val="001112BD"/>
    <w:rsid w:val="0011133D"/>
    <w:rsid w:val="0011190D"/>
    <w:rsid w:val="00111990"/>
    <w:rsid w:val="00111C56"/>
    <w:rsid w:val="0011227D"/>
    <w:rsid w:val="00112CB3"/>
    <w:rsid w:val="00113640"/>
    <w:rsid w:val="001137A2"/>
    <w:rsid w:val="00113856"/>
    <w:rsid w:val="00113B61"/>
    <w:rsid w:val="00113FBA"/>
    <w:rsid w:val="001141EC"/>
    <w:rsid w:val="001145D6"/>
    <w:rsid w:val="00114809"/>
    <w:rsid w:val="00114915"/>
    <w:rsid w:val="00114992"/>
    <w:rsid w:val="00114A02"/>
    <w:rsid w:val="00114AAE"/>
    <w:rsid w:val="00114DDC"/>
    <w:rsid w:val="00114EB5"/>
    <w:rsid w:val="0011503D"/>
    <w:rsid w:val="001153D3"/>
    <w:rsid w:val="00115436"/>
    <w:rsid w:val="0011568C"/>
    <w:rsid w:val="001158DF"/>
    <w:rsid w:val="0011593F"/>
    <w:rsid w:val="00115C2C"/>
    <w:rsid w:val="001160CF"/>
    <w:rsid w:val="00116178"/>
    <w:rsid w:val="0011636A"/>
    <w:rsid w:val="001167BC"/>
    <w:rsid w:val="00116A92"/>
    <w:rsid w:val="001170D5"/>
    <w:rsid w:val="001170DB"/>
    <w:rsid w:val="0011711E"/>
    <w:rsid w:val="00117F8B"/>
    <w:rsid w:val="0012041C"/>
    <w:rsid w:val="0012049C"/>
    <w:rsid w:val="001207FA"/>
    <w:rsid w:val="00120DC0"/>
    <w:rsid w:val="0012119F"/>
    <w:rsid w:val="00121D96"/>
    <w:rsid w:val="00121F9B"/>
    <w:rsid w:val="001221A4"/>
    <w:rsid w:val="001225D9"/>
    <w:rsid w:val="00122A1A"/>
    <w:rsid w:val="00123557"/>
    <w:rsid w:val="001236C7"/>
    <w:rsid w:val="00123E41"/>
    <w:rsid w:val="00123E70"/>
    <w:rsid w:val="00124297"/>
    <w:rsid w:val="001247E6"/>
    <w:rsid w:val="0012480E"/>
    <w:rsid w:val="00124829"/>
    <w:rsid w:val="0012497C"/>
    <w:rsid w:val="00124A2C"/>
    <w:rsid w:val="00124DBF"/>
    <w:rsid w:val="00124F3E"/>
    <w:rsid w:val="0012504C"/>
    <w:rsid w:val="001251E9"/>
    <w:rsid w:val="001253B9"/>
    <w:rsid w:val="0012549C"/>
    <w:rsid w:val="0012579C"/>
    <w:rsid w:val="001257C7"/>
    <w:rsid w:val="001257F7"/>
    <w:rsid w:val="00125C4C"/>
    <w:rsid w:val="00125C94"/>
    <w:rsid w:val="00126000"/>
    <w:rsid w:val="0012632F"/>
    <w:rsid w:val="00126360"/>
    <w:rsid w:val="001263F2"/>
    <w:rsid w:val="00126752"/>
    <w:rsid w:val="0012682E"/>
    <w:rsid w:val="00126B01"/>
    <w:rsid w:val="00126C49"/>
    <w:rsid w:val="0012716D"/>
    <w:rsid w:val="0012726F"/>
    <w:rsid w:val="0012727E"/>
    <w:rsid w:val="00127302"/>
    <w:rsid w:val="0012738F"/>
    <w:rsid w:val="001273ED"/>
    <w:rsid w:val="0012743F"/>
    <w:rsid w:val="001274A9"/>
    <w:rsid w:val="001276E3"/>
    <w:rsid w:val="0012784D"/>
    <w:rsid w:val="00127933"/>
    <w:rsid w:val="00127C29"/>
    <w:rsid w:val="00127D18"/>
    <w:rsid w:val="001307CF"/>
    <w:rsid w:val="00130A0B"/>
    <w:rsid w:val="00130BDB"/>
    <w:rsid w:val="00130C1F"/>
    <w:rsid w:val="00130E7B"/>
    <w:rsid w:val="00130FBA"/>
    <w:rsid w:val="00131230"/>
    <w:rsid w:val="001312CA"/>
    <w:rsid w:val="0013148D"/>
    <w:rsid w:val="00131499"/>
    <w:rsid w:val="00131899"/>
    <w:rsid w:val="001323D0"/>
    <w:rsid w:val="00132977"/>
    <w:rsid w:val="00132D56"/>
    <w:rsid w:val="00132DAE"/>
    <w:rsid w:val="00132E24"/>
    <w:rsid w:val="00133445"/>
    <w:rsid w:val="0013375A"/>
    <w:rsid w:val="00133882"/>
    <w:rsid w:val="001338E2"/>
    <w:rsid w:val="00133B7C"/>
    <w:rsid w:val="00133D24"/>
    <w:rsid w:val="0013438C"/>
    <w:rsid w:val="0013553A"/>
    <w:rsid w:val="00135912"/>
    <w:rsid w:val="00135E48"/>
    <w:rsid w:val="00135F94"/>
    <w:rsid w:val="001365D3"/>
    <w:rsid w:val="00136EC6"/>
    <w:rsid w:val="00137119"/>
    <w:rsid w:val="001371DB"/>
    <w:rsid w:val="00137257"/>
    <w:rsid w:val="00137813"/>
    <w:rsid w:val="00137874"/>
    <w:rsid w:val="00137913"/>
    <w:rsid w:val="0013793A"/>
    <w:rsid w:val="00137FB7"/>
    <w:rsid w:val="00140263"/>
    <w:rsid w:val="00140677"/>
    <w:rsid w:val="00140780"/>
    <w:rsid w:val="00140A21"/>
    <w:rsid w:val="00140CC2"/>
    <w:rsid w:val="00140E5B"/>
    <w:rsid w:val="00141249"/>
    <w:rsid w:val="00141818"/>
    <w:rsid w:val="00141C1A"/>
    <w:rsid w:val="00142029"/>
    <w:rsid w:val="001420A5"/>
    <w:rsid w:val="00142D13"/>
    <w:rsid w:val="00142EE6"/>
    <w:rsid w:val="001430AA"/>
    <w:rsid w:val="0014316C"/>
    <w:rsid w:val="0014354B"/>
    <w:rsid w:val="001437A3"/>
    <w:rsid w:val="00143A8E"/>
    <w:rsid w:val="00143DFB"/>
    <w:rsid w:val="001444F2"/>
    <w:rsid w:val="00144675"/>
    <w:rsid w:val="001446AF"/>
    <w:rsid w:val="00144706"/>
    <w:rsid w:val="001448A5"/>
    <w:rsid w:val="00144D13"/>
    <w:rsid w:val="00144DC2"/>
    <w:rsid w:val="00144DC9"/>
    <w:rsid w:val="00144E96"/>
    <w:rsid w:val="00145342"/>
    <w:rsid w:val="00145491"/>
    <w:rsid w:val="00145674"/>
    <w:rsid w:val="00145B05"/>
    <w:rsid w:val="00145D4F"/>
    <w:rsid w:val="00145F56"/>
    <w:rsid w:val="0014600D"/>
    <w:rsid w:val="001461E9"/>
    <w:rsid w:val="0014622D"/>
    <w:rsid w:val="001463A8"/>
    <w:rsid w:val="001468EF"/>
    <w:rsid w:val="0014700F"/>
    <w:rsid w:val="001470EA"/>
    <w:rsid w:val="0014713F"/>
    <w:rsid w:val="00147268"/>
    <w:rsid w:val="00147481"/>
    <w:rsid w:val="00147525"/>
    <w:rsid w:val="0014764C"/>
    <w:rsid w:val="00147C5B"/>
    <w:rsid w:val="0015006E"/>
    <w:rsid w:val="00150235"/>
    <w:rsid w:val="00150618"/>
    <w:rsid w:val="00150715"/>
    <w:rsid w:val="00150BCA"/>
    <w:rsid w:val="00150CB7"/>
    <w:rsid w:val="00150CC7"/>
    <w:rsid w:val="001511E4"/>
    <w:rsid w:val="0015147C"/>
    <w:rsid w:val="001515F3"/>
    <w:rsid w:val="001518B3"/>
    <w:rsid w:val="00151B09"/>
    <w:rsid w:val="00151BB6"/>
    <w:rsid w:val="00151C07"/>
    <w:rsid w:val="00151D3E"/>
    <w:rsid w:val="00152115"/>
    <w:rsid w:val="00152124"/>
    <w:rsid w:val="00152344"/>
    <w:rsid w:val="00152383"/>
    <w:rsid w:val="001524E9"/>
    <w:rsid w:val="00152780"/>
    <w:rsid w:val="00152829"/>
    <w:rsid w:val="00152985"/>
    <w:rsid w:val="0015299C"/>
    <w:rsid w:val="0015340A"/>
    <w:rsid w:val="001539BF"/>
    <w:rsid w:val="001542AB"/>
    <w:rsid w:val="00154405"/>
    <w:rsid w:val="001546F2"/>
    <w:rsid w:val="00154944"/>
    <w:rsid w:val="001550C3"/>
    <w:rsid w:val="0015520B"/>
    <w:rsid w:val="001552F3"/>
    <w:rsid w:val="001554C2"/>
    <w:rsid w:val="001558F8"/>
    <w:rsid w:val="00155CE6"/>
    <w:rsid w:val="001561D9"/>
    <w:rsid w:val="00156AA0"/>
    <w:rsid w:val="00156EC3"/>
    <w:rsid w:val="00156F13"/>
    <w:rsid w:val="0015734D"/>
    <w:rsid w:val="0015746B"/>
    <w:rsid w:val="00157665"/>
    <w:rsid w:val="001579AC"/>
    <w:rsid w:val="00157B63"/>
    <w:rsid w:val="00157D39"/>
    <w:rsid w:val="00157E97"/>
    <w:rsid w:val="00160572"/>
    <w:rsid w:val="00160731"/>
    <w:rsid w:val="00160B63"/>
    <w:rsid w:val="00160F26"/>
    <w:rsid w:val="00161026"/>
    <w:rsid w:val="00161378"/>
    <w:rsid w:val="001618E7"/>
    <w:rsid w:val="00161AAA"/>
    <w:rsid w:val="00161CBE"/>
    <w:rsid w:val="001620B0"/>
    <w:rsid w:val="00162284"/>
    <w:rsid w:val="00162516"/>
    <w:rsid w:val="0016283C"/>
    <w:rsid w:val="00162ADD"/>
    <w:rsid w:val="00162B2F"/>
    <w:rsid w:val="00162BE7"/>
    <w:rsid w:val="00162C80"/>
    <w:rsid w:val="00162D86"/>
    <w:rsid w:val="00163306"/>
    <w:rsid w:val="0016340B"/>
    <w:rsid w:val="00163560"/>
    <w:rsid w:val="00163774"/>
    <w:rsid w:val="00163777"/>
    <w:rsid w:val="0016396A"/>
    <w:rsid w:val="00163AB8"/>
    <w:rsid w:val="00163AD0"/>
    <w:rsid w:val="00163AD9"/>
    <w:rsid w:val="00163D61"/>
    <w:rsid w:val="0016403D"/>
    <w:rsid w:val="0016422F"/>
    <w:rsid w:val="001647AA"/>
    <w:rsid w:val="00164824"/>
    <w:rsid w:val="00164832"/>
    <w:rsid w:val="00164863"/>
    <w:rsid w:val="0016487E"/>
    <w:rsid w:val="00164B27"/>
    <w:rsid w:val="00164DBA"/>
    <w:rsid w:val="00164DD7"/>
    <w:rsid w:val="00164F75"/>
    <w:rsid w:val="00165070"/>
    <w:rsid w:val="00165330"/>
    <w:rsid w:val="00165447"/>
    <w:rsid w:val="001658AD"/>
    <w:rsid w:val="001659A1"/>
    <w:rsid w:val="00165B8F"/>
    <w:rsid w:val="00165D69"/>
    <w:rsid w:val="00165D9D"/>
    <w:rsid w:val="0016608E"/>
    <w:rsid w:val="0016651E"/>
    <w:rsid w:val="0016710A"/>
    <w:rsid w:val="00167203"/>
    <w:rsid w:val="00167419"/>
    <w:rsid w:val="00167A08"/>
    <w:rsid w:val="00167B20"/>
    <w:rsid w:val="00167C7F"/>
    <w:rsid w:val="00167E37"/>
    <w:rsid w:val="00167E47"/>
    <w:rsid w:val="00170112"/>
    <w:rsid w:val="0017018D"/>
    <w:rsid w:val="00170751"/>
    <w:rsid w:val="00170AE3"/>
    <w:rsid w:val="00170C91"/>
    <w:rsid w:val="00170EF0"/>
    <w:rsid w:val="00171870"/>
    <w:rsid w:val="0017195A"/>
    <w:rsid w:val="00171ACF"/>
    <w:rsid w:val="0017213A"/>
    <w:rsid w:val="0017228E"/>
    <w:rsid w:val="00172317"/>
    <w:rsid w:val="00172481"/>
    <w:rsid w:val="001725DD"/>
    <w:rsid w:val="001729F2"/>
    <w:rsid w:val="00172AFD"/>
    <w:rsid w:val="00172BFA"/>
    <w:rsid w:val="00172C29"/>
    <w:rsid w:val="0017378C"/>
    <w:rsid w:val="00173810"/>
    <w:rsid w:val="001738B2"/>
    <w:rsid w:val="00173A84"/>
    <w:rsid w:val="00173C2A"/>
    <w:rsid w:val="00173CDC"/>
    <w:rsid w:val="00173F95"/>
    <w:rsid w:val="001747CE"/>
    <w:rsid w:val="0017498C"/>
    <w:rsid w:val="00174C42"/>
    <w:rsid w:val="00175081"/>
    <w:rsid w:val="00175374"/>
    <w:rsid w:val="00175474"/>
    <w:rsid w:val="00175709"/>
    <w:rsid w:val="00175AA1"/>
    <w:rsid w:val="00175D30"/>
    <w:rsid w:val="0017631F"/>
    <w:rsid w:val="001765D6"/>
    <w:rsid w:val="00176A19"/>
    <w:rsid w:val="00176A51"/>
    <w:rsid w:val="00176D28"/>
    <w:rsid w:val="00176D56"/>
    <w:rsid w:val="0017721F"/>
    <w:rsid w:val="0017743E"/>
    <w:rsid w:val="001801AC"/>
    <w:rsid w:val="0018036A"/>
    <w:rsid w:val="0018057A"/>
    <w:rsid w:val="00180A90"/>
    <w:rsid w:val="001810E0"/>
    <w:rsid w:val="001815F7"/>
    <w:rsid w:val="00181C63"/>
    <w:rsid w:val="00181CF5"/>
    <w:rsid w:val="00181E5F"/>
    <w:rsid w:val="00182574"/>
    <w:rsid w:val="00182F62"/>
    <w:rsid w:val="00182F82"/>
    <w:rsid w:val="00182FC0"/>
    <w:rsid w:val="00183201"/>
    <w:rsid w:val="00183211"/>
    <w:rsid w:val="00183674"/>
    <w:rsid w:val="001839D5"/>
    <w:rsid w:val="00183DBF"/>
    <w:rsid w:val="00184125"/>
    <w:rsid w:val="00184133"/>
    <w:rsid w:val="001841AD"/>
    <w:rsid w:val="00184346"/>
    <w:rsid w:val="00184431"/>
    <w:rsid w:val="0018471F"/>
    <w:rsid w:val="00184B55"/>
    <w:rsid w:val="00184F63"/>
    <w:rsid w:val="001853C5"/>
    <w:rsid w:val="00185E84"/>
    <w:rsid w:val="00185F1F"/>
    <w:rsid w:val="00186182"/>
    <w:rsid w:val="00186356"/>
    <w:rsid w:val="001863C8"/>
    <w:rsid w:val="001866D9"/>
    <w:rsid w:val="00186B8F"/>
    <w:rsid w:val="00186EB6"/>
    <w:rsid w:val="00187063"/>
    <w:rsid w:val="0018722B"/>
    <w:rsid w:val="001874AF"/>
    <w:rsid w:val="001879EF"/>
    <w:rsid w:val="00187AC4"/>
    <w:rsid w:val="00187D91"/>
    <w:rsid w:val="0019005C"/>
    <w:rsid w:val="001901E6"/>
    <w:rsid w:val="0019025B"/>
    <w:rsid w:val="00190410"/>
    <w:rsid w:val="00190A8E"/>
    <w:rsid w:val="001911EC"/>
    <w:rsid w:val="0019131F"/>
    <w:rsid w:val="00191351"/>
    <w:rsid w:val="001913C7"/>
    <w:rsid w:val="00191484"/>
    <w:rsid w:val="00191854"/>
    <w:rsid w:val="00191E77"/>
    <w:rsid w:val="00191EB2"/>
    <w:rsid w:val="001923E5"/>
    <w:rsid w:val="0019250F"/>
    <w:rsid w:val="001928F2"/>
    <w:rsid w:val="00192BFC"/>
    <w:rsid w:val="00192D5A"/>
    <w:rsid w:val="00192DD5"/>
    <w:rsid w:val="00192E9F"/>
    <w:rsid w:val="0019306E"/>
    <w:rsid w:val="00193073"/>
    <w:rsid w:val="00193627"/>
    <w:rsid w:val="001938FF"/>
    <w:rsid w:val="00193A09"/>
    <w:rsid w:val="00193A9C"/>
    <w:rsid w:val="00193B91"/>
    <w:rsid w:val="00193CDD"/>
    <w:rsid w:val="00193E6B"/>
    <w:rsid w:val="00193E9C"/>
    <w:rsid w:val="0019410A"/>
    <w:rsid w:val="00194203"/>
    <w:rsid w:val="001942EA"/>
    <w:rsid w:val="0019432E"/>
    <w:rsid w:val="00194746"/>
    <w:rsid w:val="00195435"/>
    <w:rsid w:val="00195622"/>
    <w:rsid w:val="001957D4"/>
    <w:rsid w:val="00195A88"/>
    <w:rsid w:val="00195ECC"/>
    <w:rsid w:val="001960DE"/>
    <w:rsid w:val="0019649E"/>
    <w:rsid w:val="0019662B"/>
    <w:rsid w:val="00196B12"/>
    <w:rsid w:val="00196C38"/>
    <w:rsid w:val="00196ED7"/>
    <w:rsid w:val="001973EB"/>
    <w:rsid w:val="0019759D"/>
    <w:rsid w:val="0019762F"/>
    <w:rsid w:val="0019785E"/>
    <w:rsid w:val="00197868"/>
    <w:rsid w:val="00197A8B"/>
    <w:rsid w:val="00197A99"/>
    <w:rsid w:val="00197B36"/>
    <w:rsid w:val="00197DAC"/>
    <w:rsid w:val="00197E5B"/>
    <w:rsid w:val="001A01C6"/>
    <w:rsid w:val="001A02F2"/>
    <w:rsid w:val="001A0305"/>
    <w:rsid w:val="001A046F"/>
    <w:rsid w:val="001A0832"/>
    <w:rsid w:val="001A0C47"/>
    <w:rsid w:val="001A0F41"/>
    <w:rsid w:val="001A0FDA"/>
    <w:rsid w:val="001A1519"/>
    <w:rsid w:val="001A197D"/>
    <w:rsid w:val="001A1D94"/>
    <w:rsid w:val="001A1ECC"/>
    <w:rsid w:val="001A2096"/>
    <w:rsid w:val="001A2146"/>
    <w:rsid w:val="001A239E"/>
    <w:rsid w:val="001A247B"/>
    <w:rsid w:val="001A2A08"/>
    <w:rsid w:val="001A2B89"/>
    <w:rsid w:val="001A2E39"/>
    <w:rsid w:val="001A2F81"/>
    <w:rsid w:val="001A319D"/>
    <w:rsid w:val="001A3812"/>
    <w:rsid w:val="001A3E62"/>
    <w:rsid w:val="001A41F4"/>
    <w:rsid w:val="001A4AAD"/>
    <w:rsid w:val="001A4B0E"/>
    <w:rsid w:val="001A4E40"/>
    <w:rsid w:val="001A50DA"/>
    <w:rsid w:val="001A55CA"/>
    <w:rsid w:val="001A5938"/>
    <w:rsid w:val="001A5FA8"/>
    <w:rsid w:val="001A5FBD"/>
    <w:rsid w:val="001A6369"/>
    <w:rsid w:val="001A63F7"/>
    <w:rsid w:val="001A6555"/>
    <w:rsid w:val="001A65F7"/>
    <w:rsid w:val="001A6A3F"/>
    <w:rsid w:val="001A6E64"/>
    <w:rsid w:val="001A7097"/>
    <w:rsid w:val="001A71AF"/>
    <w:rsid w:val="001A72EA"/>
    <w:rsid w:val="001A749E"/>
    <w:rsid w:val="001A7507"/>
    <w:rsid w:val="001A764D"/>
    <w:rsid w:val="001A7871"/>
    <w:rsid w:val="001A7916"/>
    <w:rsid w:val="001A7CB5"/>
    <w:rsid w:val="001B03DE"/>
    <w:rsid w:val="001B0B40"/>
    <w:rsid w:val="001B0BE5"/>
    <w:rsid w:val="001B0C9F"/>
    <w:rsid w:val="001B0F44"/>
    <w:rsid w:val="001B1109"/>
    <w:rsid w:val="001B13A5"/>
    <w:rsid w:val="001B1408"/>
    <w:rsid w:val="001B186E"/>
    <w:rsid w:val="001B1C52"/>
    <w:rsid w:val="001B256D"/>
    <w:rsid w:val="001B296A"/>
    <w:rsid w:val="001B2DED"/>
    <w:rsid w:val="001B2F9C"/>
    <w:rsid w:val="001B307D"/>
    <w:rsid w:val="001B341A"/>
    <w:rsid w:val="001B3C94"/>
    <w:rsid w:val="001B3E09"/>
    <w:rsid w:val="001B4170"/>
    <w:rsid w:val="001B4481"/>
    <w:rsid w:val="001B467A"/>
    <w:rsid w:val="001B4ADF"/>
    <w:rsid w:val="001B4B87"/>
    <w:rsid w:val="001B4CFF"/>
    <w:rsid w:val="001B4ED4"/>
    <w:rsid w:val="001B5380"/>
    <w:rsid w:val="001B5711"/>
    <w:rsid w:val="001B58EE"/>
    <w:rsid w:val="001B5A0C"/>
    <w:rsid w:val="001B5AFA"/>
    <w:rsid w:val="001B5E72"/>
    <w:rsid w:val="001B6080"/>
    <w:rsid w:val="001B6C8B"/>
    <w:rsid w:val="001B7209"/>
    <w:rsid w:val="001B7574"/>
    <w:rsid w:val="001B769A"/>
    <w:rsid w:val="001B7722"/>
    <w:rsid w:val="001B797D"/>
    <w:rsid w:val="001B797E"/>
    <w:rsid w:val="001B7986"/>
    <w:rsid w:val="001B7DA9"/>
    <w:rsid w:val="001C0312"/>
    <w:rsid w:val="001C05D1"/>
    <w:rsid w:val="001C06D0"/>
    <w:rsid w:val="001C0880"/>
    <w:rsid w:val="001C0A23"/>
    <w:rsid w:val="001C0C4A"/>
    <w:rsid w:val="001C0E97"/>
    <w:rsid w:val="001C1060"/>
    <w:rsid w:val="001C11F3"/>
    <w:rsid w:val="001C148F"/>
    <w:rsid w:val="001C1766"/>
    <w:rsid w:val="001C1B08"/>
    <w:rsid w:val="001C2365"/>
    <w:rsid w:val="001C24A4"/>
    <w:rsid w:val="001C25B3"/>
    <w:rsid w:val="001C25F9"/>
    <w:rsid w:val="001C270B"/>
    <w:rsid w:val="001C28A0"/>
    <w:rsid w:val="001C2A13"/>
    <w:rsid w:val="001C2AB7"/>
    <w:rsid w:val="001C2B2B"/>
    <w:rsid w:val="001C2E45"/>
    <w:rsid w:val="001C3413"/>
    <w:rsid w:val="001C3507"/>
    <w:rsid w:val="001C3B8B"/>
    <w:rsid w:val="001C3B9C"/>
    <w:rsid w:val="001C4186"/>
    <w:rsid w:val="001C476A"/>
    <w:rsid w:val="001C4BE5"/>
    <w:rsid w:val="001C4F1C"/>
    <w:rsid w:val="001C551B"/>
    <w:rsid w:val="001C5AE2"/>
    <w:rsid w:val="001C5BBC"/>
    <w:rsid w:val="001C5CDA"/>
    <w:rsid w:val="001C5DFB"/>
    <w:rsid w:val="001C5FE7"/>
    <w:rsid w:val="001C6247"/>
    <w:rsid w:val="001C639D"/>
    <w:rsid w:val="001C64BC"/>
    <w:rsid w:val="001C669B"/>
    <w:rsid w:val="001C6C14"/>
    <w:rsid w:val="001C6C26"/>
    <w:rsid w:val="001C72D3"/>
    <w:rsid w:val="001C751E"/>
    <w:rsid w:val="001C7685"/>
    <w:rsid w:val="001C7EA1"/>
    <w:rsid w:val="001D02F2"/>
    <w:rsid w:val="001D0416"/>
    <w:rsid w:val="001D0F92"/>
    <w:rsid w:val="001D11BF"/>
    <w:rsid w:val="001D13A1"/>
    <w:rsid w:val="001D13C9"/>
    <w:rsid w:val="001D1560"/>
    <w:rsid w:val="001D15AA"/>
    <w:rsid w:val="001D1695"/>
    <w:rsid w:val="001D18AA"/>
    <w:rsid w:val="001D1B23"/>
    <w:rsid w:val="001D1D4A"/>
    <w:rsid w:val="001D2039"/>
    <w:rsid w:val="001D222A"/>
    <w:rsid w:val="001D22B9"/>
    <w:rsid w:val="001D24F7"/>
    <w:rsid w:val="001D31AE"/>
    <w:rsid w:val="001D32C7"/>
    <w:rsid w:val="001D36C2"/>
    <w:rsid w:val="001D39A2"/>
    <w:rsid w:val="001D3A32"/>
    <w:rsid w:val="001D48EA"/>
    <w:rsid w:val="001D4AC7"/>
    <w:rsid w:val="001D4F61"/>
    <w:rsid w:val="001D5001"/>
    <w:rsid w:val="001D50D9"/>
    <w:rsid w:val="001D51E1"/>
    <w:rsid w:val="001D55BA"/>
    <w:rsid w:val="001D562E"/>
    <w:rsid w:val="001D565D"/>
    <w:rsid w:val="001D5CE9"/>
    <w:rsid w:val="001D5F16"/>
    <w:rsid w:val="001D6101"/>
    <w:rsid w:val="001D6558"/>
    <w:rsid w:val="001D6625"/>
    <w:rsid w:val="001D6F47"/>
    <w:rsid w:val="001D7614"/>
    <w:rsid w:val="001D792D"/>
    <w:rsid w:val="001D7E5A"/>
    <w:rsid w:val="001D7F2E"/>
    <w:rsid w:val="001E012A"/>
    <w:rsid w:val="001E0354"/>
    <w:rsid w:val="001E04C3"/>
    <w:rsid w:val="001E04EC"/>
    <w:rsid w:val="001E0605"/>
    <w:rsid w:val="001E0627"/>
    <w:rsid w:val="001E0814"/>
    <w:rsid w:val="001E0DBE"/>
    <w:rsid w:val="001E0FC9"/>
    <w:rsid w:val="001E11D2"/>
    <w:rsid w:val="001E12B9"/>
    <w:rsid w:val="001E15C6"/>
    <w:rsid w:val="001E17C3"/>
    <w:rsid w:val="001E1BB2"/>
    <w:rsid w:val="001E2848"/>
    <w:rsid w:val="001E289F"/>
    <w:rsid w:val="001E2F6D"/>
    <w:rsid w:val="001E32D6"/>
    <w:rsid w:val="001E390C"/>
    <w:rsid w:val="001E3A58"/>
    <w:rsid w:val="001E3E58"/>
    <w:rsid w:val="001E4023"/>
    <w:rsid w:val="001E416E"/>
    <w:rsid w:val="001E4487"/>
    <w:rsid w:val="001E474F"/>
    <w:rsid w:val="001E4B7E"/>
    <w:rsid w:val="001E4CD2"/>
    <w:rsid w:val="001E4D22"/>
    <w:rsid w:val="001E52A0"/>
    <w:rsid w:val="001E5A2A"/>
    <w:rsid w:val="001E6406"/>
    <w:rsid w:val="001E671F"/>
    <w:rsid w:val="001E6D51"/>
    <w:rsid w:val="001E6F85"/>
    <w:rsid w:val="001E73F5"/>
    <w:rsid w:val="001F01CC"/>
    <w:rsid w:val="001F01F8"/>
    <w:rsid w:val="001F023C"/>
    <w:rsid w:val="001F0571"/>
    <w:rsid w:val="001F060B"/>
    <w:rsid w:val="001F0F13"/>
    <w:rsid w:val="001F0FEA"/>
    <w:rsid w:val="001F107A"/>
    <w:rsid w:val="001F10D6"/>
    <w:rsid w:val="001F1118"/>
    <w:rsid w:val="001F11E1"/>
    <w:rsid w:val="001F1656"/>
    <w:rsid w:val="001F16CD"/>
    <w:rsid w:val="001F1C08"/>
    <w:rsid w:val="001F21FE"/>
    <w:rsid w:val="001F26F7"/>
    <w:rsid w:val="001F27E7"/>
    <w:rsid w:val="001F29DF"/>
    <w:rsid w:val="001F2AA3"/>
    <w:rsid w:val="001F2AF6"/>
    <w:rsid w:val="001F2BC3"/>
    <w:rsid w:val="001F30DA"/>
    <w:rsid w:val="001F33CE"/>
    <w:rsid w:val="001F368F"/>
    <w:rsid w:val="001F3784"/>
    <w:rsid w:val="001F47CC"/>
    <w:rsid w:val="001F4F32"/>
    <w:rsid w:val="001F4F54"/>
    <w:rsid w:val="001F5069"/>
    <w:rsid w:val="001F51DA"/>
    <w:rsid w:val="001F53D7"/>
    <w:rsid w:val="001F5548"/>
    <w:rsid w:val="001F55CC"/>
    <w:rsid w:val="001F606E"/>
    <w:rsid w:val="001F626C"/>
    <w:rsid w:val="001F66AB"/>
    <w:rsid w:val="001F6A52"/>
    <w:rsid w:val="001F6BFB"/>
    <w:rsid w:val="001F6C38"/>
    <w:rsid w:val="001F6D08"/>
    <w:rsid w:val="001F6F26"/>
    <w:rsid w:val="001F7000"/>
    <w:rsid w:val="001F75E2"/>
    <w:rsid w:val="001F7630"/>
    <w:rsid w:val="001F7C1D"/>
    <w:rsid w:val="00200041"/>
    <w:rsid w:val="00200068"/>
    <w:rsid w:val="0020069E"/>
    <w:rsid w:val="002009D2"/>
    <w:rsid w:val="00200BC8"/>
    <w:rsid w:val="00200ED7"/>
    <w:rsid w:val="00200F33"/>
    <w:rsid w:val="00200F57"/>
    <w:rsid w:val="00201541"/>
    <w:rsid w:val="002015C6"/>
    <w:rsid w:val="00201AC4"/>
    <w:rsid w:val="00201D72"/>
    <w:rsid w:val="00201D8B"/>
    <w:rsid w:val="00201E07"/>
    <w:rsid w:val="00201EF2"/>
    <w:rsid w:val="0020216D"/>
    <w:rsid w:val="00202ABD"/>
    <w:rsid w:val="00202CEB"/>
    <w:rsid w:val="002030EA"/>
    <w:rsid w:val="00203313"/>
    <w:rsid w:val="00203410"/>
    <w:rsid w:val="00203422"/>
    <w:rsid w:val="0020360F"/>
    <w:rsid w:val="00203617"/>
    <w:rsid w:val="00203A66"/>
    <w:rsid w:val="00203AC4"/>
    <w:rsid w:val="00203C20"/>
    <w:rsid w:val="00203F57"/>
    <w:rsid w:val="002040DB"/>
    <w:rsid w:val="002043C1"/>
    <w:rsid w:val="00204BBB"/>
    <w:rsid w:val="00204D06"/>
    <w:rsid w:val="00204D7E"/>
    <w:rsid w:val="00204DDE"/>
    <w:rsid w:val="00204DFC"/>
    <w:rsid w:val="00204E4B"/>
    <w:rsid w:val="00205389"/>
    <w:rsid w:val="00205729"/>
    <w:rsid w:val="00205763"/>
    <w:rsid w:val="00205B51"/>
    <w:rsid w:val="00206118"/>
    <w:rsid w:val="0020665D"/>
    <w:rsid w:val="00206996"/>
    <w:rsid w:val="00206C0D"/>
    <w:rsid w:val="00206CD5"/>
    <w:rsid w:val="00207104"/>
    <w:rsid w:val="00207A71"/>
    <w:rsid w:val="00207B11"/>
    <w:rsid w:val="002108F4"/>
    <w:rsid w:val="00210A94"/>
    <w:rsid w:val="00210BE2"/>
    <w:rsid w:val="00210C37"/>
    <w:rsid w:val="00211212"/>
    <w:rsid w:val="0021143E"/>
    <w:rsid w:val="00211893"/>
    <w:rsid w:val="002118B3"/>
    <w:rsid w:val="002118DC"/>
    <w:rsid w:val="0021201A"/>
    <w:rsid w:val="002120B5"/>
    <w:rsid w:val="00212448"/>
    <w:rsid w:val="002126A3"/>
    <w:rsid w:val="00212958"/>
    <w:rsid w:val="002129BA"/>
    <w:rsid w:val="00212BB7"/>
    <w:rsid w:val="00212E0D"/>
    <w:rsid w:val="00212EB9"/>
    <w:rsid w:val="002131A0"/>
    <w:rsid w:val="002135D3"/>
    <w:rsid w:val="00213935"/>
    <w:rsid w:val="002139E6"/>
    <w:rsid w:val="00213C65"/>
    <w:rsid w:val="00213F7D"/>
    <w:rsid w:val="00213FFE"/>
    <w:rsid w:val="00214019"/>
    <w:rsid w:val="0021427D"/>
    <w:rsid w:val="00214794"/>
    <w:rsid w:val="002154C7"/>
    <w:rsid w:val="0021570C"/>
    <w:rsid w:val="0021596E"/>
    <w:rsid w:val="00215983"/>
    <w:rsid w:val="0021666C"/>
    <w:rsid w:val="00216907"/>
    <w:rsid w:val="00216E25"/>
    <w:rsid w:val="00217229"/>
    <w:rsid w:val="002173DB"/>
    <w:rsid w:val="002176F9"/>
    <w:rsid w:val="00217EB6"/>
    <w:rsid w:val="002202C1"/>
    <w:rsid w:val="00220405"/>
    <w:rsid w:val="00220457"/>
    <w:rsid w:val="0022098B"/>
    <w:rsid w:val="00220AD6"/>
    <w:rsid w:val="00220BC1"/>
    <w:rsid w:val="00220EDB"/>
    <w:rsid w:val="00220FF5"/>
    <w:rsid w:val="0022104C"/>
    <w:rsid w:val="00221253"/>
    <w:rsid w:val="00221695"/>
    <w:rsid w:val="00221E83"/>
    <w:rsid w:val="00221F76"/>
    <w:rsid w:val="0022218B"/>
    <w:rsid w:val="002221A8"/>
    <w:rsid w:val="00222369"/>
    <w:rsid w:val="00222419"/>
    <w:rsid w:val="0022251C"/>
    <w:rsid w:val="00222BDF"/>
    <w:rsid w:val="00222CE7"/>
    <w:rsid w:val="002231D0"/>
    <w:rsid w:val="0022337C"/>
    <w:rsid w:val="0022343D"/>
    <w:rsid w:val="00223447"/>
    <w:rsid w:val="002237DD"/>
    <w:rsid w:val="00223AFC"/>
    <w:rsid w:val="00223FD1"/>
    <w:rsid w:val="00224065"/>
    <w:rsid w:val="00224672"/>
    <w:rsid w:val="00224F92"/>
    <w:rsid w:val="002256C6"/>
    <w:rsid w:val="002258DC"/>
    <w:rsid w:val="00225C23"/>
    <w:rsid w:val="00225CDB"/>
    <w:rsid w:val="002260AC"/>
    <w:rsid w:val="002265DC"/>
    <w:rsid w:val="002266A2"/>
    <w:rsid w:val="00226CBA"/>
    <w:rsid w:val="0022732D"/>
    <w:rsid w:val="0022750A"/>
    <w:rsid w:val="0022754B"/>
    <w:rsid w:val="00227A47"/>
    <w:rsid w:val="00227C59"/>
    <w:rsid w:val="00227FCC"/>
    <w:rsid w:val="00230177"/>
    <w:rsid w:val="002303D2"/>
    <w:rsid w:val="0023066A"/>
    <w:rsid w:val="0023097B"/>
    <w:rsid w:val="00230CCA"/>
    <w:rsid w:val="00230DB8"/>
    <w:rsid w:val="0023108D"/>
    <w:rsid w:val="00231328"/>
    <w:rsid w:val="002313D3"/>
    <w:rsid w:val="002315D0"/>
    <w:rsid w:val="0023197B"/>
    <w:rsid w:val="00231A50"/>
    <w:rsid w:val="00231C51"/>
    <w:rsid w:val="00231DC2"/>
    <w:rsid w:val="00231F66"/>
    <w:rsid w:val="002320A5"/>
    <w:rsid w:val="002320E7"/>
    <w:rsid w:val="0023230D"/>
    <w:rsid w:val="002323F8"/>
    <w:rsid w:val="0023294E"/>
    <w:rsid w:val="00232A76"/>
    <w:rsid w:val="00232EAA"/>
    <w:rsid w:val="00233127"/>
    <w:rsid w:val="0023322B"/>
    <w:rsid w:val="00233438"/>
    <w:rsid w:val="00233510"/>
    <w:rsid w:val="00233C8A"/>
    <w:rsid w:val="00233ED7"/>
    <w:rsid w:val="00234A5C"/>
    <w:rsid w:val="00234EDF"/>
    <w:rsid w:val="002353DF"/>
    <w:rsid w:val="002357FA"/>
    <w:rsid w:val="00235B5C"/>
    <w:rsid w:val="00235BA8"/>
    <w:rsid w:val="002361A6"/>
    <w:rsid w:val="00236239"/>
    <w:rsid w:val="00236310"/>
    <w:rsid w:val="00236360"/>
    <w:rsid w:val="0023691A"/>
    <w:rsid w:val="00236CF4"/>
    <w:rsid w:val="00237061"/>
    <w:rsid w:val="002370DA"/>
    <w:rsid w:val="00237146"/>
    <w:rsid w:val="00237286"/>
    <w:rsid w:val="00237716"/>
    <w:rsid w:val="00237780"/>
    <w:rsid w:val="00237FDC"/>
    <w:rsid w:val="002401FF"/>
    <w:rsid w:val="00240342"/>
    <w:rsid w:val="002406F8"/>
    <w:rsid w:val="00240820"/>
    <w:rsid w:val="00240C08"/>
    <w:rsid w:val="0024179B"/>
    <w:rsid w:val="00241A9E"/>
    <w:rsid w:val="00241B63"/>
    <w:rsid w:val="00241BB8"/>
    <w:rsid w:val="00241D94"/>
    <w:rsid w:val="00241E4C"/>
    <w:rsid w:val="002422E0"/>
    <w:rsid w:val="00242761"/>
    <w:rsid w:val="00242CDF"/>
    <w:rsid w:val="002430F3"/>
    <w:rsid w:val="002431A8"/>
    <w:rsid w:val="00243F63"/>
    <w:rsid w:val="00244130"/>
    <w:rsid w:val="002444D7"/>
    <w:rsid w:val="00244772"/>
    <w:rsid w:val="002447EE"/>
    <w:rsid w:val="00244841"/>
    <w:rsid w:val="00244AB1"/>
    <w:rsid w:val="00244D3A"/>
    <w:rsid w:val="0024536A"/>
    <w:rsid w:val="00245372"/>
    <w:rsid w:val="002453B0"/>
    <w:rsid w:val="0024540B"/>
    <w:rsid w:val="00245694"/>
    <w:rsid w:val="00245A4E"/>
    <w:rsid w:val="00245E72"/>
    <w:rsid w:val="00246077"/>
    <w:rsid w:val="00246321"/>
    <w:rsid w:val="0024644F"/>
    <w:rsid w:val="002466F6"/>
    <w:rsid w:val="00246838"/>
    <w:rsid w:val="002469BA"/>
    <w:rsid w:val="00247181"/>
    <w:rsid w:val="002473F0"/>
    <w:rsid w:val="0024747D"/>
    <w:rsid w:val="00247FCA"/>
    <w:rsid w:val="00250105"/>
    <w:rsid w:val="00250111"/>
    <w:rsid w:val="0025013F"/>
    <w:rsid w:val="002501EE"/>
    <w:rsid w:val="002505F9"/>
    <w:rsid w:val="00250AF9"/>
    <w:rsid w:val="0025120E"/>
    <w:rsid w:val="0025158E"/>
    <w:rsid w:val="00251BC7"/>
    <w:rsid w:val="00251F87"/>
    <w:rsid w:val="0025240C"/>
    <w:rsid w:val="00252597"/>
    <w:rsid w:val="00252ACD"/>
    <w:rsid w:val="00252EFC"/>
    <w:rsid w:val="00253297"/>
    <w:rsid w:val="002533DD"/>
    <w:rsid w:val="0025348E"/>
    <w:rsid w:val="00253A4A"/>
    <w:rsid w:val="00253DF9"/>
    <w:rsid w:val="002541B5"/>
    <w:rsid w:val="0025461A"/>
    <w:rsid w:val="00254893"/>
    <w:rsid w:val="00254A22"/>
    <w:rsid w:val="00254B59"/>
    <w:rsid w:val="00254DD1"/>
    <w:rsid w:val="00254F12"/>
    <w:rsid w:val="00255072"/>
    <w:rsid w:val="00255280"/>
    <w:rsid w:val="0025562E"/>
    <w:rsid w:val="002556FC"/>
    <w:rsid w:val="00255ADF"/>
    <w:rsid w:val="00255DB0"/>
    <w:rsid w:val="00255E83"/>
    <w:rsid w:val="00255F03"/>
    <w:rsid w:val="00256015"/>
    <w:rsid w:val="0025626F"/>
    <w:rsid w:val="00256316"/>
    <w:rsid w:val="002568A4"/>
    <w:rsid w:val="00256AEF"/>
    <w:rsid w:val="00256B01"/>
    <w:rsid w:val="00256C20"/>
    <w:rsid w:val="00256DEB"/>
    <w:rsid w:val="002571BC"/>
    <w:rsid w:val="002573C8"/>
    <w:rsid w:val="00257462"/>
    <w:rsid w:val="00257667"/>
    <w:rsid w:val="00257892"/>
    <w:rsid w:val="00260513"/>
    <w:rsid w:val="00260639"/>
    <w:rsid w:val="0026070B"/>
    <w:rsid w:val="00260764"/>
    <w:rsid w:val="00260A4B"/>
    <w:rsid w:val="00260A5D"/>
    <w:rsid w:val="00260F01"/>
    <w:rsid w:val="00261651"/>
    <w:rsid w:val="002616D9"/>
    <w:rsid w:val="0026181A"/>
    <w:rsid w:val="0026195E"/>
    <w:rsid w:val="00261A97"/>
    <w:rsid w:val="00261CCB"/>
    <w:rsid w:val="00261D58"/>
    <w:rsid w:val="002620C4"/>
    <w:rsid w:val="002627E8"/>
    <w:rsid w:val="0026298A"/>
    <w:rsid w:val="00262DD6"/>
    <w:rsid w:val="00262FE4"/>
    <w:rsid w:val="002631BA"/>
    <w:rsid w:val="0026321A"/>
    <w:rsid w:val="00263A91"/>
    <w:rsid w:val="00263E19"/>
    <w:rsid w:val="00264032"/>
    <w:rsid w:val="002647D5"/>
    <w:rsid w:val="0026499C"/>
    <w:rsid w:val="00264A10"/>
    <w:rsid w:val="002652E9"/>
    <w:rsid w:val="0026565B"/>
    <w:rsid w:val="002657D3"/>
    <w:rsid w:val="00265985"/>
    <w:rsid w:val="00265A53"/>
    <w:rsid w:val="00265C36"/>
    <w:rsid w:val="00265C6A"/>
    <w:rsid w:val="002660DF"/>
    <w:rsid w:val="00266248"/>
    <w:rsid w:val="0026634B"/>
    <w:rsid w:val="0026645C"/>
    <w:rsid w:val="00266D90"/>
    <w:rsid w:val="0026737A"/>
    <w:rsid w:val="00267629"/>
    <w:rsid w:val="00267766"/>
    <w:rsid w:val="002677FF"/>
    <w:rsid w:val="0026783A"/>
    <w:rsid w:val="00270015"/>
    <w:rsid w:val="00270196"/>
    <w:rsid w:val="002703F5"/>
    <w:rsid w:val="002705DD"/>
    <w:rsid w:val="002709C1"/>
    <w:rsid w:val="00270A53"/>
    <w:rsid w:val="00270CBE"/>
    <w:rsid w:val="00270F7C"/>
    <w:rsid w:val="002711BB"/>
    <w:rsid w:val="00271552"/>
    <w:rsid w:val="0027157A"/>
    <w:rsid w:val="002718EA"/>
    <w:rsid w:val="00271A08"/>
    <w:rsid w:val="00271E59"/>
    <w:rsid w:val="00271E71"/>
    <w:rsid w:val="002722CD"/>
    <w:rsid w:val="002722ED"/>
    <w:rsid w:val="0027250D"/>
    <w:rsid w:val="00272541"/>
    <w:rsid w:val="00272E07"/>
    <w:rsid w:val="00272FCC"/>
    <w:rsid w:val="00273602"/>
    <w:rsid w:val="0027370B"/>
    <w:rsid w:val="0027370D"/>
    <w:rsid w:val="00273776"/>
    <w:rsid w:val="00273D81"/>
    <w:rsid w:val="00273EC2"/>
    <w:rsid w:val="00273F0C"/>
    <w:rsid w:val="00274292"/>
    <w:rsid w:val="002745CE"/>
    <w:rsid w:val="00274755"/>
    <w:rsid w:val="00274E65"/>
    <w:rsid w:val="00274FBC"/>
    <w:rsid w:val="0027551D"/>
    <w:rsid w:val="00275709"/>
    <w:rsid w:val="00275C6B"/>
    <w:rsid w:val="00275E3D"/>
    <w:rsid w:val="002760A8"/>
    <w:rsid w:val="002763F8"/>
    <w:rsid w:val="00276477"/>
    <w:rsid w:val="0027663B"/>
    <w:rsid w:val="00276653"/>
    <w:rsid w:val="0027696F"/>
    <w:rsid w:val="002769AD"/>
    <w:rsid w:val="002769E3"/>
    <w:rsid w:val="00276B5F"/>
    <w:rsid w:val="00276D48"/>
    <w:rsid w:val="00276F24"/>
    <w:rsid w:val="00277595"/>
    <w:rsid w:val="002777C3"/>
    <w:rsid w:val="0027793C"/>
    <w:rsid w:val="00277963"/>
    <w:rsid w:val="00277DAC"/>
    <w:rsid w:val="00277FBA"/>
    <w:rsid w:val="00280131"/>
    <w:rsid w:val="00280151"/>
    <w:rsid w:val="00280182"/>
    <w:rsid w:val="0028024B"/>
    <w:rsid w:val="002803B4"/>
    <w:rsid w:val="0028040A"/>
    <w:rsid w:val="0028041F"/>
    <w:rsid w:val="0028052D"/>
    <w:rsid w:val="00280533"/>
    <w:rsid w:val="00280613"/>
    <w:rsid w:val="002807FD"/>
    <w:rsid w:val="00280E1A"/>
    <w:rsid w:val="00280E7E"/>
    <w:rsid w:val="002811E6"/>
    <w:rsid w:val="002817A5"/>
    <w:rsid w:val="00281C44"/>
    <w:rsid w:val="00281D55"/>
    <w:rsid w:val="00281E3C"/>
    <w:rsid w:val="00281F06"/>
    <w:rsid w:val="00282014"/>
    <w:rsid w:val="00282471"/>
    <w:rsid w:val="00282610"/>
    <w:rsid w:val="0028266C"/>
    <w:rsid w:val="00282E5B"/>
    <w:rsid w:val="00282EDB"/>
    <w:rsid w:val="00282EFC"/>
    <w:rsid w:val="00282FE6"/>
    <w:rsid w:val="00283207"/>
    <w:rsid w:val="00283435"/>
    <w:rsid w:val="002840E7"/>
    <w:rsid w:val="00284476"/>
    <w:rsid w:val="002846D9"/>
    <w:rsid w:val="00284800"/>
    <w:rsid w:val="00284C31"/>
    <w:rsid w:val="00285031"/>
    <w:rsid w:val="00285092"/>
    <w:rsid w:val="00285329"/>
    <w:rsid w:val="00285667"/>
    <w:rsid w:val="0028603E"/>
    <w:rsid w:val="00286079"/>
    <w:rsid w:val="0028616F"/>
    <w:rsid w:val="00286377"/>
    <w:rsid w:val="0028669F"/>
    <w:rsid w:val="00286751"/>
    <w:rsid w:val="00286988"/>
    <w:rsid w:val="00287513"/>
    <w:rsid w:val="002876AE"/>
    <w:rsid w:val="002877EA"/>
    <w:rsid w:val="0028786A"/>
    <w:rsid w:val="00287B78"/>
    <w:rsid w:val="00287F44"/>
    <w:rsid w:val="00287F5D"/>
    <w:rsid w:val="00290B4D"/>
    <w:rsid w:val="00290B89"/>
    <w:rsid w:val="00290D85"/>
    <w:rsid w:val="00290E65"/>
    <w:rsid w:val="00290EDC"/>
    <w:rsid w:val="00291391"/>
    <w:rsid w:val="0029145C"/>
    <w:rsid w:val="0029153F"/>
    <w:rsid w:val="0029159F"/>
    <w:rsid w:val="002915F3"/>
    <w:rsid w:val="002917D2"/>
    <w:rsid w:val="0029196F"/>
    <w:rsid w:val="0029212C"/>
    <w:rsid w:val="00292262"/>
    <w:rsid w:val="0029227D"/>
    <w:rsid w:val="002924F5"/>
    <w:rsid w:val="00292A1E"/>
    <w:rsid w:val="00292E10"/>
    <w:rsid w:val="00292E99"/>
    <w:rsid w:val="00292EC7"/>
    <w:rsid w:val="00292F3F"/>
    <w:rsid w:val="0029304A"/>
    <w:rsid w:val="002930DE"/>
    <w:rsid w:val="0029311C"/>
    <w:rsid w:val="002936CE"/>
    <w:rsid w:val="0029399C"/>
    <w:rsid w:val="00293B84"/>
    <w:rsid w:val="00293BD0"/>
    <w:rsid w:val="00293BEC"/>
    <w:rsid w:val="00293C24"/>
    <w:rsid w:val="00293C80"/>
    <w:rsid w:val="00293F36"/>
    <w:rsid w:val="002940A8"/>
    <w:rsid w:val="00294579"/>
    <w:rsid w:val="0029461A"/>
    <w:rsid w:val="002949B6"/>
    <w:rsid w:val="00294C7E"/>
    <w:rsid w:val="00294F5A"/>
    <w:rsid w:val="00294FE0"/>
    <w:rsid w:val="0029553A"/>
    <w:rsid w:val="00295997"/>
    <w:rsid w:val="00295A70"/>
    <w:rsid w:val="00295B05"/>
    <w:rsid w:val="00295B6D"/>
    <w:rsid w:val="00295F2B"/>
    <w:rsid w:val="00295FC1"/>
    <w:rsid w:val="00295FFA"/>
    <w:rsid w:val="00296092"/>
    <w:rsid w:val="0029616F"/>
    <w:rsid w:val="002964CC"/>
    <w:rsid w:val="00296598"/>
    <w:rsid w:val="00296724"/>
    <w:rsid w:val="002975EA"/>
    <w:rsid w:val="0029766F"/>
    <w:rsid w:val="002977BD"/>
    <w:rsid w:val="00297B49"/>
    <w:rsid w:val="00297DDA"/>
    <w:rsid w:val="00297FC0"/>
    <w:rsid w:val="002A0451"/>
    <w:rsid w:val="002A0747"/>
    <w:rsid w:val="002A0968"/>
    <w:rsid w:val="002A0BCD"/>
    <w:rsid w:val="002A0E4A"/>
    <w:rsid w:val="002A10D1"/>
    <w:rsid w:val="002A11CC"/>
    <w:rsid w:val="002A1554"/>
    <w:rsid w:val="002A1642"/>
    <w:rsid w:val="002A1871"/>
    <w:rsid w:val="002A18F3"/>
    <w:rsid w:val="002A1C04"/>
    <w:rsid w:val="002A1CCA"/>
    <w:rsid w:val="002A1EF8"/>
    <w:rsid w:val="002A1F49"/>
    <w:rsid w:val="002A20BE"/>
    <w:rsid w:val="002A2BB9"/>
    <w:rsid w:val="002A2C06"/>
    <w:rsid w:val="002A2D9D"/>
    <w:rsid w:val="002A311F"/>
    <w:rsid w:val="002A31DB"/>
    <w:rsid w:val="002A3428"/>
    <w:rsid w:val="002A343B"/>
    <w:rsid w:val="002A3F67"/>
    <w:rsid w:val="002A407E"/>
    <w:rsid w:val="002A4205"/>
    <w:rsid w:val="002A4332"/>
    <w:rsid w:val="002A4ADC"/>
    <w:rsid w:val="002A4C18"/>
    <w:rsid w:val="002A4C39"/>
    <w:rsid w:val="002A4DE0"/>
    <w:rsid w:val="002A51E1"/>
    <w:rsid w:val="002A54AD"/>
    <w:rsid w:val="002A5564"/>
    <w:rsid w:val="002A5AD4"/>
    <w:rsid w:val="002A5B28"/>
    <w:rsid w:val="002A6179"/>
    <w:rsid w:val="002A64CB"/>
    <w:rsid w:val="002A6638"/>
    <w:rsid w:val="002A6A89"/>
    <w:rsid w:val="002A6CF4"/>
    <w:rsid w:val="002A6D90"/>
    <w:rsid w:val="002A702A"/>
    <w:rsid w:val="002A7069"/>
    <w:rsid w:val="002A7200"/>
    <w:rsid w:val="002A73D5"/>
    <w:rsid w:val="002A77EA"/>
    <w:rsid w:val="002A784C"/>
    <w:rsid w:val="002A7CF8"/>
    <w:rsid w:val="002A7D88"/>
    <w:rsid w:val="002B046F"/>
    <w:rsid w:val="002B0623"/>
    <w:rsid w:val="002B072A"/>
    <w:rsid w:val="002B07A0"/>
    <w:rsid w:val="002B0D3A"/>
    <w:rsid w:val="002B0F35"/>
    <w:rsid w:val="002B12D9"/>
    <w:rsid w:val="002B1393"/>
    <w:rsid w:val="002B1607"/>
    <w:rsid w:val="002B181C"/>
    <w:rsid w:val="002B187C"/>
    <w:rsid w:val="002B18A6"/>
    <w:rsid w:val="002B18D0"/>
    <w:rsid w:val="002B1D04"/>
    <w:rsid w:val="002B1E67"/>
    <w:rsid w:val="002B24D7"/>
    <w:rsid w:val="002B25BC"/>
    <w:rsid w:val="002B2AE9"/>
    <w:rsid w:val="002B2E3B"/>
    <w:rsid w:val="002B328B"/>
    <w:rsid w:val="002B36AD"/>
    <w:rsid w:val="002B39D3"/>
    <w:rsid w:val="002B4376"/>
    <w:rsid w:val="002B43E9"/>
    <w:rsid w:val="002B4939"/>
    <w:rsid w:val="002B4C19"/>
    <w:rsid w:val="002B4FC4"/>
    <w:rsid w:val="002B51CD"/>
    <w:rsid w:val="002B58A7"/>
    <w:rsid w:val="002B58A9"/>
    <w:rsid w:val="002B5DCC"/>
    <w:rsid w:val="002B6540"/>
    <w:rsid w:val="002B685C"/>
    <w:rsid w:val="002B698B"/>
    <w:rsid w:val="002B6998"/>
    <w:rsid w:val="002B6F12"/>
    <w:rsid w:val="002B7648"/>
    <w:rsid w:val="002B768D"/>
    <w:rsid w:val="002B76B2"/>
    <w:rsid w:val="002B76E8"/>
    <w:rsid w:val="002B78BA"/>
    <w:rsid w:val="002B7BD1"/>
    <w:rsid w:val="002B7EAF"/>
    <w:rsid w:val="002C01A3"/>
    <w:rsid w:val="002C01A5"/>
    <w:rsid w:val="002C04A3"/>
    <w:rsid w:val="002C05A4"/>
    <w:rsid w:val="002C07BF"/>
    <w:rsid w:val="002C0C96"/>
    <w:rsid w:val="002C0EFF"/>
    <w:rsid w:val="002C147E"/>
    <w:rsid w:val="002C1B0A"/>
    <w:rsid w:val="002C1E2E"/>
    <w:rsid w:val="002C1E85"/>
    <w:rsid w:val="002C2233"/>
    <w:rsid w:val="002C223E"/>
    <w:rsid w:val="002C2545"/>
    <w:rsid w:val="002C28B2"/>
    <w:rsid w:val="002C2A87"/>
    <w:rsid w:val="002C2B75"/>
    <w:rsid w:val="002C2EE9"/>
    <w:rsid w:val="002C31E7"/>
    <w:rsid w:val="002C321C"/>
    <w:rsid w:val="002C323A"/>
    <w:rsid w:val="002C331D"/>
    <w:rsid w:val="002C367B"/>
    <w:rsid w:val="002C3947"/>
    <w:rsid w:val="002C3AC9"/>
    <w:rsid w:val="002C3BA4"/>
    <w:rsid w:val="002C3C5D"/>
    <w:rsid w:val="002C3DDC"/>
    <w:rsid w:val="002C4027"/>
    <w:rsid w:val="002C4171"/>
    <w:rsid w:val="002C423C"/>
    <w:rsid w:val="002C42DE"/>
    <w:rsid w:val="002C45D4"/>
    <w:rsid w:val="002C4748"/>
    <w:rsid w:val="002C4A9A"/>
    <w:rsid w:val="002C4AF8"/>
    <w:rsid w:val="002C530E"/>
    <w:rsid w:val="002C53E4"/>
    <w:rsid w:val="002C543E"/>
    <w:rsid w:val="002C54A7"/>
    <w:rsid w:val="002C54CB"/>
    <w:rsid w:val="002C56A1"/>
    <w:rsid w:val="002C56EF"/>
    <w:rsid w:val="002C5ACD"/>
    <w:rsid w:val="002C5C16"/>
    <w:rsid w:val="002C5C1F"/>
    <w:rsid w:val="002C5D65"/>
    <w:rsid w:val="002C5F31"/>
    <w:rsid w:val="002C61AF"/>
    <w:rsid w:val="002C6364"/>
    <w:rsid w:val="002C63B3"/>
    <w:rsid w:val="002C6F46"/>
    <w:rsid w:val="002C6FE0"/>
    <w:rsid w:val="002C73B5"/>
    <w:rsid w:val="002C746D"/>
    <w:rsid w:val="002C7B4F"/>
    <w:rsid w:val="002C7E65"/>
    <w:rsid w:val="002C7F8D"/>
    <w:rsid w:val="002D009F"/>
    <w:rsid w:val="002D00FD"/>
    <w:rsid w:val="002D0239"/>
    <w:rsid w:val="002D0243"/>
    <w:rsid w:val="002D02E5"/>
    <w:rsid w:val="002D03AD"/>
    <w:rsid w:val="002D0616"/>
    <w:rsid w:val="002D0BA1"/>
    <w:rsid w:val="002D1103"/>
    <w:rsid w:val="002D154F"/>
    <w:rsid w:val="002D17FE"/>
    <w:rsid w:val="002D1963"/>
    <w:rsid w:val="002D1A2F"/>
    <w:rsid w:val="002D22F4"/>
    <w:rsid w:val="002D24C2"/>
    <w:rsid w:val="002D29B3"/>
    <w:rsid w:val="002D2C2E"/>
    <w:rsid w:val="002D2CFA"/>
    <w:rsid w:val="002D2EC5"/>
    <w:rsid w:val="002D2F4A"/>
    <w:rsid w:val="002D3925"/>
    <w:rsid w:val="002D3A4D"/>
    <w:rsid w:val="002D3D56"/>
    <w:rsid w:val="002D3DBD"/>
    <w:rsid w:val="002D3E85"/>
    <w:rsid w:val="002D4067"/>
    <w:rsid w:val="002D409E"/>
    <w:rsid w:val="002D4401"/>
    <w:rsid w:val="002D45F3"/>
    <w:rsid w:val="002D5099"/>
    <w:rsid w:val="002D512A"/>
    <w:rsid w:val="002D532A"/>
    <w:rsid w:val="002D547F"/>
    <w:rsid w:val="002D56DA"/>
    <w:rsid w:val="002D5A65"/>
    <w:rsid w:val="002D5C3F"/>
    <w:rsid w:val="002D5CA3"/>
    <w:rsid w:val="002D5E06"/>
    <w:rsid w:val="002D5F02"/>
    <w:rsid w:val="002D6514"/>
    <w:rsid w:val="002D6667"/>
    <w:rsid w:val="002D6AE0"/>
    <w:rsid w:val="002D7022"/>
    <w:rsid w:val="002D7307"/>
    <w:rsid w:val="002D7381"/>
    <w:rsid w:val="002D7767"/>
    <w:rsid w:val="002D787A"/>
    <w:rsid w:val="002D7E41"/>
    <w:rsid w:val="002D7ECB"/>
    <w:rsid w:val="002E010D"/>
    <w:rsid w:val="002E04AE"/>
    <w:rsid w:val="002E0551"/>
    <w:rsid w:val="002E0767"/>
    <w:rsid w:val="002E0921"/>
    <w:rsid w:val="002E0F49"/>
    <w:rsid w:val="002E1279"/>
    <w:rsid w:val="002E1305"/>
    <w:rsid w:val="002E1D51"/>
    <w:rsid w:val="002E1DA7"/>
    <w:rsid w:val="002E1DC8"/>
    <w:rsid w:val="002E1DF2"/>
    <w:rsid w:val="002E21D7"/>
    <w:rsid w:val="002E27ED"/>
    <w:rsid w:val="002E2C36"/>
    <w:rsid w:val="002E365C"/>
    <w:rsid w:val="002E3DEB"/>
    <w:rsid w:val="002E422B"/>
    <w:rsid w:val="002E4377"/>
    <w:rsid w:val="002E450E"/>
    <w:rsid w:val="002E45DF"/>
    <w:rsid w:val="002E460E"/>
    <w:rsid w:val="002E4616"/>
    <w:rsid w:val="002E4668"/>
    <w:rsid w:val="002E46D7"/>
    <w:rsid w:val="002E49A8"/>
    <w:rsid w:val="002E4F2A"/>
    <w:rsid w:val="002E4F61"/>
    <w:rsid w:val="002E50DD"/>
    <w:rsid w:val="002E5523"/>
    <w:rsid w:val="002E555E"/>
    <w:rsid w:val="002E5614"/>
    <w:rsid w:val="002E58CF"/>
    <w:rsid w:val="002E5A4A"/>
    <w:rsid w:val="002E5EC8"/>
    <w:rsid w:val="002E60D7"/>
    <w:rsid w:val="002E61D0"/>
    <w:rsid w:val="002E681E"/>
    <w:rsid w:val="002E6B7A"/>
    <w:rsid w:val="002E6E93"/>
    <w:rsid w:val="002E71D4"/>
    <w:rsid w:val="002E7DBB"/>
    <w:rsid w:val="002E7E1B"/>
    <w:rsid w:val="002F043F"/>
    <w:rsid w:val="002F0744"/>
    <w:rsid w:val="002F0882"/>
    <w:rsid w:val="002F08DB"/>
    <w:rsid w:val="002F0E59"/>
    <w:rsid w:val="002F0F99"/>
    <w:rsid w:val="002F145C"/>
    <w:rsid w:val="002F1777"/>
    <w:rsid w:val="002F17EB"/>
    <w:rsid w:val="002F182C"/>
    <w:rsid w:val="002F1C67"/>
    <w:rsid w:val="002F1CB0"/>
    <w:rsid w:val="002F1D1A"/>
    <w:rsid w:val="002F22B4"/>
    <w:rsid w:val="002F238B"/>
    <w:rsid w:val="002F26BA"/>
    <w:rsid w:val="002F275B"/>
    <w:rsid w:val="002F2D5F"/>
    <w:rsid w:val="002F30EF"/>
    <w:rsid w:val="002F313D"/>
    <w:rsid w:val="002F322D"/>
    <w:rsid w:val="002F33CE"/>
    <w:rsid w:val="002F35FB"/>
    <w:rsid w:val="002F37E5"/>
    <w:rsid w:val="002F3C95"/>
    <w:rsid w:val="002F3D82"/>
    <w:rsid w:val="002F427C"/>
    <w:rsid w:val="002F4926"/>
    <w:rsid w:val="002F4A4C"/>
    <w:rsid w:val="002F4C3B"/>
    <w:rsid w:val="002F4E2C"/>
    <w:rsid w:val="002F4F10"/>
    <w:rsid w:val="002F5010"/>
    <w:rsid w:val="002F54DB"/>
    <w:rsid w:val="002F56C1"/>
    <w:rsid w:val="002F5944"/>
    <w:rsid w:val="002F5981"/>
    <w:rsid w:val="002F5985"/>
    <w:rsid w:val="002F5DB4"/>
    <w:rsid w:val="002F6259"/>
    <w:rsid w:val="002F6978"/>
    <w:rsid w:val="002F6CA5"/>
    <w:rsid w:val="002F6EE9"/>
    <w:rsid w:val="002F6F18"/>
    <w:rsid w:val="002F7224"/>
    <w:rsid w:val="002F76FF"/>
    <w:rsid w:val="002F7B48"/>
    <w:rsid w:val="002F7C92"/>
    <w:rsid w:val="002F7DA1"/>
    <w:rsid w:val="002F7FB8"/>
    <w:rsid w:val="00300050"/>
    <w:rsid w:val="00300132"/>
    <w:rsid w:val="00300B6B"/>
    <w:rsid w:val="00300B92"/>
    <w:rsid w:val="00300CFF"/>
    <w:rsid w:val="00300F16"/>
    <w:rsid w:val="00300FD5"/>
    <w:rsid w:val="0030100D"/>
    <w:rsid w:val="00301224"/>
    <w:rsid w:val="003015B5"/>
    <w:rsid w:val="00301AF8"/>
    <w:rsid w:val="00301BCC"/>
    <w:rsid w:val="00302279"/>
    <w:rsid w:val="00302434"/>
    <w:rsid w:val="0030281E"/>
    <w:rsid w:val="003028B5"/>
    <w:rsid w:val="00302A2C"/>
    <w:rsid w:val="00302A76"/>
    <w:rsid w:val="00302F67"/>
    <w:rsid w:val="003030F9"/>
    <w:rsid w:val="00303295"/>
    <w:rsid w:val="003035FC"/>
    <w:rsid w:val="00303637"/>
    <w:rsid w:val="0030379A"/>
    <w:rsid w:val="00303924"/>
    <w:rsid w:val="00303F6C"/>
    <w:rsid w:val="0030404B"/>
    <w:rsid w:val="00304269"/>
    <w:rsid w:val="003042AA"/>
    <w:rsid w:val="0030439A"/>
    <w:rsid w:val="0030445F"/>
    <w:rsid w:val="003045A5"/>
    <w:rsid w:val="0030472A"/>
    <w:rsid w:val="00305124"/>
    <w:rsid w:val="003054F7"/>
    <w:rsid w:val="003055FC"/>
    <w:rsid w:val="003057F1"/>
    <w:rsid w:val="003059FD"/>
    <w:rsid w:val="00305C47"/>
    <w:rsid w:val="00305D17"/>
    <w:rsid w:val="00305D6A"/>
    <w:rsid w:val="003060BB"/>
    <w:rsid w:val="00306821"/>
    <w:rsid w:val="0030691A"/>
    <w:rsid w:val="003069E1"/>
    <w:rsid w:val="00306AE0"/>
    <w:rsid w:val="00306D77"/>
    <w:rsid w:val="0030700D"/>
    <w:rsid w:val="00307285"/>
    <w:rsid w:val="003075C9"/>
    <w:rsid w:val="003076FD"/>
    <w:rsid w:val="00307D38"/>
    <w:rsid w:val="00307F50"/>
    <w:rsid w:val="00310482"/>
    <w:rsid w:val="00310508"/>
    <w:rsid w:val="003105B1"/>
    <w:rsid w:val="0031062D"/>
    <w:rsid w:val="00310AAF"/>
    <w:rsid w:val="003110BF"/>
    <w:rsid w:val="00311396"/>
    <w:rsid w:val="003113C1"/>
    <w:rsid w:val="003117B4"/>
    <w:rsid w:val="003118BF"/>
    <w:rsid w:val="0031198F"/>
    <w:rsid w:val="00311F60"/>
    <w:rsid w:val="00312245"/>
    <w:rsid w:val="003123B6"/>
    <w:rsid w:val="0031265B"/>
    <w:rsid w:val="0031269C"/>
    <w:rsid w:val="00312B0E"/>
    <w:rsid w:val="00312D6D"/>
    <w:rsid w:val="00312EFA"/>
    <w:rsid w:val="0031314C"/>
    <w:rsid w:val="00313324"/>
    <w:rsid w:val="00313725"/>
    <w:rsid w:val="00313A5F"/>
    <w:rsid w:val="00314129"/>
    <w:rsid w:val="00314194"/>
    <w:rsid w:val="0031450B"/>
    <w:rsid w:val="003147E8"/>
    <w:rsid w:val="00314C3D"/>
    <w:rsid w:val="00314F11"/>
    <w:rsid w:val="00315179"/>
    <w:rsid w:val="003152A1"/>
    <w:rsid w:val="0031567A"/>
    <w:rsid w:val="00315970"/>
    <w:rsid w:val="00315D14"/>
    <w:rsid w:val="00315DE7"/>
    <w:rsid w:val="00315F5F"/>
    <w:rsid w:val="003160AE"/>
    <w:rsid w:val="00316492"/>
    <w:rsid w:val="003166F4"/>
    <w:rsid w:val="00316A59"/>
    <w:rsid w:val="00316B4D"/>
    <w:rsid w:val="00316C6C"/>
    <w:rsid w:val="00316CDE"/>
    <w:rsid w:val="00316D18"/>
    <w:rsid w:val="00316D21"/>
    <w:rsid w:val="00316D8C"/>
    <w:rsid w:val="00317320"/>
    <w:rsid w:val="0031736E"/>
    <w:rsid w:val="0031737E"/>
    <w:rsid w:val="00317964"/>
    <w:rsid w:val="00317B02"/>
    <w:rsid w:val="003203C3"/>
    <w:rsid w:val="00320426"/>
    <w:rsid w:val="003206D3"/>
    <w:rsid w:val="00320861"/>
    <w:rsid w:val="00320B4A"/>
    <w:rsid w:val="00320D0A"/>
    <w:rsid w:val="00320DBA"/>
    <w:rsid w:val="00320F88"/>
    <w:rsid w:val="003216CD"/>
    <w:rsid w:val="00321995"/>
    <w:rsid w:val="00321D8A"/>
    <w:rsid w:val="0032234C"/>
    <w:rsid w:val="0032266B"/>
    <w:rsid w:val="003226E9"/>
    <w:rsid w:val="00322742"/>
    <w:rsid w:val="00322753"/>
    <w:rsid w:val="003228B6"/>
    <w:rsid w:val="0032296E"/>
    <w:rsid w:val="003229A2"/>
    <w:rsid w:val="00322B43"/>
    <w:rsid w:val="00322E42"/>
    <w:rsid w:val="00322F25"/>
    <w:rsid w:val="00323112"/>
    <w:rsid w:val="00323285"/>
    <w:rsid w:val="003235DA"/>
    <w:rsid w:val="00323617"/>
    <w:rsid w:val="003237F0"/>
    <w:rsid w:val="003238F4"/>
    <w:rsid w:val="00323C32"/>
    <w:rsid w:val="00324015"/>
    <w:rsid w:val="0032429E"/>
    <w:rsid w:val="00324792"/>
    <w:rsid w:val="00324906"/>
    <w:rsid w:val="0032498F"/>
    <w:rsid w:val="00324A01"/>
    <w:rsid w:val="00324B5F"/>
    <w:rsid w:val="00324C9D"/>
    <w:rsid w:val="00324CF2"/>
    <w:rsid w:val="00324F52"/>
    <w:rsid w:val="0032522D"/>
    <w:rsid w:val="00325487"/>
    <w:rsid w:val="00325575"/>
    <w:rsid w:val="00325751"/>
    <w:rsid w:val="00325CB4"/>
    <w:rsid w:val="003265A2"/>
    <w:rsid w:val="003267F3"/>
    <w:rsid w:val="00327355"/>
    <w:rsid w:val="003275A9"/>
    <w:rsid w:val="003278E1"/>
    <w:rsid w:val="00327B3C"/>
    <w:rsid w:val="00327BD9"/>
    <w:rsid w:val="0033013D"/>
    <w:rsid w:val="0033048D"/>
    <w:rsid w:val="00330887"/>
    <w:rsid w:val="00330E93"/>
    <w:rsid w:val="00331161"/>
    <w:rsid w:val="003311EF"/>
    <w:rsid w:val="00331696"/>
    <w:rsid w:val="003317CA"/>
    <w:rsid w:val="00331D23"/>
    <w:rsid w:val="00331D63"/>
    <w:rsid w:val="00331DFD"/>
    <w:rsid w:val="003320A6"/>
    <w:rsid w:val="0033227C"/>
    <w:rsid w:val="0033232E"/>
    <w:rsid w:val="0033235F"/>
    <w:rsid w:val="00332476"/>
    <w:rsid w:val="003324A7"/>
    <w:rsid w:val="00332543"/>
    <w:rsid w:val="003325BD"/>
    <w:rsid w:val="0033296B"/>
    <w:rsid w:val="003331E8"/>
    <w:rsid w:val="00333382"/>
    <w:rsid w:val="0033344A"/>
    <w:rsid w:val="00333E97"/>
    <w:rsid w:val="00334068"/>
    <w:rsid w:val="00334C01"/>
    <w:rsid w:val="00334D2B"/>
    <w:rsid w:val="00334DAA"/>
    <w:rsid w:val="00335544"/>
    <w:rsid w:val="003356B4"/>
    <w:rsid w:val="00335825"/>
    <w:rsid w:val="00335969"/>
    <w:rsid w:val="00335BFE"/>
    <w:rsid w:val="003360A5"/>
    <w:rsid w:val="00336456"/>
    <w:rsid w:val="00336485"/>
    <w:rsid w:val="00336639"/>
    <w:rsid w:val="0033670B"/>
    <w:rsid w:val="0033678F"/>
    <w:rsid w:val="003368AC"/>
    <w:rsid w:val="003368F3"/>
    <w:rsid w:val="00336C5E"/>
    <w:rsid w:val="003371D1"/>
    <w:rsid w:val="00337879"/>
    <w:rsid w:val="003379C9"/>
    <w:rsid w:val="00337D2A"/>
    <w:rsid w:val="003400C5"/>
    <w:rsid w:val="0034063B"/>
    <w:rsid w:val="0034069C"/>
    <w:rsid w:val="003408D0"/>
    <w:rsid w:val="00340D09"/>
    <w:rsid w:val="00340E61"/>
    <w:rsid w:val="00340FFF"/>
    <w:rsid w:val="0034102F"/>
    <w:rsid w:val="0034104B"/>
    <w:rsid w:val="00341645"/>
    <w:rsid w:val="003417BD"/>
    <w:rsid w:val="00341AAF"/>
    <w:rsid w:val="00341BB8"/>
    <w:rsid w:val="00341F5B"/>
    <w:rsid w:val="00342642"/>
    <w:rsid w:val="003427BC"/>
    <w:rsid w:val="003428AF"/>
    <w:rsid w:val="0034364E"/>
    <w:rsid w:val="003437D7"/>
    <w:rsid w:val="0034382F"/>
    <w:rsid w:val="00343ACF"/>
    <w:rsid w:val="00343BD8"/>
    <w:rsid w:val="00343C12"/>
    <w:rsid w:val="00343CEC"/>
    <w:rsid w:val="00343E0F"/>
    <w:rsid w:val="00344075"/>
    <w:rsid w:val="0034432E"/>
    <w:rsid w:val="0034497B"/>
    <w:rsid w:val="00344FD1"/>
    <w:rsid w:val="00345353"/>
    <w:rsid w:val="00345388"/>
    <w:rsid w:val="0034558A"/>
    <w:rsid w:val="00345822"/>
    <w:rsid w:val="00345A1D"/>
    <w:rsid w:val="00345E1D"/>
    <w:rsid w:val="00345F57"/>
    <w:rsid w:val="003461C6"/>
    <w:rsid w:val="00346348"/>
    <w:rsid w:val="0034655B"/>
    <w:rsid w:val="00346982"/>
    <w:rsid w:val="00346AA4"/>
    <w:rsid w:val="00346BC7"/>
    <w:rsid w:val="00346C0B"/>
    <w:rsid w:val="00347544"/>
    <w:rsid w:val="00347695"/>
    <w:rsid w:val="003477A3"/>
    <w:rsid w:val="00347B53"/>
    <w:rsid w:val="0035023F"/>
    <w:rsid w:val="00350459"/>
    <w:rsid w:val="00350514"/>
    <w:rsid w:val="00350EEE"/>
    <w:rsid w:val="00351136"/>
    <w:rsid w:val="00351166"/>
    <w:rsid w:val="00351420"/>
    <w:rsid w:val="00351882"/>
    <w:rsid w:val="00351EA4"/>
    <w:rsid w:val="00352020"/>
    <w:rsid w:val="00352272"/>
    <w:rsid w:val="003522AB"/>
    <w:rsid w:val="0035240B"/>
    <w:rsid w:val="003524E8"/>
    <w:rsid w:val="00352B30"/>
    <w:rsid w:val="00352E35"/>
    <w:rsid w:val="003534B6"/>
    <w:rsid w:val="00353739"/>
    <w:rsid w:val="00353756"/>
    <w:rsid w:val="00353CC2"/>
    <w:rsid w:val="00353D97"/>
    <w:rsid w:val="00353E5A"/>
    <w:rsid w:val="00353F2D"/>
    <w:rsid w:val="0035434E"/>
    <w:rsid w:val="003548C9"/>
    <w:rsid w:val="00354B07"/>
    <w:rsid w:val="00354BAB"/>
    <w:rsid w:val="00354C6A"/>
    <w:rsid w:val="0035545A"/>
    <w:rsid w:val="00355791"/>
    <w:rsid w:val="003558CB"/>
    <w:rsid w:val="003559C9"/>
    <w:rsid w:val="00355A9C"/>
    <w:rsid w:val="00355B79"/>
    <w:rsid w:val="00356709"/>
    <w:rsid w:val="003568BF"/>
    <w:rsid w:val="003573C3"/>
    <w:rsid w:val="00357549"/>
    <w:rsid w:val="00357827"/>
    <w:rsid w:val="003579F9"/>
    <w:rsid w:val="00357A29"/>
    <w:rsid w:val="00357D23"/>
    <w:rsid w:val="00357FD5"/>
    <w:rsid w:val="00360217"/>
    <w:rsid w:val="00360362"/>
    <w:rsid w:val="0036040A"/>
    <w:rsid w:val="003604F0"/>
    <w:rsid w:val="00360631"/>
    <w:rsid w:val="00360BBA"/>
    <w:rsid w:val="00360D7F"/>
    <w:rsid w:val="00360E9F"/>
    <w:rsid w:val="00361224"/>
    <w:rsid w:val="00361576"/>
    <w:rsid w:val="0036160E"/>
    <w:rsid w:val="00361761"/>
    <w:rsid w:val="00361B77"/>
    <w:rsid w:val="00361D9C"/>
    <w:rsid w:val="00361F5B"/>
    <w:rsid w:val="0036225F"/>
    <w:rsid w:val="00362304"/>
    <w:rsid w:val="003628E2"/>
    <w:rsid w:val="003632CB"/>
    <w:rsid w:val="003632F2"/>
    <w:rsid w:val="00363331"/>
    <w:rsid w:val="00363760"/>
    <w:rsid w:val="003637B9"/>
    <w:rsid w:val="0036385A"/>
    <w:rsid w:val="00363B33"/>
    <w:rsid w:val="00363B7B"/>
    <w:rsid w:val="00363DE6"/>
    <w:rsid w:val="003643EA"/>
    <w:rsid w:val="00364683"/>
    <w:rsid w:val="003646DA"/>
    <w:rsid w:val="00364786"/>
    <w:rsid w:val="00364B08"/>
    <w:rsid w:val="003650E3"/>
    <w:rsid w:val="00365205"/>
    <w:rsid w:val="003652C2"/>
    <w:rsid w:val="0036545A"/>
    <w:rsid w:val="003657A1"/>
    <w:rsid w:val="00365E29"/>
    <w:rsid w:val="00365FE0"/>
    <w:rsid w:val="003662FA"/>
    <w:rsid w:val="00366626"/>
    <w:rsid w:val="0036677C"/>
    <w:rsid w:val="00366C15"/>
    <w:rsid w:val="00366C9E"/>
    <w:rsid w:val="00367443"/>
    <w:rsid w:val="00367513"/>
    <w:rsid w:val="00367A73"/>
    <w:rsid w:val="00367EE3"/>
    <w:rsid w:val="00367F83"/>
    <w:rsid w:val="00370163"/>
    <w:rsid w:val="003703D9"/>
    <w:rsid w:val="003707FF"/>
    <w:rsid w:val="00370984"/>
    <w:rsid w:val="00370C14"/>
    <w:rsid w:val="00370D24"/>
    <w:rsid w:val="00371072"/>
    <w:rsid w:val="003710C2"/>
    <w:rsid w:val="00371590"/>
    <w:rsid w:val="00371916"/>
    <w:rsid w:val="00371996"/>
    <w:rsid w:val="00371C98"/>
    <w:rsid w:val="00371E0C"/>
    <w:rsid w:val="003720B3"/>
    <w:rsid w:val="00372225"/>
    <w:rsid w:val="0037256F"/>
    <w:rsid w:val="00372869"/>
    <w:rsid w:val="00372B93"/>
    <w:rsid w:val="00372CE5"/>
    <w:rsid w:val="003732E0"/>
    <w:rsid w:val="00373857"/>
    <w:rsid w:val="00373862"/>
    <w:rsid w:val="003738AA"/>
    <w:rsid w:val="0037391C"/>
    <w:rsid w:val="00373983"/>
    <w:rsid w:val="0037398A"/>
    <w:rsid w:val="00373F2D"/>
    <w:rsid w:val="00373FC7"/>
    <w:rsid w:val="0037436C"/>
    <w:rsid w:val="0037452E"/>
    <w:rsid w:val="00374699"/>
    <w:rsid w:val="00374D7D"/>
    <w:rsid w:val="00374F4B"/>
    <w:rsid w:val="00374F57"/>
    <w:rsid w:val="00374F88"/>
    <w:rsid w:val="00375448"/>
    <w:rsid w:val="00375479"/>
    <w:rsid w:val="0037552E"/>
    <w:rsid w:val="00375624"/>
    <w:rsid w:val="0037586C"/>
    <w:rsid w:val="003759B9"/>
    <w:rsid w:val="00375B2C"/>
    <w:rsid w:val="00375C9C"/>
    <w:rsid w:val="00375EC0"/>
    <w:rsid w:val="00376142"/>
    <w:rsid w:val="00376271"/>
    <w:rsid w:val="003762C0"/>
    <w:rsid w:val="003762D5"/>
    <w:rsid w:val="003764BC"/>
    <w:rsid w:val="00376608"/>
    <w:rsid w:val="0037668D"/>
    <w:rsid w:val="00376EAF"/>
    <w:rsid w:val="00377407"/>
    <w:rsid w:val="003774EC"/>
    <w:rsid w:val="00377516"/>
    <w:rsid w:val="00377862"/>
    <w:rsid w:val="003778B1"/>
    <w:rsid w:val="00377917"/>
    <w:rsid w:val="00377BCA"/>
    <w:rsid w:val="00380634"/>
    <w:rsid w:val="0038087B"/>
    <w:rsid w:val="00380B74"/>
    <w:rsid w:val="00380E77"/>
    <w:rsid w:val="00380F20"/>
    <w:rsid w:val="0038110B"/>
    <w:rsid w:val="003814DC"/>
    <w:rsid w:val="00381DD7"/>
    <w:rsid w:val="00382018"/>
    <w:rsid w:val="003821D0"/>
    <w:rsid w:val="00382494"/>
    <w:rsid w:val="00382EA9"/>
    <w:rsid w:val="003834F8"/>
    <w:rsid w:val="003836F8"/>
    <w:rsid w:val="00383CFC"/>
    <w:rsid w:val="00384278"/>
    <w:rsid w:val="00384443"/>
    <w:rsid w:val="00384BAC"/>
    <w:rsid w:val="00384EA1"/>
    <w:rsid w:val="00385038"/>
    <w:rsid w:val="003851C9"/>
    <w:rsid w:val="003854CE"/>
    <w:rsid w:val="00385A43"/>
    <w:rsid w:val="00385A50"/>
    <w:rsid w:val="00385C35"/>
    <w:rsid w:val="00385D51"/>
    <w:rsid w:val="003860DB"/>
    <w:rsid w:val="0038642C"/>
    <w:rsid w:val="003865CE"/>
    <w:rsid w:val="00386D5F"/>
    <w:rsid w:val="003872A1"/>
    <w:rsid w:val="003873EA"/>
    <w:rsid w:val="003878BD"/>
    <w:rsid w:val="00387CE8"/>
    <w:rsid w:val="00387EB0"/>
    <w:rsid w:val="00390140"/>
    <w:rsid w:val="003907CC"/>
    <w:rsid w:val="00390A74"/>
    <w:rsid w:val="00390D19"/>
    <w:rsid w:val="00390DAC"/>
    <w:rsid w:val="003910F4"/>
    <w:rsid w:val="003912A5"/>
    <w:rsid w:val="003912F5"/>
    <w:rsid w:val="00391760"/>
    <w:rsid w:val="00391911"/>
    <w:rsid w:val="0039199A"/>
    <w:rsid w:val="00391C73"/>
    <w:rsid w:val="00391CA5"/>
    <w:rsid w:val="0039235D"/>
    <w:rsid w:val="00392467"/>
    <w:rsid w:val="003926DF"/>
    <w:rsid w:val="0039278D"/>
    <w:rsid w:val="00392B85"/>
    <w:rsid w:val="00392C3A"/>
    <w:rsid w:val="00392E2A"/>
    <w:rsid w:val="00393084"/>
    <w:rsid w:val="00393822"/>
    <w:rsid w:val="003939B2"/>
    <w:rsid w:val="00393CD6"/>
    <w:rsid w:val="00394778"/>
    <w:rsid w:val="003948DD"/>
    <w:rsid w:val="00394AED"/>
    <w:rsid w:val="00394FE5"/>
    <w:rsid w:val="00395225"/>
    <w:rsid w:val="003956A1"/>
    <w:rsid w:val="00395860"/>
    <w:rsid w:val="00395AB2"/>
    <w:rsid w:val="00395D24"/>
    <w:rsid w:val="003964D6"/>
    <w:rsid w:val="00396E4D"/>
    <w:rsid w:val="00396FE7"/>
    <w:rsid w:val="003973B7"/>
    <w:rsid w:val="003974EC"/>
    <w:rsid w:val="003979C1"/>
    <w:rsid w:val="00397A9D"/>
    <w:rsid w:val="00397E79"/>
    <w:rsid w:val="003A0082"/>
    <w:rsid w:val="003A02F3"/>
    <w:rsid w:val="003A0385"/>
    <w:rsid w:val="003A05EE"/>
    <w:rsid w:val="003A06E0"/>
    <w:rsid w:val="003A06F0"/>
    <w:rsid w:val="003A0BFA"/>
    <w:rsid w:val="003A0FCF"/>
    <w:rsid w:val="003A120D"/>
    <w:rsid w:val="003A14D5"/>
    <w:rsid w:val="003A15CA"/>
    <w:rsid w:val="003A15F9"/>
    <w:rsid w:val="003A1B7F"/>
    <w:rsid w:val="003A1C5D"/>
    <w:rsid w:val="003A2024"/>
    <w:rsid w:val="003A23FE"/>
    <w:rsid w:val="003A2623"/>
    <w:rsid w:val="003A263F"/>
    <w:rsid w:val="003A2D92"/>
    <w:rsid w:val="003A3090"/>
    <w:rsid w:val="003A31BA"/>
    <w:rsid w:val="003A3702"/>
    <w:rsid w:val="003A38EE"/>
    <w:rsid w:val="003A47A4"/>
    <w:rsid w:val="003A4AE3"/>
    <w:rsid w:val="003A4DB5"/>
    <w:rsid w:val="003A50CD"/>
    <w:rsid w:val="003A5218"/>
    <w:rsid w:val="003A52B2"/>
    <w:rsid w:val="003A5633"/>
    <w:rsid w:val="003A5645"/>
    <w:rsid w:val="003A6228"/>
    <w:rsid w:val="003A6428"/>
    <w:rsid w:val="003A65AD"/>
    <w:rsid w:val="003A68F8"/>
    <w:rsid w:val="003A6D4E"/>
    <w:rsid w:val="003A6E0D"/>
    <w:rsid w:val="003A6EC7"/>
    <w:rsid w:val="003A745C"/>
    <w:rsid w:val="003A75C4"/>
    <w:rsid w:val="003A7949"/>
    <w:rsid w:val="003A7A96"/>
    <w:rsid w:val="003A7C1F"/>
    <w:rsid w:val="003B01D5"/>
    <w:rsid w:val="003B045B"/>
    <w:rsid w:val="003B05B9"/>
    <w:rsid w:val="003B05D9"/>
    <w:rsid w:val="003B0737"/>
    <w:rsid w:val="003B088E"/>
    <w:rsid w:val="003B091D"/>
    <w:rsid w:val="003B0C75"/>
    <w:rsid w:val="003B0DF4"/>
    <w:rsid w:val="003B1031"/>
    <w:rsid w:val="003B11EB"/>
    <w:rsid w:val="003B1412"/>
    <w:rsid w:val="003B15E5"/>
    <w:rsid w:val="003B19BE"/>
    <w:rsid w:val="003B1D09"/>
    <w:rsid w:val="003B1EAE"/>
    <w:rsid w:val="003B21F7"/>
    <w:rsid w:val="003B2203"/>
    <w:rsid w:val="003B236B"/>
    <w:rsid w:val="003B23D1"/>
    <w:rsid w:val="003B23D9"/>
    <w:rsid w:val="003B2641"/>
    <w:rsid w:val="003B298B"/>
    <w:rsid w:val="003B2B27"/>
    <w:rsid w:val="003B2BAE"/>
    <w:rsid w:val="003B2D30"/>
    <w:rsid w:val="003B2E58"/>
    <w:rsid w:val="003B302A"/>
    <w:rsid w:val="003B347C"/>
    <w:rsid w:val="003B3561"/>
    <w:rsid w:val="003B36A6"/>
    <w:rsid w:val="003B4068"/>
    <w:rsid w:val="003B4083"/>
    <w:rsid w:val="003B46EA"/>
    <w:rsid w:val="003B4A2F"/>
    <w:rsid w:val="003B5154"/>
    <w:rsid w:val="003B5194"/>
    <w:rsid w:val="003B5354"/>
    <w:rsid w:val="003B59A0"/>
    <w:rsid w:val="003B5C5D"/>
    <w:rsid w:val="003B6015"/>
    <w:rsid w:val="003B610E"/>
    <w:rsid w:val="003B6152"/>
    <w:rsid w:val="003B64EF"/>
    <w:rsid w:val="003B6BDF"/>
    <w:rsid w:val="003B6EB2"/>
    <w:rsid w:val="003B6F3B"/>
    <w:rsid w:val="003B70FC"/>
    <w:rsid w:val="003B762F"/>
    <w:rsid w:val="003B76CF"/>
    <w:rsid w:val="003B7757"/>
    <w:rsid w:val="003B7B1B"/>
    <w:rsid w:val="003B7F00"/>
    <w:rsid w:val="003C00CB"/>
    <w:rsid w:val="003C018D"/>
    <w:rsid w:val="003C06E6"/>
    <w:rsid w:val="003C0861"/>
    <w:rsid w:val="003C08EB"/>
    <w:rsid w:val="003C0FCC"/>
    <w:rsid w:val="003C140D"/>
    <w:rsid w:val="003C18D0"/>
    <w:rsid w:val="003C1D72"/>
    <w:rsid w:val="003C206A"/>
    <w:rsid w:val="003C22DD"/>
    <w:rsid w:val="003C246B"/>
    <w:rsid w:val="003C28DB"/>
    <w:rsid w:val="003C2972"/>
    <w:rsid w:val="003C2AE1"/>
    <w:rsid w:val="003C2BD6"/>
    <w:rsid w:val="003C329E"/>
    <w:rsid w:val="003C34E8"/>
    <w:rsid w:val="003C362E"/>
    <w:rsid w:val="003C386E"/>
    <w:rsid w:val="003C3AD6"/>
    <w:rsid w:val="003C3CCB"/>
    <w:rsid w:val="003C3D7A"/>
    <w:rsid w:val="003C3E4A"/>
    <w:rsid w:val="003C44BC"/>
    <w:rsid w:val="003C46D7"/>
    <w:rsid w:val="003C47D5"/>
    <w:rsid w:val="003C47EE"/>
    <w:rsid w:val="003C4936"/>
    <w:rsid w:val="003C4A27"/>
    <w:rsid w:val="003C4AD9"/>
    <w:rsid w:val="003C4CF4"/>
    <w:rsid w:val="003C4DB5"/>
    <w:rsid w:val="003C4F21"/>
    <w:rsid w:val="003C4FDA"/>
    <w:rsid w:val="003C565C"/>
    <w:rsid w:val="003C5724"/>
    <w:rsid w:val="003C5865"/>
    <w:rsid w:val="003C591E"/>
    <w:rsid w:val="003C5BC7"/>
    <w:rsid w:val="003C5CA2"/>
    <w:rsid w:val="003C5CE5"/>
    <w:rsid w:val="003C5DF2"/>
    <w:rsid w:val="003C5E02"/>
    <w:rsid w:val="003C5E18"/>
    <w:rsid w:val="003C6338"/>
    <w:rsid w:val="003C635A"/>
    <w:rsid w:val="003C67CA"/>
    <w:rsid w:val="003C6A67"/>
    <w:rsid w:val="003C6E7A"/>
    <w:rsid w:val="003C6EFB"/>
    <w:rsid w:val="003C6FAA"/>
    <w:rsid w:val="003C72A3"/>
    <w:rsid w:val="003C73F7"/>
    <w:rsid w:val="003C749A"/>
    <w:rsid w:val="003C7808"/>
    <w:rsid w:val="003C79D7"/>
    <w:rsid w:val="003D0027"/>
    <w:rsid w:val="003D00B9"/>
    <w:rsid w:val="003D01A3"/>
    <w:rsid w:val="003D06D4"/>
    <w:rsid w:val="003D0711"/>
    <w:rsid w:val="003D08C7"/>
    <w:rsid w:val="003D0DCA"/>
    <w:rsid w:val="003D0FAE"/>
    <w:rsid w:val="003D1114"/>
    <w:rsid w:val="003D113E"/>
    <w:rsid w:val="003D15A3"/>
    <w:rsid w:val="003D1608"/>
    <w:rsid w:val="003D1A33"/>
    <w:rsid w:val="003D1A52"/>
    <w:rsid w:val="003D1E78"/>
    <w:rsid w:val="003D224B"/>
    <w:rsid w:val="003D2984"/>
    <w:rsid w:val="003D2A05"/>
    <w:rsid w:val="003D2E32"/>
    <w:rsid w:val="003D324B"/>
    <w:rsid w:val="003D3768"/>
    <w:rsid w:val="003D3785"/>
    <w:rsid w:val="003D389D"/>
    <w:rsid w:val="003D3D35"/>
    <w:rsid w:val="003D4401"/>
    <w:rsid w:val="003D44AC"/>
    <w:rsid w:val="003D4A0F"/>
    <w:rsid w:val="003D4D22"/>
    <w:rsid w:val="003D4EB4"/>
    <w:rsid w:val="003D53BB"/>
    <w:rsid w:val="003D5852"/>
    <w:rsid w:val="003D5B8C"/>
    <w:rsid w:val="003D5F11"/>
    <w:rsid w:val="003D6365"/>
    <w:rsid w:val="003D671C"/>
    <w:rsid w:val="003D6B16"/>
    <w:rsid w:val="003D6D5D"/>
    <w:rsid w:val="003D73C4"/>
    <w:rsid w:val="003D73CB"/>
    <w:rsid w:val="003D7447"/>
    <w:rsid w:val="003D760E"/>
    <w:rsid w:val="003D78D9"/>
    <w:rsid w:val="003D7AB6"/>
    <w:rsid w:val="003D7BD3"/>
    <w:rsid w:val="003D7C03"/>
    <w:rsid w:val="003D7CCA"/>
    <w:rsid w:val="003E01C3"/>
    <w:rsid w:val="003E043B"/>
    <w:rsid w:val="003E049C"/>
    <w:rsid w:val="003E0682"/>
    <w:rsid w:val="003E0B52"/>
    <w:rsid w:val="003E142A"/>
    <w:rsid w:val="003E1643"/>
    <w:rsid w:val="003E1706"/>
    <w:rsid w:val="003E1C34"/>
    <w:rsid w:val="003E205F"/>
    <w:rsid w:val="003E20BC"/>
    <w:rsid w:val="003E2256"/>
    <w:rsid w:val="003E2585"/>
    <w:rsid w:val="003E2606"/>
    <w:rsid w:val="003E26C0"/>
    <w:rsid w:val="003E273A"/>
    <w:rsid w:val="003E2ABF"/>
    <w:rsid w:val="003E2C90"/>
    <w:rsid w:val="003E2EAE"/>
    <w:rsid w:val="003E32BE"/>
    <w:rsid w:val="003E3384"/>
    <w:rsid w:val="003E3790"/>
    <w:rsid w:val="003E39C1"/>
    <w:rsid w:val="003E3A11"/>
    <w:rsid w:val="003E3BB0"/>
    <w:rsid w:val="003E3E1A"/>
    <w:rsid w:val="003E4263"/>
    <w:rsid w:val="003E42FB"/>
    <w:rsid w:val="003E44FB"/>
    <w:rsid w:val="003E4B24"/>
    <w:rsid w:val="003E4B84"/>
    <w:rsid w:val="003E5442"/>
    <w:rsid w:val="003E59C6"/>
    <w:rsid w:val="003E6124"/>
    <w:rsid w:val="003E69C4"/>
    <w:rsid w:val="003E6FC3"/>
    <w:rsid w:val="003E7329"/>
    <w:rsid w:val="003E7587"/>
    <w:rsid w:val="003E785C"/>
    <w:rsid w:val="003E798A"/>
    <w:rsid w:val="003E7ADE"/>
    <w:rsid w:val="003E7B29"/>
    <w:rsid w:val="003F0067"/>
    <w:rsid w:val="003F04F8"/>
    <w:rsid w:val="003F0874"/>
    <w:rsid w:val="003F0B74"/>
    <w:rsid w:val="003F0BB3"/>
    <w:rsid w:val="003F0CDA"/>
    <w:rsid w:val="003F0D03"/>
    <w:rsid w:val="003F0ECC"/>
    <w:rsid w:val="003F13FF"/>
    <w:rsid w:val="003F19AD"/>
    <w:rsid w:val="003F1B27"/>
    <w:rsid w:val="003F1D05"/>
    <w:rsid w:val="003F1DDA"/>
    <w:rsid w:val="003F2223"/>
    <w:rsid w:val="003F2816"/>
    <w:rsid w:val="003F28E5"/>
    <w:rsid w:val="003F2B0D"/>
    <w:rsid w:val="003F2BD9"/>
    <w:rsid w:val="003F34E6"/>
    <w:rsid w:val="003F3693"/>
    <w:rsid w:val="003F40E9"/>
    <w:rsid w:val="003F4487"/>
    <w:rsid w:val="003F4601"/>
    <w:rsid w:val="003F4B2A"/>
    <w:rsid w:val="003F4B8D"/>
    <w:rsid w:val="003F4C0F"/>
    <w:rsid w:val="003F4F82"/>
    <w:rsid w:val="003F5B29"/>
    <w:rsid w:val="003F5B35"/>
    <w:rsid w:val="003F5FC4"/>
    <w:rsid w:val="003F6026"/>
    <w:rsid w:val="003F634D"/>
    <w:rsid w:val="003F6404"/>
    <w:rsid w:val="003F64D1"/>
    <w:rsid w:val="003F6738"/>
    <w:rsid w:val="003F6A6C"/>
    <w:rsid w:val="003F6B42"/>
    <w:rsid w:val="003F6E59"/>
    <w:rsid w:val="003F6EFF"/>
    <w:rsid w:val="003F7C3D"/>
    <w:rsid w:val="00400314"/>
    <w:rsid w:val="004003FD"/>
    <w:rsid w:val="00400595"/>
    <w:rsid w:val="004007CE"/>
    <w:rsid w:val="00400868"/>
    <w:rsid w:val="00400F19"/>
    <w:rsid w:val="00401138"/>
    <w:rsid w:val="00401BB9"/>
    <w:rsid w:val="00401CB1"/>
    <w:rsid w:val="00402187"/>
    <w:rsid w:val="00402251"/>
    <w:rsid w:val="004024C8"/>
    <w:rsid w:val="004027ED"/>
    <w:rsid w:val="0040298A"/>
    <w:rsid w:val="00402A2D"/>
    <w:rsid w:val="00402C8E"/>
    <w:rsid w:val="004033A5"/>
    <w:rsid w:val="00403578"/>
    <w:rsid w:val="00403705"/>
    <w:rsid w:val="00403998"/>
    <w:rsid w:val="004039EE"/>
    <w:rsid w:val="00403A44"/>
    <w:rsid w:val="00403A6E"/>
    <w:rsid w:val="00404603"/>
    <w:rsid w:val="0040486F"/>
    <w:rsid w:val="00404957"/>
    <w:rsid w:val="004049A2"/>
    <w:rsid w:val="00404B95"/>
    <w:rsid w:val="00404CC7"/>
    <w:rsid w:val="00404D09"/>
    <w:rsid w:val="00404D29"/>
    <w:rsid w:val="00405666"/>
    <w:rsid w:val="00405D4C"/>
    <w:rsid w:val="00405DB8"/>
    <w:rsid w:val="0040623E"/>
    <w:rsid w:val="0040634D"/>
    <w:rsid w:val="00406B08"/>
    <w:rsid w:val="00407257"/>
    <w:rsid w:val="00407587"/>
    <w:rsid w:val="004075B8"/>
    <w:rsid w:val="0040768B"/>
    <w:rsid w:val="0040793A"/>
    <w:rsid w:val="004079DE"/>
    <w:rsid w:val="00407C33"/>
    <w:rsid w:val="00407D0E"/>
    <w:rsid w:val="00407E00"/>
    <w:rsid w:val="00410386"/>
    <w:rsid w:val="00410598"/>
    <w:rsid w:val="00410E4B"/>
    <w:rsid w:val="00411120"/>
    <w:rsid w:val="00411301"/>
    <w:rsid w:val="0041166F"/>
    <w:rsid w:val="00411B4C"/>
    <w:rsid w:val="00411B71"/>
    <w:rsid w:val="00411CAD"/>
    <w:rsid w:val="004121EE"/>
    <w:rsid w:val="00412263"/>
    <w:rsid w:val="0041234F"/>
    <w:rsid w:val="0041245D"/>
    <w:rsid w:val="0041251A"/>
    <w:rsid w:val="004128CC"/>
    <w:rsid w:val="00412BCC"/>
    <w:rsid w:val="00412BCD"/>
    <w:rsid w:val="0041307A"/>
    <w:rsid w:val="00413390"/>
    <w:rsid w:val="0041340B"/>
    <w:rsid w:val="0041390E"/>
    <w:rsid w:val="00413F20"/>
    <w:rsid w:val="00414125"/>
    <w:rsid w:val="004141C8"/>
    <w:rsid w:val="0041473F"/>
    <w:rsid w:val="00414DDA"/>
    <w:rsid w:val="00414DF4"/>
    <w:rsid w:val="00414EA2"/>
    <w:rsid w:val="0041515F"/>
    <w:rsid w:val="004153AE"/>
    <w:rsid w:val="00415585"/>
    <w:rsid w:val="004157E5"/>
    <w:rsid w:val="00415A54"/>
    <w:rsid w:val="00415C4E"/>
    <w:rsid w:val="00415D8B"/>
    <w:rsid w:val="0041629D"/>
    <w:rsid w:val="00416593"/>
    <w:rsid w:val="00416D84"/>
    <w:rsid w:val="00416D98"/>
    <w:rsid w:val="00416F37"/>
    <w:rsid w:val="00417191"/>
    <w:rsid w:val="004171F7"/>
    <w:rsid w:val="00417299"/>
    <w:rsid w:val="004177A1"/>
    <w:rsid w:val="0041788B"/>
    <w:rsid w:val="004179A1"/>
    <w:rsid w:val="004179D4"/>
    <w:rsid w:val="00417C34"/>
    <w:rsid w:val="00417EA1"/>
    <w:rsid w:val="00420F96"/>
    <w:rsid w:val="00420FEC"/>
    <w:rsid w:val="0042136C"/>
    <w:rsid w:val="00421419"/>
    <w:rsid w:val="004214B5"/>
    <w:rsid w:val="004215B4"/>
    <w:rsid w:val="004218B7"/>
    <w:rsid w:val="0042199A"/>
    <w:rsid w:val="00421B4C"/>
    <w:rsid w:val="00421BB5"/>
    <w:rsid w:val="00421C1B"/>
    <w:rsid w:val="00421DD7"/>
    <w:rsid w:val="00421EA3"/>
    <w:rsid w:val="00421FDF"/>
    <w:rsid w:val="004221EC"/>
    <w:rsid w:val="0042287C"/>
    <w:rsid w:val="00422968"/>
    <w:rsid w:val="00422AED"/>
    <w:rsid w:val="00422C41"/>
    <w:rsid w:val="00422E9E"/>
    <w:rsid w:val="004230C2"/>
    <w:rsid w:val="0042340B"/>
    <w:rsid w:val="00423980"/>
    <w:rsid w:val="00423A3D"/>
    <w:rsid w:val="00423ED8"/>
    <w:rsid w:val="0042416E"/>
    <w:rsid w:val="00424497"/>
    <w:rsid w:val="004252F9"/>
    <w:rsid w:val="004253BC"/>
    <w:rsid w:val="00425759"/>
    <w:rsid w:val="00425B79"/>
    <w:rsid w:val="00425D18"/>
    <w:rsid w:val="00425DD9"/>
    <w:rsid w:val="00425E64"/>
    <w:rsid w:val="004260FC"/>
    <w:rsid w:val="00426647"/>
    <w:rsid w:val="00426763"/>
    <w:rsid w:val="004268AC"/>
    <w:rsid w:val="004269F8"/>
    <w:rsid w:val="00426E52"/>
    <w:rsid w:val="00426F5D"/>
    <w:rsid w:val="00427387"/>
    <w:rsid w:val="0042761F"/>
    <w:rsid w:val="0042771E"/>
    <w:rsid w:val="0042780B"/>
    <w:rsid w:val="0042790D"/>
    <w:rsid w:val="00427A91"/>
    <w:rsid w:val="00427B9F"/>
    <w:rsid w:val="00427C64"/>
    <w:rsid w:val="00430326"/>
    <w:rsid w:val="00430471"/>
    <w:rsid w:val="00430603"/>
    <w:rsid w:val="004307AA"/>
    <w:rsid w:val="00430F46"/>
    <w:rsid w:val="00430F67"/>
    <w:rsid w:val="00431186"/>
    <w:rsid w:val="00431692"/>
    <w:rsid w:val="00431855"/>
    <w:rsid w:val="00431869"/>
    <w:rsid w:val="004319BA"/>
    <w:rsid w:val="004319C5"/>
    <w:rsid w:val="00431ACC"/>
    <w:rsid w:val="00431C3B"/>
    <w:rsid w:val="00431CCB"/>
    <w:rsid w:val="00432375"/>
    <w:rsid w:val="0043242C"/>
    <w:rsid w:val="00432499"/>
    <w:rsid w:val="00432ADB"/>
    <w:rsid w:val="00432C6C"/>
    <w:rsid w:val="00432CC2"/>
    <w:rsid w:val="00432D45"/>
    <w:rsid w:val="00432FB6"/>
    <w:rsid w:val="0043321E"/>
    <w:rsid w:val="00433254"/>
    <w:rsid w:val="00433399"/>
    <w:rsid w:val="004339F2"/>
    <w:rsid w:val="00433B47"/>
    <w:rsid w:val="00433DA1"/>
    <w:rsid w:val="00434121"/>
    <w:rsid w:val="00434617"/>
    <w:rsid w:val="00434B66"/>
    <w:rsid w:val="00434F06"/>
    <w:rsid w:val="00434FB3"/>
    <w:rsid w:val="00435039"/>
    <w:rsid w:val="004351D5"/>
    <w:rsid w:val="004352B6"/>
    <w:rsid w:val="004352BE"/>
    <w:rsid w:val="00435CAE"/>
    <w:rsid w:val="00435CCA"/>
    <w:rsid w:val="00435E11"/>
    <w:rsid w:val="004360A0"/>
    <w:rsid w:val="00436D5D"/>
    <w:rsid w:val="00437060"/>
    <w:rsid w:val="0043712D"/>
    <w:rsid w:val="004374E6"/>
    <w:rsid w:val="00437902"/>
    <w:rsid w:val="00437C3F"/>
    <w:rsid w:val="00437C9F"/>
    <w:rsid w:val="00437E25"/>
    <w:rsid w:val="00437F33"/>
    <w:rsid w:val="004408DD"/>
    <w:rsid w:val="004409D4"/>
    <w:rsid w:val="00440AA6"/>
    <w:rsid w:val="00440DC1"/>
    <w:rsid w:val="004413D2"/>
    <w:rsid w:val="004416CB"/>
    <w:rsid w:val="0044190D"/>
    <w:rsid w:val="00441A47"/>
    <w:rsid w:val="00441B2B"/>
    <w:rsid w:val="00442148"/>
    <w:rsid w:val="00442250"/>
    <w:rsid w:val="00442A25"/>
    <w:rsid w:val="00442EEC"/>
    <w:rsid w:val="0044370D"/>
    <w:rsid w:val="0044379E"/>
    <w:rsid w:val="00443875"/>
    <w:rsid w:val="00443892"/>
    <w:rsid w:val="00443BF6"/>
    <w:rsid w:val="00443C9E"/>
    <w:rsid w:val="00443D40"/>
    <w:rsid w:val="00443DE6"/>
    <w:rsid w:val="00443F5D"/>
    <w:rsid w:val="004446F5"/>
    <w:rsid w:val="00444847"/>
    <w:rsid w:val="00444854"/>
    <w:rsid w:val="004448CA"/>
    <w:rsid w:val="00444B6E"/>
    <w:rsid w:val="00444E19"/>
    <w:rsid w:val="00445241"/>
    <w:rsid w:val="004453CB"/>
    <w:rsid w:val="004454C9"/>
    <w:rsid w:val="00445635"/>
    <w:rsid w:val="0044584D"/>
    <w:rsid w:val="004458E2"/>
    <w:rsid w:val="00446221"/>
    <w:rsid w:val="00446286"/>
    <w:rsid w:val="004465BD"/>
    <w:rsid w:val="0044686B"/>
    <w:rsid w:val="004468B7"/>
    <w:rsid w:val="00446F18"/>
    <w:rsid w:val="00447355"/>
    <w:rsid w:val="004474F5"/>
    <w:rsid w:val="0044766A"/>
    <w:rsid w:val="00447D03"/>
    <w:rsid w:val="00447E7E"/>
    <w:rsid w:val="00447F3F"/>
    <w:rsid w:val="00450096"/>
    <w:rsid w:val="00450175"/>
    <w:rsid w:val="00450559"/>
    <w:rsid w:val="004505B7"/>
    <w:rsid w:val="004505FD"/>
    <w:rsid w:val="00450658"/>
    <w:rsid w:val="004507E6"/>
    <w:rsid w:val="0045081F"/>
    <w:rsid w:val="0045086E"/>
    <w:rsid w:val="004509E4"/>
    <w:rsid w:val="00450BA0"/>
    <w:rsid w:val="00450BD2"/>
    <w:rsid w:val="00450D1A"/>
    <w:rsid w:val="00450E61"/>
    <w:rsid w:val="00450F49"/>
    <w:rsid w:val="004515E4"/>
    <w:rsid w:val="00451689"/>
    <w:rsid w:val="004516CB"/>
    <w:rsid w:val="00451A5D"/>
    <w:rsid w:val="00451BA9"/>
    <w:rsid w:val="004522AD"/>
    <w:rsid w:val="0045271A"/>
    <w:rsid w:val="00452BF6"/>
    <w:rsid w:val="00453B1D"/>
    <w:rsid w:val="00453C59"/>
    <w:rsid w:val="00453E91"/>
    <w:rsid w:val="00453F74"/>
    <w:rsid w:val="00454AF4"/>
    <w:rsid w:val="00454BA3"/>
    <w:rsid w:val="00454BD0"/>
    <w:rsid w:val="00455135"/>
    <w:rsid w:val="00455373"/>
    <w:rsid w:val="004554CC"/>
    <w:rsid w:val="0045558A"/>
    <w:rsid w:val="00455657"/>
    <w:rsid w:val="00455F1A"/>
    <w:rsid w:val="00455FEA"/>
    <w:rsid w:val="00456188"/>
    <w:rsid w:val="0045621C"/>
    <w:rsid w:val="004563AE"/>
    <w:rsid w:val="004564D7"/>
    <w:rsid w:val="00456B9E"/>
    <w:rsid w:val="00456DD9"/>
    <w:rsid w:val="00456F7C"/>
    <w:rsid w:val="00457226"/>
    <w:rsid w:val="00457619"/>
    <w:rsid w:val="00457A27"/>
    <w:rsid w:val="00457B2A"/>
    <w:rsid w:val="00457CB1"/>
    <w:rsid w:val="00457CF0"/>
    <w:rsid w:val="00457DCE"/>
    <w:rsid w:val="00457EE5"/>
    <w:rsid w:val="00457FC9"/>
    <w:rsid w:val="0046024A"/>
    <w:rsid w:val="004603FA"/>
    <w:rsid w:val="00460ACE"/>
    <w:rsid w:val="00461003"/>
    <w:rsid w:val="00461168"/>
    <w:rsid w:val="004614FD"/>
    <w:rsid w:val="0046156D"/>
    <w:rsid w:val="00461B47"/>
    <w:rsid w:val="00462B6B"/>
    <w:rsid w:val="00462D4A"/>
    <w:rsid w:val="00462E38"/>
    <w:rsid w:val="00463622"/>
    <w:rsid w:val="00463BA2"/>
    <w:rsid w:val="00463C0E"/>
    <w:rsid w:val="00464388"/>
    <w:rsid w:val="004649F8"/>
    <w:rsid w:val="00464A19"/>
    <w:rsid w:val="00464F13"/>
    <w:rsid w:val="00465070"/>
    <w:rsid w:val="0046524D"/>
    <w:rsid w:val="00465432"/>
    <w:rsid w:val="0046565D"/>
    <w:rsid w:val="00465CBD"/>
    <w:rsid w:val="00465E46"/>
    <w:rsid w:val="0046602B"/>
    <w:rsid w:val="00466095"/>
    <w:rsid w:val="00466128"/>
    <w:rsid w:val="00466AEE"/>
    <w:rsid w:val="00466B49"/>
    <w:rsid w:val="004671E1"/>
    <w:rsid w:val="00467C16"/>
    <w:rsid w:val="00467D3A"/>
    <w:rsid w:val="00467E7E"/>
    <w:rsid w:val="00467F68"/>
    <w:rsid w:val="00467FAC"/>
    <w:rsid w:val="00470400"/>
    <w:rsid w:val="004706D8"/>
    <w:rsid w:val="00470819"/>
    <w:rsid w:val="0047087D"/>
    <w:rsid w:val="004708CD"/>
    <w:rsid w:val="00470970"/>
    <w:rsid w:val="004709F0"/>
    <w:rsid w:val="00470C15"/>
    <w:rsid w:val="00470F1A"/>
    <w:rsid w:val="004710DD"/>
    <w:rsid w:val="004714AD"/>
    <w:rsid w:val="004715B4"/>
    <w:rsid w:val="00471D61"/>
    <w:rsid w:val="0047239B"/>
    <w:rsid w:val="004726E4"/>
    <w:rsid w:val="0047273C"/>
    <w:rsid w:val="00472834"/>
    <w:rsid w:val="0047354A"/>
    <w:rsid w:val="00473654"/>
    <w:rsid w:val="0047371B"/>
    <w:rsid w:val="0047380F"/>
    <w:rsid w:val="00473999"/>
    <w:rsid w:val="00473E1E"/>
    <w:rsid w:val="00474276"/>
    <w:rsid w:val="0047438B"/>
    <w:rsid w:val="004744F0"/>
    <w:rsid w:val="00474664"/>
    <w:rsid w:val="004746AD"/>
    <w:rsid w:val="0047480B"/>
    <w:rsid w:val="004748DF"/>
    <w:rsid w:val="004749F4"/>
    <w:rsid w:val="00474BEF"/>
    <w:rsid w:val="00474E13"/>
    <w:rsid w:val="00474F37"/>
    <w:rsid w:val="00475541"/>
    <w:rsid w:val="00475837"/>
    <w:rsid w:val="00475D3C"/>
    <w:rsid w:val="004763CC"/>
    <w:rsid w:val="00476407"/>
    <w:rsid w:val="00476470"/>
    <w:rsid w:val="004766DE"/>
    <w:rsid w:val="00476C09"/>
    <w:rsid w:val="00476D18"/>
    <w:rsid w:val="00476EEE"/>
    <w:rsid w:val="004773D4"/>
    <w:rsid w:val="00477514"/>
    <w:rsid w:val="00477985"/>
    <w:rsid w:val="00477CF5"/>
    <w:rsid w:val="004803AE"/>
    <w:rsid w:val="00480894"/>
    <w:rsid w:val="00480AC9"/>
    <w:rsid w:val="00480E55"/>
    <w:rsid w:val="004810C9"/>
    <w:rsid w:val="0048118A"/>
    <w:rsid w:val="004812B9"/>
    <w:rsid w:val="00481597"/>
    <w:rsid w:val="0048179F"/>
    <w:rsid w:val="00481909"/>
    <w:rsid w:val="00481BEA"/>
    <w:rsid w:val="00481DED"/>
    <w:rsid w:val="00481F1B"/>
    <w:rsid w:val="0048263A"/>
    <w:rsid w:val="004828FB"/>
    <w:rsid w:val="0048294A"/>
    <w:rsid w:val="00483037"/>
    <w:rsid w:val="0048333D"/>
    <w:rsid w:val="004833B9"/>
    <w:rsid w:val="0048351D"/>
    <w:rsid w:val="004838E9"/>
    <w:rsid w:val="00483CC9"/>
    <w:rsid w:val="00483DE7"/>
    <w:rsid w:val="00484122"/>
    <w:rsid w:val="0048436F"/>
    <w:rsid w:val="00484398"/>
    <w:rsid w:val="004843D0"/>
    <w:rsid w:val="004846AD"/>
    <w:rsid w:val="004849EE"/>
    <w:rsid w:val="00484B4B"/>
    <w:rsid w:val="00484C2A"/>
    <w:rsid w:val="00484E03"/>
    <w:rsid w:val="004851A9"/>
    <w:rsid w:val="00485419"/>
    <w:rsid w:val="004855C3"/>
    <w:rsid w:val="00485636"/>
    <w:rsid w:val="0048584A"/>
    <w:rsid w:val="00485CB0"/>
    <w:rsid w:val="004862CF"/>
    <w:rsid w:val="004862FB"/>
    <w:rsid w:val="00486510"/>
    <w:rsid w:val="0048659A"/>
    <w:rsid w:val="00486664"/>
    <w:rsid w:val="00486C06"/>
    <w:rsid w:val="00486D57"/>
    <w:rsid w:val="00486E79"/>
    <w:rsid w:val="004876A3"/>
    <w:rsid w:val="004879C9"/>
    <w:rsid w:val="00487CF1"/>
    <w:rsid w:val="00487EB6"/>
    <w:rsid w:val="00487F40"/>
    <w:rsid w:val="00487FE8"/>
    <w:rsid w:val="004902FC"/>
    <w:rsid w:val="00490373"/>
    <w:rsid w:val="0049040D"/>
    <w:rsid w:val="00490984"/>
    <w:rsid w:val="0049135F"/>
    <w:rsid w:val="00491569"/>
    <w:rsid w:val="0049173C"/>
    <w:rsid w:val="00491993"/>
    <w:rsid w:val="00491B03"/>
    <w:rsid w:val="00491FB3"/>
    <w:rsid w:val="0049244D"/>
    <w:rsid w:val="0049266B"/>
    <w:rsid w:val="00492862"/>
    <w:rsid w:val="00492869"/>
    <w:rsid w:val="00492B3C"/>
    <w:rsid w:val="00492B42"/>
    <w:rsid w:val="004931CE"/>
    <w:rsid w:val="004936F7"/>
    <w:rsid w:val="004938BE"/>
    <w:rsid w:val="004938CC"/>
    <w:rsid w:val="00493A8E"/>
    <w:rsid w:val="00493CBB"/>
    <w:rsid w:val="00493D0B"/>
    <w:rsid w:val="00493E6C"/>
    <w:rsid w:val="0049405F"/>
    <w:rsid w:val="00494129"/>
    <w:rsid w:val="00494481"/>
    <w:rsid w:val="004945BB"/>
    <w:rsid w:val="00494DA8"/>
    <w:rsid w:val="00494E43"/>
    <w:rsid w:val="0049513C"/>
    <w:rsid w:val="004957CA"/>
    <w:rsid w:val="00495842"/>
    <w:rsid w:val="004958EB"/>
    <w:rsid w:val="004960E1"/>
    <w:rsid w:val="0049614A"/>
    <w:rsid w:val="0049641D"/>
    <w:rsid w:val="00496680"/>
    <w:rsid w:val="00496762"/>
    <w:rsid w:val="00496985"/>
    <w:rsid w:val="00496E26"/>
    <w:rsid w:val="00497107"/>
    <w:rsid w:val="0049744D"/>
    <w:rsid w:val="004975EC"/>
    <w:rsid w:val="0049761F"/>
    <w:rsid w:val="004977C0"/>
    <w:rsid w:val="004979B8"/>
    <w:rsid w:val="00497B1D"/>
    <w:rsid w:val="00497C99"/>
    <w:rsid w:val="004A0110"/>
    <w:rsid w:val="004A015E"/>
    <w:rsid w:val="004A0298"/>
    <w:rsid w:val="004A048B"/>
    <w:rsid w:val="004A050E"/>
    <w:rsid w:val="004A0718"/>
    <w:rsid w:val="004A08D3"/>
    <w:rsid w:val="004A0B4D"/>
    <w:rsid w:val="004A0BDD"/>
    <w:rsid w:val="004A0C1A"/>
    <w:rsid w:val="004A14AF"/>
    <w:rsid w:val="004A1564"/>
    <w:rsid w:val="004A157E"/>
    <w:rsid w:val="004A1D18"/>
    <w:rsid w:val="004A1EA9"/>
    <w:rsid w:val="004A21AE"/>
    <w:rsid w:val="004A23A7"/>
    <w:rsid w:val="004A2476"/>
    <w:rsid w:val="004A2B11"/>
    <w:rsid w:val="004A2BC2"/>
    <w:rsid w:val="004A2D0C"/>
    <w:rsid w:val="004A3096"/>
    <w:rsid w:val="004A3382"/>
    <w:rsid w:val="004A35C5"/>
    <w:rsid w:val="004A4634"/>
    <w:rsid w:val="004A4AD2"/>
    <w:rsid w:val="004A4FC1"/>
    <w:rsid w:val="004A54AD"/>
    <w:rsid w:val="004A58D8"/>
    <w:rsid w:val="004A58DD"/>
    <w:rsid w:val="004A5BE8"/>
    <w:rsid w:val="004A5C71"/>
    <w:rsid w:val="004A5F79"/>
    <w:rsid w:val="004A6293"/>
    <w:rsid w:val="004A64E7"/>
    <w:rsid w:val="004A6730"/>
    <w:rsid w:val="004A6D4F"/>
    <w:rsid w:val="004A6E42"/>
    <w:rsid w:val="004A6FAF"/>
    <w:rsid w:val="004A7138"/>
    <w:rsid w:val="004A71AF"/>
    <w:rsid w:val="004A71CA"/>
    <w:rsid w:val="004A73A7"/>
    <w:rsid w:val="004A7749"/>
    <w:rsid w:val="004A785B"/>
    <w:rsid w:val="004A79BA"/>
    <w:rsid w:val="004A7B5B"/>
    <w:rsid w:val="004A7DB7"/>
    <w:rsid w:val="004B0294"/>
    <w:rsid w:val="004B0372"/>
    <w:rsid w:val="004B0A45"/>
    <w:rsid w:val="004B0ABA"/>
    <w:rsid w:val="004B0B4A"/>
    <w:rsid w:val="004B0BF5"/>
    <w:rsid w:val="004B0CAA"/>
    <w:rsid w:val="004B0DC8"/>
    <w:rsid w:val="004B0E48"/>
    <w:rsid w:val="004B10BC"/>
    <w:rsid w:val="004B1195"/>
    <w:rsid w:val="004B1608"/>
    <w:rsid w:val="004B16BB"/>
    <w:rsid w:val="004B1B99"/>
    <w:rsid w:val="004B1B9C"/>
    <w:rsid w:val="004B1CF8"/>
    <w:rsid w:val="004B1E1E"/>
    <w:rsid w:val="004B2160"/>
    <w:rsid w:val="004B24C7"/>
    <w:rsid w:val="004B2938"/>
    <w:rsid w:val="004B2A0B"/>
    <w:rsid w:val="004B2A90"/>
    <w:rsid w:val="004B2B8A"/>
    <w:rsid w:val="004B2C28"/>
    <w:rsid w:val="004B2CE0"/>
    <w:rsid w:val="004B308B"/>
    <w:rsid w:val="004B31E5"/>
    <w:rsid w:val="004B320A"/>
    <w:rsid w:val="004B3363"/>
    <w:rsid w:val="004B3676"/>
    <w:rsid w:val="004B3677"/>
    <w:rsid w:val="004B378C"/>
    <w:rsid w:val="004B3858"/>
    <w:rsid w:val="004B3862"/>
    <w:rsid w:val="004B38BE"/>
    <w:rsid w:val="004B38CF"/>
    <w:rsid w:val="004B3D76"/>
    <w:rsid w:val="004B4197"/>
    <w:rsid w:val="004B4565"/>
    <w:rsid w:val="004B4DAB"/>
    <w:rsid w:val="004B51B1"/>
    <w:rsid w:val="004B52BF"/>
    <w:rsid w:val="004B55F8"/>
    <w:rsid w:val="004B581B"/>
    <w:rsid w:val="004B59D5"/>
    <w:rsid w:val="004B5A99"/>
    <w:rsid w:val="004B5AE1"/>
    <w:rsid w:val="004B5D0A"/>
    <w:rsid w:val="004B5DE8"/>
    <w:rsid w:val="004B5E27"/>
    <w:rsid w:val="004B5F02"/>
    <w:rsid w:val="004B702C"/>
    <w:rsid w:val="004B720A"/>
    <w:rsid w:val="004B7232"/>
    <w:rsid w:val="004B7520"/>
    <w:rsid w:val="004B77C6"/>
    <w:rsid w:val="004B7B47"/>
    <w:rsid w:val="004B7D88"/>
    <w:rsid w:val="004C0033"/>
    <w:rsid w:val="004C024C"/>
    <w:rsid w:val="004C0427"/>
    <w:rsid w:val="004C09CF"/>
    <w:rsid w:val="004C0D43"/>
    <w:rsid w:val="004C1067"/>
    <w:rsid w:val="004C18F7"/>
    <w:rsid w:val="004C2012"/>
    <w:rsid w:val="004C25A2"/>
    <w:rsid w:val="004C2BF3"/>
    <w:rsid w:val="004C2D9A"/>
    <w:rsid w:val="004C3036"/>
    <w:rsid w:val="004C3068"/>
    <w:rsid w:val="004C3DEC"/>
    <w:rsid w:val="004C42F4"/>
    <w:rsid w:val="004C43A9"/>
    <w:rsid w:val="004C4A78"/>
    <w:rsid w:val="004C4A81"/>
    <w:rsid w:val="004C4DF9"/>
    <w:rsid w:val="004C4E82"/>
    <w:rsid w:val="004C51A1"/>
    <w:rsid w:val="004C5295"/>
    <w:rsid w:val="004C54B3"/>
    <w:rsid w:val="004C558A"/>
    <w:rsid w:val="004C57C0"/>
    <w:rsid w:val="004C5C3E"/>
    <w:rsid w:val="004C6DCC"/>
    <w:rsid w:val="004C6E0C"/>
    <w:rsid w:val="004C6E43"/>
    <w:rsid w:val="004C7000"/>
    <w:rsid w:val="004C7178"/>
    <w:rsid w:val="004C74D4"/>
    <w:rsid w:val="004C7686"/>
    <w:rsid w:val="004C76E2"/>
    <w:rsid w:val="004C7797"/>
    <w:rsid w:val="004C78A4"/>
    <w:rsid w:val="004C7E4E"/>
    <w:rsid w:val="004D037B"/>
    <w:rsid w:val="004D0817"/>
    <w:rsid w:val="004D0BD8"/>
    <w:rsid w:val="004D0CA5"/>
    <w:rsid w:val="004D0F02"/>
    <w:rsid w:val="004D112F"/>
    <w:rsid w:val="004D1675"/>
    <w:rsid w:val="004D1919"/>
    <w:rsid w:val="004D2266"/>
    <w:rsid w:val="004D2456"/>
    <w:rsid w:val="004D254D"/>
    <w:rsid w:val="004D2B00"/>
    <w:rsid w:val="004D2BEE"/>
    <w:rsid w:val="004D2EC1"/>
    <w:rsid w:val="004D349B"/>
    <w:rsid w:val="004D3622"/>
    <w:rsid w:val="004D3780"/>
    <w:rsid w:val="004D3D03"/>
    <w:rsid w:val="004D3D04"/>
    <w:rsid w:val="004D3ECB"/>
    <w:rsid w:val="004D3F4D"/>
    <w:rsid w:val="004D400F"/>
    <w:rsid w:val="004D44FE"/>
    <w:rsid w:val="004D46BA"/>
    <w:rsid w:val="004D4943"/>
    <w:rsid w:val="004D4C3E"/>
    <w:rsid w:val="004D4D7D"/>
    <w:rsid w:val="004D4F4E"/>
    <w:rsid w:val="004D50FF"/>
    <w:rsid w:val="004D5103"/>
    <w:rsid w:val="004D5147"/>
    <w:rsid w:val="004D538F"/>
    <w:rsid w:val="004D5E81"/>
    <w:rsid w:val="004D5ED2"/>
    <w:rsid w:val="004D5FBC"/>
    <w:rsid w:val="004D5FF2"/>
    <w:rsid w:val="004D668F"/>
    <w:rsid w:val="004D682E"/>
    <w:rsid w:val="004D7017"/>
    <w:rsid w:val="004D7097"/>
    <w:rsid w:val="004D7254"/>
    <w:rsid w:val="004D7360"/>
    <w:rsid w:val="004D75B0"/>
    <w:rsid w:val="004D7648"/>
    <w:rsid w:val="004D7658"/>
    <w:rsid w:val="004D7694"/>
    <w:rsid w:val="004D79CC"/>
    <w:rsid w:val="004D7BCB"/>
    <w:rsid w:val="004D7CB4"/>
    <w:rsid w:val="004D7E06"/>
    <w:rsid w:val="004D7F1C"/>
    <w:rsid w:val="004E0880"/>
    <w:rsid w:val="004E0B56"/>
    <w:rsid w:val="004E1051"/>
    <w:rsid w:val="004E1450"/>
    <w:rsid w:val="004E1453"/>
    <w:rsid w:val="004E17F8"/>
    <w:rsid w:val="004E18C5"/>
    <w:rsid w:val="004E19EE"/>
    <w:rsid w:val="004E1F2D"/>
    <w:rsid w:val="004E29A8"/>
    <w:rsid w:val="004E2E99"/>
    <w:rsid w:val="004E31E5"/>
    <w:rsid w:val="004E331F"/>
    <w:rsid w:val="004E33EC"/>
    <w:rsid w:val="004E36BE"/>
    <w:rsid w:val="004E38F6"/>
    <w:rsid w:val="004E3AB8"/>
    <w:rsid w:val="004E3B0F"/>
    <w:rsid w:val="004E3CA5"/>
    <w:rsid w:val="004E3D03"/>
    <w:rsid w:val="004E3D9C"/>
    <w:rsid w:val="004E4461"/>
    <w:rsid w:val="004E474B"/>
    <w:rsid w:val="004E4A00"/>
    <w:rsid w:val="004E4B55"/>
    <w:rsid w:val="004E5225"/>
    <w:rsid w:val="004E5B4C"/>
    <w:rsid w:val="004E5BFF"/>
    <w:rsid w:val="004E5C07"/>
    <w:rsid w:val="004E6169"/>
    <w:rsid w:val="004E63AD"/>
    <w:rsid w:val="004E726F"/>
    <w:rsid w:val="004E72EF"/>
    <w:rsid w:val="004E74D0"/>
    <w:rsid w:val="004E7892"/>
    <w:rsid w:val="004E796D"/>
    <w:rsid w:val="004E7BE7"/>
    <w:rsid w:val="004E7C26"/>
    <w:rsid w:val="004E7E76"/>
    <w:rsid w:val="004F0052"/>
    <w:rsid w:val="004F01EE"/>
    <w:rsid w:val="004F09D3"/>
    <w:rsid w:val="004F0C17"/>
    <w:rsid w:val="004F0EEC"/>
    <w:rsid w:val="004F13D3"/>
    <w:rsid w:val="004F1545"/>
    <w:rsid w:val="004F1A53"/>
    <w:rsid w:val="004F1BCE"/>
    <w:rsid w:val="004F1EFF"/>
    <w:rsid w:val="004F1FA1"/>
    <w:rsid w:val="004F1FE0"/>
    <w:rsid w:val="004F22E3"/>
    <w:rsid w:val="004F25F4"/>
    <w:rsid w:val="004F28E2"/>
    <w:rsid w:val="004F2906"/>
    <w:rsid w:val="004F2946"/>
    <w:rsid w:val="004F2AB4"/>
    <w:rsid w:val="004F2EB7"/>
    <w:rsid w:val="004F30E5"/>
    <w:rsid w:val="004F310F"/>
    <w:rsid w:val="004F324E"/>
    <w:rsid w:val="004F351D"/>
    <w:rsid w:val="004F3553"/>
    <w:rsid w:val="004F38EE"/>
    <w:rsid w:val="004F3A4B"/>
    <w:rsid w:val="004F3D7B"/>
    <w:rsid w:val="004F3FF7"/>
    <w:rsid w:val="004F40B7"/>
    <w:rsid w:val="004F40E0"/>
    <w:rsid w:val="004F4456"/>
    <w:rsid w:val="004F4511"/>
    <w:rsid w:val="004F46D0"/>
    <w:rsid w:val="004F4950"/>
    <w:rsid w:val="004F4B9F"/>
    <w:rsid w:val="004F563D"/>
    <w:rsid w:val="004F588C"/>
    <w:rsid w:val="004F58C9"/>
    <w:rsid w:val="004F5DE1"/>
    <w:rsid w:val="004F5E76"/>
    <w:rsid w:val="004F633F"/>
    <w:rsid w:val="004F6990"/>
    <w:rsid w:val="004F6C44"/>
    <w:rsid w:val="004F6C4D"/>
    <w:rsid w:val="004F7073"/>
    <w:rsid w:val="004F712D"/>
    <w:rsid w:val="004F7931"/>
    <w:rsid w:val="004F7B60"/>
    <w:rsid w:val="004F7F22"/>
    <w:rsid w:val="004F7FE4"/>
    <w:rsid w:val="005002A2"/>
    <w:rsid w:val="00500D59"/>
    <w:rsid w:val="00500DDB"/>
    <w:rsid w:val="00500F7A"/>
    <w:rsid w:val="005012A3"/>
    <w:rsid w:val="0050159C"/>
    <w:rsid w:val="00501962"/>
    <w:rsid w:val="00501AAD"/>
    <w:rsid w:val="00501BDC"/>
    <w:rsid w:val="00501C7D"/>
    <w:rsid w:val="00501F94"/>
    <w:rsid w:val="00502580"/>
    <w:rsid w:val="005028F3"/>
    <w:rsid w:val="005029BF"/>
    <w:rsid w:val="00502B66"/>
    <w:rsid w:val="00502C43"/>
    <w:rsid w:val="00502E48"/>
    <w:rsid w:val="00502F75"/>
    <w:rsid w:val="0050318A"/>
    <w:rsid w:val="00503298"/>
    <w:rsid w:val="005036AE"/>
    <w:rsid w:val="0050381B"/>
    <w:rsid w:val="00503876"/>
    <w:rsid w:val="00503C48"/>
    <w:rsid w:val="00504186"/>
    <w:rsid w:val="00504722"/>
    <w:rsid w:val="005049E7"/>
    <w:rsid w:val="0050508E"/>
    <w:rsid w:val="005050B9"/>
    <w:rsid w:val="005054A3"/>
    <w:rsid w:val="00505B84"/>
    <w:rsid w:val="00505D4E"/>
    <w:rsid w:val="0050628C"/>
    <w:rsid w:val="00506370"/>
    <w:rsid w:val="005065CD"/>
    <w:rsid w:val="005065E0"/>
    <w:rsid w:val="005068CD"/>
    <w:rsid w:val="0050706E"/>
    <w:rsid w:val="00507CA0"/>
    <w:rsid w:val="00507E04"/>
    <w:rsid w:val="00507FD2"/>
    <w:rsid w:val="00510306"/>
    <w:rsid w:val="005103B8"/>
    <w:rsid w:val="005108CA"/>
    <w:rsid w:val="00510A8E"/>
    <w:rsid w:val="00510C62"/>
    <w:rsid w:val="0051128D"/>
    <w:rsid w:val="00511566"/>
    <w:rsid w:val="0051164C"/>
    <w:rsid w:val="005116A8"/>
    <w:rsid w:val="00511D02"/>
    <w:rsid w:val="00512C28"/>
    <w:rsid w:val="00512D94"/>
    <w:rsid w:val="00512E09"/>
    <w:rsid w:val="00512EB9"/>
    <w:rsid w:val="00512FC6"/>
    <w:rsid w:val="00513041"/>
    <w:rsid w:val="00513319"/>
    <w:rsid w:val="005135CB"/>
    <w:rsid w:val="0051376A"/>
    <w:rsid w:val="00513B28"/>
    <w:rsid w:val="00513B4B"/>
    <w:rsid w:val="00513B55"/>
    <w:rsid w:val="00513C1C"/>
    <w:rsid w:val="00513D56"/>
    <w:rsid w:val="00513EAE"/>
    <w:rsid w:val="0051423F"/>
    <w:rsid w:val="00514630"/>
    <w:rsid w:val="005149D5"/>
    <w:rsid w:val="005154C8"/>
    <w:rsid w:val="00515C11"/>
    <w:rsid w:val="00516115"/>
    <w:rsid w:val="0051618A"/>
    <w:rsid w:val="00516952"/>
    <w:rsid w:val="00516A15"/>
    <w:rsid w:val="00517025"/>
    <w:rsid w:val="00517149"/>
    <w:rsid w:val="005172F4"/>
    <w:rsid w:val="00517385"/>
    <w:rsid w:val="005174AF"/>
    <w:rsid w:val="005201D8"/>
    <w:rsid w:val="005202B7"/>
    <w:rsid w:val="00520498"/>
    <w:rsid w:val="005205D6"/>
    <w:rsid w:val="00520883"/>
    <w:rsid w:val="005209A8"/>
    <w:rsid w:val="00520AF7"/>
    <w:rsid w:val="00521035"/>
    <w:rsid w:val="005215BF"/>
    <w:rsid w:val="005215E9"/>
    <w:rsid w:val="005219EB"/>
    <w:rsid w:val="00521FD1"/>
    <w:rsid w:val="005224EE"/>
    <w:rsid w:val="0052282C"/>
    <w:rsid w:val="00522843"/>
    <w:rsid w:val="005228CF"/>
    <w:rsid w:val="00522AEB"/>
    <w:rsid w:val="00522B85"/>
    <w:rsid w:val="00523351"/>
    <w:rsid w:val="0052368D"/>
    <w:rsid w:val="0052393C"/>
    <w:rsid w:val="00523FB3"/>
    <w:rsid w:val="00524121"/>
    <w:rsid w:val="005242C7"/>
    <w:rsid w:val="00524529"/>
    <w:rsid w:val="00524758"/>
    <w:rsid w:val="005248B6"/>
    <w:rsid w:val="005248DF"/>
    <w:rsid w:val="00524B48"/>
    <w:rsid w:val="00524CF7"/>
    <w:rsid w:val="00524E03"/>
    <w:rsid w:val="005252B6"/>
    <w:rsid w:val="00525CAB"/>
    <w:rsid w:val="00525D1C"/>
    <w:rsid w:val="00525DE7"/>
    <w:rsid w:val="005260EF"/>
    <w:rsid w:val="0052634C"/>
    <w:rsid w:val="00526441"/>
    <w:rsid w:val="00526561"/>
    <w:rsid w:val="00526D1A"/>
    <w:rsid w:val="0052725D"/>
    <w:rsid w:val="005273DC"/>
    <w:rsid w:val="00527602"/>
    <w:rsid w:val="005276F4"/>
    <w:rsid w:val="00527964"/>
    <w:rsid w:val="00527B96"/>
    <w:rsid w:val="00527DF8"/>
    <w:rsid w:val="00527E47"/>
    <w:rsid w:val="00530389"/>
    <w:rsid w:val="005308C5"/>
    <w:rsid w:val="00530A9D"/>
    <w:rsid w:val="00530B36"/>
    <w:rsid w:val="00530D63"/>
    <w:rsid w:val="005310C1"/>
    <w:rsid w:val="005310D4"/>
    <w:rsid w:val="005311E8"/>
    <w:rsid w:val="00531C73"/>
    <w:rsid w:val="00531EE3"/>
    <w:rsid w:val="00531FCC"/>
    <w:rsid w:val="0053281A"/>
    <w:rsid w:val="00532E07"/>
    <w:rsid w:val="0053319C"/>
    <w:rsid w:val="0053336B"/>
    <w:rsid w:val="00533503"/>
    <w:rsid w:val="005338E6"/>
    <w:rsid w:val="00533BF5"/>
    <w:rsid w:val="005346D8"/>
    <w:rsid w:val="00534787"/>
    <w:rsid w:val="005347FF"/>
    <w:rsid w:val="005348EB"/>
    <w:rsid w:val="00534C89"/>
    <w:rsid w:val="00534ED7"/>
    <w:rsid w:val="005352A9"/>
    <w:rsid w:val="0053572C"/>
    <w:rsid w:val="005358C0"/>
    <w:rsid w:val="00535CA4"/>
    <w:rsid w:val="00535D1F"/>
    <w:rsid w:val="00535E8E"/>
    <w:rsid w:val="005361A7"/>
    <w:rsid w:val="0053623E"/>
    <w:rsid w:val="0053630A"/>
    <w:rsid w:val="0053677A"/>
    <w:rsid w:val="00536859"/>
    <w:rsid w:val="005369D0"/>
    <w:rsid w:val="00536AD2"/>
    <w:rsid w:val="00536ADD"/>
    <w:rsid w:val="0053712B"/>
    <w:rsid w:val="0053714B"/>
    <w:rsid w:val="0053734B"/>
    <w:rsid w:val="005373DE"/>
    <w:rsid w:val="00537479"/>
    <w:rsid w:val="005379CE"/>
    <w:rsid w:val="00537D3A"/>
    <w:rsid w:val="00537EF6"/>
    <w:rsid w:val="005401EB"/>
    <w:rsid w:val="00540293"/>
    <w:rsid w:val="00540A7E"/>
    <w:rsid w:val="00540DAA"/>
    <w:rsid w:val="0054114B"/>
    <w:rsid w:val="005414FE"/>
    <w:rsid w:val="00541567"/>
    <w:rsid w:val="00541829"/>
    <w:rsid w:val="005420C4"/>
    <w:rsid w:val="0054232A"/>
    <w:rsid w:val="00542398"/>
    <w:rsid w:val="00542734"/>
    <w:rsid w:val="005427F4"/>
    <w:rsid w:val="00542821"/>
    <w:rsid w:val="005428C7"/>
    <w:rsid w:val="00542963"/>
    <w:rsid w:val="00542AEE"/>
    <w:rsid w:val="00542B34"/>
    <w:rsid w:val="00542F85"/>
    <w:rsid w:val="00543A75"/>
    <w:rsid w:val="00543C84"/>
    <w:rsid w:val="00543E2D"/>
    <w:rsid w:val="00543E3B"/>
    <w:rsid w:val="00543FD4"/>
    <w:rsid w:val="005440C1"/>
    <w:rsid w:val="0054494E"/>
    <w:rsid w:val="00544A56"/>
    <w:rsid w:val="00544B0B"/>
    <w:rsid w:val="00544FE7"/>
    <w:rsid w:val="005450D1"/>
    <w:rsid w:val="005450F1"/>
    <w:rsid w:val="0054510E"/>
    <w:rsid w:val="0054574F"/>
    <w:rsid w:val="00545CA3"/>
    <w:rsid w:val="00545E5E"/>
    <w:rsid w:val="00546046"/>
    <w:rsid w:val="0054638F"/>
    <w:rsid w:val="0054646F"/>
    <w:rsid w:val="00546A45"/>
    <w:rsid w:val="00546C45"/>
    <w:rsid w:val="00546D10"/>
    <w:rsid w:val="0054790F"/>
    <w:rsid w:val="00547921"/>
    <w:rsid w:val="0054792E"/>
    <w:rsid w:val="00547EEB"/>
    <w:rsid w:val="00547F02"/>
    <w:rsid w:val="00550049"/>
    <w:rsid w:val="00550056"/>
    <w:rsid w:val="005504CC"/>
    <w:rsid w:val="00550601"/>
    <w:rsid w:val="005507AD"/>
    <w:rsid w:val="00550AF9"/>
    <w:rsid w:val="00550C8A"/>
    <w:rsid w:val="00550D38"/>
    <w:rsid w:val="00551200"/>
    <w:rsid w:val="00551448"/>
    <w:rsid w:val="00551496"/>
    <w:rsid w:val="00551F1A"/>
    <w:rsid w:val="00551FDF"/>
    <w:rsid w:val="005520B5"/>
    <w:rsid w:val="0055246C"/>
    <w:rsid w:val="00552D79"/>
    <w:rsid w:val="00553006"/>
    <w:rsid w:val="00553513"/>
    <w:rsid w:val="005536B8"/>
    <w:rsid w:val="00553996"/>
    <w:rsid w:val="00553C1F"/>
    <w:rsid w:val="00553C6C"/>
    <w:rsid w:val="00553EF9"/>
    <w:rsid w:val="00553F1D"/>
    <w:rsid w:val="0055435A"/>
    <w:rsid w:val="005543DF"/>
    <w:rsid w:val="0055461C"/>
    <w:rsid w:val="00554744"/>
    <w:rsid w:val="00554B12"/>
    <w:rsid w:val="00554C72"/>
    <w:rsid w:val="00554D2A"/>
    <w:rsid w:val="00554E69"/>
    <w:rsid w:val="00554E72"/>
    <w:rsid w:val="0055543D"/>
    <w:rsid w:val="00555790"/>
    <w:rsid w:val="00555A3B"/>
    <w:rsid w:val="00555A60"/>
    <w:rsid w:val="00555E8E"/>
    <w:rsid w:val="005561E2"/>
    <w:rsid w:val="00556434"/>
    <w:rsid w:val="00556AA6"/>
    <w:rsid w:val="00556DDA"/>
    <w:rsid w:val="00556E56"/>
    <w:rsid w:val="005570CE"/>
    <w:rsid w:val="0055750B"/>
    <w:rsid w:val="005575F9"/>
    <w:rsid w:val="00557920"/>
    <w:rsid w:val="00557B94"/>
    <w:rsid w:val="00560527"/>
    <w:rsid w:val="0056082A"/>
    <w:rsid w:val="00560912"/>
    <w:rsid w:val="00560AAB"/>
    <w:rsid w:val="00560BEC"/>
    <w:rsid w:val="00560C54"/>
    <w:rsid w:val="00561545"/>
    <w:rsid w:val="00561584"/>
    <w:rsid w:val="00561640"/>
    <w:rsid w:val="005616B0"/>
    <w:rsid w:val="00561D13"/>
    <w:rsid w:val="00562076"/>
    <w:rsid w:val="00562322"/>
    <w:rsid w:val="00562770"/>
    <w:rsid w:val="0056290A"/>
    <w:rsid w:val="00562A78"/>
    <w:rsid w:val="00562FAA"/>
    <w:rsid w:val="00563086"/>
    <w:rsid w:val="0056347E"/>
    <w:rsid w:val="005635C2"/>
    <w:rsid w:val="0056386A"/>
    <w:rsid w:val="00563A24"/>
    <w:rsid w:val="00563ACF"/>
    <w:rsid w:val="00563C77"/>
    <w:rsid w:val="00563DA7"/>
    <w:rsid w:val="00563E47"/>
    <w:rsid w:val="00563F9F"/>
    <w:rsid w:val="00564158"/>
    <w:rsid w:val="00564520"/>
    <w:rsid w:val="00564818"/>
    <w:rsid w:val="00564913"/>
    <w:rsid w:val="00564B15"/>
    <w:rsid w:val="00564B86"/>
    <w:rsid w:val="00564C15"/>
    <w:rsid w:val="00564E66"/>
    <w:rsid w:val="00564E92"/>
    <w:rsid w:val="005650D5"/>
    <w:rsid w:val="00565138"/>
    <w:rsid w:val="005651D4"/>
    <w:rsid w:val="00565394"/>
    <w:rsid w:val="005653E1"/>
    <w:rsid w:val="0056563D"/>
    <w:rsid w:val="005657C4"/>
    <w:rsid w:val="00565CCC"/>
    <w:rsid w:val="00565F93"/>
    <w:rsid w:val="0056607C"/>
    <w:rsid w:val="005660DA"/>
    <w:rsid w:val="005660E7"/>
    <w:rsid w:val="005661F1"/>
    <w:rsid w:val="00566395"/>
    <w:rsid w:val="0056642B"/>
    <w:rsid w:val="00566470"/>
    <w:rsid w:val="00566637"/>
    <w:rsid w:val="00567194"/>
    <w:rsid w:val="0056723C"/>
    <w:rsid w:val="0056734C"/>
    <w:rsid w:val="00567954"/>
    <w:rsid w:val="005679CE"/>
    <w:rsid w:val="00567CC6"/>
    <w:rsid w:val="00567D9C"/>
    <w:rsid w:val="00570153"/>
    <w:rsid w:val="005701AD"/>
    <w:rsid w:val="005703C6"/>
    <w:rsid w:val="0057043B"/>
    <w:rsid w:val="005705F9"/>
    <w:rsid w:val="0057072B"/>
    <w:rsid w:val="00570954"/>
    <w:rsid w:val="00570C2F"/>
    <w:rsid w:val="00570C3C"/>
    <w:rsid w:val="00570D03"/>
    <w:rsid w:val="00570ED1"/>
    <w:rsid w:val="00570F5A"/>
    <w:rsid w:val="0057103F"/>
    <w:rsid w:val="00571060"/>
    <w:rsid w:val="00571140"/>
    <w:rsid w:val="00571D3E"/>
    <w:rsid w:val="0057279C"/>
    <w:rsid w:val="005728F1"/>
    <w:rsid w:val="005729D5"/>
    <w:rsid w:val="00572A45"/>
    <w:rsid w:val="00572BD3"/>
    <w:rsid w:val="00572BDE"/>
    <w:rsid w:val="00572C88"/>
    <w:rsid w:val="00573289"/>
    <w:rsid w:val="005736F3"/>
    <w:rsid w:val="0057399F"/>
    <w:rsid w:val="00573AC9"/>
    <w:rsid w:val="00573DDB"/>
    <w:rsid w:val="00573E16"/>
    <w:rsid w:val="005741C8"/>
    <w:rsid w:val="005743A8"/>
    <w:rsid w:val="00574A53"/>
    <w:rsid w:val="00575C67"/>
    <w:rsid w:val="00575DF5"/>
    <w:rsid w:val="00575F20"/>
    <w:rsid w:val="00576341"/>
    <w:rsid w:val="0057701B"/>
    <w:rsid w:val="00577097"/>
    <w:rsid w:val="00577537"/>
    <w:rsid w:val="005776F4"/>
    <w:rsid w:val="00577865"/>
    <w:rsid w:val="00577C6A"/>
    <w:rsid w:val="00580100"/>
    <w:rsid w:val="00580509"/>
    <w:rsid w:val="00580B28"/>
    <w:rsid w:val="00580E71"/>
    <w:rsid w:val="00580E9C"/>
    <w:rsid w:val="0058148B"/>
    <w:rsid w:val="00581996"/>
    <w:rsid w:val="00581AED"/>
    <w:rsid w:val="00581F9F"/>
    <w:rsid w:val="005820ED"/>
    <w:rsid w:val="00582352"/>
    <w:rsid w:val="00582506"/>
    <w:rsid w:val="0058250B"/>
    <w:rsid w:val="00582738"/>
    <w:rsid w:val="005827AC"/>
    <w:rsid w:val="00582B8E"/>
    <w:rsid w:val="00582CCC"/>
    <w:rsid w:val="00582DE8"/>
    <w:rsid w:val="00583145"/>
    <w:rsid w:val="00583161"/>
    <w:rsid w:val="0058377A"/>
    <w:rsid w:val="00583B41"/>
    <w:rsid w:val="00583CFB"/>
    <w:rsid w:val="00583D4B"/>
    <w:rsid w:val="00583EE6"/>
    <w:rsid w:val="005846F3"/>
    <w:rsid w:val="00584D69"/>
    <w:rsid w:val="00584DC0"/>
    <w:rsid w:val="00585509"/>
    <w:rsid w:val="00585580"/>
    <w:rsid w:val="00585B8A"/>
    <w:rsid w:val="00585BDA"/>
    <w:rsid w:val="0058622E"/>
    <w:rsid w:val="00586B7C"/>
    <w:rsid w:val="00586CAC"/>
    <w:rsid w:val="00586DA4"/>
    <w:rsid w:val="005872A9"/>
    <w:rsid w:val="00587757"/>
    <w:rsid w:val="005878A3"/>
    <w:rsid w:val="00587B73"/>
    <w:rsid w:val="00587D64"/>
    <w:rsid w:val="00587DA8"/>
    <w:rsid w:val="00590167"/>
    <w:rsid w:val="00590558"/>
    <w:rsid w:val="00590964"/>
    <w:rsid w:val="00590967"/>
    <w:rsid w:val="00590C0F"/>
    <w:rsid w:val="00591057"/>
    <w:rsid w:val="005911D6"/>
    <w:rsid w:val="005917BE"/>
    <w:rsid w:val="00591C58"/>
    <w:rsid w:val="00591D19"/>
    <w:rsid w:val="00592345"/>
    <w:rsid w:val="0059239C"/>
    <w:rsid w:val="00592B1F"/>
    <w:rsid w:val="00592E79"/>
    <w:rsid w:val="00592F2E"/>
    <w:rsid w:val="00593188"/>
    <w:rsid w:val="00593B0A"/>
    <w:rsid w:val="00593CCC"/>
    <w:rsid w:val="00593F56"/>
    <w:rsid w:val="00594228"/>
    <w:rsid w:val="0059441D"/>
    <w:rsid w:val="00594AE8"/>
    <w:rsid w:val="00594F1B"/>
    <w:rsid w:val="00594F74"/>
    <w:rsid w:val="005953AD"/>
    <w:rsid w:val="005956EA"/>
    <w:rsid w:val="005957B6"/>
    <w:rsid w:val="00595901"/>
    <w:rsid w:val="00595A8C"/>
    <w:rsid w:val="00595CC1"/>
    <w:rsid w:val="00595D45"/>
    <w:rsid w:val="00596287"/>
    <w:rsid w:val="005964AC"/>
    <w:rsid w:val="00596583"/>
    <w:rsid w:val="005967EA"/>
    <w:rsid w:val="00596953"/>
    <w:rsid w:val="00596A74"/>
    <w:rsid w:val="00596AD7"/>
    <w:rsid w:val="00596C03"/>
    <w:rsid w:val="005972C2"/>
    <w:rsid w:val="00597972"/>
    <w:rsid w:val="00597E25"/>
    <w:rsid w:val="00597E9D"/>
    <w:rsid w:val="005A0323"/>
    <w:rsid w:val="005A033B"/>
    <w:rsid w:val="005A04DC"/>
    <w:rsid w:val="005A0AC7"/>
    <w:rsid w:val="005A0BA5"/>
    <w:rsid w:val="005A0D64"/>
    <w:rsid w:val="005A0E01"/>
    <w:rsid w:val="005A0EDE"/>
    <w:rsid w:val="005A1049"/>
    <w:rsid w:val="005A12FA"/>
    <w:rsid w:val="005A1475"/>
    <w:rsid w:val="005A1ACF"/>
    <w:rsid w:val="005A1ECA"/>
    <w:rsid w:val="005A26F3"/>
    <w:rsid w:val="005A27EB"/>
    <w:rsid w:val="005A299C"/>
    <w:rsid w:val="005A2B1A"/>
    <w:rsid w:val="005A2B8D"/>
    <w:rsid w:val="005A388D"/>
    <w:rsid w:val="005A3EED"/>
    <w:rsid w:val="005A40CB"/>
    <w:rsid w:val="005A4119"/>
    <w:rsid w:val="005A418D"/>
    <w:rsid w:val="005A4286"/>
    <w:rsid w:val="005A435A"/>
    <w:rsid w:val="005A4526"/>
    <w:rsid w:val="005A4A26"/>
    <w:rsid w:val="005A4A47"/>
    <w:rsid w:val="005A4A91"/>
    <w:rsid w:val="005A4D33"/>
    <w:rsid w:val="005A5460"/>
    <w:rsid w:val="005A5832"/>
    <w:rsid w:val="005A5C42"/>
    <w:rsid w:val="005A6060"/>
    <w:rsid w:val="005A61BA"/>
    <w:rsid w:val="005A6509"/>
    <w:rsid w:val="005A6717"/>
    <w:rsid w:val="005A69C4"/>
    <w:rsid w:val="005A703A"/>
    <w:rsid w:val="005A76E5"/>
    <w:rsid w:val="005A789C"/>
    <w:rsid w:val="005A7953"/>
    <w:rsid w:val="005A7B8B"/>
    <w:rsid w:val="005A7BE3"/>
    <w:rsid w:val="005A7C8D"/>
    <w:rsid w:val="005B0B53"/>
    <w:rsid w:val="005B13C7"/>
    <w:rsid w:val="005B14F2"/>
    <w:rsid w:val="005B1727"/>
    <w:rsid w:val="005B17EC"/>
    <w:rsid w:val="005B1912"/>
    <w:rsid w:val="005B199B"/>
    <w:rsid w:val="005B268B"/>
    <w:rsid w:val="005B2B0C"/>
    <w:rsid w:val="005B2DC2"/>
    <w:rsid w:val="005B2DFF"/>
    <w:rsid w:val="005B319B"/>
    <w:rsid w:val="005B3766"/>
    <w:rsid w:val="005B39B1"/>
    <w:rsid w:val="005B3E96"/>
    <w:rsid w:val="005B4095"/>
    <w:rsid w:val="005B4235"/>
    <w:rsid w:val="005B42F1"/>
    <w:rsid w:val="005B468F"/>
    <w:rsid w:val="005B4722"/>
    <w:rsid w:val="005B47E5"/>
    <w:rsid w:val="005B4AFC"/>
    <w:rsid w:val="005B51AC"/>
    <w:rsid w:val="005B565B"/>
    <w:rsid w:val="005B5661"/>
    <w:rsid w:val="005B5F75"/>
    <w:rsid w:val="005B6116"/>
    <w:rsid w:val="005B65AC"/>
    <w:rsid w:val="005B66D0"/>
    <w:rsid w:val="005B6D91"/>
    <w:rsid w:val="005B7039"/>
    <w:rsid w:val="005B720E"/>
    <w:rsid w:val="005B750F"/>
    <w:rsid w:val="005B75A6"/>
    <w:rsid w:val="005B7871"/>
    <w:rsid w:val="005B7A72"/>
    <w:rsid w:val="005B7D9C"/>
    <w:rsid w:val="005B7EA6"/>
    <w:rsid w:val="005B7F8E"/>
    <w:rsid w:val="005C0135"/>
    <w:rsid w:val="005C013E"/>
    <w:rsid w:val="005C050C"/>
    <w:rsid w:val="005C0BAA"/>
    <w:rsid w:val="005C0BCA"/>
    <w:rsid w:val="005C0BD0"/>
    <w:rsid w:val="005C0BF2"/>
    <w:rsid w:val="005C0E9F"/>
    <w:rsid w:val="005C17E6"/>
    <w:rsid w:val="005C1D78"/>
    <w:rsid w:val="005C1DB9"/>
    <w:rsid w:val="005C1F3F"/>
    <w:rsid w:val="005C2047"/>
    <w:rsid w:val="005C21F5"/>
    <w:rsid w:val="005C2590"/>
    <w:rsid w:val="005C2B54"/>
    <w:rsid w:val="005C2C37"/>
    <w:rsid w:val="005C2F52"/>
    <w:rsid w:val="005C2FC7"/>
    <w:rsid w:val="005C38B3"/>
    <w:rsid w:val="005C39E2"/>
    <w:rsid w:val="005C3ACA"/>
    <w:rsid w:val="005C3C5C"/>
    <w:rsid w:val="005C480C"/>
    <w:rsid w:val="005C481E"/>
    <w:rsid w:val="005C4A3E"/>
    <w:rsid w:val="005C4C83"/>
    <w:rsid w:val="005C4E14"/>
    <w:rsid w:val="005C51B0"/>
    <w:rsid w:val="005C51CC"/>
    <w:rsid w:val="005C5270"/>
    <w:rsid w:val="005C52FC"/>
    <w:rsid w:val="005C5439"/>
    <w:rsid w:val="005C56EE"/>
    <w:rsid w:val="005C596E"/>
    <w:rsid w:val="005C5A83"/>
    <w:rsid w:val="005C5C9A"/>
    <w:rsid w:val="005C5FAA"/>
    <w:rsid w:val="005C6210"/>
    <w:rsid w:val="005C69D6"/>
    <w:rsid w:val="005C6BB1"/>
    <w:rsid w:val="005C6EFC"/>
    <w:rsid w:val="005C6F3C"/>
    <w:rsid w:val="005C720B"/>
    <w:rsid w:val="005C73B0"/>
    <w:rsid w:val="005C7447"/>
    <w:rsid w:val="005C79BF"/>
    <w:rsid w:val="005C7BF7"/>
    <w:rsid w:val="005C7D23"/>
    <w:rsid w:val="005C7F0F"/>
    <w:rsid w:val="005D08F7"/>
    <w:rsid w:val="005D0B2A"/>
    <w:rsid w:val="005D0F91"/>
    <w:rsid w:val="005D1216"/>
    <w:rsid w:val="005D14BD"/>
    <w:rsid w:val="005D160F"/>
    <w:rsid w:val="005D25BE"/>
    <w:rsid w:val="005D2821"/>
    <w:rsid w:val="005D2A7F"/>
    <w:rsid w:val="005D2ABD"/>
    <w:rsid w:val="005D2DBB"/>
    <w:rsid w:val="005D306C"/>
    <w:rsid w:val="005D318C"/>
    <w:rsid w:val="005D379B"/>
    <w:rsid w:val="005D37A3"/>
    <w:rsid w:val="005D3966"/>
    <w:rsid w:val="005D3D0B"/>
    <w:rsid w:val="005D3E62"/>
    <w:rsid w:val="005D42C0"/>
    <w:rsid w:val="005D4875"/>
    <w:rsid w:val="005D48AC"/>
    <w:rsid w:val="005D49DA"/>
    <w:rsid w:val="005D4AFB"/>
    <w:rsid w:val="005D54AA"/>
    <w:rsid w:val="005D55B6"/>
    <w:rsid w:val="005D5606"/>
    <w:rsid w:val="005D56C1"/>
    <w:rsid w:val="005D5D55"/>
    <w:rsid w:val="005D5EE6"/>
    <w:rsid w:val="005D6A47"/>
    <w:rsid w:val="005D6D0F"/>
    <w:rsid w:val="005D6DDA"/>
    <w:rsid w:val="005D71F5"/>
    <w:rsid w:val="005D7499"/>
    <w:rsid w:val="005D74E3"/>
    <w:rsid w:val="005D787B"/>
    <w:rsid w:val="005D7AEF"/>
    <w:rsid w:val="005E00BB"/>
    <w:rsid w:val="005E0239"/>
    <w:rsid w:val="005E049C"/>
    <w:rsid w:val="005E0687"/>
    <w:rsid w:val="005E0971"/>
    <w:rsid w:val="005E0A14"/>
    <w:rsid w:val="005E0B5B"/>
    <w:rsid w:val="005E1295"/>
    <w:rsid w:val="005E12EA"/>
    <w:rsid w:val="005E147D"/>
    <w:rsid w:val="005E1678"/>
    <w:rsid w:val="005E170C"/>
    <w:rsid w:val="005E172B"/>
    <w:rsid w:val="005E1CA7"/>
    <w:rsid w:val="005E204F"/>
    <w:rsid w:val="005E212F"/>
    <w:rsid w:val="005E21AA"/>
    <w:rsid w:val="005E28DB"/>
    <w:rsid w:val="005E29F1"/>
    <w:rsid w:val="005E2AFE"/>
    <w:rsid w:val="005E2C6E"/>
    <w:rsid w:val="005E3418"/>
    <w:rsid w:val="005E3419"/>
    <w:rsid w:val="005E3511"/>
    <w:rsid w:val="005E3697"/>
    <w:rsid w:val="005E37C4"/>
    <w:rsid w:val="005E37CB"/>
    <w:rsid w:val="005E3805"/>
    <w:rsid w:val="005E3832"/>
    <w:rsid w:val="005E3C40"/>
    <w:rsid w:val="005E3D22"/>
    <w:rsid w:val="005E4522"/>
    <w:rsid w:val="005E4BBB"/>
    <w:rsid w:val="005E5249"/>
    <w:rsid w:val="005E5257"/>
    <w:rsid w:val="005E5297"/>
    <w:rsid w:val="005E593A"/>
    <w:rsid w:val="005E5BAE"/>
    <w:rsid w:val="005E5D7C"/>
    <w:rsid w:val="005E5E67"/>
    <w:rsid w:val="005E625A"/>
    <w:rsid w:val="005E64E6"/>
    <w:rsid w:val="005E6E2E"/>
    <w:rsid w:val="005E6E9B"/>
    <w:rsid w:val="005E717F"/>
    <w:rsid w:val="005E760C"/>
    <w:rsid w:val="005E7875"/>
    <w:rsid w:val="005F035B"/>
    <w:rsid w:val="005F03E8"/>
    <w:rsid w:val="005F05E6"/>
    <w:rsid w:val="005F0B25"/>
    <w:rsid w:val="005F0BBE"/>
    <w:rsid w:val="005F0C19"/>
    <w:rsid w:val="005F0ECA"/>
    <w:rsid w:val="005F12C8"/>
    <w:rsid w:val="005F15A7"/>
    <w:rsid w:val="005F176D"/>
    <w:rsid w:val="005F17AB"/>
    <w:rsid w:val="005F1C78"/>
    <w:rsid w:val="005F1DA8"/>
    <w:rsid w:val="005F1FC4"/>
    <w:rsid w:val="005F2283"/>
    <w:rsid w:val="005F25DB"/>
    <w:rsid w:val="005F29AD"/>
    <w:rsid w:val="005F2BA2"/>
    <w:rsid w:val="005F2BA8"/>
    <w:rsid w:val="005F30A8"/>
    <w:rsid w:val="005F328E"/>
    <w:rsid w:val="005F352B"/>
    <w:rsid w:val="005F35F8"/>
    <w:rsid w:val="005F3700"/>
    <w:rsid w:val="005F3771"/>
    <w:rsid w:val="005F37E9"/>
    <w:rsid w:val="005F3A14"/>
    <w:rsid w:val="005F3AAE"/>
    <w:rsid w:val="005F3ABE"/>
    <w:rsid w:val="005F3E1F"/>
    <w:rsid w:val="005F3EAB"/>
    <w:rsid w:val="005F451F"/>
    <w:rsid w:val="005F4528"/>
    <w:rsid w:val="005F463F"/>
    <w:rsid w:val="005F47A8"/>
    <w:rsid w:val="005F489A"/>
    <w:rsid w:val="005F49CB"/>
    <w:rsid w:val="005F49F8"/>
    <w:rsid w:val="005F4A78"/>
    <w:rsid w:val="005F4DDA"/>
    <w:rsid w:val="005F52A8"/>
    <w:rsid w:val="005F57AC"/>
    <w:rsid w:val="005F59C7"/>
    <w:rsid w:val="005F61EB"/>
    <w:rsid w:val="005F6231"/>
    <w:rsid w:val="005F6265"/>
    <w:rsid w:val="005F6442"/>
    <w:rsid w:val="005F6531"/>
    <w:rsid w:val="005F674B"/>
    <w:rsid w:val="005F680B"/>
    <w:rsid w:val="005F6957"/>
    <w:rsid w:val="005F6DD7"/>
    <w:rsid w:val="005F6F27"/>
    <w:rsid w:val="005F7016"/>
    <w:rsid w:val="005F7048"/>
    <w:rsid w:val="005F7240"/>
    <w:rsid w:val="005F7375"/>
    <w:rsid w:val="005F78A9"/>
    <w:rsid w:val="005F78E0"/>
    <w:rsid w:val="005F7921"/>
    <w:rsid w:val="005F7ACD"/>
    <w:rsid w:val="005F7C23"/>
    <w:rsid w:val="005F7E18"/>
    <w:rsid w:val="005F7F99"/>
    <w:rsid w:val="00600018"/>
    <w:rsid w:val="0060052E"/>
    <w:rsid w:val="0060068E"/>
    <w:rsid w:val="00600910"/>
    <w:rsid w:val="00600D00"/>
    <w:rsid w:val="00600FCD"/>
    <w:rsid w:val="00601221"/>
    <w:rsid w:val="00601407"/>
    <w:rsid w:val="00601753"/>
    <w:rsid w:val="00601DF6"/>
    <w:rsid w:val="0060207B"/>
    <w:rsid w:val="0060208B"/>
    <w:rsid w:val="006022D9"/>
    <w:rsid w:val="0060246B"/>
    <w:rsid w:val="00603297"/>
    <w:rsid w:val="006033E0"/>
    <w:rsid w:val="00603554"/>
    <w:rsid w:val="00603808"/>
    <w:rsid w:val="0060390A"/>
    <w:rsid w:val="00603B56"/>
    <w:rsid w:val="00603BBE"/>
    <w:rsid w:val="006044E0"/>
    <w:rsid w:val="0060488B"/>
    <w:rsid w:val="00604BFF"/>
    <w:rsid w:val="006050A0"/>
    <w:rsid w:val="0060568B"/>
    <w:rsid w:val="00605F7E"/>
    <w:rsid w:val="00605F94"/>
    <w:rsid w:val="00606490"/>
    <w:rsid w:val="006065B8"/>
    <w:rsid w:val="00606628"/>
    <w:rsid w:val="0060689E"/>
    <w:rsid w:val="00606D5E"/>
    <w:rsid w:val="00606E77"/>
    <w:rsid w:val="00607437"/>
    <w:rsid w:val="00607531"/>
    <w:rsid w:val="006075B1"/>
    <w:rsid w:val="00607857"/>
    <w:rsid w:val="006079DF"/>
    <w:rsid w:val="00607F6F"/>
    <w:rsid w:val="00610240"/>
    <w:rsid w:val="006104BF"/>
    <w:rsid w:val="0061067A"/>
    <w:rsid w:val="00610DD5"/>
    <w:rsid w:val="0061125F"/>
    <w:rsid w:val="0061148F"/>
    <w:rsid w:val="00611744"/>
    <w:rsid w:val="006117E4"/>
    <w:rsid w:val="006119A6"/>
    <w:rsid w:val="00611BCC"/>
    <w:rsid w:val="00611E2C"/>
    <w:rsid w:val="00611F24"/>
    <w:rsid w:val="00611F70"/>
    <w:rsid w:val="00612E4F"/>
    <w:rsid w:val="00613253"/>
    <w:rsid w:val="00613511"/>
    <w:rsid w:val="006135A2"/>
    <w:rsid w:val="00613723"/>
    <w:rsid w:val="00613899"/>
    <w:rsid w:val="006138A5"/>
    <w:rsid w:val="00613936"/>
    <w:rsid w:val="00613D7C"/>
    <w:rsid w:val="006140ED"/>
    <w:rsid w:val="006143DD"/>
    <w:rsid w:val="00614A4E"/>
    <w:rsid w:val="00614A93"/>
    <w:rsid w:val="00614F5E"/>
    <w:rsid w:val="006150D2"/>
    <w:rsid w:val="0061536A"/>
    <w:rsid w:val="00615514"/>
    <w:rsid w:val="006158F1"/>
    <w:rsid w:val="0061596C"/>
    <w:rsid w:val="00615A56"/>
    <w:rsid w:val="00615B0C"/>
    <w:rsid w:val="00615BAA"/>
    <w:rsid w:val="00615EE1"/>
    <w:rsid w:val="00616183"/>
    <w:rsid w:val="0061621E"/>
    <w:rsid w:val="00616A94"/>
    <w:rsid w:val="00616B0A"/>
    <w:rsid w:val="00616EF8"/>
    <w:rsid w:val="00617149"/>
    <w:rsid w:val="00617782"/>
    <w:rsid w:val="006178E8"/>
    <w:rsid w:val="00617921"/>
    <w:rsid w:val="00617B23"/>
    <w:rsid w:val="00617F7C"/>
    <w:rsid w:val="00620094"/>
    <w:rsid w:val="0062012A"/>
    <w:rsid w:val="006202D1"/>
    <w:rsid w:val="006203F4"/>
    <w:rsid w:val="0062044A"/>
    <w:rsid w:val="006204FC"/>
    <w:rsid w:val="00620E31"/>
    <w:rsid w:val="00621166"/>
    <w:rsid w:val="0062158F"/>
    <w:rsid w:val="00621640"/>
    <w:rsid w:val="00621942"/>
    <w:rsid w:val="0062194B"/>
    <w:rsid w:val="00621AAD"/>
    <w:rsid w:val="00621ADD"/>
    <w:rsid w:val="00621C5C"/>
    <w:rsid w:val="00622003"/>
    <w:rsid w:val="00622040"/>
    <w:rsid w:val="00622486"/>
    <w:rsid w:val="006229C1"/>
    <w:rsid w:val="00622C04"/>
    <w:rsid w:val="00622CFE"/>
    <w:rsid w:val="006230D8"/>
    <w:rsid w:val="00623222"/>
    <w:rsid w:val="00623243"/>
    <w:rsid w:val="006232B2"/>
    <w:rsid w:val="006236C6"/>
    <w:rsid w:val="006238AD"/>
    <w:rsid w:val="00623940"/>
    <w:rsid w:val="00623AC2"/>
    <w:rsid w:val="00623F06"/>
    <w:rsid w:val="006241D2"/>
    <w:rsid w:val="0062454F"/>
    <w:rsid w:val="006247D0"/>
    <w:rsid w:val="006248A4"/>
    <w:rsid w:val="00624A8C"/>
    <w:rsid w:val="00624CCC"/>
    <w:rsid w:val="00624ECD"/>
    <w:rsid w:val="0062500C"/>
    <w:rsid w:val="00625520"/>
    <w:rsid w:val="00625842"/>
    <w:rsid w:val="00625BB6"/>
    <w:rsid w:val="00625D1F"/>
    <w:rsid w:val="00626929"/>
    <w:rsid w:val="00626A3B"/>
    <w:rsid w:val="00626A9F"/>
    <w:rsid w:val="00627273"/>
    <w:rsid w:val="0062751C"/>
    <w:rsid w:val="00627A1E"/>
    <w:rsid w:val="00627C73"/>
    <w:rsid w:val="006303D2"/>
    <w:rsid w:val="0063067D"/>
    <w:rsid w:val="00630C9C"/>
    <w:rsid w:val="006314A0"/>
    <w:rsid w:val="006316FD"/>
    <w:rsid w:val="00631F63"/>
    <w:rsid w:val="00632C47"/>
    <w:rsid w:val="00632FB1"/>
    <w:rsid w:val="0063322C"/>
    <w:rsid w:val="00633770"/>
    <w:rsid w:val="00633805"/>
    <w:rsid w:val="00633838"/>
    <w:rsid w:val="00633887"/>
    <w:rsid w:val="00633955"/>
    <w:rsid w:val="00633FD7"/>
    <w:rsid w:val="00634360"/>
    <w:rsid w:val="00634643"/>
    <w:rsid w:val="00634654"/>
    <w:rsid w:val="006347D1"/>
    <w:rsid w:val="00634E48"/>
    <w:rsid w:val="00634EF6"/>
    <w:rsid w:val="00634FB7"/>
    <w:rsid w:val="006350C5"/>
    <w:rsid w:val="006350FB"/>
    <w:rsid w:val="0063591A"/>
    <w:rsid w:val="0063599B"/>
    <w:rsid w:val="006359A8"/>
    <w:rsid w:val="00635A92"/>
    <w:rsid w:val="00635E99"/>
    <w:rsid w:val="006362FA"/>
    <w:rsid w:val="00636727"/>
    <w:rsid w:val="00636D79"/>
    <w:rsid w:val="00636EA4"/>
    <w:rsid w:val="00637167"/>
    <w:rsid w:val="006372E5"/>
    <w:rsid w:val="006374D6"/>
    <w:rsid w:val="0063757E"/>
    <w:rsid w:val="006376E2"/>
    <w:rsid w:val="0063790E"/>
    <w:rsid w:val="00637A4B"/>
    <w:rsid w:val="00637C15"/>
    <w:rsid w:val="00637D54"/>
    <w:rsid w:val="00637E90"/>
    <w:rsid w:val="00637F60"/>
    <w:rsid w:val="0064023F"/>
    <w:rsid w:val="00640C70"/>
    <w:rsid w:val="00640FB0"/>
    <w:rsid w:val="006412EE"/>
    <w:rsid w:val="006417D2"/>
    <w:rsid w:val="00641800"/>
    <w:rsid w:val="006418F4"/>
    <w:rsid w:val="0064241E"/>
    <w:rsid w:val="00642D76"/>
    <w:rsid w:val="00643891"/>
    <w:rsid w:val="006439C4"/>
    <w:rsid w:val="00643BCF"/>
    <w:rsid w:val="006440AD"/>
    <w:rsid w:val="0064421E"/>
    <w:rsid w:val="006448C6"/>
    <w:rsid w:val="006448CB"/>
    <w:rsid w:val="00644D08"/>
    <w:rsid w:val="00644E13"/>
    <w:rsid w:val="00644E71"/>
    <w:rsid w:val="0064586C"/>
    <w:rsid w:val="00645DE1"/>
    <w:rsid w:val="00645EE7"/>
    <w:rsid w:val="00645F82"/>
    <w:rsid w:val="006464B3"/>
    <w:rsid w:val="00646587"/>
    <w:rsid w:val="006465AE"/>
    <w:rsid w:val="006466EF"/>
    <w:rsid w:val="00646843"/>
    <w:rsid w:val="006468D5"/>
    <w:rsid w:val="00646D3B"/>
    <w:rsid w:val="00646F24"/>
    <w:rsid w:val="0064727F"/>
    <w:rsid w:val="006472ED"/>
    <w:rsid w:val="006473E5"/>
    <w:rsid w:val="00647523"/>
    <w:rsid w:val="006478F2"/>
    <w:rsid w:val="006479E8"/>
    <w:rsid w:val="00647BFB"/>
    <w:rsid w:val="00647E3D"/>
    <w:rsid w:val="006500A9"/>
    <w:rsid w:val="006501EF"/>
    <w:rsid w:val="006504E6"/>
    <w:rsid w:val="0065061D"/>
    <w:rsid w:val="006507E5"/>
    <w:rsid w:val="006508CB"/>
    <w:rsid w:val="00650D6A"/>
    <w:rsid w:val="0065119C"/>
    <w:rsid w:val="00651399"/>
    <w:rsid w:val="006514F8"/>
    <w:rsid w:val="00651561"/>
    <w:rsid w:val="00651E43"/>
    <w:rsid w:val="00652184"/>
    <w:rsid w:val="00652596"/>
    <w:rsid w:val="0065264D"/>
    <w:rsid w:val="00652862"/>
    <w:rsid w:val="00652917"/>
    <w:rsid w:val="00652DF4"/>
    <w:rsid w:val="00652E04"/>
    <w:rsid w:val="006535AB"/>
    <w:rsid w:val="0065364B"/>
    <w:rsid w:val="0065378A"/>
    <w:rsid w:val="0065385D"/>
    <w:rsid w:val="00653B38"/>
    <w:rsid w:val="00653E93"/>
    <w:rsid w:val="00653F05"/>
    <w:rsid w:val="0065408D"/>
    <w:rsid w:val="00654109"/>
    <w:rsid w:val="0065421B"/>
    <w:rsid w:val="0065460B"/>
    <w:rsid w:val="006548E7"/>
    <w:rsid w:val="00654986"/>
    <w:rsid w:val="00654D1F"/>
    <w:rsid w:val="00654FA2"/>
    <w:rsid w:val="0065538C"/>
    <w:rsid w:val="00655487"/>
    <w:rsid w:val="00655AB7"/>
    <w:rsid w:val="00655C8B"/>
    <w:rsid w:val="006563CD"/>
    <w:rsid w:val="006563FA"/>
    <w:rsid w:val="0065654C"/>
    <w:rsid w:val="006565F1"/>
    <w:rsid w:val="0065660C"/>
    <w:rsid w:val="00656688"/>
    <w:rsid w:val="00656709"/>
    <w:rsid w:val="0065689F"/>
    <w:rsid w:val="006569BF"/>
    <w:rsid w:val="00656AF7"/>
    <w:rsid w:val="00656B27"/>
    <w:rsid w:val="00656E5F"/>
    <w:rsid w:val="00656E8E"/>
    <w:rsid w:val="006572E2"/>
    <w:rsid w:val="00657362"/>
    <w:rsid w:val="00660461"/>
    <w:rsid w:val="006604B1"/>
    <w:rsid w:val="0066073A"/>
    <w:rsid w:val="006609B8"/>
    <w:rsid w:val="00660C8C"/>
    <w:rsid w:val="00660FF3"/>
    <w:rsid w:val="0066138A"/>
    <w:rsid w:val="006615CE"/>
    <w:rsid w:val="00661EBB"/>
    <w:rsid w:val="00661ED9"/>
    <w:rsid w:val="006620CC"/>
    <w:rsid w:val="006620F6"/>
    <w:rsid w:val="0066214A"/>
    <w:rsid w:val="00662176"/>
    <w:rsid w:val="00662383"/>
    <w:rsid w:val="006623E6"/>
    <w:rsid w:val="006626AA"/>
    <w:rsid w:val="006629A1"/>
    <w:rsid w:val="00662A8C"/>
    <w:rsid w:val="00662AA3"/>
    <w:rsid w:val="00663092"/>
    <w:rsid w:val="006632E5"/>
    <w:rsid w:val="00663719"/>
    <w:rsid w:val="006638D7"/>
    <w:rsid w:val="00663A00"/>
    <w:rsid w:val="00663A85"/>
    <w:rsid w:val="00663AD7"/>
    <w:rsid w:val="00663C6B"/>
    <w:rsid w:val="006646DE"/>
    <w:rsid w:val="0066479C"/>
    <w:rsid w:val="0066481B"/>
    <w:rsid w:val="006655C6"/>
    <w:rsid w:val="006656B3"/>
    <w:rsid w:val="0066584F"/>
    <w:rsid w:val="00665AFD"/>
    <w:rsid w:val="00665EA3"/>
    <w:rsid w:val="00665F73"/>
    <w:rsid w:val="006663D5"/>
    <w:rsid w:val="006666CA"/>
    <w:rsid w:val="006667AC"/>
    <w:rsid w:val="006668C6"/>
    <w:rsid w:val="006669D3"/>
    <w:rsid w:val="00666CE5"/>
    <w:rsid w:val="00666E0B"/>
    <w:rsid w:val="0066721A"/>
    <w:rsid w:val="0066752E"/>
    <w:rsid w:val="00667959"/>
    <w:rsid w:val="006679F0"/>
    <w:rsid w:val="00667A25"/>
    <w:rsid w:val="00667E2C"/>
    <w:rsid w:val="0067065B"/>
    <w:rsid w:val="0067086B"/>
    <w:rsid w:val="006709F1"/>
    <w:rsid w:val="00670A1C"/>
    <w:rsid w:val="00671065"/>
    <w:rsid w:val="00671711"/>
    <w:rsid w:val="006718BE"/>
    <w:rsid w:val="00671BA4"/>
    <w:rsid w:val="00671E36"/>
    <w:rsid w:val="006727B5"/>
    <w:rsid w:val="006728FA"/>
    <w:rsid w:val="00672D78"/>
    <w:rsid w:val="00672E2A"/>
    <w:rsid w:val="00672F22"/>
    <w:rsid w:val="00672F6C"/>
    <w:rsid w:val="006730A1"/>
    <w:rsid w:val="0067318E"/>
    <w:rsid w:val="006735F2"/>
    <w:rsid w:val="006737CB"/>
    <w:rsid w:val="00673C88"/>
    <w:rsid w:val="00673FDF"/>
    <w:rsid w:val="00674490"/>
    <w:rsid w:val="006746EE"/>
    <w:rsid w:val="006747C6"/>
    <w:rsid w:val="0067496E"/>
    <w:rsid w:val="006751DC"/>
    <w:rsid w:val="006752BD"/>
    <w:rsid w:val="00675411"/>
    <w:rsid w:val="00675AB5"/>
    <w:rsid w:val="00675BBD"/>
    <w:rsid w:val="00675FC3"/>
    <w:rsid w:val="00675FE0"/>
    <w:rsid w:val="006760B2"/>
    <w:rsid w:val="0067620A"/>
    <w:rsid w:val="00676292"/>
    <w:rsid w:val="006766A2"/>
    <w:rsid w:val="006766EF"/>
    <w:rsid w:val="006768D6"/>
    <w:rsid w:val="00676D42"/>
    <w:rsid w:val="00677453"/>
    <w:rsid w:val="00677524"/>
    <w:rsid w:val="00677742"/>
    <w:rsid w:val="006778A1"/>
    <w:rsid w:val="006778FD"/>
    <w:rsid w:val="00677918"/>
    <w:rsid w:val="00677B05"/>
    <w:rsid w:val="00680552"/>
    <w:rsid w:val="006807D8"/>
    <w:rsid w:val="00680A28"/>
    <w:rsid w:val="00680AAD"/>
    <w:rsid w:val="00680B1F"/>
    <w:rsid w:val="00680B34"/>
    <w:rsid w:val="00680BEF"/>
    <w:rsid w:val="00681827"/>
    <w:rsid w:val="00681A1A"/>
    <w:rsid w:val="00682435"/>
    <w:rsid w:val="0068260A"/>
    <w:rsid w:val="006828BC"/>
    <w:rsid w:val="00682907"/>
    <w:rsid w:val="006829B8"/>
    <w:rsid w:val="00682E2F"/>
    <w:rsid w:val="00682F66"/>
    <w:rsid w:val="00683159"/>
    <w:rsid w:val="006837D8"/>
    <w:rsid w:val="00683BEB"/>
    <w:rsid w:val="00683ED7"/>
    <w:rsid w:val="00684138"/>
    <w:rsid w:val="00684362"/>
    <w:rsid w:val="0068436D"/>
    <w:rsid w:val="00684696"/>
    <w:rsid w:val="0068489F"/>
    <w:rsid w:val="0068496F"/>
    <w:rsid w:val="00684BF5"/>
    <w:rsid w:val="00684F9D"/>
    <w:rsid w:val="006853B9"/>
    <w:rsid w:val="006854A3"/>
    <w:rsid w:val="00685664"/>
    <w:rsid w:val="006858FD"/>
    <w:rsid w:val="00685CE7"/>
    <w:rsid w:val="00685F7F"/>
    <w:rsid w:val="0068684A"/>
    <w:rsid w:val="00686905"/>
    <w:rsid w:val="00687264"/>
    <w:rsid w:val="0068747A"/>
    <w:rsid w:val="0068782F"/>
    <w:rsid w:val="00687D30"/>
    <w:rsid w:val="00687D99"/>
    <w:rsid w:val="00687E5E"/>
    <w:rsid w:val="00687EB3"/>
    <w:rsid w:val="00687FE5"/>
    <w:rsid w:val="006902C4"/>
    <w:rsid w:val="006903A0"/>
    <w:rsid w:val="006904C2"/>
    <w:rsid w:val="0069056D"/>
    <w:rsid w:val="00690B78"/>
    <w:rsid w:val="00690C31"/>
    <w:rsid w:val="00691142"/>
    <w:rsid w:val="006911F9"/>
    <w:rsid w:val="006914FB"/>
    <w:rsid w:val="006917C1"/>
    <w:rsid w:val="00691A3E"/>
    <w:rsid w:val="00691AC8"/>
    <w:rsid w:val="00691B37"/>
    <w:rsid w:val="00692109"/>
    <w:rsid w:val="00692448"/>
    <w:rsid w:val="006925B3"/>
    <w:rsid w:val="00692637"/>
    <w:rsid w:val="00692A15"/>
    <w:rsid w:val="00692EAB"/>
    <w:rsid w:val="00693089"/>
    <w:rsid w:val="006930BE"/>
    <w:rsid w:val="006934E9"/>
    <w:rsid w:val="00693914"/>
    <w:rsid w:val="00693B1F"/>
    <w:rsid w:val="00694095"/>
    <w:rsid w:val="006948FB"/>
    <w:rsid w:val="00694D33"/>
    <w:rsid w:val="00695943"/>
    <w:rsid w:val="006959BE"/>
    <w:rsid w:val="00695AA5"/>
    <w:rsid w:val="00695BD3"/>
    <w:rsid w:val="00695D46"/>
    <w:rsid w:val="00695E27"/>
    <w:rsid w:val="00695FF2"/>
    <w:rsid w:val="00696707"/>
    <w:rsid w:val="0069681F"/>
    <w:rsid w:val="006968C6"/>
    <w:rsid w:val="00696F9A"/>
    <w:rsid w:val="0069735F"/>
    <w:rsid w:val="00697597"/>
    <w:rsid w:val="00697642"/>
    <w:rsid w:val="006976A1"/>
    <w:rsid w:val="0069774C"/>
    <w:rsid w:val="006977A6"/>
    <w:rsid w:val="0069787D"/>
    <w:rsid w:val="006A02CA"/>
    <w:rsid w:val="006A03D3"/>
    <w:rsid w:val="006A07D0"/>
    <w:rsid w:val="006A081C"/>
    <w:rsid w:val="006A0BA2"/>
    <w:rsid w:val="006A0D84"/>
    <w:rsid w:val="006A0FC4"/>
    <w:rsid w:val="006A10DE"/>
    <w:rsid w:val="006A15E1"/>
    <w:rsid w:val="006A1A75"/>
    <w:rsid w:val="006A1ED2"/>
    <w:rsid w:val="006A214E"/>
    <w:rsid w:val="006A2221"/>
    <w:rsid w:val="006A2280"/>
    <w:rsid w:val="006A27C3"/>
    <w:rsid w:val="006A2C19"/>
    <w:rsid w:val="006A2CE2"/>
    <w:rsid w:val="006A2F03"/>
    <w:rsid w:val="006A305A"/>
    <w:rsid w:val="006A31D9"/>
    <w:rsid w:val="006A3F89"/>
    <w:rsid w:val="006A40FF"/>
    <w:rsid w:val="006A43E1"/>
    <w:rsid w:val="006A484A"/>
    <w:rsid w:val="006A485F"/>
    <w:rsid w:val="006A4915"/>
    <w:rsid w:val="006A4C88"/>
    <w:rsid w:val="006A4D11"/>
    <w:rsid w:val="006A528E"/>
    <w:rsid w:val="006A58CB"/>
    <w:rsid w:val="006A5C16"/>
    <w:rsid w:val="006A5D3E"/>
    <w:rsid w:val="006A5DDC"/>
    <w:rsid w:val="006A5EED"/>
    <w:rsid w:val="006A631D"/>
    <w:rsid w:val="006A637C"/>
    <w:rsid w:val="006A645C"/>
    <w:rsid w:val="006A6516"/>
    <w:rsid w:val="006A6539"/>
    <w:rsid w:val="006A6803"/>
    <w:rsid w:val="006A71C9"/>
    <w:rsid w:val="006A79A5"/>
    <w:rsid w:val="006A7B0C"/>
    <w:rsid w:val="006A7E2C"/>
    <w:rsid w:val="006A7FDF"/>
    <w:rsid w:val="006B0023"/>
    <w:rsid w:val="006B0296"/>
    <w:rsid w:val="006B0487"/>
    <w:rsid w:val="006B0890"/>
    <w:rsid w:val="006B08BA"/>
    <w:rsid w:val="006B0D68"/>
    <w:rsid w:val="006B0ED8"/>
    <w:rsid w:val="006B0FAF"/>
    <w:rsid w:val="006B10B1"/>
    <w:rsid w:val="006B1405"/>
    <w:rsid w:val="006B151D"/>
    <w:rsid w:val="006B15EC"/>
    <w:rsid w:val="006B162D"/>
    <w:rsid w:val="006B168B"/>
    <w:rsid w:val="006B16A2"/>
    <w:rsid w:val="006B172D"/>
    <w:rsid w:val="006B1A84"/>
    <w:rsid w:val="006B1CEF"/>
    <w:rsid w:val="006B2226"/>
    <w:rsid w:val="006B2875"/>
    <w:rsid w:val="006B2A60"/>
    <w:rsid w:val="006B2ABF"/>
    <w:rsid w:val="006B2B9B"/>
    <w:rsid w:val="006B2CA6"/>
    <w:rsid w:val="006B2ECC"/>
    <w:rsid w:val="006B30F0"/>
    <w:rsid w:val="006B33C7"/>
    <w:rsid w:val="006B3E36"/>
    <w:rsid w:val="006B436D"/>
    <w:rsid w:val="006B43A6"/>
    <w:rsid w:val="006B4528"/>
    <w:rsid w:val="006B45FD"/>
    <w:rsid w:val="006B4CC7"/>
    <w:rsid w:val="006B4E37"/>
    <w:rsid w:val="006B4EA5"/>
    <w:rsid w:val="006B4F9E"/>
    <w:rsid w:val="006B5043"/>
    <w:rsid w:val="006B5097"/>
    <w:rsid w:val="006B51F9"/>
    <w:rsid w:val="006B535C"/>
    <w:rsid w:val="006B5A02"/>
    <w:rsid w:val="006B5B7B"/>
    <w:rsid w:val="006B644B"/>
    <w:rsid w:val="006B64B0"/>
    <w:rsid w:val="006B64F2"/>
    <w:rsid w:val="006B6A36"/>
    <w:rsid w:val="006B6AFB"/>
    <w:rsid w:val="006B6BB3"/>
    <w:rsid w:val="006B6C4A"/>
    <w:rsid w:val="006B6D30"/>
    <w:rsid w:val="006B6DD0"/>
    <w:rsid w:val="006B6E9C"/>
    <w:rsid w:val="006B6F97"/>
    <w:rsid w:val="006B720A"/>
    <w:rsid w:val="006B7320"/>
    <w:rsid w:val="006B7456"/>
    <w:rsid w:val="006B764D"/>
    <w:rsid w:val="006B76EA"/>
    <w:rsid w:val="006B7C90"/>
    <w:rsid w:val="006B7CBC"/>
    <w:rsid w:val="006B7D9F"/>
    <w:rsid w:val="006B7F35"/>
    <w:rsid w:val="006B7FA0"/>
    <w:rsid w:val="006C0536"/>
    <w:rsid w:val="006C0DD3"/>
    <w:rsid w:val="006C0FC9"/>
    <w:rsid w:val="006C127B"/>
    <w:rsid w:val="006C162D"/>
    <w:rsid w:val="006C196F"/>
    <w:rsid w:val="006C19A6"/>
    <w:rsid w:val="006C1A56"/>
    <w:rsid w:val="006C1B62"/>
    <w:rsid w:val="006C1BFA"/>
    <w:rsid w:val="006C1F50"/>
    <w:rsid w:val="006C231A"/>
    <w:rsid w:val="006C2C83"/>
    <w:rsid w:val="006C2D52"/>
    <w:rsid w:val="006C2DF6"/>
    <w:rsid w:val="006C3294"/>
    <w:rsid w:val="006C3B3B"/>
    <w:rsid w:val="006C3E98"/>
    <w:rsid w:val="006C41B1"/>
    <w:rsid w:val="006C45A2"/>
    <w:rsid w:val="006C4986"/>
    <w:rsid w:val="006C49A4"/>
    <w:rsid w:val="006C4CC3"/>
    <w:rsid w:val="006C4E56"/>
    <w:rsid w:val="006C512A"/>
    <w:rsid w:val="006C53EE"/>
    <w:rsid w:val="006C58B4"/>
    <w:rsid w:val="006C5921"/>
    <w:rsid w:val="006C5A92"/>
    <w:rsid w:val="006C5E67"/>
    <w:rsid w:val="006C6281"/>
    <w:rsid w:val="006C6435"/>
    <w:rsid w:val="006C6535"/>
    <w:rsid w:val="006C6550"/>
    <w:rsid w:val="006C663D"/>
    <w:rsid w:val="006C66DE"/>
    <w:rsid w:val="006C67AB"/>
    <w:rsid w:val="006C69C3"/>
    <w:rsid w:val="006C6E7B"/>
    <w:rsid w:val="006C6E86"/>
    <w:rsid w:val="006C7043"/>
    <w:rsid w:val="006C722E"/>
    <w:rsid w:val="006C72E2"/>
    <w:rsid w:val="006C7442"/>
    <w:rsid w:val="006C7846"/>
    <w:rsid w:val="006C7F64"/>
    <w:rsid w:val="006D0060"/>
    <w:rsid w:val="006D0103"/>
    <w:rsid w:val="006D023B"/>
    <w:rsid w:val="006D08CF"/>
    <w:rsid w:val="006D091E"/>
    <w:rsid w:val="006D1204"/>
    <w:rsid w:val="006D17D1"/>
    <w:rsid w:val="006D1820"/>
    <w:rsid w:val="006D1823"/>
    <w:rsid w:val="006D18AC"/>
    <w:rsid w:val="006D19E8"/>
    <w:rsid w:val="006D1BFA"/>
    <w:rsid w:val="006D1D95"/>
    <w:rsid w:val="006D288F"/>
    <w:rsid w:val="006D28FE"/>
    <w:rsid w:val="006D299D"/>
    <w:rsid w:val="006D2E96"/>
    <w:rsid w:val="006D3251"/>
    <w:rsid w:val="006D3468"/>
    <w:rsid w:val="006D3A6F"/>
    <w:rsid w:val="006D3FD4"/>
    <w:rsid w:val="006D4444"/>
    <w:rsid w:val="006D4597"/>
    <w:rsid w:val="006D45B5"/>
    <w:rsid w:val="006D4BC2"/>
    <w:rsid w:val="006D50F9"/>
    <w:rsid w:val="006D5374"/>
    <w:rsid w:val="006D55D3"/>
    <w:rsid w:val="006D5A51"/>
    <w:rsid w:val="006D5C34"/>
    <w:rsid w:val="006D5DB0"/>
    <w:rsid w:val="006D5EFC"/>
    <w:rsid w:val="006D5F69"/>
    <w:rsid w:val="006D633B"/>
    <w:rsid w:val="006D6439"/>
    <w:rsid w:val="006D6514"/>
    <w:rsid w:val="006D68AB"/>
    <w:rsid w:val="006D6BA3"/>
    <w:rsid w:val="006D6C84"/>
    <w:rsid w:val="006D6F24"/>
    <w:rsid w:val="006D71F5"/>
    <w:rsid w:val="006D74C7"/>
    <w:rsid w:val="006D757F"/>
    <w:rsid w:val="006D7585"/>
    <w:rsid w:val="006D764C"/>
    <w:rsid w:val="006D7916"/>
    <w:rsid w:val="006D7C7E"/>
    <w:rsid w:val="006D7E64"/>
    <w:rsid w:val="006D7FDD"/>
    <w:rsid w:val="006E036F"/>
    <w:rsid w:val="006E0788"/>
    <w:rsid w:val="006E0F24"/>
    <w:rsid w:val="006E122C"/>
    <w:rsid w:val="006E13D4"/>
    <w:rsid w:val="006E13D6"/>
    <w:rsid w:val="006E13F7"/>
    <w:rsid w:val="006E149B"/>
    <w:rsid w:val="006E150E"/>
    <w:rsid w:val="006E151A"/>
    <w:rsid w:val="006E1A77"/>
    <w:rsid w:val="006E264C"/>
    <w:rsid w:val="006E2957"/>
    <w:rsid w:val="006E295A"/>
    <w:rsid w:val="006E29CF"/>
    <w:rsid w:val="006E29FB"/>
    <w:rsid w:val="006E320E"/>
    <w:rsid w:val="006E3351"/>
    <w:rsid w:val="006E34BC"/>
    <w:rsid w:val="006E3785"/>
    <w:rsid w:val="006E3CAA"/>
    <w:rsid w:val="006E3D63"/>
    <w:rsid w:val="006E42E1"/>
    <w:rsid w:val="006E481C"/>
    <w:rsid w:val="006E4A8E"/>
    <w:rsid w:val="006E4A96"/>
    <w:rsid w:val="006E501A"/>
    <w:rsid w:val="006E5021"/>
    <w:rsid w:val="006E55B6"/>
    <w:rsid w:val="006E5816"/>
    <w:rsid w:val="006E5935"/>
    <w:rsid w:val="006E59AF"/>
    <w:rsid w:val="006E5D26"/>
    <w:rsid w:val="006E5F69"/>
    <w:rsid w:val="006E6001"/>
    <w:rsid w:val="006E607D"/>
    <w:rsid w:val="006E61ED"/>
    <w:rsid w:val="006E63AC"/>
    <w:rsid w:val="006E6976"/>
    <w:rsid w:val="006E6D14"/>
    <w:rsid w:val="006E6E65"/>
    <w:rsid w:val="006E6FE3"/>
    <w:rsid w:val="006E7513"/>
    <w:rsid w:val="006E78F1"/>
    <w:rsid w:val="006E78F3"/>
    <w:rsid w:val="006E7BC1"/>
    <w:rsid w:val="006F01EE"/>
    <w:rsid w:val="006F026D"/>
    <w:rsid w:val="006F0382"/>
    <w:rsid w:val="006F04EB"/>
    <w:rsid w:val="006F0509"/>
    <w:rsid w:val="006F0788"/>
    <w:rsid w:val="006F0BD8"/>
    <w:rsid w:val="006F0FCD"/>
    <w:rsid w:val="006F1387"/>
    <w:rsid w:val="006F146F"/>
    <w:rsid w:val="006F151B"/>
    <w:rsid w:val="006F15B3"/>
    <w:rsid w:val="006F1758"/>
    <w:rsid w:val="006F1760"/>
    <w:rsid w:val="006F17BB"/>
    <w:rsid w:val="006F1DC6"/>
    <w:rsid w:val="006F1F79"/>
    <w:rsid w:val="006F202F"/>
    <w:rsid w:val="006F2147"/>
    <w:rsid w:val="006F2214"/>
    <w:rsid w:val="006F221B"/>
    <w:rsid w:val="006F22F6"/>
    <w:rsid w:val="006F2360"/>
    <w:rsid w:val="006F239A"/>
    <w:rsid w:val="006F28C9"/>
    <w:rsid w:val="006F2939"/>
    <w:rsid w:val="006F29BC"/>
    <w:rsid w:val="006F2A1E"/>
    <w:rsid w:val="006F2E6D"/>
    <w:rsid w:val="006F2ED1"/>
    <w:rsid w:val="006F300C"/>
    <w:rsid w:val="006F30A4"/>
    <w:rsid w:val="006F311E"/>
    <w:rsid w:val="006F342B"/>
    <w:rsid w:val="006F35E3"/>
    <w:rsid w:val="006F37F9"/>
    <w:rsid w:val="006F3B9F"/>
    <w:rsid w:val="006F3BE3"/>
    <w:rsid w:val="006F3C4F"/>
    <w:rsid w:val="006F4326"/>
    <w:rsid w:val="006F45E2"/>
    <w:rsid w:val="006F4C0D"/>
    <w:rsid w:val="006F4CB5"/>
    <w:rsid w:val="006F4E2A"/>
    <w:rsid w:val="006F50D9"/>
    <w:rsid w:val="006F5232"/>
    <w:rsid w:val="006F53A4"/>
    <w:rsid w:val="006F58D2"/>
    <w:rsid w:val="006F5EDC"/>
    <w:rsid w:val="006F5FFE"/>
    <w:rsid w:val="006F6310"/>
    <w:rsid w:val="006F641A"/>
    <w:rsid w:val="006F6428"/>
    <w:rsid w:val="006F6621"/>
    <w:rsid w:val="006F66DF"/>
    <w:rsid w:val="006F69E3"/>
    <w:rsid w:val="006F6B16"/>
    <w:rsid w:val="006F6F24"/>
    <w:rsid w:val="006F72ED"/>
    <w:rsid w:val="006F74A7"/>
    <w:rsid w:val="006F7688"/>
    <w:rsid w:val="006F772D"/>
    <w:rsid w:val="006F7AB0"/>
    <w:rsid w:val="006F7BDF"/>
    <w:rsid w:val="006F7C8D"/>
    <w:rsid w:val="0070021F"/>
    <w:rsid w:val="007004ED"/>
    <w:rsid w:val="007007AF"/>
    <w:rsid w:val="00700998"/>
    <w:rsid w:val="00700A0C"/>
    <w:rsid w:val="00700BD7"/>
    <w:rsid w:val="0070165F"/>
    <w:rsid w:val="007017FD"/>
    <w:rsid w:val="00701C3D"/>
    <w:rsid w:val="00701E68"/>
    <w:rsid w:val="00701F0E"/>
    <w:rsid w:val="00702A7C"/>
    <w:rsid w:val="00702BD3"/>
    <w:rsid w:val="00702C56"/>
    <w:rsid w:val="00702F52"/>
    <w:rsid w:val="00703750"/>
    <w:rsid w:val="007039F9"/>
    <w:rsid w:val="00703A79"/>
    <w:rsid w:val="00703AD5"/>
    <w:rsid w:val="00703C6D"/>
    <w:rsid w:val="00704330"/>
    <w:rsid w:val="0070458D"/>
    <w:rsid w:val="0070469D"/>
    <w:rsid w:val="007047DE"/>
    <w:rsid w:val="00704D1E"/>
    <w:rsid w:val="00704E8E"/>
    <w:rsid w:val="007050E3"/>
    <w:rsid w:val="0070530E"/>
    <w:rsid w:val="007053F1"/>
    <w:rsid w:val="007055F9"/>
    <w:rsid w:val="00705DC3"/>
    <w:rsid w:val="00706178"/>
    <w:rsid w:val="007061DB"/>
    <w:rsid w:val="007068FC"/>
    <w:rsid w:val="00706993"/>
    <w:rsid w:val="00706E09"/>
    <w:rsid w:val="007071F9"/>
    <w:rsid w:val="00707327"/>
    <w:rsid w:val="00707512"/>
    <w:rsid w:val="00707589"/>
    <w:rsid w:val="007075D9"/>
    <w:rsid w:val="007075FF"/>
    <w:rsid w:val="007076DF"/>
    <w:rsid w:val="00707703"/>
    <w:rsid w:val="007077E5"/>
    <w:rsid w:val="00707A15"/>
    <w:rsid w:val="0071028B"/>
    <w:rsid w:val="00710403"/>
    <w:rsid w:val="0071052C"/>
    <w:rsid w:val="00710771"/>
    <w:rsid w:val="007107EB"/>
    <w:rsid w:val="0071083C"/>
    <w:rsid w:val="00710C62"/>
    <w:rsid w:val="007110FA"/>
    <w:rsid w:val="00711169"/>
    <w:rsid w:val="0071118E"/>
    <w:rsid w:val="007113CA"/>
    <w:rsid w:val="0071153E"/>
    <w:rsid w:val="0071154F"/>
    <w:rsid w:val="0071155B"/>
    <w:rsid w:val="00711916"/>
    <w:rsid w:val="00711A73"/>
    <w:rsid w:val="00711CA3"/>
    <w:rsid w:val="00711F2E"/>
    <w:rsid w:val="00711FF5"/>
    <w:rsid w:val="0071254D"/>
    <w:rsid w:val="00712712"/>
    <w:rsid w:val="007129A4"/>
    <w:rsid w:val="00712A36"/>
    <w:rsid w:val="00712B6A"/>
    <w:rsid w:val="0071332F"/>
    <w:rsid w:val="007134B2"/>
    <w:rsid w:val="00713702"/>
    <w:rsid w:val="00713781"/>
    <w:rsid w:val="00713820"/>
    <w:rsid w:val="00713940"/>
    <w:rsid w:val="00713A0F"/>
    <w:rsid w:val="00713F76"/>
    <w:rsid w:val="007140DD"/>
    <w:rsid w:val="00714411"/>
    <w:rsid w:val="00714775"/>
    <w:rsid w:val="0071514E"/>
    <w:rsid w:val="00715290"/>
    <w:rsid w:val="007155F8"/>
    <w:rsid w:val="0071579A"/>
    <w:rsid w:val="00715B39"/>
    <w:rsid w:val="00715E9A"/>
    <w:rsid w:val="00716692"/>
    <w:rsid w:val="00716A10"/>
    <w:rsid w:val="00716B84"/>
    <w:rsid w:val="00716D00"/>
    <w:rsid w:val="00717007"/>
    <w:rsid w:val="00717830"/>
    <w:rsid w:val="00717CAE"/>
    <w:rsid w:val="00717D24"/>
    <w:rsid w:val="00717D41"/>
    <w:rsid w:val="0072051C"/>
    <w:rsid w:val="007206DC"/>
    <w:rsid w:val="0072084C"/>
    <w:rsid w:val="00720931"/>
    <w:rsid w:val="00720A89"/>
    <w:rsid w:val="00720B74"/>
    <w:rsid w:val="00720FBA"/>
    <w:rsid w:val="00721481"/>
    <w:rsid w:val="007218C2"/>
    <w:rsid w:val="00721C9E"/>
    <w:rsid w:val="00721F79"/>
    <w:rsid w:val="0072203A"/>
    <w:rsid w:val="007226F2"/>
    <w:rsid w:val="0072274F"/>
    <w:rsid w:val="0072297C"/>
    <w:rsid w:val="00722B23"/>
    <w:rsid w:val="00722C19"/>
    <w:rsid w:val="00722C3F"/>
    <w:rsid w:val="00722C7A"/>
    <w:rsid w:val="00722EF4"/>
    <w:rsid w:val="00722F06"/>
    <w:rsid w:val="0072301B"/>
    <w:rsid w:val="007238E4"/>
    <w:rsid w:val="007239EE"/>
    <w:rsid w:val="00723DFC"/>
    <w:rsid w:val="0072415C"/>
    <w:rsid w:val="00724196"/>
    <w:rsid w:val="00724303"/>
    <w:rsid w:val="00724AB4"/>
    <w:rsid w:val="00724B5F"/>
    <w:rsid w:val="00724C99"/>
    <w:rsid w:val="00724E29"/>
    <w:rsid w:val="00725657"/>
    <w:rsid w:val="00725752"/>
    <w:rsid w:val="00725819"/>
    <w:rsid w:val="00725C58"/>
    <w:rsid w:val="00725DA8"/>
    <w:rsid w:val="0072644C"/>
    <w:rsid w:val="0072649B"/>
    <w:rsid w:val="00726545"/>
    <w:rsid w:val="00726822"/>
    <w:rsid w:val="00726D16"/>
    <w:rsid w:val="00726E32"/>
    <w:rsid w:val="0072705D"/>
    <w:rsid w:val="00727280"/>
    <w:rsid w:val="00727415"/>
    <w:rsid w:val="00727925"/>
    <w:rsid w:val="007279E4"/>
    <w:rsid w:val="00727AA3"/>
    <w:rsid w:val="00727B4B"/>
    <w:rsid w:val="00727DAE"/>
    <w:rsid w:val="0073024F"/>
    <w:rsid w:val="007305BB"/>
    <w:rsid w:val="00730A07"/>
    <w:rsid w:val="00731063"/>
    <w:rsid w:val="0073120E"/>
    <w:rsid w:val="00732196"/>
    <w:rsid w:val="00732428"/>
    <w:rsid w:val="007324A7"/>
    <w:rsid w:val="0073270B"/>
    <w:rsid w:val="00732BB1"/>
    <w:rsid w:val="00732C15"/>
    <w:rsid w:val="00732EAA"/>
    <w:rsid w:val="007331C2"/>
    <w:rsid w:val="0073338E"/>
    <w:rsid w:val="007340C0"/>
    <w:rsid w:val="0073435C"/>
    <w:rsid w:val="0073454C"/>
    <w:rsid w:val="007347A9"/>
    <w:rsid w:val="00734DB3"/>
    <w:rsid w:val="007351D1"/>
    <w:rsid w:val="00735C3D"/>
    <w:rsid w:val="00735DF7"/>
    <w:rsid w:val="00736032"/>
    <w:rsid w:val="0073667B"/>
    <w:rsid w:val="007367DA"/>
    <w:rsid w:val="007367F9"/>
    <w:rsid w:val="00736B69"/>
    <w:rsid w:val="00736E22"/>
    <w:rsid w:val="00736F34"/>
    <w:rsid w:val="00737315"/>
    <w:rsid w:val="007373F0"/>
    <w:rsid w:val="0073746E"/>
    <w:rsid w:val="0073760A"/>
    <w:rsid w:val="007376D4"/>
    <w:rsid w:val="00737B0C"/>
    <w:rsid w:val="00737E3C"/>
    <w:rsid w:val="00737EC2"/>
    <w:rsid w:val="0074004F"/>
    <w:rsid w:val="0074008A"/>
    <w:rsid w:val="00740398"/>
    <w:rsid w:val="00740D64"/>
    <w:rsid w:val="00741048"/>
    <w:rsid w:val="0074137E"/>
    <w:rsid w:val="007413CA"/>
    <w:rsid w:val="007418CE"/>
    <w:rsid w:val="007419F9"/>
    <w:rsid w:val="00741B3F"/>
    <w:rsid w:val="00741DA5"/>
    <w:rsid w:val="00741E6E"/>
    <w:rsid w:val="00742774"/>
    <w:rsid w:val="00742C68"/>
    <w:rsid w:val="00742EAB"/>
    <w:rsid w:val="007431FE"/>
    <w:rsid w:val="0074373E"/>
    <w:rsid w:val="00743A89"/>
    <w:rsid w:val="00743B12"/>
    <w:rsid w:val="0074451A"/>
    <w:rsid w:val="00744D6A"/>
    <w:rsid w:val="00745160"/>
    <w:rsid w:val="00745314"/>
    <w:rsid w:val="00745D34"/>
    <w:rsid w:val="00745E83"/>
    <w:rsid w:val="00745E9E"/>
    <w:rsid w:val="00745ECF"/>
    <w:rsid w:val="007461BE"/>
    <w:rsid w:val="0074625C"/>
    <w:rsid w:val="007462DA"/>
    <w:rsid w:val="00746E2E"/>
    <w:rsid w:val="0074701B"/>
    <w:rsid w:val="00747488"/>
    <w:rsid w:val="007475C5"/>
    <w:rsid w:val="0074773F"/>
    <w:rsid w:val="00747744"/>
    <w:rsid w:val="00747A76"/>
    <w:rsid w:val="00747E67"/>
    <w:rsid w:val="00747F79"/>
    <w:rsid w:val="00750140"/>
    <w:rsid w:val="007503FE"/>
    <w:rsid w:val="00750518"/>
    <w:rsid w:val="007508C0"/>
    <w:rsid w:val="0075099F"/>
    <w:rsid w:val="00750E54"/>
    <w:rsid w:val="0075109C"/>
    <w:rsid w:val="00751491"/>
    <w:rsid w:val="00751A95"/>
    <w:rsid w:val="00751C62"/>
    <w:rsid w:val="00751EAD"/>
    <w:rsid w:val="00751FA1"/>
    <w:rsid w:val="007521CA"/>
    <w:rsid w:val="00752519"/>
    <w:rsid w:val="007529BE"/>
    <w:rsid w:val="00752DC9"/>
    <w:rsid w:val="00752F23"/>
    <w:rsid w:val="007537E5"/>
    <w:rsid w:val="00753F29"/>
    <w:rsid w:val="00753FB4"/>
    <w:rsid w:val="00754155"/>
    <w:rsid w:val="00754215"/>
    <w:rsid w:val="0075433A"/>
    <w:rsid w:val="007543F7"/>
    <w:rsid w:val="00754588"/>
    <w:rsid w:val="0075460E"/>
    <w:rsid w:val="00754A4A"/>
    <w:rsid w:val="00754AEC"/>
    <w:rsid w:val="00754AEE"/>
    <w:rsid w:val="00754DC4"/>
    <w:rsid w:val="007558F8"/>
    <w:rsid w:val="00756173"/>
    <w:rsid w:val="0075637A"/>
    <w:rsid w:val="00756647"/>
    <w:rsid w:val="007569F2"/>
    <w:rsid w:val="00756B2B"/>
    <w:rsid w:val="00756BD7"/>
    <w:rsid w:val="00756D8F"/>
    <w:rsid w:val="007570C7"/>
    <w:rsid w:val="0075795C"/>
    <w:rsid w:val="0076000A"/>
    <w:rsid w:val="007600CE"/>
    <w:rsid w:val="0076049D"/>
    <w:rsid w:val="007604C1"/>
    <w:rsid w:val="00760881"/>
    <w:rsid w:val="00760A5F"/>
    <w:rsid w:val="007613BD"/>
    <w:rsid w:val="0076160C"/>
    <w:rsid w:val="00761BB4"/>
    <w:rsid w:val="00762C34"/>
    <w:rsid w:val="00762C3E"/>
    <w:rsid w:val="00762CC9"/>
    <w:rsid w:val="007630CF"/>
    <w:rsid w:val="007635D9"/>
    <w:rsid w:val="00763BD6"/>
    <w:rsid w:val="007641B3"/>
    <w:rsid w:val="0076459A"/>
    <w:rsid w:val="0076482D"/>
    <w:rsid w:val="0076482F"/>
    <w:rsid w:val="007648FD"/>
    <w:rsid w:val="00764AAB"/>
    <w:rsid w:val="00764DEF"/>
    <w:rsid w:val="00764E10"/>
    <w:rsid w:val="00765018"/>
    <w:rsid w:val="00765022"/>
    <w:rsid w:val="00765220"/>
    <w:rsid w:val="0076540B"/>
    <w:rsid w:val="0076552F"/>
    <w:rsid w:val="00765882"/>
    <w:rsid w:val="00765A94"/>
    <w:rsid w:val="00765C54"/>
    <w:rsid w:val="007664D2"/>
    <w:rsid w:val="0076673F"/>
    <w:rsid w:val="0076682B"/>
    <w:rsid w:val="00766954"/>
    <w:rsid w:val="00766D04"/>
    <w:rsid w:val="00766E1B"/>
    <w:rsid w:val="007670F2"/>
    <w:rsid w:val="007672EC"/>
    <w:rsid w:val="0076753C"/>
    <w:rsid w:val="007675CF"/>
    <w:rsid w:val="00767700"/>
    <w:rsid w:val="00767799"/>
    <w:rsid w:val="007679A2"/>
    <w:rsid w:val="00767B72"/>
    <w:rsid w:val="00767D12"/>
    <w:rsid w:val="00767F0B"/>
    <w:rsid w:val="0077028E"/>
    <w:rsid w:val="00770418"/>
    <w:rsid w:val="0077044A"/>
    <w:rsid w:val="007706C2"/>
    <w:rsid w:val="00770AD9"/>
    <w:rsid w:val="00770B81"/>
    <w:rsid w:val="00770D4B"/>
    <w:rsid w:val="00771164"/>
    <w:rsid w:val="007714DB"/>
    <w:rsid w:val="00771644"/>
    <w:rsid w:val="00771712"/>
    <w:rsid w:val="0077177A"/>
    <w:rsid w:val="00771C41"/>
    <w:rsid w:val="00772219"/>
    <w:rsid w:val="00772337"/>
    <w:rsid w:val="007725F0"/>
    <w:rsid w:val="00772620"/>
    <w:rsid w:val="007729DF"/>
    <w:rsid w:val="007733DD"/>
    <w:rsid w:val="00773492"/>
    <w:rsid w:val="00773C90"/>
    <w:rsid w:val="007740AA"/>
    <w:rsid w:val="00774279"/>
    <w:rsid w:val="007742CD"/>
    <w:rsid w:val="007748A7"/>
    <w:rsid w:val="00774971"/>
    <w:rsid w:val="00774A4D"/>
    <w:rsid w:val="00774B39"/>
    <w:rsid w:val="00774EA7"/>
    <w:rsid w:val="0077512E"/>
    <w:rsid w:val="00775472"/>
    <w:rsid w:val="0077619D"/>
    <w:rsid w:val="0077631C"/>
    <w:rsid w:val="00776347"/>
    <w:rsid w:val="00776924"/>
    <w:rsid w:val="00776BED"/>
    <w:rsid w:val="00776FF0"/>
    <w:rsid w:val="00777020"/>
    <w:rsid w:val="0077719A"/>
    <w:rsid w:val="00777384"/>
    <w:rsid w:val="00777398"/>
    <w:rsid w:val="007776D8"/>
    <w:rsid w:val="00777701"/>
    <w:rsid w:val="0077772C"/>
    <w:rsid w:val="007802CF"/>
    <w:rsid w:val="00780450"/>
    <w:rsid w:val="007804CC"/>
    <w:rsid w:val="00780800"/>
    <w:rsid w:val="00780C9E"/>
    <w:rsid w:val="007810AA"/>
    <w:rsid w:val="0078161F"/>
    <w:rsid w:val="007816B4"/>
    <w:rsid w:val="007816D8"/>
    <w:rsid w:val="00781C71"/>
    <w:rsid w:val="00781C8B"/>
    <w:rsid w:val="00781DBF"/>
    <w:rsid w:val="007820EF"/>
    <w:rsid w:val="00782406"/>
    <w:rsid w:val="00782812"/>
    <w:rsid w:val="00782D04"/>
    <w:rsid w:val="00782E55"/>
    <w:rsid w:val="00782F52"/>
    <w:rsid w:val="00783233"/>
    <w:rsid w:val="0078328B"/>
    <w:rsid w:val="007838CF"/>
    <w:rsid w:val="00783B5D"/>
    <w:rsid w:val="00783BFA"/>
    <w:rsid w:val="00784235"/>
    <w:rsid w:val="007844A6"/>
    <w:rsid w:val="00784714"/>
    <w:rsid w:val="00784978"/>
    <w:rsid w:val="007849AF"/>
    <w:rsid w:val="00784B80"/>
    <w:rsid w:val="00784C07"/>
    <w:rsid w:val="0078502F"/>
    <w:rsid w:val="00785250"/>
    <w:rsid w:val="00785505"/>
    <w:rsid w:val="007859B3"/>
    <w:rsid w:val="00785B05"/>
    <w:rsid w:val="00785C1F"/>
    <w:rsid w:val="007861E3"/>
    <w:rsid w:val="0078678C"/>
    <w:rsid w:val="00786A23"/>
    <w:rsid w:val="00786A5B"/>
    <w:rsid w:val="00786B6F"/>
    <w:rsid w:val="00786C5E"/>
    <w:rsid w:val="00786D15"/>
    <w:rsid w:val="00786E7B"/>
    <w:rsid w:val="00787125"/>
    <w:rsid w:val="0078715A"/>
    <w:rsid w:val="007871BD"/>
    <w:rsid w:val="007875E2"/>
    <w:rsid w:val="00787B3C"/>
    <w:rsid w:val="00787C03"/>
    <w:rsid w:val="00787D2C"/>
    <w:rsid w:val="00790277"/>
    <w:rsid w:val="00790706"/>
    <w:rsid w:val="00790A57"/>
    <w:rsid w:val="00790D87"/>
    <w:rsid w:val="00790D95"/>
    <w:rsid w:val="007911F6"/>
    <w:rsid w:val="0079128F"/>
    <w:rsid w:val="007915AC"/>
    <w:rsid w:val="007916BC"/>
    <w:rsid w:val="0079192C"/>
    <w:rsid w:val="00791B8A"/>
    <w:rsid w:val="00791BEF"/>
    <w:rsid w:val="00791C1B"/>
    <w:rsid w:val="00791C36"/>
    <w:rsid w:val="00791C52"/>
    <w:rsid w:val="00791F58"/>
    <w:rsid w:val="007921AD"/>
    <w:rsid w:val="007921EB"/>
    <w:rsid w:val="00792373"/>
    <w:rsid w:val="007926F8"/>
    <w:rsid w:val="00792848"/>
    <w:rsid w:val="007928FD"/>
    <w:rsid w:val="00792908"/>
    <w:rsid w:val="00792E23"/>
    <w:rsid w:val="00792EFA"/>
    <w:rsid w:val="00792F58"/>
    <w:rsid w:val="0079309C"/>
    <w:rsid w:val="00793197"/>
    <w:rsid w:val="007936C3"/>
    <w:rsid w:val="00793A91"/>
    <w:rsid w:val="00794009"/>
    <w:rsid w:val="0079415E"/>
    <w:rsid w:val="007941EC"/>
    <w:rsid w:val="00794354"/>
    <w:rsid w:val="00794AC7"/>
    <w:rsid w:val="00794C1B"/>
    <w:rsid w:val="00794C3C"/>
    <w:rsid w:val="00794C5F"/>
    <w:rsid w:val="00794C7A"/>
    <w:rsid w:val="007952D7"/>
    <w:rsid w:val="0079537F"/>
    <w:rsid w:val="007955E0"/>
    <w:rsid w:val="007956C5"/>
    <w:rsid w:val="007957B5"/>
    <w:rsid w:val="007958CA"/>
    <w:rsid w:val="0079596B"/>
    <w:rsid w:val="00795C7A"/>
    <w:rsid w:val="00795F88"/>
    <w:rsid w:val="00796107"/>
    <w:rsid w:val="00796309"/>
    <w:rsid w:val="0079686D"/>
    <w:rsid w:val="00796880"/>
    <w:rsid w:val="007968F6"/>
    <w:rsid w:val="00796E22"/>
    <w:rsid w:val="00796E8B"/>
    <w:rsid w:val="007970DA"/>
    <w:rsid w:val="0079723D"/>
    <w:rsid w:val="007972B2"/>
    <w:rsid w:val="0079742E"/>
    <w:rsid w:val="0079773F"/>
    <w:rsid w:val="00797773"/>
    <w:rsid w:val="0079778B"/>
    <w:rsid w:val="007977D6"/>
    <w:rsid w:val="00797951"/>
    <w:rsid w:val="007A0136"/>
    <w:rsid w:val="007A02D2"/>
    <w:rsid w:val="007A08D4"/>
    <w:rsid w:val="007A0D3E"/>
    <w:rsid w:val="007A0E5F"/>
    <w:rsid w:val="007A11B0"/>
    <w:rsid w:val="007A156F"/>
    <w:rsid w:val="007A1682"/>
    <w:rsid w:val="007A1B07"/>
    <w:rsid w:val="007A1D8F"/>
    <w:rsid w:val="007A1F42"/>
    <w:rsid w:val="007A24F6"/>
    <w:rsid w:val="007A286D"/>
    <w:rsid w:val="007A2B79"/>
    <w:rsid w:val="007A2F6D"/>
    <w:rsid w:val="007A3056"/>
    <w:rsid w:val="007A3340"/>
    <w:rsid w:val="007A33CA"/>
    <w:rsid w:val="007A38A4"/>
    <w:rsid w:val="007A3D36"/>
    <w:rsid w:val="007A3D44"/>
    <w:rsid w:val="007A3E9D"/>
    <w:rsid w:val="007A4104"/>
    <w:rsid w:val="007A4358"/>
    <w:rsid w:val="007A4630"/>
    <w:rsid w:val="007A467D"/>
    <w:rsid w:val="007A4954"/>
    <w:rsid w:val="007A49FF"/>
    <w:rsid w:val="007A4B48"/>
    <w:rsid w:val="007A4BB6"/>
    <w:rsid w:val="007A5168"/>
    <w:rsid w:val="007A569F"/>
    <w:rsid w:val="007A5814"/>
    <w:rsid w:val="007A59A6"/>
    <w:rsid w:val="007A60BA"/>
    <w:rsid w:val="007A6334"/>
    <w:rsid w:val="007A6509"/>
    <w:rsid w:val="007A6751"/>
    <w:rsid w:val="007A75C5"/>
    <w:rsid w:val="007A7755"/>
    <w:rsid w:val="007A7939"/>
    <w:rsid w:val="007A79AC"/>
    <w:rsid w:val="007A7C51"/>
    <w:rsid w:val="007A7F73"/>
    <w:rsid w:val="007B0687"/>
    <w:rsid w:val="007B0897"/>
    <w:rsid w:val="007B0A27"/>
    <w:rsid w:val="007B0F07"/>
    <w:rsid w:val="007B1568"/>
    <w:rsid w:val="007B15F6"/>
    <w:rsid w:val="007B1819"/>
    <w:rsid w:val="007B18D0"/>
    <w:rsid w:val="007B1AC6"/>
    <w:rsid w:val="007B1B54"/>
    <w:rsid w:val="007B1B78"/>
    <w:rsid w:val="007B1E09"/>
    <w:rsid w:val="007B2220"/>
    <w:rsid w:val="007B27A4"/>
    <w:rsid w:val="007B2AE6"/>
    <w:rsid w:val="007B2BC3"/>
    <w:rsid w:val="007B300C"/>
    <w:rsid w:val="007B39BC"/>
    <w:rsid w:val="007B3F11"/>
    <w:rsid w:val="007B40E7"/>
    <w:rsid w:val="007B40F7"/>
    <w:rsid w:val="007B4CD0"/>
    <w:rsid w:val="007B4EA6"/>
    <w:rsid w:val="007B544F"/>
    <w:rsid w:val="007B5957"/>
    <w:rsid w:val="007B5B58"/>
    <w:rsid w:val="007B5E0B"/>
    <w:rsid w:val="007B5E97"/>
    <w:rsid w:val="007B5ED2"/>
    <w:rsid w:val="007B6110"/>
    <w:rsid w:val="007B64E4"/>
    <w:rsid w:val="007B6613"/>
    <w:rsid w:val="007B6863"/>
    <w:rsid w:val="007B6D18"/>
    <w:rsid w:val="007B6FE6"/>
    <w:rsid w:val="007B705E"/>
    <w:rsid w:val="007B7CDF"/>
    <w:rsid w:val="007C02FB"/>
    <w:rsid w:val="007C0640"/>
    <w:rsid w:val="007C0710"/>
    <w:rsid w:val="007C0B46"/>
    <w:rsid w:val="007C0B4E"/>
    <w:rsid w:val="007C1079"/>
    <w:rsid w:val="007C1377"/>
    <w:rsid w:val="007C1B93"/>
    <w:rsid w:val="007C1BC8"/>
    <w:rsid w:val="007C1E21"/>
    <w:rsid w:val="007C212E"/>
    <w:rsid w:val="007C216D"/>
    <w:rsid w:val="007C25BF"/>
    <w:rsid w:val="007C292D"/>
    <w:rsid w:val="007C305C"/>
    <w:rsid w:val="007C37EA"/>
    <w:rsid w:val="007C38A5"/>
    <w:rsid w:val="007C3CCD"/>
    <w:rsid w:val="007C3F12"/>
    <w:rsid w:val="007C448B"/>
    <w:rsid w:val="007C460F"/>
    <w:rsid w:val="007C4A0F"/>
    <w:rsid w:val="007C4A57"/>
    <w:rsid w:val="007C4C46"/>
    <w:rsid w:val="007C4E7C"/>
    <w:rsid w:val="007C4F68"/>
    <w:rsid w:val="007C4F9B"/>
    <w:rsid w:val="007C5126"/>
    <w:rsid w:val="007C5357"/>
    <w:rsid w:val="007C5A73"/>
    <w:rsid w:val="007C5B6F"/>
    <w:rsid w:val="007C5CB0"/>
    <w:rsid w:val="007C5E12"/>
    <w:rsid w:val="007C61B1"/>
    <w:rsid w:val="007C648A"/>
    <w:rsid w:val="007C7059"/>
    <w:rsid w:val="007C72ED"/>
    <w:rsid w:val="007C746D"/>
    <w:rsid w:val="007C74ED"/>
    <w:rsid w:val="007C753C"/>
    <w:rsid w:val="007C7A4B"/>
    <w:rsid w:val="007C7AF8"/>
    <w:rsid w:val="007C7CA0"/>
    <w:rsid w:val="007C7EC2"/>
    <w:rsid w:val="007C7EE7"/>
    <w:rsid w:val="007C7F78"/>
    <w:rsid w:val="007D03B8"/>
    <w:rsid w:val="007D0462"/>
    <w:rsid w:val="007D0F2E"/>
    <w:rsid w:val="007D11D4"/>
    <w:rsid w:val="007D1222"/>
    <w:rsid w:val="007D13E1"/>
    <w:rsid w:val="007D14B3"/>
    <w:rsid w:val="007D176C"/>
    <w:rsid w:val="007D18F7"/>
    <w:rsid w:val="007D1EA1"/>
    <w:rsid w:val="007D2431"/>
    <w:rsid w:val="007D27B5"/>
    <w:rsid w:val="007D28F4"/>
    <w:rsid w:val="007D2DB3"/>
    <w:rsid w:val="007D316B"/>
    <w:rsid w:val="007D3334"/>
    <w:rsid w:val="007D341F"/>
    <w:rsid w:val="007D35C0"/>
    <w:rsid w:val="007D37B4"/>
    <w:rsid w:val="007D39C4"/>
    <w:rsid w:val="007D41CD"/>
    <w:rsid w:val="007D4249"/>
    <w:rsid w:val="007D459B"/>
    <w:rsid w:val="007D469A"/>
    <w:rsid w:val="007D46B9"/>
    <w:rsid w:val="007D497C"/>
    <w:rsid w:val="007D4C97"/>
    <w:rsid w:val="007D4F05"/>
    <w:rsid w:val="007D510D"/>
    <w:rsid w:val="007D53B2"/>
    <w:rsid w:val="007D5AC9"/>
    <w:rsid w:val="007D5B14"/>
    <w:rsid w:val="007D5D99"/>
    <w:rsid w:val="007D5E04"/>
    <w:rsid w:val="007D645E"/>
    <w:rsid w:val="007D6528"/>
    <w:rsid w:val="007D6AC9"/>
    <w:rsid w:val="007D6DDE"/>
    <w:rsid w:val="007D72EF"/>
    <w:rsid w:val="007D775B"/>
    <w:rsid w:val="007D7923"/>
    <w:rsid w:val="007E017B"/>
    <w:rsid w:val="007E02D8"/>
    <w:rsid w:val="007E0409"/>
    <w:rsid w:val="007E054B"/>
    <w:rsid w:val="007E068A"/>
    <w:rsid w:val="007E0A14"/>
    <w:rsid w:val="007E0F93"/>
    <w:rsid w:val="007E1332"/>
    <w:rsid w:val="007E15B4"/>
    <w:rsid w:val="007E17E4"/>
    <w:rsid w:val="007E1BBD"/>
    <w:rsid w:val="007E1D7A"/>
    <w:rsid w:val="007E1F48"/>
    <w:rsid w:val="007E231B"/>
    <w:rsid w:val="007E2923"/>
    <w:rsid w:val="007E2B70"/>
    <w:rsid w:val="007E2E96"/>
    <w:rsid w:val="007E2F34"/>
    <w:rsid w:val="007E325E"/>
    <w:rsid w:val="007E3532"/>
    <w:rsid w:val="007E35F0"/>
    <w:rsid w:val="007E387D"/>
    <w:rsid w:val="007E3D01"/>
    <w:rsid w:val="007E3D6B"/>
    <w:rsid w:val="007E4743"/>
    <w:rsid w:val="007E4A30"/>
    <w:rsid w:val="007E4AD6"/>
    <w:rsid w:val="007E5080"/>
    <w:rsid w:val="007E5104"/>
    <w:rsid w:val="007E533E"/>
    <w:rsid w:val="007E5583"/>
    <w:rsid w:val="007E5611"/>
    <w:rsid w:val="007E566A"/>
    <w:rsid w:val="007E5DE0"/>
    <w:rsid w:val="007E625E"/>
    <w:rsid w:val="007E649B"/>
    <w:rsid w:val="007E6646"/>
    <w:rsid w:val="007E674E"/>
    <w:rsid w:val="007E676D"/>
    <w:rsid w:val="007E6AF2"/>
    <w:rsid w:val="007E79A8"/>
    <w:rsid w:val="007E7EBD"/>
    <w:rsid w:val="007E7F51"/>
    <w:rsid w:val="007F0A3B"/>
    <w:rsid w:val="007F0E4C"/>
    <w:rsid w:val="007F17A4"/>
    <w:rsid w:val="007F19C7"/>
    <w:rsid w:val="007F1A72"/>
    <w:rsid w:val="007F24CF"/>
    <w:rsid w:val="007F2BBB"/>
    <w:rsid w:val="007F2DFE"/>
    <w:rsid w:val="007F2F1A"/>
    <w:rsid w:val="007F33E4"/>
    <w:rsid w:val="007F3B54"/>
    <w:rsid w:val="007F3CA2"/>
    <w:rsid w:val="007F3F44"/>
    <w:rsid w:val="007F40E9"/>
    <w:rsid w:val="007F43E8"/>
    <w:rsid w:val="007F4517"/>
    <w:rsid w:val="007F490D"/>
    <w:rsid w:val="007F4923"/>
    <w:rsid w:val="007F4CF2"/>
    <w:rsid w:val="007F51D9"/>
    <w:rsid w:val="007F52A2"/>
    <w:rsid w:val="007F5382"/>
    <w:rsid w:val="007F5B46"/>
    <w:rsid w:val="007F5BDF"/>
    <w:rsid w:val="007F5C36"/>
    <w:rsid w:val="007F5DA5"/>
    <w:rsid w:val="007F5F79"/>
    <w:rsid w:val="007F6318"/>
    <w:rsid w:val="007F6417"/>
    <w:rsid w:val="007F6A3E"/>
    <w:rsid w:val="007F6ED5"/>
    <w:rsid w:val="007F7031"/>
    <w:rsid w:val="007F70E1"/>
    <w:rsid w:val="007F743F"/>
    <w:rsid w:val="007F7502"/>
    <w:rsid w:val="007F7510"/>
    <w:rsid w:val="007F7556"/>
    <w:rsid w:val="007F7958"/>
    <w:rsid w:val="007F7C54"/>
    <w:rsid w:val="007F7C76"/>
    <w:rsid w:val="00800055"/>
    <w:rsid w:val="0080008B"/>
    <w:rsid w:val="00800585"/>
    <w:rsid w:val="00800621"/>
    <w:rsid w:val="0080071B"/>
    <w:rsid w:val="00800763"/>
    <w:rsid w:val="00800904"/>
    <w:rsid w:val="00800D3D"/>
    <w:rsid w:val="00800D67"/>
    <w:rsid w:val="00800DEB"/>
    <w:rsid w:val="00800EC0"/>
    <w:rsid w:val="00800FE3"/>
    <w:rsid w:val="00801264"/>
    <w:rsid w:val="00801428"/>
    <w:rsid w:val="00801651"/>
    <w:rsid w:val="00801709"/>
    <w:rsid w:val="00801C2F"/>
    <w:rsid w:val="008021A1"/>
    <w:rsid w:val="00802AA4"/>
    <w:rsid w:val="00802CD4"/>
    <w:rsid w:val="00802CE8"/>
    <w:rsid w:val="00802D42"/>
    <w:rsid w:val="00802E1F"/>
    <w:rsid w:val="00802EF1"/>
    <w:rsid w:val="00802F20"/>
    <w:rsid w:val="008030E4"/>
    <w:rsid w:val="0080327C"/>
    <w:rsid w:val="008032C1"/>
    <w:rsid w:val="00803348"/>
    <w:rsid w:val="008035CF"/>
    <w:rsid w:val="00803641"/>
    <w:rsid w:val="00803DE6"/>
    <w:rsid w:val="008045FC"/>
    <w:rsid w:val="00804613"/>
    <w:rsid w:val="008046D6"/>
    <w:rsid w:val="00804951"/>
    <w:rsid w:val="00804A80"/>
    <w:rsid w:val="00804B7D"/>
    <w:rsid w:val="00804BE8"/>
    <w:rsid w:val="00804DD7"/>
    <w:rsid w:val="00804DDF"/>
    <w:rsid w:val="00804EA4"/>
    <w:rsid w:val="008051AE"/>
    <w:rsid w:val="0080534F"/>
    <w:rsid w:val="008053D0"/>
    <w:rsid w:val="0080556A"/>
    <w:rsid w:val="00805673"/>
    <w:rsid w:val="008057EF"/>
    <w:rsid w:val="00805B85"/>
    <w:rsid w:val="00805C57"/>
    <w:rsid w:val="00805D2B"/>
    <w:rsid w:val="0080642B"/>
    <w:rsid w:val="008064A0"/>
    <w:rsid w:val="008065A4"/>
    <w:rsid w:val="00806C93"/>
    <w:rsid w:val="00806CB7"/>
    <w:rsid w:val="00806D34"/>
    <w:rsid w:val="00806F44"/>
    <w:rsid w:val="00807284"/>
    <w:rsid w:val="0080752B"/>
    <w:rsid w:val="0080752E"/>
    <w:rsid w:val="00807C9A"/>
    <w:rsid w:val="00810395"/>
    <w:rsid w:val="008103D8"/>
    <w:rsid w:val="00810693"/>
    <w:rsid w:val="00810BB4"/>
    <w:rsid w:val="00811254"/>
    <w:rsid w:val="0081125E"/>
    <w:rsid w:val="008112AF"/>
    <w:rsid w:val="008118D6"/>
    <w:rsid w:val="008118EF"/>
    <w:rsid w:val="00811AE6"/>
    <w:rsid w:val="0081206F"/>
    <w:rsid w:val="0081208C"/>
    <w:rsid w:val="00812438"/>
    <w:rsid w:val="008126B0"/>
    <w:rsid w:val="008128B5"/>
    <w:rsid w:val="008134F2"/>
    <w:rsid w:val="008135A0"/>
    <w:rsid w:val="008135BB"/>
    <w:rsid w:val="0081366B"/>
    <w:rsid w:val="00813B27"/>
    <w:rsid w:val="00813D70"/>
    <w:rsid w:val="00813ECE"/>
    <w:rsid w:val="008140F9"/>
    <w:rsid w:val="008144D3"/>
    <w:rsid w:val="008144F7"/>
    <w:rsid w:val="00814AE1"/>
    <w:rsid w:val="008151FB"/>
    <w:rsid w:val="00815848"/>
    <w:rsid w:val="00815A7D"/>
    <w:rsid w:val="00815C37"/>
    <w:rsid w:val="008160F9"/>
    <w:rsid w:val="008167F0"/>
    <w:rsid w:val="00817218"/>
    <w:rsid w:val="00817273"/>
    <w:rsid w:val="008172C7"/>
    <w:rsid w:val="0081778F"/>
    <w:rsid w:val="00817831"/>
    <w:rsid w:val="0082007F"/>
    <w:rsid w:val="00820154"/>
    <w:rsid w:val="00820283"/>
    <w:rsid w:val="00820684"/>
    <w:rsid w:val="008206CF"/>
    <w:rsid w:val="0082070C"/>
    <w:rsid w:val="0082088F"/>
    <w:rsid w:val="00820ABB"/>
    <w:rsid w:val="00820B5D"/>
    <w:rsid w:val="00820CB0"/>
    <w:rsid w:val="00820E08"/>
    <w:rsid w:val="00820E77"/>
    <w:rsid w:val="00821224"/>
    <w:rsid w:val="008212B9"/>
    <w:rsid w:val="00821392"/>
    <w:rsid w:val="00821838"/>
    <w:rsid w:val="00821CB9"/>
    <w:rsid w:val="00822159"/>
    <w:rsid w:val="00822535"/>
    <w:rsid w:val="0082266B"/>
    <w:rsid w:val="008226E8"/>
    <w:rsid w:val="00822B13"/>
    <w:rsid w:val="00822BC7"/>
    <w:rsid w:val="00822BFB"/>
    <w:rsid w:val="0082316A"/>
    <w:rsid w:val="008232A3"/>
    <w:rsid w:val="008235F8"/>
    <w:rsid w:val="008237CA"/>
    <w:rsid w:val="008238CE"/>
    <w:rsid w:val="00823F93"/>
    <w:rsid w:val="0082432C"/>
    <w:rsid w:val="00824579"/>
    <w:rsid w:val="00824753"/>
    <w:rsid w:val="00824A60"/>
    <w:rsid w:val="00824C3B"/>
    <w:rsid w:val="00824E90"/>
    <w:rsid w:val="00825057"/>
    <w:rsid w:val="00825565"/>
    <w:rsid w:val="00825805"/>
    <w:rsid w:val="00825903"/>
    <w:rsid w:val="0082590D"/>
    <w:rsid w:val="00825AEE"/>
    <w:rsid w:val="00825AFF"/>
    <w:rsid w:val="00825F60"/>
    <w:rsid w:val="0082628E"/>
    <w:rsid w:val="008262EF"/>
    <w:rsid w:val="00826426"/>
    <w:rsid w:val="00826766"/>
    <w:rsid w:val="008267AB"/>
    <w:rsid w:val="008268B9"/>
    <w:rsid w:val="00826B4F"/>
    <w:rsid w:val="00826DCA"/>
    <w:rsid w:val="008272EB"/>
    <w:rsid w:val="008277F4"/>
    <w:rsid w:val="0083016D"/>
    <w:rsid w:val="00830A41"/>
    <w:rsid w:val="00830D3E"/>
    <w:rsid w:val="00830D55"/>
    <w:rsid w:val="00830FA0"/>
    <w:rsid w:val="00831393"/>
    <w:rsid w:val="008313B1"/>
    <w:rsid w:val="00831567"/>
    <w:rsid w:val="00831580"/>
    <w:rsid w:val="0083178C"/>
    <w:rsid w:val="0083185A"/>
    <w:rsid w:val="00831A8D"/>
    <w:rsid w:val="00831CB5"/>
    <w:rsid w:val="00832288"/>
    <w:rsid w:val="008324EB"/>
    <w:rsid w:val="008327C6"/>
    <w:rsid w:val="008328D3"/>
    <w:rsid w:val="0083297A"/>
    <w:rsid w:val="00832AC2"/>
    <w:rsid w:val="00832EED"/>
    <w:rsid w:val="00832F43"/>
    <w:rsid w:val="008333CE"/>
    <w:rsid w:val="00833D8E"/>
    <w:rsid w:val="00833F0D"/>
    <w:rsid w:val="008340BB"/>
    <w:rsid w:val="00834127"/>
    <w:rsid w:val="008345D0"/>
    <w:rsid w:val="0083465F"/>
    <w:rsid w:val="008349D2"/>
    <w:rsid w:val="00834A52"/>
    <w:rsid w:val="00834B36"/>
    <w:rsid w:val="00834DBE"/>
    <w:rsid w:val="00834E13"/>
    <w:rsid w:val="0083518F"/>
    <w:rsid w:val="0083520F"/>
    <w:rsid w:val="008353E1"/>
    <w:rsid w:val="00835805"/>
    <w:rsid w:val="00835E91"/>
    <w:rsid w:val="00836358"/>
    <w:rsid w:val="008364B6"/>
    <w:rsid w:val="00836A97"/>
    <w:rsid w:val="00836AAC"/>
    <w:rsid w:val="00836EC2"/>
    <w:rsid w:val="00837203"/>
    <w:rsid w:val="0083788F"/>
    <w:rsid w:val="00837A68"/>
    <w:rsid w:val="00837B44"/>
    <w:rsid w:val="00837C89"/>
    <w:rsid w:val="0084028B"/>
    <w:rsid w:val="0084047A"/>
    <w:rsid w:val="00840745"/>
    <w:rsid w:val="00840897"/>
    <w:rsid w:val="008409E9"/>
    <w:rsid w:val="00840A65"/>
    <w:rsid w:val="00840AD1"/>
    <w:rsid w:val="00840FB1"/>
    <w:rsid w:val="008410BB"/>
    <w:rsid w:val="00841360"/>
    <w:rsid w:val="00841C41"/>
    <w:rsid w:val="00841C49"/>
    <w:rsid w:val="00841CFD"/>
    <w:rsid w:val="00841F76"/>
    <w:rsid w:val="00842328"/>
    <w:rsid w:val="008424F2"/>
    <w:rsid w:val="00842521"/>
    <w:rsid w:val="00842574"/>
    <w:rsid w:val="0084258E"/>
    <w:rsid w:val="008425DE"/>
    <w:rsid w:val="00842F02"/>
    <w:rsid w:val="00842FEF"/>
    <w:rsid w:val="00843390"/>
    <w:rsid w:val="00843404"/>
    <w:rsid w:val="0084350A"/>
    <w:rsid w:val="008438B9"/>
    <w:rsid w:val="00843F13"/>
    <w:rsid w:val="00843FAD"/>
    <w:rsid w:val="00844D61"/>
    <w:rsid w:val="008450E9"/>
    <w:rsid w:val="00845222"/>
    <w:rsid w:val="0084529D"/>
    <w:rsid w:val="008452FD"/>
    <w:rsid w:val="00845ACF"/>
    <w:rsid w:val="00845B1A"/>
    <w:rsid w:val="00846364"/>
    <w:rsid w:val="00846931"/>
    <w:rsid w:val="00846958"/>
    <w:rsid w:val="00846993"/>
    <w:rsid w:val="00846B5B"/>
    <w:rsid w:val="008471CC"/>
    <w:rsid w:val="00847890"/>
    <w:rsid w:val="00847DF8"/>
    <w:rsid w:val="00850014"/>
    <w:rsid w:val="008500E0"/>
    <w:rsid w:val="00850331"/>
    <w:rsid w:val="008504CC"/>
    <w:rsid w:val="0085057F"/>
    <w:rsid w:val="008505C1"/>
    <w:rsid w:val="00850900"/>
    <w:rsid w:val="00850A02"/>
    <w:rsid w:val="00850B28"/>
    <w:rsid w:val="00850C2F"/>
    <w:rsid w:val="00850D08"/>
    <w:rsid w:val="00850F32"/>
    <w:rsid w:val="0085103C"/>
    <w:rsid w:val="008511E4"/>
    <w:rsid w:val="008515BC"/>
    <w:rsid w:val="00851A67"/>
    <w:rsid w:val="00851BB4"/>
    <w:rsid w:val="00851C70"/>
    <w:rsid w:val="00851FE8"/>
    <w:rsid w:val="008520AD"/>
    <w:rsid w:val="00852BC7"/>
    <w:rsid w:val="00852D88"/>
    <w:rsid w:val="00852DF8"/>
    <w:rsid w:val="008536AA"/>
    <w:rsid w:val="00853A24"/>
    <w:rsid w:val="00853E2E"/>
    <w:rsid w:val="00853FE5"/>
    <w:rsid w:val="0085429F"/>
    <w:rsid w:val="0085458C"/>
    <w:rsid w:val="00854979"/>
    <w:rsid w:val="00854C47"/>
    <w:rsid w:val="00854D42"/>
    <w:rsid w:val="00854FB1"/>
    <w:rsid w:val="00855386"/>
    <w:rsid w:val="008555F4"/>
    <w:rsid w:val="00855A48"/>
    <w:rsid w:val="00856ABF"/>
    <w:rsid w:val="00856BB1"/>
    <w:rsid w:val="00856C65"/>
    <w:rsid w:val="00856D8F"/>
    <w:rsid w:val="00856EAF"/>
    <w:rsid w:val="00856EEF"/>
    <w:rsid w:val="008571D4"/>
    <w:rsid w:val="0085763C"/>
    <w:rsid w:val="008577E5"/>
    <w:rsid w:val="0085788E"/>
    <w:rsid w:val="008579CF"/>
    <w:rsid w:val="00857B9D"/>
    <w:rsid w:val="00857F4E"/>
    <w:rsid w:val="008600C0"/>
    <w:rsid w:val="0086020B"/>
    <w:rsid w:val="008602E8"/>
    <w:rsid w:val="00860365"/>
    <w:rsid w:val="008608D4"/>
    <w:rsid w:val="00860E5C"/>
    <w:rsid w:val="008611CC"/>
    <w:rsid w:val="0086133F"/>
    <w:rsid w:val="00861909"/>
    <w:rsid w:val="00862037"/>
    <w:rsid w:val="008620BE"/>
    <w:rsid w:val="008623B6"/>
    <w:rsid w:val="0086272E"/>
    <w:rsid w:val="008629C2"/>
    <w:rsid w:val="00862EBF"/>
    <w:rsid w:val="00863007"/>
    <w:rsid w:val="00863BA2"/>
    <w:rsid w:val="00864076"/>
    <w:rsid w:val="0086428B"/>
    <w:rsid w:val="00864363"/>
    <w:rsid w:val="008647A2"/>
    <w:rsid w:val="00864B2A"/>
    <w:rsid w:val="00864B43"/>
    <w:rsid w:val="00864B71"/>
    <w:rsid w:val="00865136"/>
    <w:rsid w:val="008653BC"/>
    <w:rsid w:val="00865833"/>
    <w:rsid w:val="00865BD6"/>
    <w:rsid w:val="00865F68"/>
    <w:rsid w:val="008664B9"/>
    <w:rsid w:val="00866534"/>
    <w:rsid w:val="008666CD"/>
    <w:rsid w:val="008667DB"/>
    <w:rsid w:val="008667E9"/>
    <w:rsid w:val="00866CC9"/>
    <w:rsid w:val="008670F4"/>
    <w:rsid w:val="0086714C"/>
    <w:rsid w:val="008673D4"/>
    <w:rsid w:val="00867575"/>
    <w:rsid w:val="008675CE"/>
    <w:rsid w:val="0086782A"/>
    <w:rsid w:val="0086796C"/>
    <w:rsid w:val="00867C5B"/>
    <w:rsid w:val="008702D8"/>
    <w:rsid w:val="008703D6"/>
    <w:rsid w:val="00870C0C"/>
    <w:rsid w:val="00870DE5"/>
    <w:rsid w:val="0087110C"/>
    <w:rsid w:val="00871198"/>
    <w:rsid w:val="008714D2"/>
    <w:rsid w:val="00871A5E"/>
    <w:rsid w:val="00871D76"/>
    <w:rsid w:val="008720E4"/>
    <w:rsid w:val="0087217D"/>
    <w:rsid w:val="008723DA"/>
    <w:rsid w:val="008726A3"/>
    <w:rsid w:val="0087276A"/>
    <w:rsid w:val="008727B1"/>
    <w:rsid w:val="00872EF3"/>
    <w:rsid w:val="00873462"/>
    <w:rsid w:val="00873572"/>
    <w:rsid w:val="008739FD"/>
    <w:rsid w:val="00873CB1"/>
    <w:rsid w:val="00874357"/>
    <w:rsid w:val="008745F5"/>
    <w:rsid w:val="00874828"/>
    <w:rsid w:val="00874D96"/>
    <w:rsid w:val="00874F32"/>
    <w:rsid w:val="00875307"/>
    <w:rsid w:val="008756D3"/>
    <w:rsid w:val="00875773"/>
    <w:rsid w:val="00875C1F"/>
    <w:rsid w:val="00875D18"/>
    <w:rsid w:val="00875F03"/>
    <w:rsid w:val="0087636B"/>
    <w:rsid w:val="008763DD"/>
    <w:rsid w:val="0087659E"/>
    <w:rsid w:val="00876A81"/>
    <w:rsid w:val="0087760F"/>
    <w:rsid w:val="0088024D"/>
    <w:rsid w:val="008804AB"/>
    <w:rsid w:val="008804B2"/>
    <w:rsid w:val="008814B6"/>
    <w:rsid w:val="0088214B"/>
    <w:rsid w:val="00882249"/>
    <w:rsid w:val="008822CE"/>
    <w:rsid w:val="00882BE6"/>
    <w:rsid w:val="00882F1B"/>
    <w:rsid w:val="00883258"/>
    <w:rsid w:val="008833CB"/>
    <w:rsid w:val="008837EC"/>
    <w:rsid w:val="0088389C"/>
    <w:rsid w:val="008839D8"/>
    <w:rsid w:val="00883CE6"/>
    <w:rsid w:val="00884048"/>
    <w:rsid w:val="00884106"/>
    <w:rsid w:val="008841AD"/>
    <w:rsid w:val="00884E8C"/>
    <w:rsid w:val="00885291"/>
    <w:rsid w:val="008854DC"/>
    <w:rsid w:val="00885A97"/>
    <w:rsid w:val="00885B2D"/>
    <w:rsid w:val="00885B7A"/>
    <w:rsid w:val="00885CBC"/>
    <w:rsid w:val="008861AA"/>
    <w:rsid w:val="00886342"/>
    <w:rsid w:val="0088658D"/>
    <w:rsid w:val="00886662"/>
    <w:rsid w:val="008868A5"/>
    <w:rsid w:val="00886BDE"/>
    <w:rsid w:val="00886C0E"/>
    <w:rsid w:val="00886D93"/>
    <w:rsid w:val="00887107"/>
    <w:rsid w:val="00887272"/>
    <w:rsid w:val="0088732B"/>
    <w:rsid w:val="0088739F"/>
    <w:rsid w:val="00887577"/>
    <w:rsid w:val="0088776A"/>
    <w:rsid w:val="00887B77"/>
    <w:rsid w:val="00887CF7"/>
    <w:rsid w:val="00890009"/>
    <w:rsid w:val="00890268"/>
    <w:rsid w:val="0089064F"/>
    <w:rsid w:val="0089076F"/>
    <w:rsid w:val="008907C5"/>
    <w:rsid w:val="008907DC"/>
    <w:rsid w:val="008909A1"/>
    <w:rsid w:val="008909C5"/>
    <w:rsid w:val="00890F3D"/>
    <w:rsid w:val="00890FB1"/>
    <w:rsid w:val="00891215"/>
    <w:rsid w:val="00891418"/>
    <w:rsid w:val="008914C6"/>
    <w:rsid w:val="008919B9"/>
    <w:rsid w:val="00891B4A"/>
    <w:rsid w:val="00891DB4"/>
    <w:rsid w:val="00891E9B"/>
    <w:rsid w:val="00891FD9"/>
    <w:rsid w:val="00892235"/>
    <w:rsid w:val="008922F8"/>
    <w:rsid w:val="00892449"/>
    <w:rsid w:val="00892472"/>
    <w:rsid w:val="00892934"/>
    <w:rsid w:val="00892AD5"/>
    <w:rsid w:val="00893168"/>
    <w:rsid w:val="00893668"/>
    <w:rsid w:val="00893B99"/>
    <w:rsid w:val="008941BF"/>
    <w:rsid w:val="00894335"/>
    <w:rsid w:val="00894515"/>
    <w:rsid w:val="00894771"/>
    <w:rsid w:val="00894873"/>
    <w:rsid w:val="00894CA8"/>
    <w:rsid w:val="00895300"/>
    <w:rsid w:val="008953F4"/>
    <w:rsid w:val="0089546E"/>
    <w:rsid w:val="00895500"/>
    <w:rsid w:val="008959C8"/>
    <w:rsid w:val="00895DF4"/>
    <w:rsid w:val="00895EB9"/>
    <w:rsid w:val="00895F25"/>
    <w:rsid w:val="00896065"/>
    <w:rsid w:val="008960EB"/>
    <w:rsid w:val="008967F2"/>
    <w:rsid w:val="00896B8F"/>
    <w:rsid w:val="00896EA6"/>
    <w:rsid w:val="00896F46"/>
    <w:rsid w:val="0089700B"/>
    <w:rsid w:val="008971DB"/>
    <w:rsid w:val="0089748E"/>
    <w:rsid w:val="0089777E"/>
    <w:rsid w:val="00897858"/>
    <w:rsid w:val="00897A81"/>
    <w:rsid w:val="00897B7B"/>
    <w:rsid w:val="00897C65"/>
    <w:rsid w:val="00897DD4"/>
    <w:rsid w:val="00897F47"/>
    <w:rsid w:val="008A01B0"/>
    <w:rsid w:val="008A032D"/>
    <w:rsid w:val="008A0575"/>
    <w:rsid w:val="008A0B25"/>
    <w:rsid w:val="008A0D18"/>
    <w:rsid w:val="008A10C6"/>
    <w:rsid w:val="008A1113"/>
    <w:rsid w:val="008A114A"/>
    <w:rsid w:val="008A143B"/>
    <w:rsid w:val="008A169E"/>
    <w:rsid w:val="008A1A27"/>
    <w:rsid w:val="008A1A37"/>
    <w:rsid w:val="008A1E94"/>
    <w:rsid w:val="008A1FBE"/>
    <w:rsid w:val="008A21D5"/>
    <w:rsid w:val="008A2613"/>
    <w:rsid w:val="008A2BD4"/>
    <w:rsid w:val="008A2CB5"/>
    <w:rsid w:val="008A3188"/>
    <w:rsid w:val="008A39BF"/>
    <w:rsid w:val="008A3E8E"/>
    <w:rsid w:val="008A438B"/>
    <w:rsid w:val="008A43B0"/>
    <w:rsid w:val="008A4727"/>
    <w:rsid w:val="008A4870"/>
    <w:rsid w:val="008A4CEC"/>
    <w:rsid w:val="008A4F3D"/>
    <w:rsid w:val="008A5313"/>
    <w:rsid w:val="008A55A9"/>
    <w:rsid w:val="008A6335"/>
    <w:rsid w:val="008A6367"/>
    <w:rsid w:val="008A6400"/>
    <w:rsid w:val="008A6E00"/>
    <w:rsid w:val="008A6E6B"/>
    <w:rsid w:val="008A6F15"/>
    <w:rsid w:val="008A702B"/>
    <w:rsid w:val="008A7263"/>
    <w:rsid w:val="008A72BA"/>
    <w:rsid w:val="008A74EF"/>
    <w:rsid w:val="008A758E"/>
    <w:rsid w:val="008A7A05"/>
    <w:rsid w:val="008A7AB4"/>
    <w:rsid w:val="008A7B6C"/>
    <w:rsid w:val="008A7B91"/>
    <w:rsid w:val="008A7EBC"/>
    <w:rsid w:val="008B020F"/>
    <w:rsid w:val="008B03A3"/>
    <w:rsid w:val="008B0489"/>
    <w:rsid w:val="008B0570"/>
    <w:rsid w:val="008B08C9"/>
    <w:rsid w:val="008B08F7"/>
    <w:rsid w:val="008B0A6B"/>
    <w:rsid w:val="008B112D"/>
    <w:rsid w:val="008B1321"/>
    <w:rsid w:val="008B1579"/>
    <w:rsid w:val="008B159F"/>
    <w:rsid w:val="008B16A7"/>
    <w:rsid w:val="008B174C"/>
    <w:rsid w:val="008B18AF"/>
    <w:rsid w:val="008B22FD"/>
    <w:rsid w:val="008B2370"/>
    <w:rsid w:val="008B270A"/>
    <w:rsid w:val="008B2825"/>
    <w:rsid w:val="008B2D84"/>
    <w:rsid w:val="008B2E7D"/>
    <w:rsid w:val="008B32DA"/>
    <w:rsid w:val="008B3464"/>
    <w:rsid w:val="008B3FBB"/>
    <w:rsid w:val="008B4579"/>
    <w:rsid w:val="008B4892"/>
    <w:rsid w:val="008B4FE3"/>
    <w:rsid w:val="008B509F"/>
    <w:rsid w:val="008B51F5"/>
    <w:rsid w:val="008B52F6"/>
    <w:rsid w:val="008B56DD"/>
    <w:rsid w:val="008B5813"/>
    <w:rsid w:val="008B5815"/>
    <w:rsid w:val="008B5832"/>
    <w:rsid w:val="008B58C6"/>
    <w:rsid w:val="008B5E08"/>
    <w:rsid w:val="008B633F"/>
    <w:rsid w:val="008B66F6"/>
    <w:rsid w:val="008B674D"/>
    <w:rsid w:val="008B67C1"/>
    <w:rsid w:val="008B7024"/>
    <w:rsid w:val="008B75B9"/>
    <w:rsid w:val="008B7828"/>
    <w:rsid w:val="008C023A"/>
    <w:rsid w:val="008C02BB"/>
    <w:rsid w:val="008C0585"/>
    <w:rsid w:val="008C059D"/>
    <w:rsid w:val="008C07FF"/>
    <w:rsid w:val="008C0A1F"/>
    <w:rsid w:val="008C0E00"/>
    <w:rsid w:val="008C0F6B"/>
    <w:rsid w:val="008C0F80"/>
    <w:rsid w:val="008C11C3"/>
    <w:rsid w:val="008C15ED"/>
    <w:rsid w:val="008C197E"/>
    <w:rsid w:val="008C1A93"/>
    <w:rsid w:val="008C1D6B"/>
    <w:rsid w:val="008C1F06"/>
    <w:rsid w:val="008C1FEB"/>
    <w:rsid w:val="008C2334"/>
    <w:rsid w:val="008C2383"/>
    <w:rsid w:val="008C24C7"/>
    <w:rsid w:val="008C27AA"/>
    <w:rsid w:val="008C283C"/>
    <w:rsid w:val="008C2F89"/>
    <w:rsid w:val="008C315F"/>
    <w:rsid w:val="008C3286"/>
    <w:rsid w:val="008C36D2"/>
    <w:rsid w:val="008C3ADB"/>
    <w:rsid w:val="008C3B39"/>
    <w:rsid w:val="008C3FBD"/>
    <w:rsid w:val="008C457B"/>
    <w:rsid w:val="008C45BC"/>
    <w:rsid w:val="008C4639"/>
    <w:rsid w:val="008C485C"/>
    <w:rsid w:val="008C4A9F"/>
    <w:rsid w:val="008C4DEB"/>
    <w:rsid w:val="008C587B"/>
    <w:rsid w:val="008C5BFA"/>
    <w:rsid w:val="008C5D24"/>
    <w:rsid w:val="008C5F72"/>
    <w:rsid w:val="008C685E"/>
    <w:rsid w:val="008C6B97"/>
    <w:rsid w:val="008C6D38"/>
    <w:rsid w:val="008C7364"/>
    <w:rsid w:val="008C74B2"/>
    <w:rsid w:val="008C7D12"/>
    <w:rsid w:val="008D015F"/>
    <w:rsid w:val="008D08DD"/>
    <w:rsid w:val="008D0A93"/>
    <w:rsid w:val="008D1540"/>
    <w:rsid w:val="008D1952"/>
    <w:rsid w:val="008D1ADA"/>
    <w:rsid w:val="008D1AE9"/>
    <w:rsid w:val="008D1DD3"/>
    <w:rsid w:val="008D1E37"/>
    <w:rsid w:val="008D1F89"/>
    <w:rsid w:val="008D22DA"/>
    <w:rsid w:val="008D23F8"/>
    <w:rsid w:val="008D259E"/>
    <w:rsid w:val="008D2D97"/>
    <w:rsid w:val="008D2E0F"/>
    <w:rsid w:val="008D2F06"/>
    <w:rsid w:val="008D31FF"/>
    <w:rsid w:val="008D3659"/>
    <w:rsid w:val="008D3929"/>
    <w:rsid w:val="008D45DF"/>
    <w:rsid w:val="008D4979"/>
    <w:rsid w:val="008D4F8F"/>
    <w:rsid w:val="008D50D7"/>
    <w:rsid w:val="008D5B40"/>
    <w:rsid w:val="008D5C5A"/>
    <w:rsid w:val="008D5C94"/>
    <w:rsid w:val="008D5E39"/>
    <w:rsid w:val="008D5EBB"/>
    <w:rsid w:val="008D5FB7"/>
    <w:rsid w:val="008D60C3"/>
    <w:rsid w:val="008D655F"/>
    <w:rsid w:val="008D676F"/>
    <w:rsid w:val="008D6E0A"/>
    <w:rsid w:val="008D6F8B"/>
    <w:rsid w:val="008D70A3"/>
    <w:rsid w:val="008D7410"/>
    <w:rsid w:val="008D77EF"/>
    <w:rsid w:val="008D7834"/>
    <w:rsid w:val="008D7AF2"/>
    <w:rsid w:val="008E0384"/>
    <w:rsid w:val="008E0670"/>
    <w:rsid w:val="008E0A76"/>
    <w:rsid w:val="008E0B25"/>
    <w:rsid w:val="008E0BFF"/>
    <w:rsid w:val="008E0D71"/>
    <w:rsid w:val="008E0DAC"/>
    <w:rsid w:val="008E1600"/>
    <w:rsid w:val="008E16B8"/>
    <w:rsid w:val="008E1862"/>
    <w:rsid w:val="008E205A"/>
    <w:rsid w:val="008E20C1"/>
    <w:rsid w:val="008E20E1"/>
    <w:rsid w:val="008E2123"/>
    <w:rsid w:val="008E22C8"/>
    <w:rsid w:val="008E230A"/>
    <w:rsid w:val="008E26A3"/>
    <w:rsid w:val="008E2742"/>
    <w:rsid w:val="008E2789"/>
    <w:rsid w:val="008E2E86"/>
    <w:rsid w:val="008E2EDC"/>
    <w:rsid w:val="008E3039"/>
    <w:rsid w:val="008E3673"/>
    <w:rsid w:val="008E3685"/>
    <w:rsid w:val="008E38F5"/>
    <w:rsid w:val="008E3B29"/>
    <w:rsid w:val="008E3CEA"/>
    <w:rsid w:val="008E3D92"/>
    <w:rsid w:val="008E3D98"/>
    <w:rsid w:val="008E3FAC"/>
    <w:rsid w:val="008E40CF"/>
    <w:rsid w:val="008E4577"/>
    <w:rsid w:val="008E4876"/>
    <w:rsid w:val="008E4886"/>
    <w:rsid w:val="008E49D4"/>
    <w:rsid w:val="008E4C6B"/>
    <w:rsid w:val="008E4F85"/>
    <w:rsid w:val="008E5563"/>
    <w:rsid w:val="008E571D"/>
    <w:rsid w:val="008E5A7E"/>
    <w:rsid w:val="008E61F2"/>
    <w:rsid w:val="008E6261"/>
    <w:rsid w:val="008E637B"/>
    <w:rsid w:val="008E6469"/>
    <w:rsid w:val="008E6726"/>
    <w:rsid w:val="008E6769"/>
    <w:rsid w:val="008E69C1"/>
    <w:rsid w:val="008E6AE1"/>
    <w:rsid w:val="008E7656"/>
    <w:rsid w:val="008E7718"/>
    <w:rsid w:val="008E79C0"/>
    <w:rsid w:val="008E7A1E"/>
    <w:rsid w:val="008E7AF0"/>
    <w:rsid w:val="008F0413"/>
    <w:rsid w:val="008F04A5"/>
    <w:rsid w:val="008F0AC1"/>
    <w:rsid w:val="008F0B67"/>
    <w:rsid w:val="008F0B83"/>
    <w:rsid w:val="008F0C53"/>
    <w:rsid w:val="008F1DFD"/>
    <w:rsid w:val="008F1F14"/>
    <w:rsid w:val="008F205A"/>
    <w:rsid w:val="008F247B"/>
    <w:rsid w:val="008F2A41"/>
    <w:rsid w:val="008F2FE5"/>
    <w:rsid w:val="008F4380"/>
    <w:rsid w:val="008F4507"/>
    <w:rsid w:val="008F475D"/>
    <w:rsid w:val="008F48BB"/>
    <w:rsid w:val="008F4937"/>
    <w:rsid w:val="008F4C91"/>
    <w:rsid w:val="008F50A0"/>
    <w:rsid w:val="008F51C0"/>
    <w:rsid w:val="008F543C"/>
    <w:rsid w:val="008F58EC"/>
    <w:rsid w:val="008F5F7F"/>
    <w:rsid w:val="008F61F6"/>
    <w:rsid w:val="008F6612"/>
    <w:rsid w:val="008F687B"/>
    <w:rsid w:val="008F6AB0"/>
    <w:rsid w:val="008F6AB3"/>
    <w:rsid w:val="008F6F9D"/>
    <w:rsid w:val="008F788A"/>
    <w:rsid w:val="008F7B0C"/>
    <w:rsid w:val="008F7B25"/>
    <w:rsid w:val="008F7EB9"/>
    <w:rsid w:val="0090025A"/>
    <w:rsid w:val="00900313"/>
    <w:rsid w:val="009007D7"/>
    <w:rsid w:val="00900911"/>
    <w:rsid w:val="00900927"/>
    <w:rsid w:val="00900BFB"/>
    <w:rsid w:val="00900F34"/>
    <w:rsid w:val="0090124D"/>
    <w:rsid w:val="00901258"/>
    <w:rsid w:val="00901D86"/>
    <w:rsid w:val="00901DCB"/>
    <w:rsid w:val="00902068"/>
    <w:rsid w:val="0090220E"/>
    <w:rsid w:val="009023FD"/>
    <w:rsid w:val="0090266F"/>
    <w:rsid w:val="009026A7"/>
    <w:rsid w:val="00902710"/>
    <w:rsid w:val="00902899"/>
    <w:rsid w:val="00902BF2"/>
    <w:rsid w:val="00902EC1"/>
    <w:rsid w:val="00902F93"/>
    <w:rsid w:val="00903069"/>
    <w:rsid w:val="009030D4"/>
    <w:rsid w:val="009031A8"/>
    <w:rsid w:val="0090328D"/>
    <w:rsid w:val="00903330"/>
    <w:rsid w:val="00903880"/>
    <w:rsid w:val="00903D56"/>
    <w:rsid w:val="00903E38"/>
    <w:rsid w:val="00903E55"/>
    <w:rsid w:val="00903EE8"/>
    <w:rsid w:val="0090463C"/>
    <w:rsid w:val="0090481B"/>
    <w:rsid w:val="00904831"/>
    <w:rsid w:val="00904836"/>
    <w:rsid w:val="0090487C"/>
    <w:rsid w:val="0090488B"/>
    <w:rsid w:val="009048ED"/>
    <w:rsid w:val="00904B6D"/>
    <w:rsid w:val="00904C17"/>
    <w:rsid w:val="00904EC4"/>
    <w:rsid w:val="0090530D"/>
    <w:rsid w:val="009054E6"/>
    <w:rsid w:val="00905547"/>
    <w:rsid w:val="00905894"/>
    <w:rsid w:val="00905C9F"/>
    <w:rsid w:val="00905ED8"/>
    <w:rsid w:val="00906327"/>
    <w:rsid w:val="0090637F"/>
    <w:rsid w:val="00906587"/>
    <w:rsid w:val="009069E4"/>
    <w:rsid w:val="00907C80"/>
    <w:rsid w:val="00910283"/>
    <w:rsid w:val="009103CD"/>
    <w:rsid w:val="00910ADF"/>
    <w:rsid w:val="00910F48"/>
    <w:rsid w:val="00911298"/>
    <w:rsid w:val="00911A3F"/>
    <w:rsid w:val="00911F83"/>
    <w:rsid w:val="00912007"/>
    <w:rsid w:val="00912028"/>
    <w:rsid w:val="0091220C"/>
    <w:rsid w:val="009126D4"/>
    <w:rsid w:val="00912AF0"/>
    <w:rsid w:val="00912F77"/>
    <w:rsid w:val="00913049"/>
    <w:rsid w:val="0091331E"/>
    <w:rsid w:val="009137A8"/>
    <w:rsid w:val="00913F8A"/>
    <w:rsid w:val="00914F9B"/>
    <w:rsid w:val="00914FCE"/>
    <w:rsid w:val="00915287"/>
    <w:rsid w:val="009152CD"/>
    <w:rsid w:val="00915565"/>
    <w:rsid w:val="009157A6"/>
    <w:rsid w:val="009157DB"/>
    <w:rsid w:val="00915A06"/>
    <w:rsid w:val="00915C16"/>
    <w:rsid w:val="00915CAD"/>
    <w:rsid w:val="00915D34"/>
    <w:rsid w:val="00915FE1"/>
    <w:rsid w:val="0091613F"/>
    <w:rsid w:val="009165A6"/>
    <w:rsid w:val="00916632"/>
    <w:rsid w:val="009168A1"/>
    <w:rsid w:val="00917036"/>
    <w:rsid w:val="00917235"/>
    <w:rsid w:val="00917331"/>
    <w:rsid w:val="00917A8A"/>
    <w:rsid w:val="00917CB1"/>
    <w:rsid w:val="00917F3E"/>
    <w:rsid w:val="009200FF"/>
    <w:rsid w:val="00920D59"/>
    <w:rsid w:val="00920F8D"/>
    <w:rsid w:val="00921117"/>
    <w:rsid w:val="00921284"/>
    <w:rsid w:val="00921A3C"/>
    <w:rsid w:val="00922006"/>
    <w:rsid w:val="00922175"/>
    <w:rsid w:val="009222E6"/>
    <w:rsid w:val="00922AA5"/>
    <w:rsid w:val="00922CAB"/>
    <w:rsid w:val="009232C9"/>
    <w:rsid w:val="0092356B"/>
    <w:rsid w:val="0092359E"/>
    <w:rsid w:val="00923E67"/>
    <w:rsid w:val="009243BC"/>
    <w:rsid w:val="009244E6"/>
    <w:rsid w:val="00924AB9"/>
    <w:rsid w:val="00924AE0"/>
    <w:rsid w:val="00924CC7"/>
    <w:rsid w:val="00924F67"/>
    <w:rsid w:val="00924FC6"/>
    <w:rsid w:val="00925842"/>
    <w:rsid w:val="00925C18"/>
    <w:rsid w:val="00925F6B"/>
    <w:rsid w:val="00926011"/>
    <w:rsid w:val="00926040"/>
    <w:rsid w:val="00926122"/>
    <w:rsid w:val="00926126"/>
    <w:rsid w:val="00926191"/>
    <w:rsid w:val="0092621B"/>
    <w:rsid w:val="009264F1"/>
    <w:rsid w:val="00926621"/>
    <w:rsid w:val="00926687"/>
    <w:rsid w:val="009266EE"/>
    <w:rsid w:val="00926A13"/>
    <w:rsid w:val="00926EB4"/>
    <w:rsid w:val="00926EFE"/>
    <w:rsid w:val="00926F3C"/>
    <w:rsid w:val="009275EE"/>
    <w:rsid w:val="0092764E"/>
    <w:rsid w:val="00927889"/>
    <w:rsid w:val="009278E8"/>
    <w:rsid w:val="009279C2"/>
    <w:rsid w:val="00927BAE"/>
    <w:rsid w:val="00927EEF"/>
    <w:rsid w:val="00930054"/>
    <w:rsid w:val="00931222"/>
    <w:rsid w:val="00931344"/>
    <w:rsid w:val="0093145C"/>
    <w:rsid w:val="00931495"/>
    <w:rsid w:val="009317FD"/>
    <w:rsid w:val="00931B44"/>
    <w:rsid w:val="00931BB8"/>
    <w:rsid w:val="00932208"/>
    <w:rsid w:val="00932225"/>
    <w:rsid w:val="009322E7"/>
    <w:rsid w:val="009324FE"/>
    <w:rsid w:val="0093266D"/>
    <w:rsid w:val="00932C72"/>
    <w:rsid w:val="00932C84"/>
    <w:rsid w:val="00933453"/>
    <w:rsid w:val="00933463"/>
    <w:rsid w:val="0093385C"/>
    <w:rsid w:val="00933A2E"/>
    <w:rsid w:val="00933A86"/>
    <w:rsid w:val="00933B49"/>
    <w:rsid w:val="00933CF0"/>
    <w:rsid w:val="00933E3D"/>
    <w:rsid w:val="0093408F"/>
    <w:rsid w:val="0093458E"/>
    <w:rsid w:val="009346CA"/>
    <w:rsid w:val="009352F0"/>
    <w:rsid w:val="0093546C"/>
    <w:rsid w:val="009356DB"/>
    <w:rsid w:val="009359DF"/>
    <w:rsid w:val="00935AA4"/>
    <w:rsid w:val="00935BAE"/>
    <w:rsid w:val="00935C01"/>
    <w:rsid w:val="00935C6C"/>
    <w:rsid w:val="00935F0B"/>
    <w:rsid w:val="0093637B"/>
    <w:rsid w:val="00936612"/>
    <w:rsid w:val="009366BB"/>
    <w:rsid w:val="00936754"/>
    <w:rsid w:val="00936B3E"/>
    <w:rsid w:val="00936B91"/>
    <w:rsid w:val="00936CC4"/>
    <w:rsid w:val="00936DBF"/>
    <w:rsid w:val="00936DC9"/>
    <w:rsid w:val="00936F27"/>
    <w:rsid w:val="00937611"/>
    <w:rsid w:val="00937618"/>
    <w:rsid w:val="00937AA2"/>
    <w:rsid w:val="00937B1D"/>
    <w:rsid w:val="00940037"/>
    <w:rsid w:val="009400F1"/>
    <w:rsid w:val="00940902"/>
    <w:rsid w:val="00940D08"/>
    <w:rsid w:val="00940E31"/>
    <w:rsid w:val="00941A77"/>
    <w:rsid w:val="00942226"/>
    <w:rsid w:val="00942275"/>
    <w:rsid w:val="00942630"/>
    <w:rsid w:val="00942946"/>
    <w:rsid w:val="00942B7F"/>
    <w:rsid w:val="00942E2A"/>
    <w:rsid w:val="00942E59"/>
    <w:rsid w:val="009431A5"/>
    <w:rsid w:val="009432B2"/>
    <w:rsid w:val="009432EF"/>
    <w:rsid w:val="00943810"/>
    <w:rsid w:val="0094397B"/>
    <w:rsid w:val="009439AC"/>
    <w:rsid w:val="00944355"/>
    <w:rsid w:val="009443F3"/>
    <w:rsid w:val="0094441D"/>
    <w:rsid w:val="00944492"/>
    <w:rsid w:val="00944629"/>
    <w:rsid w:val="0094477F"/>
    <w:rsid w:val="009449DC"/>
    <w:rsid w:val="00944BB9"/>
    <w:rsid w:val="00944D56"/>
    <w:rsid w:val="00944FB9"/>
    <w:rsid w:val="00945144"/>
    <w:rsid w:val="00945341"/>
    <w:rsid w:val="0094554C"/>
    <w:rsid w:val="00945772"/>
    <w:rsid w:val="009457BE"/>
    <w:rsid w:val="00945824"/>
    <w:rsid w:val="00945838"/>
    <w:rsid w:val="00945A21"/>
    <w:rsid w:val="00945E7E"/>
    <w:rsid w:val="00945F02"/>
    <w:rsid w:val="00945F13"/>
    <w:rsid w:val="0094639B"/>
    <w:rsid w:val="009467CE"/>
    <w:rsid w:val="00946B11"/>
    <w:rsid w:val="009474BA"/>
    <w:rsid w:val="009475FD"/>
    <w:rsid w:val="00947BD6"/>
    <w:rsid w:val="00947C97"/>
    <w:rsid w:val="00947CB2"/>
    <w:rsid w:val="00947E53"/>
    <w:rsid w:val="009508D5"/>
    <w:rsid w:val="00950B24"/>
    <w:rsid w:val="00950CB6"/>
    <w:rsid w:val="00950E34"/>
    <w:rsid w:val="00950E40"/>
    <w:rsid w:val="00950E67"/>
    <w:rsid w:val="00950F0E"/>
    <w:rsid w:val="009511CF"/>
    <w:rsid w:val="00951434"/>
    <w:rsid w:val="0095165E"/>
    <w:rsid w:val="00951AB0"/>
    <w:rsid w:val="00951EEB"/>
    <w:rsid w:val="00951FCB"/>
    <w:rsid w:val="00952026"/>
    <w:rsid w:val="00952986"/>
    <w:rsid w:val="00952B2D"/>
    <w:rsid w:val="00952B2F"/>
    <w:rsid w:val="00952D10"/>
    <w:rsid w:val="00953242"/>
    <w:rsid w:val="009533B4"/>
    <w:rsid w:val="0095349D"/>
    <w:rsid w:val="009539A2"/>
    <w:rsid w:val="00953AE1"/>
    <w:rsid w:val="00953D99"/>
    <w:rsid w:val="00953DD2"/>
    <w:rsid w:val="0095425F"/>
    <w:rsid w:val="00954286"/>
    <w:rsid w:val="009547D9"/>
    <w:rsid w:val="00954C82"/>
    <w:rsid w:val="00955408"/>
    <w:rsid w:val="009554C7"/>
    <w:rsid w:val="00955ADD"/>
    <w:rsid w:val="00955BDA"/>
    <w:rsid w:val="00955D5A"/>
    <w:rsid w:val="00955FA3"/>
    <w:rsid w:val="00956260"/>
    <w:rsid w:val="00956307"/>
    <w:rsid w:val="009569E3"/>
    <w:rsid w:val="00956AEC"/>
    <w:rsid w:val="00956C56"/>
    <w:rsid w:val="00956D2E"/>
    <w:rsid w:val="009570D7"/>
    <w:rsid w:val="009578AA"/>
    <w:rsid w:val="00957B14"/>
    <w:rsid w:val="00957E9E"/>
    <w:rsid w:val="00957F02"/>
    <w:rsid w:val="009600DC"/>
    <w:rsid w:val="00960233"/>
    <w:rsid w:val="00960282"/>
    <w:rsid w:val="00960821"/>
    <w:rsid w:val="009609FA"/>
    <w:rsid w:val="00960D96"/>
    <w:rsid w:val="00960EB1"/>
    <w:rsid w:val="0096115D"/>
    <w:rsid w:val="009614F3"/>
    <w:rsid w:val="0096170A"/>
    <w:rsid w:val="00961AE5"/>
    <w:rsid w:val="00961D35"/>
    <w:rsid w:val="009620BA"/>
    <w:rsid w:val="0096222D"/>
    <w:rsid w:val="0096261F"/>
    <w:rsid w:val="00962CFD"/>
    <w:rsid w:val="00962F4C"/>
    <w:rsid w:val="00963446"/>
    <w:rsid w:val="00963560"/>
    <w:rsid w:val="00963757"/>
    <w:rsid w:val="00963786"/>
    <w:rsid w:val="00963BB7"/>
    <w:rsid w:val="00963D96"/>
    <w:rsid w:val="00963F56"/>
    <w:rsid w:val="00964200"/>
    <w:rsid w:val="0096424D"/>
    <w:rsid w:val="009645A0"/>
    <w:rsid w:val="009645C6"/>
    <w:rsid w:val="00964819"/>
    <w:rsid w:val="009648F7"/>
    <w:rsid w:val="00964A6B"/>
    <w:rsid w:val="00964D2C"/>
    <w:rsid w:val="00964DF4"/>
    <w:rsid w:val="00964F32"/>
    <w:rsid w:val="009652EE"/>
    <w:rsid w:val="00965B41"/>
    <w:rsid w:val="00965BE0"/>
    <w:rsid w:val="00965D04"/>
    <w:rsid w:val="00965E7B"/>
    <w:rsid w:val="00965F9A"/>
    <w:rsid w:val="00966155"/>
    <w:rsid w:val="009661A3"/>
    <w:rsid w:val="009666B8"/>
    <w:rsid w:val="00966927"/>
    <w:rsid w:val="009674F3"/>
    <w:rsid w:val="00970642"/>
    <w:rsid w:val="009706CF"/>
    <w:rsid w:val="00970EB6"/>
    <w:rsid w:val="00970FA2"/>
    <w:rsid w:val="009712AF"/>
    <w:rsid w:val="00971580"/>
    <w:rsid w:val="009716DD"/>
    <w:rsid w:val="009716E7"/>
    <w:rsid w:val="0097171C"/>
    <w:rsid w:val="00971933"/>
    <w:rsid w:val="00971BB6"/>
    <w:rsid w:val="00972171"/>
    <w:rsid w:val="009728B5"/>
    <w:rsid w:val="00972BD0"/>
    <w:rsid w:val="00972CE2"/>
    <w:rsid w:val="009733F6"/>
    <w:rsid w:val="0097367D"/>
    <w:rsid w:val="009736B5"/>
    <w:rsid w:val="009737C4"/>
    <w:rsid w:val="00973E68"/>
    <w:rsid w:val="00974295"/>
    <w:rsid w:val="00974302"/>
    <w:rsid w:val="00974557"/>
    <w:rsid w:val="00974578"/>
    <w:rsid w:val="009746AA"/>
    <w:rsid w:val="00974B1C"/>
    <w:rsid w:val="00974C0E"/>
    <w:rsid w:val="00974F85"/>
    <w:rsid w:val="00975710"/>
    <w:rsid w:val="00975754"/>
    <w:rsid w:val="009759BA"/>
    <w:rsid w:val="00975E50"/>
    <w:rsid w:val="00975FDC"/>
    <w:rsid w:val="009761AD"/>
    <w:rsid w:val="009762F9"/>
    <w:rsid w:val="0097634C"/>
    <w:rsid w:val="00976360"/>
    <w:rsid w:val="009769C7"/>
    <w:rsid w:val="00977544"/>
    <w:rsid w:val="009777F9"/>
    <w:rsid w:val="009777FD"/>
    <w:rsid w:val="00977808"/>
    <w:rsid w:val="0097781B"/>
    <w:rsid w:val="0097786D"/>
    <w:rsid w:val="00977ACB"/>
    <w:rsid w:val="00977EC8"/>
    <w:rsid w:val="009802CE"/>
    <w:rsid w:val="00980326"/>
    <w:rsid w:val="009805D6"/>
    <w:rsid w:val="00980916"/>
    <w:rsid w:val="00980960"/>
    <w:rsid w:val="00980A4C"/>
    <w:rsid w:val="00980BB5"/>
    <w:rsid w:val="00980BE4"/>
    <w:rsid w:val="00980BF9"/>
    <w:rsid w:val="0098103D"/>
    <w:rsid w:val="009812E0"/>
    <w:rsid w:val="00981448"/>
    <w:rsid w:val="009814D8"/>
    <w:rsid w:val="009815AD"/>
    <w:rsid w:val="009816E4"/>
    <w:rsid w:val="00981762"/>
    <w:rsid w:val="00981791"/>
    <w:rsid w:val="00981D47"/>
    <w:rsid w:val="00981E9D"/>
    <w:rsid w:val="009823A8"/>
    <w:rsid w:val="00982773"/>
    <w:rsid w:val="00982781"/>
    <w:rsid w:val="00982AA9"/>
    <w:rsid w:val="00982B27"/>
    <w:rsid w:val="00982B2E"/>
    <w:rsid w:val="00982D0D"/>
    <w:rsid w:val="00982E5D"/>
    <w:rsid w:val="0098301E"/>
    <w:rsid w:val="009836B5"/>
    <w:rsid w:val="00983F95"/>
    <w:rsid w:val="0098418C"/>
    <w:rsid w:val="00984520"/>
    <w:rsid w:val="00984A2D"/>
    <w:rsid w:val="00984C97"/>
    <w:rsid w:val="00985174"/>
    <w:rsid w:val="009852FD"/>
    <w:rsid w:val="009853AC"/>
    <w:rsid w:val="00985478"/>
    <w:rsid w:val="00985566"/>
    <w:rsid w:val="009857C9"/>
    <w:rsid w:val="009858F1"/>
    <w:rsid w:val="00985C2B"/>
    <w:rsid w:val="00985D51"/>
    <w:rsid w:val="00985FF7"/>
    <w:rsid w:val="009861B9"/>
    <w:rsid w:val="009863B0"/>
    <w:rsid w:val="0098659D"/>
    <w:rsid w:val="00986BA2"/>
    <w:rsid w:val="00986C27"/>
    <w:rsid w:val="00987183"/>
    <w:rsid w:val="009872FA"/>
    <w:rsid w:val="0098749E"/>
    <w:rsid w:val="009874CC"/>
    <w:rsid w:val="00987512"/>
    <w:rsid w:val="009877D6"/>
    <w:rsid w:val="00987C21"/>
    <w:rsid w:val="00987DA9"/>
    <w:rsid w:val="00987FDC"/>
    <w:rsid w:val="00990727"/>
    <w:rsid w:val="00990794"/>
    <w:rsid w:val="009914F7"/>
    <w:rsid w:val="009918EA"/>
    <w:rsid w:val="00991980"/>
    <w:rsid w:val="00991BAB"/>
    <w:rsid w:val="00991E90"/>
    <w:rsid w:val="00991ED0"/>
    <w:rsid w:val="0099274D"/>
    <w:rsid w:val="00992887"/>
    <w:rsid w:val="0099336F"/>
    <w:rsid w:val="00993399"/>
    <w:rsid w:val="0099355E"/>
    <w:rsid w:val="00993605"/>
    <w:rsid w:val="00993BD1"/>
    <w:rsid w:val="00993C21"/>
    <w:rsid w:val="00993F1B"/>
    <w:rsid w:val="00993F22"/>
    <w:rsid w:val="009940F0"/>
    <w:rsid w:val="009941D4"/>
    <w:rsid w:val="0099421C"/>
    <w:rsid w:val="00994843"/>
    <w:rsid w:val="00994AAE"/>
    <w:rsid w:val="00994D7D"/>
    <w:rsid w:val="00994E64"/>
    <w:rsid w:val="00994EC8"/>
    <w:rsid w:val="009950DA"/>
    <w:rsid w:val="009952D1"/>
    <w:rsid w:val="009955CC"/>
    <w:rsid w:val="00995913"/>
    <w:rsid w:val="00995B54"/>
    <w:rsid w:val="00995C35"/>
    <w:rsid w:val="00995C58"/>
    <w:rsid w:val="00995F77"/>
    <w:rsid w:val="00996046"/>
    <w:rsid w:val="00996163"/>
    <w:rsid w:val="0099627F"/>
    <w:rsid w:val="00996377"/>
    <w:rsid w:val="009963F7"/>
    <w:rsid w:val="00996909"/>
    <w:rsid w:val="00996B21"/>
    <w:rsid w:val="00996B4F"/>
    <w:rsid w:val="00996E51"/>
    <w:rsid w:val="0099743A"/>
    <w:rsid w:val="00997770"/>
    <w:rsid w:val="00997948"/>
    <w:rsid w:val="00997976"/>
    <w:rsid w:val="00997A9C"/>
    <w:rsid w:val="00997D9D"/>
    <w:rsid w:val="009A00E5"/>
    <w:rsid w:val="009A01F5"/>
    <w:rsid w:val="009A02B1"/>
    <w:rsid w:val="009A0562"/>
    <w:rsid w:val="009A0BD3"/>
    <w:rsid w:val="009A1AEA"/>
    <w:rsid w:val="009A1B27"/>
    <w:rsid w:val="009A1CBA"/>
    <w:rsid w:val="009A1F37"/>
    <w:rsid w:val="009A1FD6"/>
    <w:rsid w:val="009A2223"/>
    <w:rsid w:val="009A274B"/>
    <w:rsid w:val="009A287B"/>
    <w:rsid w:val="009A321E"/>
    <w:rsid w:val="009A3280"/>
    <w:rsid w:val="009A3E7C"/>
    <w:rsid w:val="009A3EFE"/>
    <w:rsid w:val="009A4239"/>
    <w:rsid w:val="009A423B"/>
    <w:rsid w:val="009A49B3"/>
    <w:rsid w:val="009A4B15"/>
    <w:rsid w:val="009A4DBA"/>
    <w:rsid w:val="009A50DB"/>
    <w:rsid w:val="009A515B"/>
    <w:rsid w:val="009A5286"/>
    <w:rsid w:val="009A565E"/>
    <w:rsid w:val="009A571E"/>
    <w:rsid w:val="009A5C01"/>
    <w:rsid w:val="009A5D47"/>
    <w:rsid w:val="009A6443"/>
    <w:rsid w:val="009A65A3"/>
    <w:rsid w:val="009A66C9"/>
    <w:rsid w:val="009A670C"/>
    <w:rsid w:val="009A6764"/>
    <w:rsid w:val="009A686A"/>
    <w:rsid w:val="009A699C"/>
    <w:rsid w:val="009A6AA2"/>
    <w:rsid w:val="009A6CD8"/>
    <w:rsid w:val="009A6DAD"/>
    <w:rsid w:val="009A6F67"/>
    <w:rsid w:val="009A6F8A"/>
    <w:rsid w:val="009A7462"/>
    <w:rsid w:val="009A75F1"/>
    <w:rsid w:val="009A781B"/>
    <w:rsid w:val="009A7A95"/>
    <w:rsid w:val="009A7DE4"/>
    <w:rsid w:val="009B01A6"/>
    <w:rsid w:val="009B03D6"/>
    <w:rsid w:val="009B0948"/>
    <w:rsid w:val="009B0D5E"/>
    <w:rsid w:val="009B0FE0"/>
    <w:rsid w:val="009B1165"/>
    <w:rsid w:val="009B127A"/>
    <w:rsid w:val="009B1633"/>
    <w:rsid w:val="009B174C"/>
    <w:rsid w:val="009B18EF"/>
    <w:rsid w:val="009B1F8D"/>
    <w:rsid w:val="009B242E"/>
    <w:rsid w:val="009B273A"/>
    <w:rsid w:val="009B279B"/>
    <w:rsid w:val="009B29D4"/>
    <w:rsid w:val="009B2BB0"/>
    <w:rsid w:val="009B3088"/>
    <w:rsid w:val="009B31B0"/>
    <w:rsid w:val="009B36C7"/>
    <w:rsid w:val="009B3A2A"/>
    <w:rsid w:val="009B3F24"/>
    <w:rsid w:val="009B42F0"/>
    <w:rsid w:val="009B4360"/>
    <w:rsid w:val="009B48B0"/>
    <w:rsid w:val="009B4DB4"/>
    <w:rsid w:val="009B518D"/>
    <w:rsid w:val="009B54A6"/>
    <w:rsid w:val="009B5536"/>
    <w:rsid w:val="009B558F"/>
    <w:rsid w:val="009B55ED"/>
    <w:rsid w:val="009B57B0"/>
    <w:rsid w:val="009B57BA"/>
    <w:rsid w:val="009B588E"/>
    <w:rsid w:val="009B5988"/>
    <w:rsid w:val="009B5E56"/>
    <w:rsid w:val="009B5F7D"/>
    <w:rsid w:val="009B6268"/>
    <w:rsid w:val="009B67B0"/>
    <w:rsid w:val="009B687C"/>
    <w:rsid w:val="009B6A74"/>
    <w:rsid w:val="009B6BC6"/>
    <w:rsid w:val="009B6C67"/>
    <w:rsid w:val="009B6E78"/>
    <w:rsid w:val="009B6F6A"/>
    <w:rsid w:val="009B7762"/>
    <w:rsid w:val="009B7C4A"/>
    <w:rsid w:val="009B7D1C"/>
    <w:rsid w:val="009B7ED6"/>
    <w:rsid w:val="009B7F0A"/>
    <w:rsid w:val="009B7F18"/>
    <w:rsid w:val="009C019E"/>
    <w:rsid w:val="009C021B"/>
    <w:rsid w:val="009C03CF"/>
    <w:rsid w:val="009C045A"/>
    <w:rsid w:val="009C07ED"/>
    <w:rsid w:val="009C094A"/>
    <w:rsid w:val="009C0F71"/>
    <w:rsid w:val="009C11C0"/>
    <w:rsid w:val="009C1221"/>
    <w:rsid w:val="009C147C"/>
    <w:rsid w:val="009C1861"/>
    <w:rsid w:val="009C192B"/>
    <w:rsid w:val="009C1D4D"/>
    <w:rsid w:val="009C1F09"/>
    <w:rsid w:val="009C2247"/>
    <w:rsid w:val="009C2A73"/>
    <w:rsid w:val="009C2DD2"/>
    <w:rsid w:val="009C33EA"/>
    <w:rsid w:val="009C341E"/>
    <w:rsid w:val="009C3854"/>
    <w:rsid w:val="009C3976"/>
    <w:rsid w:val="009C3AA6"/>
    <w:rsid w:val="009C3BE1"/>
    <w:rsid w:val="009C3BE2"/>
    <w:rsid w:val="009C3BF9"/>
    <w:rsid w:val="009C3C45"/>
    <w:rsid w:val="009C3DE7"/>
    <w:rsid w:val="009C3FEA"/>
    <w:rsid w:val="009C44F8"/>
    <w:rsid w:val="009C450E"/>
    <w:rsid w:val="009C4771"/>
    <w:rsid w:val="009C4788"/>
    <w:rsid w:val="009C49B1"/>
    <w:rsid w:val="009C4A62"/>
    <w:rsid w:val="009C4CCC"/>
    <w:rsid w:val="009C55FD"/>
    <w:rsid w:val="009C5B09"/>
    <w:rsid w:val="009C5B16"/>
    <w:rsid w:val="009C5B8C"/>
    <w:rsid w:val="009C5BC1"/>
    <w:rsid w:val="009C5ECF"/>
    <w:rsid w:val="009C5F0F"/>
    <w:rsid w:val="009C5FA7"/>
    <w:rsid w:val="009C635B"/>
    <w:rsid w:val="009C698B"/>
    <w:rsid w:val="009C6A94"/>
    <w:rsid w:val="009C6B61"/>
    <w:rsid w:val="009C7038"/>
    <w:rsid w:val="009C71CD"/>
    <w:rsid w:val="009C7547"/>
    <w:rsid w:val="009C76D1"/>
    <w:rsid w:val="009C7BAE"/>
    <w:rsid w:val="009C7BB2"/>
    <w:rsid w:val="009C7F4E"/>
    <w:rsid w:val="009D00B4"/>
    <w:rsid w:val="009D00B7"/>
    <w:rsid w:val="009D0454"/>
    <w:rsid w:val="009D054A"/>
    <w:rsid w:val="009D074E"/>
    <w:rsid w:val="009D098A"/>
    <w:rsid w:val="009D0AEA"/>
    <w:rsid w:val="009D0D98"/>
    <w:rsid w:val="009D0E35"/>
    <w:rsid w:val="009D0E3E"/>
    <w:rsid w:val="009D0E9A"/>
    <w:rsid w:val="009D100A"/>
    <w:rsid w:val="009D11FB"/>
    <w:rsid w:val="009D18C2"/>
    <w:rsid w:val="009D195C"/>
    <w:rsid w:val="009D202A"/>
    <w:rsid w:val="009D2111"/>
    <w:rsid w:val="009D22A1"/>
    <w:rsid w:val="009D2382"/>
    <w:rsid w:val="009D2597"/>
    <w:rsid w:val="009D27E2"/>
    <w:rsid w:val="009D28D9"/>
    <w:rsid w:val="009D2A87"/>
    <w:rsid w:val="009D2D1F"/>
    <w:rsid w:val="009D2D4C"/>
    <w:rsid w:val="009D328E"/>
    <w:rsid w:val="009D336B"/>
    <w:rsid w:val="009D347C"/>
    <w:rsid w:val="009D3885"/>
    <w:rsid w:val="009D3DAE"/>
    <w:rsid w:val="009D3F41"/>
    <w:rsid w:val="009D481D"/>
    <w:rsid w:val="009D4AED"/>
    <w:rsid w:val="009D4F1D"/>
    <w:rsid w:val="009D5135"/>
    <w:rsid w:val="009D5BE1"/>
    <w:rsid w:val="009D5E9C"/>
    <w:rsid w:val="009D5ED7"/>
    <w:rsid w:val="009D627D"/>
    <w:rsid w:val="009D64A0"/>
    <w:rsid w:val="009D6559"/>
    <w:rsid w:val="009D68D6"/>
    <w:rsid w:val="009D6CC5"/>
    <w:rsid w:val="009D7649"/>
    <w:rsid w:val="009D795B"/>
    <w:rsid w:val="009E0093"/>
    <w:rsid w:val="009E0828"/>
    <w:rsid w:val="009E0BEA"/>
    <w:rsid w:val="009E0FB0"/>
    <w:rsid w:val="009E115B"/>
    <w:rsid w:val="009E121C"/>
    <w:rsid w:val="009E17A5"/>
    <w:rsid w:val="009E1BF0"/>
    <w:rsid w:val="009E1C6E"/>
    <w:rsid w:val="009E1CB8"/>
    <w:rsid w:val="009E247A"/>
    <w:rsid w:val="009E2AD1"/>
    <w:rsid w:val="009E2E74"/>
    <w:rsid w:val="009E30D4"/>
    <w:rsid w:val="009E314D"/>
    <w:rsid w:val="009E327D"/>
    <w:rsid w:val="009E354F"/>
    <w:rsid w:val="009E4BFF"/>
    <w:rsid w:val="009E4D26"/>
    <w:rsid w:val="009E5203"/>
    <w:rsid w:val="009E5337"/>
    <w:rsid w:val="009E5760"/>
    <w:rsid w:val="009E57F3"/>
    <w:rsid w:val="009E5A02"/>
    <w:rsid w:val="009E5BA2"/>
    <w:rsid w:val="009E5D4E"/>
    <w:rsid w:val="009E5FA1"/>
    <w:rsid w:val="009E607E"/>
    <w:rsid w:val="009E60DF"/>
    <w:rsid w:val="009E6573"/>
    <w:rsid w:val="009E6615"/>
    <w:rsid w:val="009E6A8E"/>
    <w:rsid w:val="009E6B2E"/>
    <w:rsid w:val="009E777C"/>
    <w:rsid w:val="009E7DC6"/>
    <w:rsid w:val="009E7E4A"/>
    <w:rsid w:val="009E7F37"/>
    <w:rsid w:val="009F024C"/>
    <w:rsid w:val="009F0775"/>
    <w:rsid w:val="009F0893"/>
    <w:rsid w:val="009F08B0"/>
    <w:rsid w:val="009F0950"/>
    <w:rsid w:val="009F0AB6"/>
    <w:rsid w:val="009F1425"/>
    <w:rsid w:val="009F15E9"/>
    <w:rsid w:val="009F18C7"/>
    <w:rsid w:val="009F1AF8"/>
    <w:rsid w:val="009F1B2C"/>
    <w:rsid w:val="009F1BA2"/>
    <w:rsid w:val="009F1C1A"/>
    <w:rsid w:val="009F1C57"/>
    <w:rsid w:val="009F2506"/>
    <w:rsid w:val="009F266C"/>
    <w:rsid w:val="009F27E5"/>
    <w:rsid w:val="009F2DF3"/>
    <w:rsid w:val="009F2EA2"/>
    <w:rsid w:val="009F307C"/>
    <w:rsid w:val="009F375A"/>
    <w:rsid w:val="009F3A76"/>
    <w:rsid w:val="009F3EE9"/>
    <w:rsid w:val="009F419F"/>
    <w:rsid w:val="009F4254"/>
    <w:rsid w:val="009F44EB"/>
    <w:rsid w:val="009F4528"/>
    <w:rsid w:val="009F4640"/>
    <w:rsid w:val="009F470E"/>
    <w:rsid w:val="009F474C"/>
    <w:rsid w:val="009F49D0"/>
    <w:rsid w:val="009F4AEB"/>
    <w:rsid w:val="009F4D4C"/>
    <w:rsid w:val="009F4EBA"/>
    <w:rsid w:val="009F4EDF"/>
    <w:rsid w:val="009F4F2A"/>
    <w:rsid w:val="009F5688"/>
    <w:rsid w:val="009F5792"/>
    <w:rsid w:val="009F5B79"/>
    <w:rsid w:val="009F5F20"/>
    <w:rsid w:val="009F66D1"/>
    <w:rsid w:val="009F67DE"/>
    <w:rsid w:val="009F699D"/>
    <w:rsid w:val="009F69DB"/>
    <w:rsid w:val="009F6CD3"/>
    <w:rsid w:val="009F6DD0"/>
    <w:rsid w:val="009F7303"/>
    <w:rsid w:val="009F734E"/>
    <w:rsid w:val="009F76A1"/>
    <w:rsid w:val="009F76D6"/>
    <w:rsid w:val="009F77DA"/>
    <w:rsid w:val="009F7BC0"/>
    <w:rsid w:val="009F7E62"/>
    <w:rsid w:val="00A0060A"/>
    <w:rsid w:val="00A00857"/>
    <w:rsid w:val="00A00DA0"/>
    <w:rsid w:val="00A00E95"/>
    <w:rsid w:val="00A01732"/>
    <w:rsid w:val="00A01817"/>
    <w:rsid w:val="00A0191F"/>
    <w:rsid w:val="00A01A38"/>
    <w:rsid w:val="00A0216D"/>
    <w:rsid w:val="00A025F7"/>
    <w:rsid w:val="00A0265B"/>
    <w:rsid w:val="00A02688"/>
    <w:rsid w:val="00A02731"/>
    <w:rsid w:val="00A02B6B"/>
    <w:rsid w:val="00A0364E"/>
    <w:rsid w:val="00A03A5F"/>
    <w:rsid w:val="00A03AAD"/>
    <w:rsid w:val="00A03B27"/>
    <w:rsid w:val="00A04F63"/>
    <w:rsid w:val="00A051EB"/>
    <w:rsid w:val="00A052D3"/>
    <w:rsid w:val="00A0544F"/>
    <w:rsid w:val="00A05EE8"/>
    <w:rsid w:val="00A06651"/>
    <w:rsid w:val="00A068BB"/>
    <w:rsid w:val="00A069EC"/>
    <w:rsid w:val="00A07313"/>
    <w:rsid w:val="00A074BE"/>
    <w:rsid w:val="00A0760D"/>
    <w:rsid w:val="00A07630"/>
    <w:rsid w:val="00A07646"/>
    <w:rsid w:val="00A0773C"/>
    <w:rsid w:val="00A07D29"/>
    <w:rsid w:val="00A07D40"/>
    <w:rsid w:val="00A07F94"/>
    <w:rsid w:val="00A10784"/>
    <w:rsid w:val="00A107AB"/>
    <w:rsid w:val="00A1106F"/>
    <w:rsid w:val="00A11191"/>
    <w:rsid w:val="00A112B6"/>
    <w:rsid w:val="00A113CC"/>
    <w:rsid w:val="00A11914"/>
    <w:rsid w:val="00A119AB"/>
    <w:rsid w:val="00A11B5D"/>
    <w:rsid w:val="00A11F33"/>
    <w:rsid w:val="00A124B9"/>
    <w:rsid w:val="00A12541"/>
    <w:rsid w:val="00A1291F"/>
    <w:rsid w:val="00A12A3E"/>
    <w:rsid w:val="00A12A58"/>
    <w:rsid w:val="00A12C3A"/>
    <w:rsid w:val="00A12C56"/>
    <w:rsid w:val="00A12ED0"/>
    <w:rsid w:val="00A13278"/>
    <w:rsid w:val="00A136FF"/>
    <w:rsid w:val="00A13C9D"/>
    <w:rsid w:val="00A140E6"/>
    <w:rsid w:val="00A147EC"/>
    <w:rsid w:val="00A14D1E"/>
    <w:rsid w:val="00A14D63"/>
    <w:rsid w:val="00A14ED5"/>
    <w:rsid w:val="00A1514D"/>
    <w:rsid w:val="00A1571F"/>
    <w:rsid w:val="00A15AE2"/>
    <w:rsid w:val="00A15C71"/>
    <w:rsid w:val="00A160E4"/>
    <w:rsid w:val="00A1651E"/>
    <w:rsid w:val="00A16812"/>
    <w:rsid w:val="00A16AD4"/>
    <w:rsid w:val="00A16D77"/>
    <w:rsid w:val="00A16DD1"/>
    <w:rsid w:val="00A176F6"/>
    <w:rsid w:val="00A17AD8"/>
    <w:rsid w:val="00A20189"/>
    <w:rsid w:val="00A20770"/>
    <w:rsid w:val="00A207EA"/>
    <w:rsid w:val="00A209FF"/>
    <w:rsid w:val="00A20BC2"/>
    <w:rsid w:val="00A20FEC"/>
    <w:rsid w:val="00A21135"/>
    <w:rsid w:val="00A21224"/>
    <w:rsid w:val="00A213B0"/>
    <w:rsid w:val="00A21704"/>
    <w:rsid w:val="00A21B4A"/>
    <w:rsid w:val="00A21C79"/>
    <w:rsid w:val="00A22606"/>
    <w:rsid w:val="00A2260B"/>
    <w:rsid w:val="00A227D6"/>
    <w:rsid w:val="00A22EB5"/>
    <w:rsid w:val="00A23006"/>
    <w:rsid w:val="00A2317F"/>
    <w:rsid w:val="00A2329B"/>
    <w:rsid w:val="00A2380C"/>
    <w:rsid w:val="00A23A93"/>
    <w:rsid w:val="00A23ADD"/>
    <w:rsid w:val="00A23C31"/>
    <w:rsid w:val="00A2417B"/>
    <w:rsid w:val="00A24210"/>
    <w:rsid w:val="00A2424F"/>
    <w:rsid w:val="00A2427E"/>
    <w:rsid w:val="00A24569"/>
    <w:rsid w:val="00A2467D"/>
    <w:rsid w:val="00A2480E"/>
    <w:rsid w:val="00A24A0C"/>
    <w:rsid w:val="00A24A4E"/>
    <w:rsid w:val="00A24B74"/>
    <w:rsid w:val="00A24F7C"/>
    <w:rsid w:val="00A250CA"/>
    <w:rsid w:val="00A2517D"/>
    <w:rsid w:val="00A25203"/>
    <w:rsid w:val="00A25384"/>
    <w:rsid w:val="00A25392"/>
    <w:rsid w:val="00A25427"/>
    <w:rsid w:val="00A257A0"/>
    <w:rsid w:val="00A25A03"/>
    <w:rsid w:val="00A25B4B"/>
    <w:rsid w:val="00A25BE4"/>
    <w:rsid w:val="00A25CC3"/>
    <w:rsid w:val="00A25F12"/>
    <w:rsid w:val="00A26226"/>
    <w:rsid w:val="00A26579"/>
    <w:rsid w:val="00A265D4"/>
    <w:rsid w:val="00A26BC9"/>
    <w:rsid w:val="00A26FE7"/>
    <w:rsid w:val="00A27203"/>
    <w:rsid w:val="00A274F1"/>
    <w:rsid w:val="00A276F9"/>
    <w:rsid w:val="00A27A44"/>
    <w:rsid w:val="00A27A7F"/>
    <w:rsid w:val="00A27B12"/>
    <w:rsid w:val="00A27B3F"/>
    <w:rsid w:val="00A27E82"/>
    <w:rsid w:val="00A27F62"/>
    <w:rsid w:val="00A30089"/>
    <w:rsid w:val="00A30122"/>
    <w:rsid w:val="00A3068A"/>
    <w:rsid w:val="00A30A08"/>
    <w:rsid w:val="00A30ABF"/>
    <w:rsid w:val="00A30CE1"/>
    <w:rsid w:val="00A30F97"/>
    <w:rsid w:val="00A311C9"/>
    <w:rsid w:val="00A312A6"/>
    <w:rsid w:val="00A31303"/>
    <w:rsid w:val="00A3139F"/>
    <w:rsid w:val="00A316F5"/>
    <w:rsid w:val="00A31782"/>
    <w:rsid w:val="00A32288"/>
    <w:rsid w:val="00A32761"/>
    <w:rsid w:val="00A32A6E"/>
    <w:rsid w:val="00A32BB8"/>
    <w:rsid w:val="00A32BED"/>
    <w:rsid w:val="00A32EF4"/>
    <w:rsid w:val="00A332F7"/>
    <w:rsid w:val="00A33318"/>
    <w:rsid w:val="00A337AC"/>
    <w:rsid w:val="00A3385C"/>
    <w:rsid w:val="00A33A30"/>
    <w:rsid w:val="00A33AC3"/>
    <w:rsid w:val="00A3447D"/>
    <w:rsid w:val="00A347DA"/>
    <w:rsid w:val="00A34CA3"/>
    <w:rsid w:val="00A350EA"/>
    <w:rsid w:val="00A3521B"/>
    <w:rsid w:val="00A356E7"/>
    <w:rsid w:val="00A357A3"/>
    <w:rsid w:val="00A35908"/>
    <w:rsid w:val="00A3591F"/>
    <w:rsid w:val="00A35954"/>
    <w:rsid w:val="00A35BDD"/>
    <w:rsid w:val="00A35EAC"/>
    <w:rsid w:val="00A3611A"/>
    <w:rsid w:val="00A36381"/>
    <w:rsid w:val="00A3638E"/>
    <w:rsid w:val="00A36511"/>
    <w:rsid w:val="00A3677D"/>
    <w:rsid w:val="00A36A4F"/>
    <w:rsid w:val="00A36A98"/>
    <w:rsid w:val="00A372C9"/>
    <w:rsid w:val="00A37607"/>
    <w:rsid w:val="00A37976"/>
    <w:rsid w:val="00A37CC8"/>
    <w:rsid w:val="00A403DF"/>
    <w:rsid w:val="00A40753"/>
    <w:rsid w:val="00A4082F"/>
    <w:rsid w:val="00A409AF"/>
    <w:rsid w:val="00A4116C"/>
    <w:rsid w:val="00A414A9"/>
    <w:rsid w:val="00A414CA"/>
    <w:rsid w:val="00A416AF"/>
    <w:rsid w:val="00A4182D"/>
    <w:rsid w:val="00A419F5"/>
    <w:rsid w:val="00A41B62"/>
    <w:rsid w:val="00A41E86"/>
    <w:rsid w:val="00A41FF4"/>
    <w:rsid w:val="00A421DE"/>
    <w:rsid w:val="00A42397"/>
    <w:rsid w:val="00A42462"/>
    <w:rsid w:val="00A4293B"/>
    <w:rsid w:val="00A42C3F"/>
    <w:rsid w:val="00A42C89"/>
    <w:rsid w:val="00A42F17"/>
    <w:rsid w:val="00A43396"/>
    <w:rsid w:val="00A434A6"/>
    <w:rsid w:val="00A438EE"/>
    <w:rsid w:val="00A438F6"/>
    <w:rsid w:val="00A43A2D"/>
    <w:rsid w:val="00A43C4F"/>
    <w:rsid w:val="00A43CC0"/>
    <w:rsid w:val="00A43EBC"/>
    <w:rsid w:val="00A43EE3"/>
    <w:rsid w:val="00A43FF7"/>
    <w:rsid w:val="00A4453A"/>
    <w:rsid w:val="00A4472C"/>
    <w:rsid w:val="00A449F8"/>
    <w:rsid w:val="00A44E39"/>
    <w:rsid w:val="00A44FC9"/>
    <w:rsid w:val="00A45321"/>
    <w:rsid w:val="00A45713"/>
    <w:rsid w:val="00A45B82"/>
    <w:rsid w:val="00A45D71"/>
    <w:rsid w:val="00A45F92"/>
    <w:rsid w:val="00A460C7"/>
    <w:rsid w:val="00A4612E"/>
    <w:rsid w:val="00A4661F"/>
    <w:rsid w:val="00A467F0"/>
    <w:rsid w:val="00A468F4"/>
    <w:rsid w:val="00A46B59"/>
    <w:rsid w:val="00A46C7D"/>
    <w:rsid w:val="00A47555"/>
    <w:rsid w:val="00A47640"/>
    <w:rsid w:val="00A477BF"/>
    <w:rsid w:val="00A50364"/>
    <w:rsid w:val="00A50473"/>
    <w:rsid w:val="00A50C00"/>
    <w:rsid w:val="00A50DA1"/>
    <w:rsid w:val="00A50FCB"/>
    <w:rsid w:val="00A519B0"/>
    <w:rsid w:val="00A51A23"/>
    <w:rsid w:val="00A51C0B"/>
    <w:rsid w:val="00A51D8A"/>
    <w:rsid w:val="00A52495"/>
    <w:rsid w:val="00A528F9"/>
    <w:rsid w:val="00A536E7"/>
    <w:rsid w:val="00A538D3"/>
    <w:rsid w:val="00A538E5"/>
    <w:rsid w:val="00A5392F"/>
    <w:rsid w:val="00A5397F"/>
    <w:rsid w:val="00A53A36"/>
    <w:rsid w:val="00A53A85"/>
    <w:rsid w:val="00A53A98"/>
    <w:rsid w:val="00A53D5E"/>
    <w:rsid w:val="00A5405B"/>
    <w:rsid w:val="00A5483C"/>
    <w:rsid w:val="00A5486F"/>
    <w:rsid w:val="00A54E8E"/>
    <w:rsid w:val="00A5517A"/>
    <w:rsid w:val="00A554A0"/>
    <w:rsid w:val="00A556C1"/>
    <w:rsid w:val="00A55D20"/>
    <w:rsid w:val="00A55EE4"/>
    <w:rsid w:val="00A55FD5"/>
    <w:rsid w:val="00A561B2"/>
    <w:rsid w:val="00A5620C"/>
    <w:rsid w:val="00A5621B"/>
    <w:rsid w:val="00A562BA"/>
    <w:rsid w:val="00A5646E"/>
    <w:rsid w:val="00A56606"/>
    <w:rsid w:val="00A56E49"/>
    <w:rsid w:val="00A56EA6"/>
    <w:rsid w:val="00A56FC7"/>
    <w:rsid w:val="00A5706B"/>
    <w:rsid w:val="00A57127"/>
    <w:rsid w:val="00A57666"/>
    <w:rsid w:val="00A5768C"/>
    <w:rsid w:val="00A5798F"/>
    <w:rsid w:val="00A579B3"/>
    <w:rsid w:val="00A579ED"/>
    <w:rsid w:val="00A57B1F"/>
    <w:rsid w:val="00A57C67"/>
    <w:rsid w:val="00A57E98"/>
    <w:rsid w:val="00A60061"/>
    <w:rsid w:val="00A60320"/>
    <w:rsid w:val="00A60817"/>
    <w:rsid w:val="00A609BE"/>
    <w:rsid w:val="00A60D37"/>
    <w:rsid w:val="00A60F7B"/>
    <w:rsid w:val="00A611BE"/>
    <w:rsid w:val="00A61462"/>
    <w:rsid w:val="00A61AEC"/>
    <w:rsid w:val="00A61D79"/>
    <w:rsid w:val="00A61F37"/>
    <w:rsid w:val="00A61F8C"/>
    <w:rsid w:val="00A62049"/>
    <w:rsid w:val="00A62166"/>
    <w:rsid w:val="00A6224F"/>
    <w:rsid w:val="00A624CC"/>
    <w:rsid w:val="00A6250B"/>
    <w:rsid w:val="00A62BF6"/>
    <w:rsid w:val="00A62E5A"/>
    <w:rsid w:val="00A632F3"/>
    <w:rsid w:val="00A6381E"/>
    <w:rsid w:val="00A63A16"/>
    <w:rsid w:val="00A63E05"/>
    <w:rsid w:val="00A63EA2"/>
    <w:rsid w:val="00A64320"/>
    <w:rsid w:val="00A6433D"/>
    <w:rsid w:val="00A643CF"/>
    <w:rsid w:val="00A64425"/>
    <w:rsid w:val="00A64DFD"/>
    <w:rsid w:val="00A6523D"/>
    <w:rsid w:val="00A6530C"/>
    <w:rsid w:val="00A6534F"/>
    <w:rsid w:val="00A6558A"/>
    <w:rsid w:val="00A658D9"/>
    <w:rsid w:val="00A65D50"/>
    <w:rsid w:val="00A662DD"/>
    <w:rsid w:val="00A66337"/>
    <w:rsid w:val="00A66470"/>
    <w:rsid w:val="00A66557"/>
    <w:rsid w:val="00A66874"/>
    <w:rsid w:val="00A67982"/>
    <w:rsid w:val="00A67BBA"/>
    <w:rsid w:val="00A707A1"/>
    <w:rsid w:val="00A707AD"/>
    <w:rsid w:val="00A707DF"/>
    <w:rsid w:val="00A70C14"/>
    <w:rsid w:val="00A70D2D"/>
    <w:rsid w:val="00A71170"/>
    <w:rsid w:val="00A7131D"/>
    <w:rsid w:val="00A713A2"/>
    <w:rsid w:val="00A714A8"/>
    <w:rsid w:val="00A71AA1"/>
    <w:rsid w:val="00A72152"/>
    <w:rsid w:val="00A723BF"/>
    <w:rsid w:val="00A7240C"/>
    <w:rsid w:val="00A724A7"/>
    <w:rsid w:val="00A72748"/>
    <w:rsid w:val="00A72B7D"/>
    <w:rsid w:val="00A72B82"/>
    <w:rsid w:val="00A72F06"/>
    <w:rsid w:val="00A7367E"/>
    <w:rsid w:val="00A7372B"/>
    <w:rsid w:val="00A73A7F"/>
    <w:rsid w:val="00A73C6A"/>
    <w:rsid w:val="00A742CC"/>
    <w:rsid w:val="00A7473F"/>
    <w:rsid w:val="00A74945"/>
    <w:rsid w:val="00A74BC8"/>
    <w:rsid w:val="00A74D92"/>
    <w:rsid w:val="00A7509B"/>
    <w:rsid w:val="00A7532B"/>
    <w:rsid w:val="00A754E1"/>
    <w:rsid w:val="00A756FD"/>
    <w:rsid w:val="00A75A74"/>
    <w:rsid w:val="00A75EAA"/>
    <w:rsid w:val="00A75F6F"/>
    <w:rsid w:val="00A760A1"/>
    <w:rsid w:val="00A76AA2"/>
    <w:rsid w:val="00A76B05"/>
    <w:rsid w:val="00A76CCE"/>
    <w:rsid w:val="00A76E04"/>
    <w:rsid w:val="00A76FF2"/>
    <w:rsid w:val="00A77202"/>
    <w:rsid w:val="00A77303"/>
    <w:rsid w:val="00A77377"/>
    <w:rsid w:val="00A775F3"/>
    <w:rsid w:val="00A777B2"/>
    <w:rsid w:val="00A77BFF"/>
    <w:rsid w:val="00A77DA1"/>
    <w:rsid w:val="00A80655"/>
    <w:rsid w:val="00A80656"/>
    <w:rsid w:val="00A8087D"/>
    <w:rsid w:val="00A80E20"/>
    <w:rsid w:val="00A811A6"/>
    <w:rsid w:val="00A81641"/>
    <w:rsid w:val="00A816EE"/>
    <w:rsid w:val="00A8273E"/>
    <w:rsid w:val="00A82880"/>
    <w:rsid w:val="00A82FB3"/>
    <w:rsid w:val="00A83346"/>
    <w:rsid w:val="00A83889"/>
    <w:rsid w:val="00A83D22"/>
    <w:rsid w:val="00A83FD0"/>
    <w:rsid w:val="00A8479A"/>
    <w:rsid w:val="00A84890"/>
    <w:rsid w:val="00A84BAA"/>
    <w:rsid w:val="00A8538F"/>
    <w:rsid w:val="00A853FE"/>
    <w:rsid w:val="00A854C9"/>
    <w:rsid w:val="00A858BD"/>
    <w:rsid w:val="00A858F6"/>
    <w:rsid w:val="00A8615D"/>
    <w:rsid w:val="00A86237"/>
    <w:rsid w:val="00A86285"/>
    <w:rsid w:val="00A868B9"/>
    <w:rsid w:val="00A86951"/>
    <w:rsid w:val="00A86999"/>
    <w:rsid w:val="00A86C05"/>
    <w:rsid w:val="00A86CA7"/>
    <w:rsid w:val="00A86F72"/>
    <w:rsid w:val="00A87094"/>
    <w:rsid w:val="00A87184"/>
    <w:rsid w:val="00A87193"/>
    <w:rsid w:val="00A871E1"/>
    <w:rsid w:val="00A874B2"/>
    <w:rsid w:val="00A87BB0"/>
    <w:rsid w:val="00A902E8"/>
    <w:rsid w:val="00A907F0"/>
    <w:rsid w:val="00A90CB3"/>
    <w:rsid w:val="00A91088"/>
    <w:rsid w:val="00A9116C"/>
    <w:rsid w:val="00A928B9"/>
    <w:rsid w:val="00A92F0E"/>
    <w:rsid w:val="00A93275"/>
    <w:rsid w:val="00A932E8"/>
    <w:rsid w:val="00A93675"/>
    <w:rsid w:val="00A937AE"/>
    <w:rsid w:val="00A93C58"/>
    <w:rsid w:val="00A94017"/>
    <w:rsid w:val="00A94064"/>
    <w:rsid w:val="00A941B7"/>
    <w:rsid w:val="00A94572"/>
    <w:rsid w:val="00A94590"/>
    <w:rsid w:val="00A9478A"/>
    <w:rsid w:val="00A948CA"/>
    <w:rsid w:val="00A94C4D"/>
    <w:rsid w:val="00A94F17"/>
    <w:rsid w:val="00A9503B"/>
    <w:rsid w:val="00A9520F"/>
    <w:rsid w:val="00A95937"/>
    <w:rsid w:val="00A95B02"/>
    <w:rsid w:val="00A95B28"/>
    <w:rsid w:val="00A95D60"/>
    <w:rsid w:val="00A96265"/>
    <w:rsid w:val="00A9668F"/>
    <w:rsid w:val="00A96746"/>
    <w:rsid w:val="00A967DD"/>
    <w:rsid w:val="00A96808"/>
    <w:rsid w:val="00A96886"/>
    <w:rsid w:val="00A968EE"/>
    <w:rsid w:val="00A96971"/>
    <w:rsid w:val="00A96C0A"/>
    <w:rsid w:val="00A96C78"/>
    <w:rsid w:val="00A9708E"/>
    <w:rsid w:val="00A97311"/>
    <w:rsid w:val="00A97706"/>
    <w:rsid w:val="00A97AC2"/>
    <w:rsid w:val="00A97D5A"/>
    <w:rsid w:val="00AA0617"/>
    <w:rsid w:val="00AA0692"/>
    <w:rsid w:val="00AA06EE"/>
    <w:rsid w:val="00AA0797"/>
    <w:rsid w:val="00AA0859"/>
    <w:rsid w:val="00AA0C27"/>
    <w:rsid w:val="00AA0DFA"/>
    <w:rsid w:val="00AA0E64"/>
    <w:rsid w:val="00AA1147"/>
    <w:rsid w:val="00AA11A2"/>
    <w:rsid w:val="00AA14FE"/>
    <w:rsid w:val="00AA1B21"/>
    <w:rsid w:val="00AA1CBE"/>
    <w:rsid w:val="00AA2071"/>
    <w:rsid w:val="00AA2641"/>
    <w:rsid w:val="00AA287A"/>
    <w:rsid w:val="00AA2C7F"/>
    <w:rsid w:val="00AA2D99"/>
    <w:rsid w:val="00AA2F39"/>
    <w:rsid w:val="00AA2F56"/>
    <w:rsid w:val="00AA2FBF"/>
    <w:rsid w:val="00AA3524"/>
    <w:rsid w:val="00AA3E0D"/>
    <w:rsid w:val="00AA445A"/>
    <w:rsid w:val="00AA4816"/>
    <w:rsid w:val="00AA48E2"/>
    <w:rsid w:val="00AA49F8"/>
    <w:rsid w:val="00AA4D43"/>
    <w:rsid w:val="00AA4EDD"/>
    <w:rsid w:val="00AA4F3C"/>
    <w:rsid w:val="00AA51E9"/>
    <w:rsid w:val="00AA5858"/>
    <w:rsid w:val="00AA5982"/>
    <w:rsid w:val="00AA5BB2"/>
    <w:rsid w:val="00AA5BFB"/>
    <w:rsid w:val="00AA5C02"/>
    <w:rsid w:val="00AA60C1"/>
    <w:rsid w:val="00AA60C2"/>
    <w:rsid w:val="00AA6257"/>
    <w:rsid w:val="00AA6304"/>
    <w:rsid w:val="00AA6979"/>
    <w:rsid w:val="00AA6B52"/>
    <w:rsid w:val="00AA7000"/>
    <w:rsid w:val="00AA742E"/>
    <w:rsid w:val="00AA7664"/>
    <w:rsid w:val="00AA7909"/>
    <w:rsid w:val="00AA7B8C"/>
    <w:rsid w:val="00AA7DB3"/>
    <w:rsid w:val="00AB03CE"/>
    <w:rsid w:val="00AB06E9"/>
    <w:rsid w:val="00AB0D87"/>
    <w:rsid w:val="00AB0DFA"/>
    <w:rsid w:val="00AB106C"/>
    <w:rsid w:val="00AB1195"/>
    <w:rsid w:val="00AB11AA"/>
    <w:rsid w:val="00AB1841"/>
    <w:rsid w:val="00AB2315"/>
    <w:rsid w:val="00AB27D2"/>
    <w:rsid w:val="00AB2BB8"/>
    <w:rsid w:val="00AB2CE9"/>
    <w:rsid w:val="00AB2E5A"/>
    <w:rsid w:val="00AB30AC"/>
    <w:rsid w:val="00AB35DA"/>
    <w:rsid w:val="00AB366A"/>
    <w:rsid w:val="00AB39D4"/>
    <w:rsid w:val="00AB3BBA"/>
    <w:rsid w:val="00AB3E16"/>
    <w:rsid w:val="00AB3E22"/>
    <w:rsid w:val="00AB3E75"/>
    <w:rsid w:val="00AB3EC0"/>
    <w:rsid w:val="00AB3F2D"/>
    <w:rsid w:val="00AB4127"/>
    <w:rsid w:val="00AB416F"/>
    <w:rsid w:val="00AB432B"/>
    <w:rsid w:val="00AB436D"/>
    <w:rsid w:val="00AB4A64"/>
    <w:rsid w:val="00AB4C5F"/>
    <w:rsid w:val="00AB4CED"/>
    <w:rsid w:val="00AB4EC0"/>
    <w:rsid w:val="00AB4FAC"/>
    <w:rsid w:val="00AB5B90"/>
    <w:rsid w:val="00AB5E7A"/>
    <w:rsid w:val="00AB5E8F"/>
    <w:rsid w:val="00AB61AF"/>
    <w:rsid w:val="00AB61BF"/>
    <w:rsid w:val="00AB62BF"/>
    <w:rsid w:val="00AB6319"/>
    <w:rsid w:val="00AB6630"/>
    <w:rsid w:val="00AB667A"/>
    <w:rsid w:val="00AB66EE"/>
    <w:rsid w:val="00AB66F0"/>
    <w:rsid w:val="00AB6AD6"/>
    <w:rsid w:val="00AB6BC6"/>
    <w:rsid w:val="00AB6E62"/>
    <w:rsid w:val="00AB77CD"/>
    <w:rsid w:val="00AB7811"/>
    <w:rsid w:val="00AB782F"/>
    <w:rsid w:val="00AB7AB6"/>
    <w:rsid w:val="00AB7C69"/>
    <w:rsid w:val="00AB7C6F"/>
    <w:rsid w:val="00AB7CBD"/>
    <w:rsid w:val="00AC0016"/>
    <w:rsid w:val="00AC036B"/>
    <w:rsid w:val="00AC048C"/>
    <w:rsid w:val="00AC0C64"/>
    <w:rsid w:val="00AC11BC"/>
    <w:rsid w:val="00AC1319"/>
    <w:rsid w:val="00AC1342"/>
    <w:rsid w:val="00AC1402"/>
    <w:rsid w:val="00AC206A"/>
    <w:rsid w:val="00AC226E"/>
    <w:rsid w:val="00AC2456"/>
    <w:rsid w:val="00AC2AAD"/>
    <w:rsid w:val="00AC2CB5"/>
    <w:rsid w:val="00AC3164"/>
    <w:rsid w:val="00AC31E1"/>
    <w:rsid w:val="00AC3AC2"/>
    <w:rsid w:val="00AC3E17"/>
    <w:rsid w:val="00AC3FEE"/>
    <w:rsid w:val="00AC443B"/>
    <w:rsid w:val="00AC4666"/>
    <w:rsid w:val="00AC4A19"/>
    <w:rsid w:val="00AC4A48"/>
    <w:rsid w:val="00AC4B9B"/>
    <w:rsid w:val="00AC541A"/>
    <w:rsid w:val="00AC574C"/>
    <w:rsid w:val="00AC599F"/>
    <w:rsid w:val="00AC59C2"/>
    <w:rsid w:val="00AC5AB4"/>
    <w:rsid w:val="00AC6389"/>
    <w:rsid w:val="00AC6746"/>
    <w:rsid w:val="00AC691D"/>
    <w:rsid w:val="00AC6CE3"/>
    <w:rsid w:val="00AC6D52"/>
    <w:rsid w:val="00AC715C"/>
    <w:rsid w:val="00AC753B"/>
    <w:rsid w:val="00AC769D"/>
    <w:rsid w:val="00AC7D41"/>
    <w:rsid w:val="00AC7DAE"/>
    <w:rsid w:val="00AD02CD"/>
    <w:rsid w:val="00AD030E"/>
    <w:rsid w:val="00AD06F1"/>
    <w:rsid w:val="00AD092A"/>
    <w:rsid w:val="00AD0D6D"/>
    <w:rsid w:val="00AD0D9A"/>
    <w:rsid w:val="00AD14EC"/>
    <w:rsid w:val="00AD15C1"/>
    <w:rsid w:val="00AD1818"/>
    <w:rsid w:val="00AD18F8"/>
    <w:rsid w:val="00AD1F32"/>
    <w:rsid w:val="00AD1FDE"/>
    <w:rsid w:val="00AD24E1"/>
    <w:rsid w:val="00AD28E6"/>
    <w:rsid w:val="00AD2CDF"/>
    <w:rsid w:val="00AD2D02"/>
    <w:rsid w:val="00AD2E24"/>
    <w:rsid w:val="00AD2E4C"/>
    <w:rsid w:val="00AD324F"/>
    <w:rsid w:val="00AD37A8"/>
    <w:rsid w:val="00AD3914"/>
    <w:rsid w:val="00AD4027"/>
    <w:rsid w:val="00AD408E"/>
    <w:rsid w:val="00AD460B"/>
    <w:rsid w:val="00AD47B3"/>
    <w:rsid w:val="00AD47E9"/>
    <w:rsid w:val="00AD48FF"/>
    <w:rsid w:val="00AD49F0"/>
    <w:rsid w:val="00AD4AB1"/>
    <w:rsid w:val="00AD4AC0"/>
    <w:rsid w:val="00AD4AF8"/>
    <w:rsid w:val="00AD54D3"/>
    <w:rsid w:val="00AD5C69"/>
    <w:rsid w:val="00AD5DC1"/>
    <w:rsid w:val="00AD5E86"/>
    <w:rsid w:val="00AD647B"/>
    <w:rsid w:val="00AD65F6"/>
    <w:rsid w:val="00AD6754"/>
    <w:rsid w:val="00AD6884"/>
    <w:rsid w:val="00AD68ED"/>
    <w:rsid w:val="00AD6A75"/>
    <w:rsid w:val="00AD6D14"/>
    <w:rsid w:val="00AD6E28"/>
    <w:rsid w:val="00AD6FEC"/>
    <w:rsid w:val="00AD6FF8"/>
    <w:rsid w:val="00AD7291"/>
    <w:rsid w:val="00AD78F7"/>
    <w:rsid w:val="00AD798E"/>
    <w:rsid w:val="00AD7FFA"/>
    <w:rsid w:val="00AE03D3"/>
    <w:rsid w:val="00AE0662"/>
    <w:rsid w:val="00AE0A31"/>
    <w:rsid w:val="00AE0A5F"/>
    <w:rsid w:val="00AE13F8"/>
    <w:rsid w:val="00AE1785"/>
    <w:rsid w:val="00AE1937"/>
    <w:rsid w:val="00AE1C55"/>
    <w:rsid w:val="00AE2272"/>
    <w:rsid w:val="00AE2508"/>
    <w:rsid w:val="00AE26AE"/>
    <w:rsid w:val="00AE26F3"/>
    <w:rsid w:val="00AE2ABC"/>
    <w:rsid w:val="00AE2E21"/>
    <w:rsid w:val="00AE33CF"/>
    <w:rsid w:val="00AE35D1"/>
    <w:rsid w:val="00AE3728"/>
    <w:rsid w:val="00AE395F"/>
    <w:rsid w:val="00AE3A80"/>
    <w:rsid w:val="00AE4757"/>
    <w:rsid w:val="00AE47B8"/>
    <w:rsid w:val="00AE481F"/>
    <w:rsid w:val="00AE482C"/>
    <w:rsid w:val="00AE4FD3"/>
    <w:rsid w:val="00AE50DB"/>
    <w:rsid w:val="00AE5799"/>
    <w:rsid w:val="00AE5B7C"/>
    <w:rsid w:val="00AE5C0E"/>
    <w:rsid w:val="00AE5CF9"/>
    <w:rsid w:val="00AE60D8"/>
    <w:rsid w:val="00AE64AB"/>
    <w:rsid w:val="00AE669E"/>
    <w:rsid w:val="00AE67F5"/>
    <w:rsid w:val="00AE6AE6"/>
    <w:rsid w:val="00AE70B1"/>
    <w:rsid w:val="00AE714C"/>
    <w:rsid w:val="00AE715D"/>
    <w:rsid w:val="00AE71AC"/>
    <w:rsid w:val="00AE735A"/>
    <w:rsid w:val="00AE75A1"/>
    <w:rsid w:val="00AE776C"/>
    <w:rsid w:val="00AE7B83"/>
    <w:rsid w:val="00AE7EF4"/>
    <w:rsid w:val="00AF020A"/>
    <w:rsid w:val="00AF055D"/>
    <w:rsid w:val="00AF088C"/>
    <w:rsid w:val="00AF08B4"/>
    <w:rsid w:val="00AF0910"/>
    <w:rsid w:val="00AF0A48"/>
    <w:rsid w:val="00AF0BB9"/>
    <w:rsid w:val="00AF0C12"/>
    <w:rsid w:val="00AF0C9A"/>
    <w:rsid w:val="00AF0E88"/>
    <w:rsid w:val="00AF0F14"/>
    <w:rsid w:val="00AF22FC"/>
    <w:rsid w:val="00AF3128"/>
    <w:rsid w:val="00AF33BF"/>
    <w:rsid w:val="00AF399E"/>
    <w:rsid w:val="00AF3C76"/>
    <w:rsid w:val="00AF3CA4"/>
    <w:rsid w:val="00AF41EA"/>
    <w:rsid w:val="00AF42B7"/>
    <w:rsid w:val="00AF42DA"/>
    <w:rsid w:val="00AF49BE"/>
    <w:rsid w:val="00AF5984"/>
    <w:rsid w:val="00AF657C"/>
    <w:rsid w:val="00AF66E3"/>
    <w:rsid w:val="00AF693E"/>
    <w:rsid w:val="00AF6E11"/>
    <w:rsid w:val="00AF6E87"/>
    <w:rsid w:val="00AF6F97"/>
    <w:rsid w:val="00AF7027"/>
    <w:rsid w:val="00AF74E1"/>
    <w:rsid w:val="00AF75B2"/>
    <w:rsid w:val="00AF7862"/>
    <w:rsid w:val="00AF788B"/>
    <w:rsid w:val="00AF7990"/>
    <w:rsid w:val="00AF79A2"/>
    <w:rsid w:val="00AF7A8C"/>
    <w:rsid w:val="00AF7AB4"/>
    <w:rsid w:val="00AF7B50"/>
    <w:rsid w:val="00AF7C19"/>
    <w:rsid w:val="00B002D3"/>
    <w:rsid w:val="00B00560"/>
    <w:rsid w:val="00B006DC"/>
    <w:rsid w:val="00B008A5"/>
    <w:rsid w:val="00B00C50"/>
    <w:rsid w:val="00B00D68"/>
    <w:rsid w:val="00B01135"/>
    <w:rsid w:val="00B015B0"/>
    <w:rsid w:val="00B01642"/>
    <w:rsid w:val="00B01AD2"/>
    <w:rsid w:val="00B01C74"/>
    <w:rsid w:val="00B01D23"/>
    <w:rsid w:val="00B0287C"/>
    <w:rsid w:val="00B02AC1"/>
    <w:rsid w:val="00B03734"/>
    <w:rsid w:val="00B03774"/>
    <w:rsid w:val="00B039C0"/>
    <w:rsid w:val="00B03A96"/>
    <w:rsid w:val="00B03C88"/>
    <w:rsid w:val="00B03CCC"/>
    <w:rsid w:val="00B04C7C"/>
    <w:rsid w:val="00B04E40"/>
    <w:rsid w:val="00B05058"/>
    <w:rsid w:val="00B05116"/>
    <w:rsid w:val="00B05308"/>
    <w:rsid w:val="00B05430"/>
    <w:rsid w:val="00B054CE"/>
    <w:rsid w:val="00B05815"/>
    <w:rsid w:val="00B0585F"/>
    <w:rsid w:val="00B05C54"/>
    <w:rsid w:val="00B0608B"/>
    <w:rsid w:val="00B063FF"/>
    <w:rsid w:val="00B0691E"/>
    <w:rsid w:val="00B06A5E"/>
    <w:rsid w:val="00B06DB2"/>
    <w:rsid w:val="00B071F2"/>
    <w:rsid w:val="00B072FA"/>
    <w:rsid w:val="00B07368"/>
    <w:rsid w:val="00B0772C"/>
    <w:rsid w:val="00B077BC"/>
    <w:rsid w:val="00B077EE"/>
    <w:rsid w:val="00B079AF"/>
    <w:rsid w:val="00B10085"/>
    <w:rsid w:val="00B1074D"/>
    <w:rsid w:val="00B1097C"/>
    <w:rsid w:val="00B10C8D"/>
    <w:rsid w:val="00B10DE7"/>
    <w:rsid w:val="00B10E11"/>
    <w:rsid w:val="00B111DD"/>
    <w:rsid w:val="00B1125F"/>
    <w:rsid w:val="00B11310"/>
    <w:rsid w:val="00B114EC"/>
    <w:rsid w:val="00B11E8A"/>
    <w:rsid w:val="00B12444"/>
    <w:rsid w:val="00B12B20"/>
    <w:rsid w:val="00B12C99"/>
    <w:rsid w:val="00B13013"/>
    <w:rsid w:val="00B13447"/>
    <w:rsid w:val="00B1348D"/>
    <w:rsid w:val="00B13D6C"/>
    <w:rsid w:val="00B13F0B"/>
    <w:rsid w:val="00B140C9"/>
    <w:rsid w:val="00B14328"/>
    <w:rsid w:val="00B14351"/>
    <w:rsid w:val="00B1445C"/>
    <w:rsid w:val="00B1464B"/>
    <w:rsid w:val="00B1468D"/>
    <w:rsid w:val="00B14BEF"/>
    <w:rsid w:val="00B14CA4"/>
    <w:rsid w:val="00B14DD2"/>
    <w:rsid w:val="00B14E10"/>
    <w:rsid w:val="00B15195"/>
    <w:rsid w:val="00B153C7"/>
    <w:rsid w:val="00B154D4"/>
    <w:rsid w:val="00B1552B"/>
    <w:rsid w:val="00B15745"/>
    <w:rsid w:val="00B157F5"/>
    <w:rsid w:val="00B15826"/>
    <w:rsid w:val="00B1582C"/>
    <w:rsid w:val="00B15DBF"/>
    <w:rsid w:val="00B15EC3"/>
    <w:rsid w:val="00B15F76"/>
    <w:rsid w:val="00B164FC"/>
    <w:rsid w:val="00B16528"/>
    <w:rsid w:val="00B165D1"/>
    <w:rsid w:val="00B16674"/>
    <w:rsid w:val="00B166A3"/>
    <w:rsid w:val="00B16DB9"/>
    <w:rsid w:val="00B16E4F"/>
    <w:rsid w:val="00B17078"/>
    <w:rsid w:val="00B17708"/>
    <w:rsid w:val="00B178C4"/>
    <w:rsid w:val="00B178EB"/>
    <w:rsid w:val="00B17A0D"/>
    <w:rsid w:val="00B17E23"/>
    <w:rsid w:val="00B17EF3"/>
    <w:rsid w:val="00B2011D"/>
    <w:rsid w:val="00B20283"/>
    <w:rsid w:val="00B202B3"/>
    <w:rsid w:val="00B20427"/>
    <w:rsid w:val="00B20B04"/>
    <w:rsid w:val="00B210AE"/>
    <w:rsid w:val="00B211C9"/>
    <w:rsid w:val="00B21343"/>
    <w:rsid w:val="00B21688"/>
    <w:rsid w:val="00B2192D"/>
    <w:rsid w:val="00B21936"/>
    <w:rsid w:val="00B21E96"/>
    <w:rsid w:val="00B22143"/>
    <w:rsid w:val="00B22328"/>
    <w:rsid w:val="00B22376"/>
    <w:rsid w:val="00B2237B"/>
    <w:rsid w:val="00B2248D"/>
    <w:rsid w:val="00B225F9"/>
    <w:rsid w:val="00B22E6E"/>
    <w:rsid w:val="00B22F09"/>
    <w:rsid w:val="00B230DB"/>
    <w:rsid w:val="00B23314"/>
    <w:rsid w:val="00B23359"/>
    <w:rsid w:val="00B2345C"/>
    <w:rsid w:val="00B234B0"/>
    <w:rsid w:val="00B23944"/>
    <w:rsid w:val="00B241AC"/>
    <w:rsid w:val="00B241F4"/>
    <w:rsid w:val="00B245AD"/>
    <w:rsid w:val="00B247B4"/>
    <w:rsid w:val="00B2492E"/>
    <w:rsid w:val="00B24BAF"/>
    <w:rsid w:val="00B24BD4"/>
    <w:rsid w:val="00B26065"/>
    <w:rsid w:val="00B2612D"/>
    <w:rsid w:val="00B263E8"/>
    <w:rsid w:val="00B26487"/>
    <w:rsid w:val="00B265DC"/>
    <w:rsid w:val="00B26B88"/>
    <w:rsid w:val="00B27189"/>
    <w:rsid w:val="00B27385"/>
    <w:rsid w:val="00B274F7"/>
    <w:rsid w:val="00B2758E"/>
    <w:rsid w:val="00B27686"/>
    <w:rsid w:val="00B27962"/>
    <w:rsid w:val="00B27D2D"/>
    <w:rsid w:val="00B300D6"/>
    <w:rsid w:val="00B30175"/>
    <w:rsid w:val="00B30216"/>
    <w:rsid w:val="00B3025F"/>
    <w:rsid w:val="00B3046E"/>
    <w:rsid w:val="00B304A1"/>
    <w:rsid w:val="00B3053A"/>
    <w:rsid w:val="00B305D3"/>
    <w:rsid w:val="00B306F9"/>
    <w:rsid w:val="00B309DD"/>
    <w:rsid w:val="00B30A14"/>
    <w:rsid w:val="00B30A8E"/>
    <w:rsid w:val="00B30F6D"/>
    <w:rsid w:val="00B316F2"/>
    <w:rsid w:val="00B31CD8"/>
    <w:rsid w:val="00B31D5B"/>
    <w:rsid w:val="00B32087"/>
    <w:rsid w:val="00B32274"/>
    <w:rsid w:val="00B3239F"/>
    <w:rsid w:val="00B32481"/>
    <w:rsid w:val="00B324F6"/>
    <w:rsid w:val="00B3250B"/>
    <w:rsid w:val="00B32B49"/>
    <w:rsid w:val="00B32C40"/>
    <w:rsid w:val="00B331E1"/>
    <w:rsid w:val="00B33351"/>
    <w:rsid w:val="00B33AA5"/>
    <w:rsid w:val="00B33BEE"/>
    <w:rsid w:val="00B33D4A"/>
    <w:rsid w:val="00B34053"/>
    <w:rsid w:val="00B3440B"/>
    <w:rsid w:val="00B344AF"/>
    <w:rsid w:val="00B34B26"/>
    <w:rsid w:val="00B34D53"/>
    <w:rsid w:val="00B34DD7"/>
    <w:rsid w:val="00B34F57"/>
    <w:rsid w:val="00B35107"/>
    <w:rsid w:val="00B352AF"/>
    <w:rsid w:val="00B357BC"/>
    <w:rsid w:val="00B35C7E"/>
    <w:rsid w:val="00B35DCE"/>
    <w:rsid w:val="00B35EA1"/>
    <w:rsid w:val="00B35F0A"/>
    <w:rsid w:val="00B363B3"/>
    <w:rsid w:val="00B3695E"/>
    <w:rsid w:val="00B36B39"/>
    <w:rsid w:val="00B36CF5"/>
    <w:rsid w:val="00B36F30"/>
    <w:rsid w:val="00B37202"/>
    <w:rsid w:val="00B37A00"/>
    <w:rsid w:val="00B37D00"/>
    <w:rsid w:val="00B37D5C"/>
    <w:rsid w:val="00B401C4"/>
    <w:rsid w:val="00B408E1"/>
    <w:rsid w:val="00B40BED"/>
    <w:rsid w:val="00B40E63"/>
    <w:rsid w:val="00B40FCD"/>
    <w:rsid w:val="00B4102D"/>
    <w:rsid w:val="00B412BA"/>
    <w:rsid w:val="00B41411"/>
    <w:rsid w:val="00B41B08"/>
    <w:rsid w:val="00B41DE4"/>
    <w:rsid w:val="00B41DE9"/>
    <w:rsid w:val="00B41F71"/>
    <w:rsid w:val="00B4229B"/>
    <w:rsid w:val="00B422A5"/>
    <w:rsid w:val="00B4252A"/>
    <w:rsid w:val="00B42944"/>
    <w:rsid w:val="00B429EF"/>
    <w:rsid w:val="00B42BAE"/>
    <w:rsid w:val="00B43148"/>
    <w:rsid w:val="00B43379"/>
    <w:rsid w:val="00B4355B"/>
    <w:rsid w:val="00B43677"/>
    <w:rsid w:val="00B437F2"/>
    <w:rsid w:val="00B439F1"/>
    <w:rsid w:val="00B43ACB"/>
    <w:rsid w:val="00B43DD0"/>
    <w:rsid w:val="00B43F16"/>
    <w:rsid w:val="00B44482"/>
    <w:rsid w:val="00B44773"/>
    <w:rsid w:val="00B44789"/>
    <w:rsid w:val="00B4488E"/>
    <w:rsid w:val="00B44B99"/>
    <w:rsid w:val="00B45191"/>
    <w:rsid w:val="00B451C3"/>
    <w:rsid w:val="00B4560F"/>
    <w:rsid w:val="00B457CF"/>
    <w:rsid w:val="00B45E2D"/>
    <w:rsid w:val="00B460F7"/>
    <w:rsid w:val="00B46EA6"/>
    <w:rsid w:val="00B46F7B"/>
    <w:rsid w:val="00B46F7F"/>
    <w:rsid w:val="00B47923"/>
    <w:rsid w:val="00B47CC1"/>
    <w:rsid w:val="00B47E6C"/>
    <w:rsid w:val="00B500A3"/>
    <w:rsid w:val="00B50603"/>
    <w:rsid w:val="00B50952"/>
    <w:rsid w:val="00B509F8"/>
    <w:rsid w:val="00B50C2C"/>
    <w:rsid w:val="00B50D87"/>
    <w:rsid w:val="00B50FED"/>
    <w:rsid w:val="00B51111"/>
    <w:rsid w:val="00B5123C"/>
    <w:rsid w:val="00B5141B"/>
    <w:rsid w:val="00B51856"/>
    <w:rsid w:val="00B51AAE"/>
    <w:rsid w:val="00B51B7D"/>
    <w:rsid w:val="00B51F87"/>
    <w:rsid w:val="00B5225B"/>
    <w:rsid w:val="00B524F2"/>
    <w:rsid w:val="00B53207"/>
    <w:rsid w:val="00B53435"/>
    <w:rsid w:val="00B53946"/>
    <w:rsid w:val="00B53D55"/>
    <w:rsid w:val="00B53EE1"/>
    <w:rsid w:val="00B5408A"/>
    <w:rsid w:val="00B54173"/>
    <w:rsid w:val="00B54383"/>
    <w:rsid w:val="00B54853"/>
    <w:rsid w:val="00B548A1"/>
    <w:rsid w:val="00B54D74"/>
    <w:rsid w:val="00B54FA6"/>
    <w:rsid w:val="00B554D7"/>
    <w:rsid w:val="00B556D4"/>
    <w:rsid w:val="00B55F31"/>
    <w:rsid w:val="00B5634D"/>
    <w:rsid w:val="00B563EC"/>
    <w:rsid w:val="00B56598"/>
    <w:rsid w:val="00B5722C"/>
    <w:rsid w:val="00B572DC"/>
    <w:rsid w:val="00B57579"/>
    <w:rsid w:val="00B579CB"/>
    <w:rsid w:val="00B57A8B"/>
    <w:rsid w:val="00B57FBB"/>
    <w:rsid w:val="00B606E5"/>
    <w:rsid w:val="00B60801"/>
    <w:rsid w:val="00B60EE0"/>
    <w:rsid w:val="00B611F9"/>
    <w:rsid w:val="00B613CA"/>
    <w:rsid w:val="00B61628"/>
    <w:rsid w:val="00B61B47"/>
    <w:rsid w:val="00B61DB9"/>
    <w:rsid w:val="00B62133"/>
    <w:rsid w:val="00B62607"/>
    <w:rsid w:val="00B6277B"/>
    <w:rsid w:val="00B62BB0"/>
    <w:rsid w:val="00B62BB7"/>
    <w:rsid w:val="00B62C2C"/>
    <w:rsid w:val="00B632EB"/>
    <w:rsid w:val="00B6339D"/>
    <w:rsid w:val="00B63A15"/>
    <w:rsid w:val="00B64277"/>
    <w:rsid w:val="00B643B9"/>
    <w:rsid w:val="00B644AE"/>
    <w:rsid w:val="00B6490E"/>
    <w:rsid w:val="00B649DA"/>
    <w:rsid w:val="00B64B7E"/>
    <w:rsid w:val="00B64C50"/>
    <w:rsid w:val="00B6510D"/>
    <w:rsid w:val="00B6516A"/>
    <w:rsid w:val="00B654D6"/>
    <w:rsid w:val="00B65595"/>
    <w:rsid w:val="00B65A6D"/>
    <w:rsid w:val="00B65A81"/>
    <w:rsid w:val="00B65B7A"/>
    <w:rsid w:val="00B65EE6"/>
    <w:rsid w:val="00B66042"/>
    <w:rsid w:val="00B662EC"/>
    <w:rsid w:val="00B66AEE"/>
    <w:rsid w:val="00B66D6A"/>
    <w:rsid w:val="00B66DA2"/>
    <w:rsid w:val="00B6706D"/>
    <w:rsid w:val="00B6738F"/>
    <w:rsid w:val="00B674FC"/>
    <w:rsid w:val="00B67B47"/>
    <w:rsid w:val="00B70241"/>
    <w:rsid w:val="00B7068B"/>
    <w:rsid w:val="00B70BBD"/>
    <w:rsid w:val="00B70FB4"/>
    <w:rsid w:val="00B710C3"/>
    <w:rsid w:val="00B713BF"/>
    <w:rsid w:val="00B714E2"/>
    <w:rsid w:val="00B714E4"/>
    <w:rsid w:val="00B71707"/>
    <w:rsid w:val="00B718F7"/>
    <w:rsid w:val="00B71951"/>
    <w:rsid w:val="00B71A00"/>
    <w:rsid w:val="00B71AAA"/>
    <w:rsid w:val="00B72021"/>
    <w:rsid w:val="00B72260"/>
    <w:rsid w:val="00B72352"/>
    <w:rsid w:val="00B72696"/>
    <w:rsid w:val="00B72811"/>
    <w:rsid w:val="00B72B5D"/>
    <w:rsid w:val="00B72C8B"/>
    <w:rsid w:val="00B73239"/>
    <w:rsid w:val="00B73BDC"/>
    <w:rsid w:val="00B741FA"/>
    <w:rsid w:val="00B746D6"/>
    <w:rsid w:val="00B74A12"/>
    <w:rsid w:val="00B74BD8"/>
    <w:rsid w:val="00B74D1A"/>
    <w:rsid w:val="00B750D3"/>
    <w:rsid w:val="00B75108"/>
    <w:rsid w:val="00B753EA"/>
    <w:rsid w:val="00B75717"/>
    <w:rsid w:val="00B7577F"/>
    <w:rsid w:val="00B75EA1"/>
    <w:rsid w:val="00B761A2"/>
    <w:rsid w:val="00B764C5"/>
    <w:rsid w:val="00B7662D"/>
    <w:rsid w:val="00B76AB9"/>
    <w:rsid w:val="00B76CD7"/>
    <w:rsid w:val="00B76FA0"/>
    <w:rsid w:val="00B77532"/>
    <w:rsid w:val="00B77A31"/>
    <w:rsid w:val="00B77CF5"/>
    <w:rsid w:val="00B77D68"/>
    <w:rsid w:val="00B77D8F"/>
    <w:rsid w:val="00B8015E"/>
    <w:rsid w:val="00B80259"/>
    <w:rsid w:val="00B8049B"/>
    <w:rsid w:val="00B8061E"/>
    <w:rsid w:val="00B80651"/>
    <w:rsid w:val="00B8072B"/>
    <w:rsid w:val="00B80966"/>
    <w:rsid w:val="00B80A78"/>
    <w:rsid w:val="00B80A7C"/>
    <w:rsid w:val="00B80CF6"/>
    <w:rsid w:val="00B80F50"/>
    <w:rsid w:val="00B813D3"/>
    <w:rsid w:val="00B813D9"/>
    <w:rsid w:val="00B8148F"/>
    <w:rsid w:val="00B816EE"/>
    <w:rsid w:val="00B81757"/>
    <w:rsid w:val="00B81A2C"/>
    <w:rsid w:val="00B81C8D"/>
    <w:rsid w:val="00B81DEA"/>
    <w:rsid w:val="00B81F45"/>
    <w:rsid w:val="00B81F52"/>
    <w:rsid w:val="00B81F8D"/>
    <w:rsid w:val="00B8226A"/>
    <w:rsid w:val="00B82346"/>
    <w:rsid w:val="00B8253B"/>
    <w:rsid w:val="00B825EB"/>
    <w:rsid w:val="00B8260F"/>
    <w:rsid w:val="00B82747"/>
    <w:rsid w:val="00B82988"/>
    <w:rsid w:val="00B82B13"/>
    <w:rsid w:val="00B82BB6"/>
    <w:rsid w:val="00B82CE1"/>
    <w:rsid w:val="00B82F0C"/>
    <w:rsid w:val="00B8300B"/>
    <w:rsid w:val="00B833EF"/>
    <w:rsid w:val="00B836D6"/>
    <w:rsid w:val="00B83D51"/>
    <w:rsid w:val="00B83FF6"/>
    <w:rsid w:val="00B843C7"/>
    <w:rsid w:val="00B84C49"/>
    <w:rsid w:val="00B84D94"/>
    <w:rsid w:val="00B85005"/>
    <w:rsid w:val="00B8514D"/>
    <w:rsid w:val="00B855C5"/>
    <w:rsid w:val="00B85693"/>
    <w:rsid w:val="00B857A6"/>
    <w:rsid w:val="00B857CA"/>
    <w:rsid w:val="00B8582F"/>
    <w:rsid w:val="00B85B83"/>
    <w:rsid w:val="00B85D66"/>
    <w:rsid w:val="00B86B86"/>
    <w:rsid w:val="00B86EAC"/>
    <w:rsid w:val="00B87868"/>
    <w:rsid w:val="00B878AB"/>
    <w:rsid w:val="00B87B03"/>
    <w:rsid w:val="00B900EE"/>
    <w:rsid w:val="00B901FF"/>
    <w:rsid w:val="00B90282"/>
    <w:rsid w:val="00B90304"/>
    <w:rsid w:val="00B90654"/>
    <w:rsid w:val="00B9079D"/>
    <w:rsid w:val="00B90AE2"/>
    <w:rsid w:val="00B90AFE"/>
    <w:rsid w:val="00B91453"/>
    <w:rsid w:val="00B91880"/>
    <w:rsid w:val="00B91A05"/>
    <w:rsid w:val="00B91D24"/>
    <w:rsid w:val="00B91D9C"/>
    <w:rsid w:val="00B91E61"/>
    <w:rsid w:val="00B91ECC"/>
    <w:rsid w:val="00B91FD0"/>
    <w:rsid w:val="00B92063"/>
    <w:rsid w:val="00B92293"/>
    <w:rsid w:val="00B92512"/>
    <w:rsid w:val="00B9297B"/>
    <w:rsid w:val="00B92A2F"/>
    <w:rsid w:val="00B92D8B"/>
    <w:rsid w:val="00B931B6"/>
    <w:rsid w:val="00B93283"/>
    <w:rsid w:val="00B93334"/>
    <w:rsid w:val="00B9384E"/>
    <w:rsid w:val="00B939AF"/>
    <w:rsid w:val="00B93BE9"/>
    <w:rsid w:val="00B941F2"/>
    <w:rsid w:val="00B9463D"/>
    <w:rsid w:val="00B94661"/>
    <w:rsid w:val="00B94695"/>
    <w:rsid w:val="00B94948"/>
    <w:rsid w:val="00B94A65"/>
    <w:rsid w:val="00B94B1C"/>
    <w:rsid w:val="00B94B53"/>
    <w:rsid w:val="00B94C67"/>
    <w:rsid w:val="00B94C8C"/>
    <w:rsid w:val="00B94CE1"/>
    <w:rsid w:val="00B94E20"/>
    <w:rsid w:val="00B95430"/>
    <w:rsid w:val="00B95597"/>
    <w:rsid w:val="00B95642"/>
    <w:rsid w:val="00B9588C"/>
    <w:rsid w:val="00B95A1D"/>
    <w:rsid w:val="00B9601C"/>
    <w:rsid w:val="00B96306"/>
    <w:rsid w:val="00B963E8"/>
    <w:rsid w:val="00B96421"/>
    <w:rsid w:val="00B96548"/>
    <w:rsid w:val="00B965EC"/>
    <w:rsid w:val="00B966CD"/>
    <w:rsid w:val="00B96703"/>
    <w:rsid w:val="00B96E81"/>
    <w:rsid w:val="00B973E9"/>
    <w:rsid w:val="00B9759A"/>
    <w:rsid w:val="00B97A77"/>
    <w:rsid w:val="00BA0797"/>
    <w:rsid w:val="00BA09B7"/>
    <w:rsid w:val="00BA0D7D"/>
    <w:rsid w:val="00BA0E20"/>
    <w:rsid w:val="00BA0E98"/>
    <w:rsid w:val="00BA1385"/>
    <w:rsid w:val="00BA13F7"/>
    <w:rsid w:val="00BA1531"/>
    <w:rsid w:val="00BA15FA"/>
    <w:rsid w:val="00BA1731"/>
    <w:rsid w:val="00BA189A"/>
    <w:rsid w:val="00BA1959"/>
    <w:rsid w:val="00BA1A7E"/>
    <w:rsid w:val="00BA1D01"/>
    <w:rsid w:val="00BA1E60"/>
    <w:rsid w:val="00BA218E"/>
    <w:rsid w:val="00BA21C4"/>
    <w:rsid w:val="00BA2813"/>
    <w:rsid w:val="00BA291F"/>
    <w:rsid w:val="00BA2A8B"/>
    <w:rsid w:val="00BA2C7A"/>
    <w:rsid w:val="00BA309C"/>
    <w:rsid w:val="00BA311A"/>
    <w:rsid w:val="00BA3157"/>
    <w:rsid w:val="00BA3787"/>
    <w:rsid w:val="00BA38AA"/>
    <w:rsid w:val="00BA39C1"/>
    <w:rsid w:val="00BA3A39"/>
    <w:rsid w:val="00BA3A70"/>
    <w:rsid w:val="00BA3C93"/>
    <w:rsid w:val="00BA41D7"/>
    <w:rsid w:val="00BA41F1"/>
    <w:rsid w:val="00BA4570"/>
    <w:rsid w:val="00BA47ED"/>
    <w:rsid w:val="00BA4A44"/>
    <w:rsid w:val="00BA4B54"/>
    <w:rsid w:val="00BA4CA8"/>
    <w:rsid w:val="00BA4DEF"/>
    <w:rsid w:val="00BA5365"/>
    <w:rsid w:val="00BA569B"/>
    <w:rsid w:val="00BA5ABA"/>
    <w:rsid w:val="00BA5DEE"/>
    <w:rsid w:val="00BA5E5D"/>
    <w:rsid w:val="00BA5FB3"/>
    <w:rsid w:val="00BA609A"/>
    <w:rsid w:val="00BA6345"/>
    <w:rsid w:val="00BA7285"/>
    <w:rsid w:val="00BA741B"/>
    <w:rsid w:val="00BA77C8"/>
    <w:rsid w:val="00BA78C7"/>
    <w:rsid w:val="00BA79A1"/>
    <w:rsid w:val="00BA79FF"/>
    <w:rsid w:val="00BA7CE9"/>
    <w:rsid w:val="00BA7D70"/>
    <w:rsid w:val="00BA7E54"/>
    <w:rsid w:val="00BA7FA4"/>
    <w:rsid w:val="00BB0168"/>
    <w:rsid w:val="00BB01F9"/>
    <w:rsid w:val="00BB03C0"/>
    <w:rsid w:val="00BB0BE5"/>
    <w:rsid w:val="00BB0C26"/>
    <w:rsid w:val="00BB10D2"/>
    <w:rsid w:val="00BB1108"/>
    <w:rsid w:val="00BB11D6"/>
    <w:rsid w:val="00BB13D3"/>
    <w:rsid w:val="00BB1701"/>
    <w:rsid w:val="00BB1935"/>
    <w:rsid w:val="00BB211F"/>
    <w:rsid w:val="00BB2247"/>
    <w:rsid w:val="00BB2793"/>
    <w:rsid w:val="00BB279B"/>
    <w:rsid w:val="00BB2A35"/>
    <w:rsid w:val="00BB2ADE"/>
    <w:rsid w:val="00BB2B84"/>
    <w:rsid w:val="00BB2BE7"/>
    <w:rsid w:val="00BB3517"/>
    <w:rsid w:val="00BB3550"/>
    <w:rsid w:val="00BB36D2"/>
    <w:rsid w:val="00BB394B"/>
    <w:rsid w:val="00BB3A0B"/>
    <w:rsid w:val="00BB3A5C"/>
    <w:rsid w:val="00BB3C94"/>
    <w:rsid w:val="00BB3DB1"/>
    <w:rsid w:val="00BB4174"/>
    <w:rsid w:val="00BB457C"/>
    <w:rsid w:val="00BB46D6"/>
    <w:rsid w:val="00BB4AA6"/>
    <w:rsid w:val="00BB5221"/>
    <w:rsid w:val="00BB5390"/>
    <w:rsid w:val="00BB5537"/>
    <w:rsid w:val="00BB5568"/>
    <w:rsid w:val="00BB5590"/>
    <w:rsid w:val="00BB57FB"/>
    <w:rsid w:val="00BB5A3D"/>
    <w:rsid w:val="00BB5F2A"/>
    <w:rsid w:val="00BB6502"/>
    <w:rsid w:val="00BB6707"/>
    <w:rsid w:val="00BB6878"/>
    <w:rsid w:val="00BB68B3"/>
    <w:rsid w:val="00BB6A28"/>
    <w:rsid w:val="00BB6AD4"/>
    <w:rsid w:val="00BB6D74"/>
    <w:rsid w:val="00BB74E6"/>
    <w:rsid w:val="00BB7E20"/>
    <w:rsid w:val="00BC058D"/>
    <w:rsid w:val="00BC0D2E"/>
    <w:rsid w:val="00BC0E97"/>
    <w:rsid w:val="00BC1468"/>
    <w:rsid w:val="00BC1752"/>
    <w:rsid w:val="00BC17E0"/>
    <w:rsid w:val="00BC1833"/>
    <w:rsid w:val="00BC2442"/>
    <w:rsid w:val="00BC25CE"/>
    <w:rsid w:val="00BC26E6"/>
    <w:rsid w:val="00BC2BE9"/>
    <w:rsid w:val="00BC2EC1"/>
    <w:rsid w:val="00BC32FB"/>
    <w:rsid w:val="00BC342E"/>
    <w:rsid w:val="00BC360D"/>
    <w:rsid w:val="00BC3803"/>
    <w:rsid w:val="00BC3898"/>
    <w:rsid w:val="00BC3AA1"/>
    <w:rsid w:val="00BC3ABC"/>
    <w:rsid w:val="00BC3DD1"/>
    <w:rsid w:val="00BC3E19"/>
    <w:rsid w:val="00BC3F01"/>
    <w:rsid w:val="00BC3F3D"/>
    <w:rsid w:val="00BC4059"/>
    <w:rsid w:val="00BC4065"/>
    <w:rsid w:val="00BC4103"/>
    <w:rsid w:val="00BC44E9"/>
    <w:rsid w:val="00BC46A7"/>
    <w:rsid w:val="00BC4931"/>
    <w:rsid w:val="00BC4F35"/>
    <w:rsid w:val="00BC4F3C"/>
    <w:rsid w:val="00BC5C4B"/>
    <w:rsid w:val="00BC5E5F"/>
    <w:rsid w:val="00BC6396"/>
    <w:rsid w:val="00BC64BE"/>
    <w:rsid w:val="00BC64D4"/>
    <w:rsid w:val="00BC6635"/>
    <w:rsid w:val="00BC69EC"/>
    <w:rsid w:val="00BC69F6"/>
    <w:rsid w:val="00BC6C12"/>
    <w:rsid w:val="00BC6E4E"/>
    <w:rsid w:val="00BC703B"/>
    <w:rsid w:val="00BC7328"/>
    <w:rsid w:val="00BC74F8"/>
    <w:rsid w:val="00BC7621"/>
    <w:rsid w:val="00BC7670"/>
    <w:rsid w:val="00BC782E"/>
    <w:rsid w:val="00BC78F8"/>
    <w:rsid w:val="00BC7B47"/>
    <w:rsid w:val="00BC7D74"/>
    <w:rsid w:val="00BD01BA"/>
    <w:rsid w:val="00BD03FA"/>
    <w:rsid w:val="00BD04DC"/>
    <w:rsid w:val="00BD0CC4"/>
    <w:rsid w:val="00BD0F14"/>
    <w:rsid w:val="00BD0F1B"/>
    <w:rsid w:val="00BD0F69"/>
    <w:rsid w:val="00BD0F70"/>
    <w:rsid w:val="00BD1142"/>
    <w:rsid w:val="00BD11C8"/>
    <w:rsid w:val="00BD176F"/>
    <w:rsid w:val="00BD1A76"/>
    <w:rsid w:val="00BD1B4B"/>
    <w:rsid w:val="00BD23C4"/>
    <w:rsid w:val="00BD25F1"/>
    <w:rsid w:val="00BD289D"/>
    <w:rsid w:val="00BD33AB"/>
    <w:rsid w:val="00BD348B"/>
    <w:rsid w:val="00BD4436"/>
    <w:rsid w:val="00BD4734"/>
    <w:rsid w:val="00BD4A94"/>
    <w:rsid w:val="00BD4C47"/>
    <w:rsid w:val="00BD4D00"/>
    <w:rsid w:val="00BD4E19"/>
    <w:rsid w:val="00BD5359"/>
    <w:rsid w:val="00BD56C0"/>
    <w:rsid w:val="00BD599D"/>
    <w:rsid w:val="00BD5B5E"/>
    <w:rsid w:val="00BD5B75"/>
    <w:rsid w:val="00BD5CF9"/>
    <w:rsid w:val="00BD605A"/>
    <w:rsid w:val="00BD60CE"/>
    <w:rsid w:val="00BD6400"/>
    <w:rsid w:val="00BD6706"/>
    <w:rsid w:val="00BD674B"/>
    <w:rsid w:val="00BD7926"/>
    <w:rsid w:val="00BD79DA"/>
    <w:rsid w:val="00BD7F80"/>
    <w:rsid w:val="00BE080A"/>
    <w:rsid w:val="00BE080F"/>
    <w:rsid w:val="00BE0A5F"/>
    <w:rsid w:val="00BE0F09"/>
    <w:rsid w:val="00BE172B"/>
    <w:rsid w:val="00BE181D"/>
    <w:rsid w:val="00BE1FB1"/>
    <w:rsid w:val="00BE202D"/>
    <w:rsid w:val="00BE22CC"/>
    <w:rsid w:val="00BE232D"/>
    <w:rsid w:val="00BE2455"/>
    <w:rsid w:val="00BE25E3"/>
    <w:rsid w:val="00BE264D"/>
    <w:rsid w:val="00BE265B"/>
    <w:rsid w:val="00BE2A12"/>
    <w:rsid w:val="00BE2CA9"/>
    <w:rsid w:val="00BE2F58"/>
    <w:rsid w:val="00BE3AF0"/>
    <w:rsid w:val="00BE3C51"/>
    <w:rsid w:val="00BE3C78"/>
    <w:rsid w:val="00BE3E0C"/>
    <w:rsid w:val="00BE47F2"/>
    <w:rsid w:val="00BE4938"/>
    <w:rsid w:val="00BE49CD"/>
    <w:rsid w:val="00BE4D78"/>
    <w:rsid w:val="00BE4ED1"/>
    <w:rsid w:val="00BE5207"/>
    <w:rsid w:val="00BE5278"/>
    <w:rsid w:val="00BE54A5"/>
    <w:rsid w:val="00BE5A9D"/>
    <w:rsid w:val="00BE5DF0"/>
    <w:rsid w:val="00BE5F48"/>
    <w:rsid w:val="00BE600F"/>
    <w:rsid w:val="00BE65E9"/>
    <w:rsid w:val="00BE725C"/>
    <w:rsid w:val="00BE79D3"/>
    <w:rsid w:val="00BE7B6D"/>
    <w:rsid w:val="00BE7CDD"/>
    <w:rsid w:val="00BE7D92"/>
    <w:rsid w:val="00BF03BE"/>
    <w:rsid w:val="00BF051B"/>
    <w:rsid w:val="00BF0614"/>
    <w:rsid w:val="00BF08A0"/>
    <w:rsid w:val="00BF0963"/>
    <w:rsid w:val="00BF09FC"/>
    <w:rsid w:val="00BF0C17"/>
    <w:rsid w:val="00BF0D16"/>
    <w:rsid w:val="00BF0E17"/>
    <w:rsid w:val="00BF10D9"/>
    <w:rsid w:val="00BF1250"/>
    <w:rsid w:val="00BF135A"/>
    <w:rsid w:val="00BF13B0"/>
    <w:rsid w:val="00BF14CA"/>
    <w:rsid w:val="00BF159F"/>
    <w:rsid w:val="00BF16A3"/>
    <w:rsid w:val="00BF18B1"/>
    <w:rsid w:val="00BF1AF3"/>
    <w:rsid w:val="00BF22ED"/>
    <w:rsid w:val="00BF23D7"/>
    <w:rsid w:val="00BF27F4"/>
    <w:rsid w:val="00BF2A84"/>
    <w:rsid w:val="00BF382D"/>
    <w:rsid w:val="00BF3977"/>
    <w:rsid w:val="00BF3BAB"/>
    <w:rsid w:val="00BF3BC6"/>
    <w:rsid w:val="00BF3D08"/>
    <w:rsid w:val="00BF3E42"/>
    <w:rsid w:val="00BF40D4"/>
    <w:rsid w:val="00BF41E3"/>
    <w:rsid w:val="00BF42AB"/>
    <w:rsid w:val="00BF45CB"/>
    <w:rsid w:val="00BF476A"/>
    <w:rsid w:val="00BF47FC"/>
    <w:rsid w:val="00BF4832"/>
    <w:rsid w:val="00BF4F97"/>
    <w:rsid w:val="00BF53C9"/>
    <w:rsid w:val="00BF56B0"/>
    <w:rsid w:val="00BF58DE"/>
    <w:rsid w:val="00BF64E9"/>
    <w:rsid w:val="00BF67A3"/>
    <w:rsid w:val="00BF6A02"/>
    <w:rsid w:val="00BF6B11"/>
    <w:rsid w:val="00BF6B3F"/>
    <w:rsid w:val="00BF7038"/>
    <w:rsid w:val="00BF71EE"/>
    <w:rsid w:val="00BF7742"/>
    <w:rsid w:val="00BF789B"/>
    <w:rsid w:val="00BF7A66"/>
    <w:rsid w:val="00BF7B4F"/>
    <w:rsid w:val="00BF7E90"/>
    <w:rsid w:val="00BF7EC2"/>
    <w:rsid w:val="00C00052"/>
    <w:rsid w:val="00C00210"/>
    <w:rsid w:val="00C00360"/>
    <w:rsid w:val="00C0059C"/>
    <w:rsid w:val="00C006C4"/>
    <w:rsid w:val="00C00A69"/>
    <w:rsid w:val="00C01468"/>
    <w:rsid w:val="00C014F8"/>
    <w:rsid w:val="00C01753"/>
    <w:rsid w:val="00C01AE7"/>
    <w:rsid w:val="00C01ED2"/>
    <w:rsid w:val="00C01FEF"/>
    <w:rsid w:val="00C01FF3"/>
    <w:rsid w:val="00C026B2"/>
    <w:rsid w:val="00C0274E"/>
    <w:rsid w:val="00C02C9B"/>
    <w:rsid w:val="00C03218"/>
    <w:rsid w:val="00C035F1"/>
    <w:rsid w:val="00C039D2"/>
    <w:rsid w:val="00C03F69"/>
    <w:rsid w:val="00C03FE7"/>
    <w:rsid w:val="00C0433F"/>
    <w:rsid w:val="00C04485"/>
    <w:rsid w:val="00C04C85"/>
    <w:rsid w:val="00C05084"/>
    <w:rsid w:val="00C053E7"/>
    <w:rsid w:val="00C055D8"/>
    <w:rsid w:val="00C05842"/>
    <w:rsid w:val="00C0592C"/>
    <w:rsid w:val="00C05985"/>
    <w:rsid w:val="00C059BF"/>
    <w:rsid w:val="00C05B62"/>
    <w:rsid w:val="00C0609E"/>
    <w:rsid w:val="00C062E0"/>
    <w:rsid w:val="00C0636F"/>
    <w:rsid w:val="00C065C5"/>
    <w:rsid w:val="00C06A3B"/>
    <w:rsid w:val="00C06E85"/>
    <w:rsid w:val="00C06EE3"/>
    <w:rsid w:val="00C06FDD"/>
    <w:rsid w:val="00C0714E"/>
    <w:rsid w:val="00C07590"/>
    <w:rsid w:val="00C079A3"/>
    <w:rsid w:val="00C07B25"/>
    <w:rsid w:val="00C07BFC"/>
    <w:rsid w:val="00C07C10"/>
    <w:rsid w:val="00C07E22"/>
    <w:rsid w:val="00C1024E"/>
    <w:rsid w:val="00C10275"/>
    <w:rsid w:val="00C104AF"/>
    <w:rsid w:val="00C10890"/>
    <w:rsid w:val="00C108C1"/>
    <w:rsid w:val="00C10A95"/>
    <w:rsid w:val="00C10DFB"/>
    <w:rsid w:val="00C11672"/>
    <w:rsid w:val="00C11717"/>
    <w:rsid w:val="00C11800"/>
    <w:rsid w:val="00C11B40"/>
    <w:rsid w:val="00C11D2C"/>
    <w:rsid w:val="00C1243C"/>
    <w:rsid w:val="00C12511"/>
    <w:rsid w:val="00C132B4"/>
    <w:rsid w:val="00C13436"/>
    <w:rsid w:val="00C134BE"/>
    <w:rsid w:val="00C13977"/>
    <w:rsid w:val="00C13A7C"/>
    <w:rsid w:val="00C144E7"/>
    <w:rsid w:val="00C147BE"/>
    <w:rsid w:val="00C148D7"/>
    <w:rsid w:val="00C14A9A"/>
    <w:rsid w:val="00C14B40"/>
    <w:rsid w:val="00C14C5B"/>
    <w:rsid w:val="00C1533F"/>
    <w:rsid w:val="00C15504"/>
    <w:rsid w:val="00C15C9D"/>
    <w:rsid w:val="00C15D32"/>
    <w:rsid w:val="00C16085"/>
    <w:rsid w:val="00C1645D"/>
    <w:rsid w:val="00C167B4"/>
    <w:rsid w:val="00C16875"/>
    <w:rsid w:val="00C16C9D"/>
    <w:rsid w:val="00C16FE7"/>
    <w:rsid w:val="00C16FEF"/>
    <w:rsid w:val="00C17044"/>
    <w:rsid w:val="00C172E6"/>
    <w:rsid w:val="00C1732C"/>
    <w:rsid w:val="00C17544"/>
    <w:rsid w:val="00C1754E"/>
    <w:rsid w:val="00C179A3"/>
    <w:rsid w:val="00C17A35"/>
    <w:rsid w:val="00C17D66"/>
    <w:rsid w:val="00C17FBD"/>
    <w:rsid w:val="00C208EE"/>
    <w:rsid w:val="00C209EC"/>
    <w:rsid w:val="00C20CD0"/>
    <w:rsid w:val="00C20CD4"/>
    <w:rsid w:val="00C2158C"/>
    <w:rsid w:val="00C217D5"/>
    <w:rsid w:val="00C22306"/>
    <w:rsid w:val="00C223EB"/>
    <w:rsid w:val="00C22512"/>
    <w:rsid w:val="00C225C5"/>
    <w:rsid w:val="00C22646"/>
    <w:rsid w:val="00C226C8"/>
    <w:rsid w:val="00C22AC3"/>
    <w:rsid w:val="00C22C1D"/>
    <w:rsid w:val="00C22C67"/>
    <w:rsid w:val="00C2306D"/>
    <w:rsid w:val="00C23107"/>
    <w:rsid w:val="00C2314B"/>
    <w:rsid w:val="00C2355E"/>
    <w:rsid w:val="00C23F3A"/>
    <w:rsid w:val="00C24007"/>
    <w:rsid w:val="00C2420E"/>
    <w:rsid w:val="00C245C0"/>
    <w:rsid w:val="00C24697"/>
    <w:rsid w:val="00C24A09"/>
    <w:rsid w:val="00C24D85"/>
    <w:rsid w:val="00C25157"/>
    <w:rsid w:val="00C25370"/>
    <w:rsid w:val="00C25877"/>
    <w:rsid w:val="00C25BF3"/>
    <w:rsid w:val="00C25D2F"/>
    <w:rsid w:val="00C25DFB"/>
    <w:rsid w:val="00C2631B"/>
    <w:rsid w:val="00C2638C"/>
    <w:rsid w:val="00C264A2"/>
    <w:rsid w:val="00C2655C"/>
    <w:rsid w:val="00C26842"/>
    <w:rsid w:val="00C26A63"/>
    <w:rsid w:val="00C26B47"/>
    <w:rsid w:val="00C26C64"/>
    <w:rsid w:val="00C26CA5"/>
    <w:rsid w:val="00C26D1C"/>
    <w:rsid w:val="00C26D35"/>
    <w:rsid w:val="00C270A4"/>
    <w:rsid w:val="00C27156"/>
    <w:rsid w:val="00C271C1"/>
    <w:rsid w:val="00C274BC"/>
    <w:rsid w:val="00C276A7"/>
    <w:rsid w:val="00C276D2"/>
    <w:rsid w:val="00C27B05"/>
    <w:rsid w:val="00C27B80"/>
    <w:rsid w:val="00C30120"/>
    <w:rsid w:val="00C30234"/>
    <w:rsid w:val="00C303CF"/>
    <w:rsid w:val="00C30467"/>
    <w:rsid w:val="00C30A0E"/>
    <w:rsid w:val="00C30BFD"/>
    <w:rsid w:val="00C315DE"/>
    <w:rsid w:val="00C31B7C"/>
    <w:rsid w:val="00C32056"/>
    <w:rsid w:val="00C320B8"/>
    <w:rsid w:val="00C32778"/>
    <w:rsid w:val="00C32E82"/>
    <w:rsid w:val="00C334CD"/>
    <w:rsid w:val="00C3350B"/>
    <w:rsid w:val="00C33729"/>
    <w:rsid w:val="00C33851"/>
    <w:rsid w:val="00C338D2"/>
    <w:rsid w:val="00C339F8"/>
    <w:rsid w:val="00C34549"/>
    <w:rsid w:val="00C3475D"/>
    <w:rsid w:val="00C35628"/>
    <w:rsid w:val="00C35890"/>
    <w:rsid w:val="00C35A07"/>
    <w:rsid w:val="00C35BA9"/>
    <w:rsid w:val="00C35F06"/>
    <w:rsid w:val="00C35F37"/>
    <w:rsid w:val="00C360C1"/>
    <w:rsid w:val="00C362D1"/>
    <w:rsid w:val="00C36376"/>
    <w:rsid w:val="00C367BB"/>
    <w:rsid w:val="00C3690F"/>
    <w:rsid w:val="00C369F7"/>
    <w:rsid w:val="00C36A66"/>
    <w:rsid w:val="00C36BBB"/>
    <w:rsid w:val="00C370F4"/>
    <w:rsid w:val="00C377AB"/>
    <w:rsid w:val="00C37921"/>
    <w:rsid w:val="00C400C4"/>
    <w:rsid w:val="00C4036A"/>
    <w:rsid w:val="00C40518"/>
    <w:rsid w:val="00C410D0"/>
    <w:rsid w:val="00C411B3"/>
    <w:rsid w:val="00C41223"/>
    <w:rsid w:val="00C41DC6"/>
    <w:rsid w:val="00C41F14"/>
    <w:rsid w:val="00C41F61"/>
    <w:rsid w:val="00C42161"/>
    <w:rsid w:val="00C42293"/>
    <w:rsid w:val="00C42823"/>
    <w:rsid w:val="00C429E1"/>
    <w:rsid w:val="00C42BA3"/>
    <w:rsid w:val="00C42C35"/>
    <w:rsid w:val="00C42CB1"/>
    <w:rsid w:val="00C42D77"/>
    <w:rsid w:val="00C42E12"/>
    <w:rsid w:val="00C42E6C"/>
    <w:rsid w:val="00C4366B"/>
    <w:rsid w:val="00C43977"/>
    <w:rsid w:val="00C43AB9"/>
    <w:rsid w:val="00C44162"/>
    <w:rsid w:val="00C4442D"/>
    <w:rsid w:val="00C44459"/>
    <w:rsid w:val="00C444A8"/>
    <w:rsid w:val="00C447AE"/>
    <w:rsid w:val="00C447DA"/>
    <w:rsid w:val="00C4482A"/>
    <w:rsid w:val="00C44843"/>
    <w:rsid w:val="00C44F71"/>
    <w:rsid w:val="00C4504C"/>
    <w:rsid w:val="00C45363"/>
    <w:rsid w:val="00C4540A"/>
    <w:rsid w:val="00C45466"/>
    <w:rsid w:val="00C456DA"/>
    <w:rsid w:val="00C456DF"/>
    <w:rsid w:val="00C45EFB"/>
    <w:rsid w:val="00C46020"/>
    <w:rsid w:val="00C4622B"/>
    <w:rsid w:val="00C462D3"/>
    <w:rsid w:val="00C4691E"/>
    <w:rsid w:val="00C4699B"/>
    <w:rsid w:val="00C46F90"/>
    <w:rsid w:val="00C471EA"/>
    <w:rsid w:val="00C475EF"/>
    <w:rsid w:val="00C477A9"/>
    <w:rsid w:val="00C47B76"/>
    <w:rsid w:val="00C47F8E"/>
    <w:rsid w:val="00C47FC4"/>
    <w:rsid w:val="00C5000B"/>
    <w:rsid w:val="00C50015"/>
    <w:rsid w:val="00C500C2"/>
    <w:rsid w:val="00C50440"/>
    <w:rsid w:val="00C50820"/>
    <w:rsid w:val="00C50D07"/>
    <w:rsid w:val="00C510D3"/>
    <w:rsid w:val="00C51207"/>
    <w:rsid w:val="00C51285"/>
    <w:rsid w:val="00C516CC"/>
    <w:rsid w:val="00C517F6"/>
    <w:rsid w:val="00C51834"/>
    <w:rsid w:val="00C51B8F"/>
    <w:rsid w:val="00C51BC5"/>
    <w:rsid w:val="00C51CFC"/>
    <w:rsid w:val="00C5235A"/>
    <w:rsid w:val="00C52384"/>
    <w:rsid w:val="00C529A5"/>
    <w:rsid w:val="00C52D50"/>
    <w:rsid w:val="00C531FD"/>
    <w:rsid w:val="00C534C4"/>
    <w:rsid w:val="00C534EE"/>
    <w:rsid w:val="00C5358F"/>
    <w:rsid w:val="00C535F2"/>
    <w:rsid w:val="00C53618"/>
    <w:rsid w:val="00C537AC"/>
    <w:rsid w:val="00C53B6D"/>
    <w:rsid w:val="00C53BF3"/>
    <w:rsid w:val="00C53C9E"/>
    <w:rsid w:val="00C53D99"/>
    <w:rsid w:val="00C541CA"/>
    <w:rsid w:val="00C541DE"/>
    <w:rsid w:val="00C54896"/>
    <w:rsid w:val="00C5491A"/>
    <w:rsid w:val="00C54A4C"/>
    <w:rsid w:val="00C54E75"/>
    <w:rsid w:val="00C54FDB"/>
    <w:rsid w:val="00C55DF7"/>
    <w:rsid w:val="00C55E12"/>
    <w:rsid w:val="00C55F15"/>
    <w:rsid w:val="00C55F1B"/>
    <w:rsid w:val="00C5605C"/>
    <w:rsid w:val="00C561CE"/>
    <w:rsid w:val="00C5653B"/>
    <w:rsid w:val="00C56756"/>
    <w:rsid w:val="00C56AC3"/>
    <w:rsid w:val="00C56AEB"/>
    <w:rsid w:val="00C56C33"/>
    <w:rsid w:val="00C57156"/>
    <w:rsid w:val="00C57675"/>
    <w:rsid w:val="00C57813"/>
    <w:rsid w:val="00C57F58"/>
    <w:rsid w:val="00C60797"/>
    <w:rsid w:val="00C608B4"/>
    <w:rsid w:val="00C60E47"/>
    <w:rsid w:val="00C610CC"/>
    <w:rsid w:val="00C611ED"/>
    <w:rsid w:val="00C61404"/>
    <w:rsid w:val="00C614B1"/>
    <w:rsid w:val="00C61A79"/>
    <w:rsid w:val="00C61BE2"/>
    <w:rsid w:val="00C61C0C"/>
    <w:rsid w:val="00C61C69"/>
    <w:rsid w:val="00C61CEB"/>
    <w:rsid w:val="00C6233D"/>
    <w:rsid w:val="00C62A5E"/>
    <w:rsid w:val="00C62DD4"/>
    <w:rsid w:val="00C6317B"/>
    <w:rsid w:val="00C631A6"/>
    <w:rsid w:val="00C632F8"/>
    <w:rsid w:val="00C63500"/>
    <w:rsid w:val="00C639A5"/>
    <w:rsid w:val="00C63CFC"/>
    <w:rsid w:val="00C63E8D"/>
    <w:rsid w:val="00C646BD"/>
    <w:rsid w:val="00C64811"/>
    <w:rsid w:val="00C64914"/>
    <w:rsid w:val="00C64B67"/>
    <w:rsid w:val="00C64E2A"/>
    <w:rsid w:val="00C64EB5"/>
    <w:rsid w:val="00C653B7"/>
    <w:rsid w:val="00C65455"/>
    <w:rsid w:val="00C655ED"/>
    <w:rsid w:val="00C6563C"/>
    <w:rsid w:val="00C6563F"/>
    <w:rsid w:val="00C66257"/>
    <w:rsid w:val="00C667D0"/>
    <w:rsid w:val="00C66BB2"/>
    <w:rsid w:val="00C66F61"/>
    <w:rsid w:val="00C6734D"/>
    <w:rsid w:val="00C673EB"/>
    <w:rsid w:val="00C67485"/>
    <w:rsid w:val="00C67937"/>
    <w:rsid w:val="00C67984"/>
    <w:rsid w:val="00C67A1B"/>
    <w:rsid w:val="00C67FF8"/>
    <w:rsid w:val="00C70162"/>
    <w:rsid w:val="00C706E6"/>
    <w:rsid w:val="00C70758"/>
    <w:rsid w:val="00C70CC7"/>
    <w:rsid w:val="00C711A9"/>
    <w:rsid w:val="00C71442"/>
    <w:rsid w:val="00C7145B"/>
    <w:rsid w:val="00C7202C"/>
    <w:rsid w:val="00C7243D"/>
    <w:rsid w:val="00C72566"/>
    <w:rsid w:val="00C72A21"/>
    <w:rsid w:val="00C72C6C"/>
    <w:rsid w:val="00C72FBB"/>
    <w:rsid w:val="00C73101"/>
    <w:rsid w:val="00C736FE"/>
    <w:rsid w:val="00C737AD"/>
    <w:rsid w:val="00C739EE"/>
    <w:rsid w:val="00C73A5C"/>
    <w:rsid w:val="00C73F9F"/>
    <w:rsid w:val="00C74079"/>
    <w:rsid w:val="00C7428C"/>
    <w:rsid w:val="00C7435E"/>
    <w:rsid w:val="00C744EB"/>
    <w:rsid w:val="00C745B2"/>
    <w:rsid w:val="00C7478A"/>
    <w:rsid w:val="00C74DA0"/>
    <w:rsid w:val="00C74E35"/>
    <w:rsid w:val="00C7563B"/>
    <w:rsid w:val="00C75651"/>
    <w:rsid w:val="00C75680"/>
    <w:rsid w:val="00C75795"/>
    <w:rsid w:val="00C759D1"/>
    <w:rsid w:val="00C75D91"/>
    <w:rsid w:val="00C75E9B"/>
    <w:rsid w:val="00C75ED5"/>
    <w:rsid w:val="00C7616D"/>
    <w:rsid w:val="00C77135"/>
    <w:rsid w:val="00C77439"/>
    <w:rsid w:val="00C775CC"/>
    <w:rsid w:val="00C777DC"/>
    <w:rsid w:val="00C77EB6"/>
    <w:rsid w:val="00C80035"/>
    <w:rsid w:val="00C8003D"/>
    <w:rsid w:val="00C801D9"/>
    <w:rsid w:val="00C803AA"/>
    <w:rsid w:val="00C80446"/>
    <w:rsid w:val="00C8057B"/>
    <w:rsid w:val="00C806E3"/>
    <w:rsid w:val="00C807AE"/>
    <w:rsid w:val="00C80A34"/>
    <w:rsid w:val="00C80C03"/>
    <w:rsid w:val="00C80FF0"/>
    <w:rsid w:val="00C812F4"/>
    <w:rsid w:val="00C8154C"/>
    <w:rsid w:val="00C8169C"/>
    <w:rsid w:val="00C8190A"/>
    <w:rsid w:val="00C81E1A"/>
    <w:rsid w:val="00C82216"/>
    <w:rsid w:val="00C8230F"/>
    <w:rsid w:val="00C82888"/>
    <w:rsid w:val="00C82920"/>
    <w:rsid w:val="00C82AA4"/>
    <w:rsid w:val="00C82C96"/>
    <w:rsid w:val="00C831DD"/>
    <w:rsid w:val="00C834E5"/>
    <w:rsid w:val="00C8367B"/>
    <w:rsid w:val="00C83695"/>
    <w:rsid w:val="00C8372A"/>
    <w:rsid w:val="00C83B2E"/>
    <w:rsid w:val="00C83FA5"/>
    <w:rsid w:val="00C84279"/>
    <w:rsid w:val="00C844BA"/>
    <w:rsid w:val="00C8473D"/>
    <w:rsid w:val="00C85021"/>
    <w:rsid w:val="00C85184"/>
    <w:rsid w:val="00C8569A"/>
    <w:rsid w:val="00C85806"/>
    <w:rsid w:val="00C85D5B"/>
    <w:rsid w:val="00C85D84"/>
    <w:rsid w:val="00C8628F"/>
    <w:rsid w:val="00C862E8"/>
    <w:rsid w:val="00C8658F"/>
    <w:rsid w:val="00C86602"/>
    <w:rsid w:val="00C866C7"/>
    <w:rsid w:val="00C86987"/>
    <w:rsid w:val="00C8755F"/>
    <w:rsid w:val="00C877F5"/>
    <w:rsid w:val="00C87825"/>
    <w:rsid w:val="00C87CE3"/>
    <w:rsid w:val="00C87E96"/>
    <w:rsid w:val="00C902D2"/>
    <w:rsid w:val="00C905AB"/>
    <w:rsid w:val="00C909B4"/>
    <w:rsid w:val="00C909B7"/>
    <w:rsid w:val="00C90F72"/>
    <w:rsid w:val="00C91A94"/>
    <w:rsid w:val="00C91BCB"/>
    <w:rsid w:val="00C91C99"/>
    <w:rsid w:val="00C9280D"/>
    <w:rsid w:val="00C929A7"/>
    <w:rsid w:val="00C92F32"/>
    <w:rsid w:val="00C93099"/>
    <w:rsid w:val="00C93133"/>
    <w:rsid w:val="00C9340B"/>
    <w:rsid w:val="00C93554"/>
    <w:rsid w:val="00C93829"/>
    <w:rsid w:val="00C9388E"/>
    <w:rsid w:val="00C939B4"/>
    <w:rsid w:val="00C93B69"/>
    <w:rsid w:val="00C93DFB"/>
    <w:rsid w:val="00C93F8B"/>
    <w:rsid w:val="00C93FBE"/>
    <w:rsid w:val="00C9411F"/>
    <w:rsid w:val="00C94265"/>
    <w:rsid w:val="00C943BE"/>
    <w:rsid w:val="00C94576"/>
    <w:rsid w:val="00C94AAC"/>
    <w:rsid w:val="00C94BE7"/>
    <w:rsid w:val="00C94CB8"/>
    <w:rsid w:val="00C94DD7"/>
    <w:rsid w:val="00C950ED"/>
    <w:rsid w:val="00C95732"/>
    <w:rsid w:val="00C95B41"/>
    <w:rsid w:val="00C95FC0"/>
    <w:rsid w:val="00C96353"/>
    <w:rsid w:val="00C96AF3"/>
    <w:rsid w:val="00C9710A"/>
    <w:rsid w:val="00C978B9"/>
    <w:rsid w:val="00C97ED2"/>
    <w:rsid w:val="00C97F1B"/>
    <w:rsid w:val="00C97FCF"/>
    <w:rsid w:val="00CA021E"/>
    <w:rsid w:val="00CA03A5"/>
    <w:rsid w:val="00CA06F4"/>
    <w:rsid w:val="00CA0CEF"/>
    <w:rsid w:val="00CA12D3"/>
    <w:rsid w:val="00CA1337"/>
    <w:rsid w:val="00CA13C5"/>
    <w:rsid w:val="00CA15F1"/>
    <w:rsid w:val="00CA1682"/>
    <w:rsid w:val="00CA1FC3"/>
    <w:rsid w:val="00CA2358"/>
    <w:rsid w:val="00CA2774"/>
    <w:rsid w:val="00CA2CA0"/>
    <w:rsid w:val="00CA33EB"/>
    <w:rsid w:val="00CA365B"/>
    <w:rsid w:val="00CA36C1"/>
    <w:rsid w:val="00CA3908"/>
    <w:rsid w:val="00CA3A81"/>
    <w:rsid w:val="00CA3B90"/>
    <w:rsid w:val="00CA3C8D"/>
    <w:rsid w:val="00CA3CFB"/>
    <w:rsid w:val="00CA40A4"/>
    <w:rsid w:val="00CA4418"/>
    <w:rsid w:val="00CA4E9A"/>
    <w:rsid w:val="00CA5151"/>
    <w:rsid w:val="00CA51A6"/>
    <w:rsid w:val="00CA5538"/>
    <w:rsid w:val="00CA59FC"/>
    <w:rsid w:val="00CA5A83"/>
    <w:rsid w:val="00CA5BC6"/>
    <w:rsid w:val="00CA63F4"/>
    <w:rsid w:val="00CA6564"/>
    <w:rsid w:val="00CA6655"/>
    <w:rsid w:val="00CA67F4"/>
    <w:rsid w:val="00CA68F8"/>
    <w:rsid w:val="00CA6EF5"/>
    <w:rsid w:val="00CA6F52"/>
    <w:rsid w:val="00CA7141"/>
    <w:rsid w:val="00CA7548"/>
    <w:rsid w:val="00CA776A"/>
    <w:rsid w:val="00CA7AF4"/>
    <w:rsid w:val="00CA7B58"/>
    <w:rsid w:val="00CA7ECE"/>
    <w:rsid w:val="00CA7F42"/>
    <w:rsid w:val="00CB039F"/>
    <w:rsid w:val="00CB03BE"/>
    <w:rsid w:val="00CB0C06"/>
    <w:rsid w:val="00CB0E6F"/>
    <w:rsid w:val="00CB0F51"/>
    <w:rsid w:val="00CB11D0"/>
    <w:rsid w:val="00CB1211"/>
    <w:rsid w:val="00CB1450"/>
    <w:rsid w:val="00CB1472"/>
    <w:rsid w:val="00CB15E8"/>
    <w:rsid w:val="00CB1686"/>
    <w:rsid w:val="00CB197E"/>
    <w:rsid w:val="00CB199F"/>
    <w:rsid w:val="00CB1BD6"/>
    <w:rsid w:val="00CB2075"/>
    <w:rsid w:val="00CB2363"/>
    <w:rsid w:val="00CB24C3"/>
    <w:rsid w:val="00CB250D"/>
    <w:rsid w:val="00CB268A"/>
    <w:rsid w:val="00CB26F1"/>
    <w:rsid w:val="00CB2B12"/>
    <w:rsid w:val="00CB2F25"/>
    <w:rsid w:val="00CB315A"/>
    <w:rsid w:val="00CB3208"/>
    <w:rsid w:val="00CB32A5"/>
    <w:rsid w:val="00CB3636"/>
    <w:rsid w:val="00CB3AF0"/>
    <w:rsid w:val="00CB3EE3"/>
    <w:rsid w:val="00CB3F00"/>
    <w:rsid w:val="00CB42B9"/>
    <w:rsid w:val="00CB445D"/>
    <w:rsid w:val="00CB478D"/>
    <w:rsid w:val="00CB4B69"/>
    <w:rsid w:val="00CB586F"/>
    <w:rsid w:val="00CB5A5C"/>
    <w:rsid w:val="00CB5FA2"/>
    <w:rsid w:val="00CB61B9"/>
    <w:rsid w:val="00CB6383"/>
    <w:rsid w:val="00CB6433"/>
    <w:rsid w:val="00CB6439"/>
    <w:rsid w:val="00CB64BE"/>
    <w:rsid w:val="00CB6D73"/>
    <w:rsid w:val="00CB7828"/>
    <w:rsid w:val="00CB7990"/>
    <w:rsid w:val="00CB7E70"/>
    <w:rsid w:val="00CC067B"/>
    <w:rsid w:val="00CC0926"/>
    <w:rsid w:val="00CC0CDE"/>
    <w:rsid w:val="00CC109A"/>
    <w:rsid w:val="00CC13C3"/>
    <w:rsid w:val="00CC14FE"/>
    <w:rsid w:val="00CC1533"/>
    <w:rsid w:val="00CC16CB"/>
    <w:rsid w:val="00CC17C9"/>
    <w:rsid w:val="00CC1BA9"/>
    <w:rsid w:val="00CC1E0D"/>
    <w:rsid w:val="00CC222A"/>
    <w:rsid w:val="00CC22F3"/>
    <w:rsid w:val="00CC2403"/>
    <w:rsid w:val="00CC2709"/>
    <w:rsid w:val="00CC276B"/>
    <w:rsid w:val="00CC2B65"/>
    <w:rsid w:val="00CC2B69"/>
    <w:rsid w:val="00CC2F8F"/>
    <w:rsid w:val="00CC30BC"/>
    <w:rsid w:val="00CC31B0"/>
    <w:rsid w:val="00CC31EE"/>
    <w:rsid w:val="00CC338E"/>
    <w:rsid w:val="00CC37BA"/>
    <w:rsid w:val="00CC3816"/>
    <w:rsid w:val="00CC3A58"/>
    <w:rsid w:val="00CC3B6C"/>
    <w:rsid w:val="00CC3F02"/>
    <w:rsid w:val="00CC40BF"/>
    <w:rsid w:val="00CC4BD2"/>
    <w:rsid w:val="00CC4C93"/>
    <w:rsid w:val="00CC4FF5"/>
    <w:rsid w:val="00CC500B"/>
    <w:rsid w:val="00CC50DE"/>
    <w:rsid w:val="00CC526D"/>
    <w:rsid w:val="00CC5457"/>
    <w:rsid w:val="00CC5577"/>
    <w:rsid w:val="00CC55D9"/>
    <w:rsid w:val="00CC56C5"/>
    <w:rsid w:val="00CC57AD"/>
    <w:rsid w:val="00CC5AAF"/>
    <w:rsid w:val="00CC6136"/>
    <w:rsid w:val="00CC61E1"/>
    <w:rsid w:val="00CC67E3"/>
    <w:rsid w:val="00CC68E4"/>
    <w:rsid w:val="00CC6A9E"/>
    <w:rsid w:val="00CC6BEA"/>
    <w:rsid w:val="00CC6C86"/>
    <w:rsid w:val="00CC7591"/>
    <w:rsid w:val="00CC7662"/>
    <w:rsid w:val="00CC76D7"/>
    <w:rsid w:val="00CC7F14"/>
    <w:rsid w:val="00CC7F18"/>
    <w:rsid w:val="00CC7FBF"/>
    <w:rsid w:val="00CD0047"/>
    <w:rsid w:val="00CD03F3"/>
    <w:rsid w:val="00CD0409"/>
    <w:rsid w:val="00CD0412"/>
    <w:rsid w:val="00CD07A1"/>
    <w:rsid w:val="00CD0BCF"/>
    <w:rsid w:val="00CD11CB"/>
    <w:rsid w:val="00CD1340"/>
    <w:rsid w:val="00CD1CAE"/>
    <w:rsid w:val="00CD1F07"/>
    <w:rsid w:val="00CD2048"/>
    <w:rsid w:val="00CD2386"/>
    <w:rsid w:val="00CD23A3"/>
    <w:rsid w:val="00CD27B0"/>
    <w:rsid w:val="00CD2885"/>
    <w:rsid w:val="00CD29AB"/>
    <w:rsid w:val="00CD30A2"/>
    <w:rsid w:val="00CD32FD"/>
    <w:rsid w:val="00CD34B2"/>
    <w:rsid w:val="00CD3DA1"/>
    <w:rsid w:val="00CD3DA2"/>
    <w:rsid w:val="00CD3DF9"/>
    <w:rsid w:val="00CD3E2A"/>
    <w:rsid w:val="00CD41E4"/>
    <w:rsid w:val="00CD437F"/>
    <w:rsid w:val="00CD4723"/>
    <w:rsid w:val="00CD4791"/>
    <w:rsid w:val="00CD4B68"/>
    <w:rsid w:val="00CD4CB3"/>
    <w:rsid w:val="00CD4D19"/>
    <w:rsid w:val="00CD4DCE"/>
    <w:rsid w:val="00CD4EC9"/>
    <w:rsid w:val="00CD5535"/>
    <w:rsid w:val="00CD5896"/>
    <w:rsid w:val="00CD58AE"/>
    <w:rsid w:val="00CD5B5D"/>
    <w:rsid w:val="00CD5B9A"/>
    <w:rsid w:val="00CD5F81"/>
    <w:rsid w:val="00CD60B8"/>
    <w:rsid w:val="00CD61A3"/>
    <w:rsid w:val="00CD629D"/>
    <w:rsid w:val="00CD63C0"/>
    <w:rsid w:val="00CD664F"/>
    <w:rsid w:val="00CD6E4C"/>
    <w:rsid w:val="00CD6FD3"/>
    <w:rsid w:val="00CD718C"/>
    <w:rsid w:val="00CD73C9"/>
    <w:rsid w:val="00CD75E2"/>
    <w:rsid w:val="00CD7B13"/>
    <w:rsid w:val="00CD7B7F"/>
    <w:rsid w:val="00CD7E25"/>
    <w:rsid w:val="00CE007D"/>
    <w:rsid w:val="00CE0184"/>
    <w:rsid w:val="00CE079F"/>
    <w:rsid w:val="00CE07E2"/>
    <w:rsid w:val="00CE0896"/>
    <w:rsid w:val="00CE0AA1"/>
    <w:rsid w:val="00CE0AEF"/>
    <w:rsid w:val="00CE0C70"/>
    <w:rsid w:val="00CE1125"/>
    <w:rsid w:val="00CE1E54"/>
    <w:rsid w:val="00CE27A9"/>
    <w:rsid w:val="00CE2C38"/>
    <w:rsid w:val="00CE328B"/>
    <w:rsid w:val="00CE3418"/>
    <w:rsid w:val="00CE35D6"/>
    <w:rsid w:val="00CE36C3"/>
    <w:rsid w:val="00CE44EC"/>
    <w:rsid w:val="00CE4639"/>
    <w:rsid w:val="00CE46B4"/>
    <w:rsid w:val="00CE4896"/>
    <w:rsid w:val="00CE4B44"/>
    <w:rsid w:val="00CE4D06"/>
    <w:rsid w:val="00CE5105"/>
    <w:rsid w:val="00CE5288"/>
    <w:rsid w:val="00CE52A0"/>
    <w:rsid w:val="00CE5408"/>
    <w:rsid w:val="00CE568F"/>
    <w:rsid w:val="00CE5D28"/>
    <w:rsid w:val="00CE5E55"/>
    <w:rsid w:val="00CE5E9D"/>
    <w:rsid w:val="00CE6394"/>
    <w:rsid w:val="00CE6696"/>
    <w:rsid w:val="00CE6737"/>
    <w:rsid w:val="00CE67A7"/>
    <w:rsid w:val="00CE69E4"/>
    <w:rsid w:val="00CE6B8E"/>
    <w:rsid w:val="00CE6DC8"/>
    <w:rsid w:val="00CE6F2F"/>
    <w:rsid w:val="00CE6F96"/>
    <w:rsid w:val="00CE7321"/>
    <w:rsid w:val="00CE75B7"/>
    <w:rsid w:val="00CE7686"/>
    <w:rsid w:val="00CF0176"/>
    <w:rsid w:val="00CF0781"/>
    <w:rsid w:val="00CF095A"/>
    <w:rsid w:val="00CF0B2E"/>
    <w:rsid w:val="00CF0FDE"/>
    <w:rsid w:val="00CF12DB"/>
    <w:rsid w:val="00CF157C"/>
    <w:rsid w:val="00CF194C"/>
    <w:rsid w:val="00CF19AB"/>
    <w:rsid w:val="00CF2325"/>
    <w:rsid w:val="00CF23C0"/>
    <w:rsid w:val="00CF2498"/>
    <w:rsid w:val="00CF28D1"/>
    <w:rsid w:val="00CF2BDD"/>
    <w:rsid w:val="00CF2C7E"/>
    <w:rsid w:val="00CF2F4F"/>
    <w:rsid w:val="00CF355E"/>
    <w:rsid w:val="00CF3F61"/>
    <w:rsid w:val="00CF4133"/>
    <w:rsid w:val="00CF43E1"/>
    <w:rsid w:val="00CF46EC"/>
    <w:rsid w:val="00CF4F8E"/>
    <w:rsid w:val="00CF5104"/>
    <w:rsid w:val="00CF51F2"/>
    <w:rsid w:val="00CF53A7"/>
    <w:rsid w:val="00CF542C"/>
    <w:rsid w:val="00CF58F1"/>
    <w:rsid w:val="00CF5B94"/>
    <w:rsid w:val="00CF623F"/>
    <w:rsid w:val="00CF63EA"/>
    <w:rsid w:val="00CF67A6"/>
    <w:rsid w:val="00CF6835"/>
    <w:rsid w:val="00CF6843"/>
    <w:rsid w:val="00CF6897"/>
    <w:rsid w:val="00CF68FC"/>
    <w:rsid w:val="00CF7130"/>
    <w:rsid w:val="00CF7368"/>
    <w:rsid w:val="00CF7660"/>
    <w:rsid w:val="00CF78F9"/>
    <w:rsid w:val="00CF7C47"/>
    <w:rsid w:val="00CF7D3F"/>
    <w:rsid w:val="00CF7DDC"/>
    <w:rsid w:val="00D00317"/>
    <w:rsid w:val="00D009CA"/>
    <w:rsid w:val="00D00A11"/>
    <w:rsid w:val="00D00E01"/>
    <w:rsid w:val="00D00E46"/>
    <w:rsid w:val="00D00E70"/>
    <w:rsid w:val="00D00F36"/>
    <w:rsid w:val="00D00F51"/>
    <w:rsid w:val="00D01201"/>
    <w:rsid w:val="00D01278"/>
    <w:rsid w:val="00D01484"/>
    <w:rsid w:val="00D0150C"/>
    <w:rsid w:val="00D015E4"/>
    <w:rsid w:val="00D016DA"/>
    <w:rsid w:val="00D018AA"/>
    <w:rsid w:val="00D01981"/>
    <w:rsid w:val="00D01CB8"/>
    <w:rsid w:val="00D01DE3"/>
    <w:rsid w:val="00D0200A"/>
    <w:rsid w:val="00D02309"/>
    <w:rsid w:val="00D02818"/>
    <w:rsid w:val="00D0295F"/>
    <w:rsid w:val="00D02968"/>
    <w:rsid w:val="00D02B99"/>
    <w:rsid w:val="00D02FA0"/>
    <w:rsid w:val="00D0302C"/>
    <w:rsid w:val="00D03301"/>
    <w:rsid w:val="00D03C00"/>
    <w:rsid w:val="00D04198"/>
    <w:rsid w:val="00D0427D"/>
    <w:rsid w:val="00D046D1"/>
    <w:rsid w:val="00D047C4"/>
    <w:rsid w:val="00D04985"/>
    <w:rsid w:val="00D04BF3"/>
    <w:rsid w:val="00D0571B"/>
    <w:rsid w:val="00D05782"/>
    <w:rsid w:val="00D05787"/>
    <w:rsid w:val="00D05841"/>
    <w:rsid w:val="00D05A23"/>
    <w:rsid w:val="00D05BA2"/>
    <w:rsid w:val="00D05F64"/>
    <w:rsid w:val="00D05FFF"/>
    <w:rsid w:val="00D0655F"/>
    <w:rsid w:val="00D065DD"/>
    <w:rsid w:val="00D06626"/>
    <w:rsid w:val="00D06A6F"/>
    <w:rsid w:val="00D06C59"/>
    <w:rsid w:val="00D073D3"/>
    <w:rsid w:val="00D0767F"/>
    <w:rsid w:val="00D076FB"/>
    <w:rsid w:val="00D106BB"/>
    <w:rsid w:val="00D1072F"/>
    <w:rsid w:val="00D10851"/>
    <w:rsid w:val="00D10BD5"/>
    <w:rsid w:val="00D11116"/>
    <w:rsid w:val="00D11551"/>
    <w:rsid w:val="00D115FA"/>
    <w:rsid w:val="00D119FF"/>
    <w:rsid w:val="00D11EF9"/>
    <w:rsid w:val="00D125F9"/>
    <w:rsid w:val="00D125FB"/>
    <w:rsid w:val="00D128E5"/>
    <w:rsid w:val="00D129DE"/>
    <w:rsid w:val="00D12BC2"/>
    <w:rsid w:val="00D12D1A"/>
    <w:rsid w:val="00D131CE"/>
    <w:rsid w:val="00D1390D"/>
    <w:rsid w:val="00D13C80"/>
    <w:rsid w:val="00D13F55"/>
    <w:rsid w:val="00D144BE"/>
    <w:rsid w:val="00D1452F"/>
    <w:rsid w:val="00D1475F"/>
    <w:rsid w:val="00D148E4"/>
    <w:rsid w:val="00D149F8"/>
    <w:rsid w:val="00D14A5B"/>
    <w:rsid w:val="00D14E5E"/>
    <w:rsid w:val="00D15142"/>
    <w:rsid w:val="00D15798"/>
    <w:rsid w:val="00D157AA"/>
    <w:rsid w:val="00D1591E"/>
    <w:rsid w:val="00D15A20"/>
    <w:rsid w:val="00D15C24"/>
    <w:rsid w:val="00D16120"/>
    <w:rsid w:val="00D1684A"/>
    <w:rsid w:val="00D1695C"/>
    <w:rsid w:val="00D16BC8"/>
    <w:rsid w:val="00D16BF3"/>
    <w:rsid w:val="00D16C55"/>
    <w:rsid w:val="00D16F72"/>
    <w:rsid w:val="00D1714F"/>
    <w:rsid w:val="00D17296"/>
    <w:rsid w:val="00D17909"/>
    <w:rsid w:val="00D17B7D"/>
    <w:rsid w:val="00D17CBE"/>
    <w:rsid w:val="00D20093"/>
    <w:rsid w:val="00D2016E"/>
    <w:rsid w:val="00D205AF"/>
    <w:rsid w:val="00D20A8B"/>
    <w:rsid w:val="00D20B1F"/>
    <w:rsid w:val="00D20CEC"/>
    <w:rsid w:val="00D20E93"/>
    <w:rsid w:val="00D20EB5"/>
    <w:rsid w:val="00D20ED3"/>
    <w:rsid w:val="00D20EDC"/>
    <w:rsid w:val="00D20EDE"/>
    <w:rsid w:val="00D21368"/>
    <w:rsid w:val="00D21389"/>
    <w:rsid w:val="00D216B0"/>
    <w:rsid w:val="00D216D8"/>
    <w:rsid w:val="00D21786"/>
    <w:rsid w:val="00D21981"/>
    <w:rsid w:val="00D21AE7"/>
    <w:rsid w:val="00D21D25"/>
    <w:rsid w:val="00D22266"/>
    <w:rsid w:val="00D222C2"/>
    <w:rsid w:val="00D22339"/>
    <w:rsid w:val="00D22450"/>
    <w:rsid w:val="00D2251A"/>
    <w:rsid w:val="00D228D9"/>
    <w:rsid w:val="00D22B6C"/>
    <w:rsid w:val="00D23422"/>
    <w:rsid w:val="00D23507"/>
    <w:rsid w:val="00D2394F"/>
    <w:rsid w:val="00D2397F"/>
    <w:rsid w:val="00D23A13"/>
    <w:rsid w:val="00D23CAF"/>
    <w:rsid w:val="00D25410"/>
    <w:rsid w:val="00D255BA"/>
    <w:rsid w:val="00D255E7"/>
    <w:rsid w:val="00D25991"/>
    <w:rsid w:val="00D25A3E"/>
    <w:rsid w:val="00D25BF4"/>
    <w:rsid w:val="00D2617E"/>
    <w:rsid w:val="00D261AA"/>
    <w:rsid w:val="00D261DD"/>
    <w:rsid w:val="00D2670E"/>
    <w:rsid w:val="00D26BBB"/>
    <w:rsid w:val="00D26CEC"/>
    <w:rsid w:val="00D26E34"/>
    <w:rsid w:val="00D26F6B"/>
    <w:rsid w:val="00D26FF5"/>
    <w:rsid w:val="00D27131"/>
    <w:rsid w:val="00D27472"/>
    <w:rsid w:val="00D2756C"/>
    <w:rsid w:val="00D27895"/>
    <w:rsid w:val="00D278BE"/>
    <w:rsid w:val="00D27AD3"/>
    <w:rsid w:val="00D27D0D"/>
    <w:rsid w:val="00D27DAF"/>
    <w:rsid w:val="00D27E96"/>
    <w:rsid w:val="00D30210"/>
    <w:rsid w:val="00D3048F"/>
    <w:rsid w:val="00D3058E"/>
    <w:rsid w:val="00D3066E"/>
    <w:rsid w:val="00D306B5"/>
    <w:rsid w:val="00D30972"/>
    <w:rsid w:val="00D30A2E"/>
    <w:rsid w:val="00D30DAD"/>
    <w:rsid w:val="00D31E81"/>
    <w:rsid w:val="00D32060"/>
    <w:rsid w:val="00D32356"/>
    <w:rsid w:val="00D3252C"/>
    <w:rsid w:val="00D32610"/>
    <w:rsid w:val="00D326AD"/>
    <w:rsid w:val="00D3279D"/>
    <w:rsid w:val="00D3280B"/>
    <w:rsid w:val="00D3289D"/>
    <w:rsid w:val="00D329F1"/>
    <w:rsid w:val="00D32B1E"/>
    <w:rsid w:val="00D32DCB"/>
    <w:rsid w:val="00D331E1"/>
    <w:rsid w:val="00D334A9"/>
    <w:rsid w:val="00D33742"/>
    <w:rsid w:val="00D337ED"/>
    <w:rsid w:val="00D33960"/>
    <w:rsid w:val="00D33BBF"/>
    <w:rsid w:val="00D33D56"/>
    <w:rsid w:val="00D34495"/>
    <w:rsid w:val="00D34592"/>
    <w:rsid w:val="00D3460B"/>
    <w:rsid w:val="00D3474B"/>
    <w:rsid w:val="00D3481F"/>
    <w:rsid w:val="00D34986"/>
    <w:rsid w:val="00D34AD5"/>
    <w:rsid w:val="00D34DB7"/>
    <w:rsid w:val="00D34FA6"/>
    <w:rsid w:val="00D350B1"/>
    <w:rsid w:val="00D35906"/>
    <w:rsid w:val="00D35983"/>
    <w:rsid w:val="00D35BFB"/>
    <w:rsid w:val="00D35D05"/>
    <w:rsid w:val="00D35E10"/>
    <w:rsid w:val="00D35E1C"/>
    <w:rsid w:val="00D36099"/>
    <w:rsid w:val="00D363B3"/>
    <w:rsid w:val="00D36427"/>
    <w:rsid w:val="00D36C29"/>
    <w:rsid w:val="00D37794"/>
    <w:rsid w:val="00D3786E"/>
    <w:rsid w:val="00D37886"/>
    <w:rsid w:val="00D3794E"/>
    <w:rsid w:val="00D37A33"/>
    <w:rsid w:val="00D37CE1"/>
    <w:rsid w:val="00D37ED3"/>
    <w:rsid w:val="00D402D5"/>
    <w:rsid w:val="00D40365"/>
    <w:rsid w:val="00D40389"/>
    <w:rsid w:val="00D40630"/>
    <w:rsid w:val="00D40B45"/>
    <w:rsid w:val="00D40CBB"/>
    <w:rsid w:val="00D40CEF"/>
    <w:rsid w:val="00D410C5"/>
    <w:rsid w:val="00D411BA"/>
    <w:rsid w:val="00D411FB"/>
    <w:rsid w:val="00D412FE"/>
    <w:rsid w:val="00D41549"/>
    <w:rsid w:val="00D418B5"/>
    <w:rsid w:val="00D41AA8"/>
    <w:rsid w:val="00D41BD4"/>
    <w:rsid w:val="00D41F8C"/>
    <w:rsid w:val="00D422C3"/>
    <w:rsid w:val="00D422F0"/>
    <w:rsid w:val="00D423B7"/>
    <w:rsid w:val="00D427CC"/>
    <w:rsid w:val="00D429B1"/>
    <w:rsid w:val="00D429B5"/>
    <w:rsid w:val="00D42C23"/>
    <w:rsid w:val="00D42D1A"/>
    <w:rsid w:val="00D42D36"/>
    <w:rsid w:val="00D42F70"/>
    <w:rsid w:val="00D43648"/>
    <w:rsid w:val="00D4386F"/>
    <w:rsid w:val="00D4394D"/>
    <w:rsid w:val="00D44291"/>
    <w:rsid w:val="00D4443D"/>
    <w:rsid w:val="00D4450B"/>
    <w:rsid w:val="00D449D3"/>
    <w:rsid w:val="00D44EE4"/>
    <w:rsid w:val="00D44FB6"/>
    <w:rsid w:val="00D450F2"/>
    <w:rsid w:val="00D4510D"/>
    <w:rsid w:val="00D4512D"/>
    <w:rsid w:val="00D4533A"/>
    <w:rsid w:val="00D45377"/>
    <w:rsid w:val="00D4575B"/>
    <w:rsid w:val="00D45C11"/>
    <w:rsid w:val="00D46D36"/>
    <w:rsid w:val="00D46DDE"/>
    <w:rsid w:val="00D47034"/>
    <w:rsid w:val="00D472E7"/>
    <w:rsid w:val="00D47BFB"/>
    <w:rsid w:val="00D50007"/>
    <w:rsid w:val="00D50834"/>
    <w:rsid w:val="00D50968"/>
    <w:rsid w:val="00D50C19"/>
    <w:rsid w:val="00D50E17"/>
    <w:rsid w:val="00D50E53"/>
    <w:rsid w:val="00D5132D"/>
    <w:rsid w:val="00D514EE"/>
    <w:rsid w:val="00D5154C"/>
    <w:rsid w:val="00D51A6B"/>
    <w:rsid w:val="00D51EDE"/>
    <w:rsid w:val="00D5264F"/>
    <w:rsid w:val="00D5271B"/>
    <w:rsid w:val="00D52B2E"/>
    <w:rsid w:val="00D52C70"/>
    <w:rsid w:val="00D52CAD"/>
    <w:rsid w:val="00D533B8"/>
    <w:rsid w:val="00D5357D"/>
    <w:rsid w:val="00D5364D"/>
    <w:rsid w:val="00D536D2"/>
    <w:rsid w:val="00D53AB5"/>
    <w:rsid w:val="00D53B1F"/>
    <w:rsid w:val="00D540B8"/>
    <w:rsid w:val="00D5415E"/>
    <w:rsid w:val="00D54243"/>
    <w:rsid w:val="00D5436A"/>
    <w:rsid w:val="00D54481"/>
    <w:rsid w:val="00D544E6"/>
    <w:rsid w:val="00D54900"/>
    <w:rsid w:val="00D54A7D"/>
    <w:rsid w:val="00D55175"/>
    <w:rsid w:val="00D55540"/>
    <w:rsid w:val="00D55711"/>
    <w:rsid w:val="00D5589D"/>
    <w:rsid w:val="00D55909"/>
    <w:rsid w:val="00D55AA5"/>
    <w:rsid w:val="00D55F49"/>
    <w:rsid w:val="00D56EAD"/>
    <w:rsid w:val="00D56F21"/>
    <w:rsid w:val="00D573A7"/>
    <w:rsid w:val="00D575F2"/>
    <w:rsid w:val="00D57842"/>
    <w:rsid w:val="00D57C57"/>
    <w:rsid w:val="00D57C84"/>
    <w:rsid w:val="00D608EA"/>
    <w:rsid w:val="00D60906"/>
    <w:rsid w:val="00D60B64"/>
    <w:rsid w:val="00D6132C"/>
    <w:rsid w:val="00D61417"/>
    <w:rsid w:val="00D616EA"/>
    <w:rsid w:val="00D61720"/>
    <w:rsid w:val="00D61D58"/>
    <w:rsid w:val="00D61E66"/>
    <w:rsid w:val="00D62178"/>
    <w:rsid w:val="00D623B5"/>
    <w:rsid w:val="00D624A4"/>
    <w:rsid w:val="00D624B0"/>
    <w:rsid w:val="00D62CA4"/>
    <w:rsid w:val="00D62E41"/>
    <w:rsid w:val="00D63082"/>
    <w:rsid w:val="00D6310F"/>
    <w:rsid w:val="00D63668"/>
    <w:rsid w:val="00D63EB7"/>
    <w:rsid w:val="00D64078"/>
    <w:rsid w:val="00D640A4"/>
    <w:rsid w:val="00D640E6"/>
    <w:rsid w:val="00D64259"/>
    <w:rsid w:val="00D642BF"/>
    <w:rsid w:val="00D6446F"/>
    <w:rsid w:val="00D647A1"/>
    <w:rsid w:val="00D64849"/>
    <w:rsid w:val="00D649DA"/>
    <w:rsid w:val="00D64C10"/>
    <w:rsid w:val="00D64E4B"/>
    <w:rsid w:val="00D64E91"/>
    <w:rsid w:val="00D651DC"/>
    <w:rsid w:val="00D65956"/>
    <w:rsid w:val="00D661F7"/>
    <w:rsid w:val="00D66A9A"/>
    <w:rsid w:val="00D66AEE"/>
    <w:rsid w:val="00D6704D"/>
    <w:rsid w:val="00D67092"/>
    <w:rsid w:val="00D6714A"/>
    <w:rsid w:val="00D671A3"/>
    <w:rsid w:val="00D67627"/>
    <w:rsid w:val="00D6788D"/>
    <w:rsid w:val="00D67FE2"/>
    <w:rsid w:val="00D70649"/>
    <w:rsid w:val="00D70707"/>
    <w:rsid w:val="00D70897"/>
    <w:rsid w:val="00D70D74"/>
    <w:rsid w:val="00D70DD2"/>
    <w:rsid w:val="00D7108A"/>
    <w:rsid w:val="00D71097"/>
    <w:rsid w:val="00D710BB"/>
    <w:rsid w:val="00D7111C"/>
    <w:rsid w:val="00D713F3"/>
    <w:rsid w:val="00D71C5B"/>
    <w:rsid w:val="00D71F43"/>
    <w:rsid w:val="00D72164"/>
    <w:rsid w:val="00D728D9"/>
    <w:rsid w:val="00D72956"/>
    <w:rsid w:val="00D73233"/>
    <w:rsid w:val="00D732B4"/>
    <w:rsid w:val="00D73451"/>
    <w:rsid w:val="00D737D6"/>
    <w:rsid w:val="00D738B2"/>
    <w:rsid w:val="00D738BC"/>
    <w:rsid w:val="00D73CD2"/>
    <w:rsid w:val="00D73CDD"/>
    <w:rsid w:val="00D73F96"/>
    <w:rsid w:val="00D74266"/>
    <w:rsid w:val="00D74401"/>
    <w:rsid w:val="00D74631"/>
    <w:rsid w:val="00D748D2"/>
    <w:rsid w:val="00D74967"/>
    <w:rsid w:val="00D74A78"/>
    <w:rsid w:val="00D74EAA"/>
    <w:rsid w:val="00D7540F"/>
    <w:rsid w:val="00D757E1"/>
    <w:rsid w:val="00D758FF"/>
    <w:rsid w:val="00D75AA3"/>
    <w:rsid w:val="00D75CF5"/>
    <w:rsid w:val="00D763E7"/>
    <w:rsid w:val="00D76576"/>
    <w:rsid w:val="00D76586"/>
    <w:rsid w:val="00D76715"/>
    <w:rsid w:val="00D76A9C"/>
    <w:rsid w:val="00D77227"/>
    <w:rsid w:val="00D772DC"/>
    <w:rsid w:val="00D77681"/>
    <w:rsid w:val="00D77BB7"/>
    <w:rsid w:val="00D77C34"/>
    <w:rsid w:val="00D77C84"/>
    <w:rsid w:val="00D77EB3"/>
    <w:rsid w:val="00D8000F"/>
    <w:rsid w:val="00D80237"/>
    <w:rsid w:val="00D80242"/>
    <w:rsid w:val="00D80407"/>
    <w:rsid w:val="00D80929"/>
    <w:rsid w:val="00D80AE8"/>
    <w:rsid w:val="00D80B82"/>
    <w:rsid w:val="00D80C1E"/>
    <w:rsid w:val="00D80F56"/>
    <w:rsid w:val="00D80FED"/>
    <w:rsid w:val="00D81518"/>
    <w:rsid w:val="00D817DB"/>
    <w:rsid w:val="00D817ED"/>
    <w:rsid w:val="00D81AB5"/>
    <w:rsid w:val="00D81C67"/>
    <w:rsid w:val="00D81CD7"/>
    <w:rsid w:val="00D82119"/>
    <w:rsid w:val="00D82602"/>
    <w:rsid w:val="00D8262B"/>
    <w:rsid w:val="00D826A8"/>
    <w:rsid w:val="00D8286D"/>
    <w:rsid w:val="00D82A61"/>
    <w:rsid w:val="00D82C1D"/>
    <w:rsid w:val="00D82E01"/>
    <w:rsid w:val="00D82EAE"/>
    <w:rsid w:val="00D82FF7"/>
    <w:rsid w:val="00D8319D"/>
    <w:rsid w:val="00D8367C"/>
    <w:rsid w:val="00D839A7"/>
    <w:rsid w:val="00D83BDD"/>
    <w:rsid w:val="00D840BD"/>
    <w:rsid w:val="00D84BD8"/>
    <w:rsid w:val="00D84EC2"/>
    <w:rsid w:val="00D85327"/>
    <w:rsid w:val="00D85687"/>
    <w:rsid w:val="00D856C1"/>
    <w:rsid w:val="00D85757"/>
    <w:rsid w:val="00D85878"/>
    <w:rsid w:val="00D85A79"/>
    <w:rsid w:val="00D85BFD"/>
    <w:rsid w:val="00D86031"/>
    <w:rsid w:val="00D86159"/>
    <w:rsid w:val="00D86486"/>
    <w:rsid w:val="00D86A8D"/>
    <w:rsid w:val="00D86BAA"/>
    <w:rsid w:val="00D86C10"/>
    <w:rsid w:val="00D86C60"/>
    <w:rsid w:val="00D86DE7"/>
    <w:rsid w:val="00D86E17"/>
    <w:rsid w:val="00D86E69"/>
    <w:rsid w:val="00D86E98"/>
    <w:rsid w:val="00D86ECD"/>
    <w:rsid w:val="00D87146"/>
    <w:rsid w:val="00D87AD8"/>
    <w:rsid w:val="00D87B2C"/>
    <w:rsid w:val="00D87B47"/>
    <w:rsid w:val="00D87E48"/>
    <w:rsid w:val="00D9010F"/>
    <w:rsid w:val="00D901DD"/>
    <w:rsid w:val="00D90F9C"/>
    <w:rsid w:val="00D910C8"/>
    <w:rsid w:val="00D911C9"/>
    <w:rsid w:val="00D91638"/>
    <w:rsid w:val="00D91699"/>
    <w:rsid w:val="00D91815"/>
    <w:rsid w:val="00D91EA3"/>
    <w:rsid w:val="00D9227C"/>
    <w:rsid w:val="00D92494"/>
    <w:rsid w:val="00D92703"/>
    <w:rsid w:val="00D9309E"/>
    <w:rsid w:val="00D93385"/>
    <w:rsid w:val="00D93704"/>
    <w:rsid w:val="00D939DD"/>
    <w:rsid w:val="00D93A69"/>
    <w:rsid w:val="00D93A72"/>
    <w:rsid w:val="00D93AD4"/>
    <w:rsid w:val="00D93EEA"/>
    <w:rsid w:val="00D941BC"/>
    <w:rsid w:val="00D9428F"/>
    <w:rsid w:val="00D943E0"/>
    <w:rsid w:val="00D944D5"/>
    <w:rsid w:val="00D94A78"/>
    <w:rsid w:val="00D94DBB"/>
    <w:rsid w:val="00D94EA3"/>
    <w:rsid w:val="00D94EF8"/>
    <w:rsid w:val="00D954AA"/>
    <w:rsid w:val="00D954E7"/>
    <w:rsid w:val="00D95DFE"/>
    <w:rsid w:val="00D961F5"/>
    <w:rsid w:val="00D964CA"/>
    <w:rsid w:val="00D9655F"/>
    <w:rsid w:val="00D96A06"/>
    <w:rsid w:val="00D96A2D"/>
    <w:rsid w:val="00D96B87"/>
    <w:rsid w:val="00D96EE1"/>
    <w:rsid w:val="00D97883"/>
    <w:rsid w:val="00D97F3C"/>
    <w:rsid w:val="00DA05D2"/>
    <w:rsid w:val="00DA0DE0"/>
    <w:rsid w:val="00DA183D"/>
    <w:rsid w:val="00DA1FB4"/>
    <w:rsid w:val="00DA20F2"/>
    <w:rsid w:val="00DA2330"/>
    <w:rsid w:val="00DA2436"/>
    <w:rsid w:val="00DA24E4"/>
    <w:rsid w:val="00DA24FB"/>
    <w:rsid w:val="00DA2A6F"/>
    <w:rsid w:val="00DA2CF3"/>
    <w:rsid w:val="00DA2F6D"/>
    <w:rsid w:val="00DA3229"/>
    <w:rsid w:val="00DA37E0"/>
    <w:rsid w:val="00DA3E53"/>
    <w:rsid w:val="00DA4374"/>
    <w:rsid w:val="00DA43F5"/>
    <w:rsid w:val="00DA447F"/>
    <w:rsid w:val="00DA44D2"/>
    <w:rsid w:val="00DA4653"/>
    <w:rsid w:val="00DA487B"/>
    <w:rsid w:val="00DA4E0B"/>
    <w:rsid w:val="00DA4F0A"/>
    <w:rsid w:val="00DA5133"/>
    <w:rsid w:val="00DA51D9"/>
    <w:rsid w:val="00DA52E2"/>
    <w:rsid w:val="00DA5559"/>
    <w:rsid w:val="00DA5597"/>
    <w:rsid w:val="00DA55D9"/>
    <w:rsid w:val="00DA66FE"/>
    <w:rsid w:val="00DA67A3"/>
    <w:rsid w:val="00DA6A30"/>
    <w:rsid w:val="00DA6E04"/>
    <w:rsid w:val="00DA6E9B"/>
    <w:rsid w:val="00DA7038"/>
    <w:rsid w:val="00DA728C"/>
    <w:rsid w:val="00DA779F"/>
    <w:rsid w:val="00DB0076"/>
    <w:rsid w:val="00DB0A1A"/>
    <w:rsid w:val="00DB0DA9"/>
    <w:rsid w:val="00DB19A1"/>
    <w:rsid w:val="00DB19C8"/>
    <w:rsid w:val="00DB1EA5"/>
    <w:rsid w:val="00DB2239"/>
    <w:rsid w:val="00DB2638"/>
    <w:rsid w:val="00DB286F"/>
    <w:rsid w:val="00DB2C06"/>
    <w:rsid w:val="00DB320E"/>
    <w:rsid w:val="00DB37CB"/>
    <w:rsid w:val="00DB391F"/>
    <w:rsid w:val="00DB3A70"/>
    <w:rsid w:val="00DB3CA5"/>
    <w:rsid w:val="00DB3CAC"/>
    <w:rsid w:val="00DB448F"/>
    <w:rsid w:val="00DB4622"/>
    <w:rsid w:val="00DB497C"/>
    <w:rsid w:val="00DB4AED"/>
    <w:rsid w:val="00DB4D1B"/>
    <w:rsid w:val="00DB4E10"/>
    <w:rsid w:val="00DB5082"/>
    <w:rsid w:val="00DB52E2"/>
    <w:rsid w:val="00DB56BA"/>
    <w:rsid w:val="00DB5C0A"/>
    <w:rsid w:val="00DB5EEA"/>
    <w:rsid w:val="00DB6144"/>
    <w:rsid w:val="00DB622B"/>
    <w:rsid w:val="00DB6273"/>
    <w:rsid w:val="00DB6372"/>
    <w:rsid w:val="00DB64E3"/>
    <w:rsid w:val="00DB6529"/>
    <w:rsid w:val="00DB67E9"/>
    <w:rsid w:val="00DB687E"/>
    <w:rsid w:val="00DB6D05"/>
    <w:rsid w:val="00DB6D7E"/>
    <w:rsid w:val="00DB7336"/>
    <w:rsid w:val="00DB7BBD"/>
    <w:rsid w:val="00DB7E82"/>
    <w:rsid w:val="00DB7EF0"/>
    <w:rsid w:val="00DB7FCB"/>
    <w:rsid w:val="00DC0B11"/>
    <w:rsid w:val="00DC0D66"/>
    <w:rsid w:val="00DC1010"/>
    <w:rsid w:val="00DC190A"/>
    <w:rsid w:val="00DC1917"/>
    <w:rsid w:val="00DC1F6E"/>
    <w:rsid w:val="00DC216E"/>
    <w:rsid w:val="00DC21EC"/>
    <w:rsid w:val="00DC245E"/>
    <w:rsid w:val="00DC2712"/>
    <w:rsid w:val="00DC2B15"/>
    <w:rsid w:val="00DC2E12"/>
    <w:rsid w:val="00DC34F3"/>
    <w:rsid w:val="00DC39D9"/>
    <w:rsid w:val="00DC3AE5"/>
    <w:rsid w:val="00DC3B06"/>
    <w:rsid w:val="00DC43C8"/>
    <w:rsid w:val="00DC47EC"/>
    <w:rsid w:val="00DC487E"/>
    <w:rsid w:val="00DC49C9"/>
    <w:rsid w:val="00DC4A29"/>
    <w:rsid w:val="00DC4BE9"/>
    <w:rsid w:val="00DC4C96"/>
    <w:rsid w:val="00DC5744"/>
    <w:rsid w:val="00DC5872"/>
    <w:rsid w:val="00DC5949"/>
    <w:rsid w:val="00DC599C"/>
    <w:rsid w:val="00DC59F0"/>
    <w:rsid w:val="00DC5BA5"/>
    <w:rsid w:val="00DC6020"/>
    <w:rsid w:val="00DC657F"/>
    <w:rsid w:val="00DC6603"/>
    <w:rsid w:val="00DC6964"/>
    <w:rsid w:val="00DC712E"/>
    <w:rsid w:val="00DC7442"/>
    <w:rsid w:val="00DC7471"/>
    <w:rsid w:val="00DC75DF"/>
    <w:rsid w:val="00DC765A"/>
    <w:rsid w:val="00DC769A"/>
    <w:rsid w:val="00DC7703"/>
    <w:rsid w:val="00DC7947"/>
    <w:rsid w:val="00DC7A9C"/>
    <w:rsid w:val="00DC7C15"/>
    <w:rsid w:val="00DC7C90"/>
    <w:rsid w:val="00DC7D09"/>
    <w:rsid w:val="00DD0157"/>
    <w:rsid w:val="00DD018A"/>
    <w:rsid w:val="00DD02B2"/>
    <w:rsid w:val="00DD0396"/>
    <w:rsid w:val="00DD05F9"/>
    <w:rsid w:val="00DD081E"/>
    <w:rsid w:val="00DD086E"/>
    <w:rsid w:val="00DD0B85"/>
    <w:rsid w:val="00DD0C28"/>
    <w:rsid w:val="00DD0CBE"/>
    <w:rsid w:val="00DD0D81"/>
    <w:rsid w:val="00DD0E35"/>
    <w:rsid w:val="00DD0FC9"/>
    <w:rsid w:val="00DD106B"/>
    <w:rsid w:val="00DD10C3"/>
    <w:rsid w:val="00DD142A"/>
    <w:rsid w:val="00DD15DB"/>
    <w:rsid w:val="00DD15DD"/>
    <w:rsid w:val="00DD17D5"/>
    <w:rsid w:val="00DD19F7"/>
    <w:rsid w:val="00DD1A76"/>
    <w:rsid w:val="00DD1B6D"/>
    <w:rsid w:val="00DD1FEB"/>
    <w:rsid w:val="00DD2235"/>
    <w:rsid w:val="00DD2570"/>
    <w:rsid w:val="00DD2D0F"/>
    <w:rsid w:val="00DD30B5"/>
    <w:rsid w:val="00DD312F"/>
    <w:rsid w:val="00DD3CE5"/>
    <w:rsid w:val="00DD3D0B"/>
    <w:rsid w:val="00DD3D67"/>
    <w:rsid w:val="00DD3E98"/>
    <w:rsid w:val="00DD442E"/>
    <w:rsid w:val="00DD47EB"/>
    <w:rsid w:val="00DD520A"/>
    <w:rsid w:val="00DD5235"/>
    <w:rsid w:val="00DD5302"/>
    <w:rsid w:val="00DD5359"/>
    <w:rsid w:val="00DD5516"/>
    <w:rsid w:val="00DD5B60"/>
    <w:rsid w:val="00DD5E96"/>
    <w:rsid w:val="00DD5FB4"/>
    <w:rsid w:val="00DD642E"/>
    <w:rsid w:val="00DD65B2"/>
    <w:rsid w:val="00DD6BE7"/>
    <w:rsid w:val="00DD6C10"/>
    <w:rsid w:val="00DD6D32"/>
    <w:rsid w:val="00DD7408"/>
    <w:rsid w:val="00DD7416"/>
    <w:rsid w:val="00DD764D"/>
    <w:rsid w:val="00DD78FD"/>
    <w:rsid w:val="00DD7A0B"/>
    <w:rsid w:val="00DE01E6"/>
    <w:rsid w:val="00DE0407"/>
    <w:rsid w:val="00DE0692"/>
    <w:rsid w:val="00DE0704"/>
    <w:rsid w:val="00DE07EA"/>
    <w:rsid w:val="00DE0D55"/>
    <w:rsid w:val="00DE0F7A"/>
    <w:rsid w:val="00DE1368"/>
    <w:rsid w:val="00DE1E1B"/>
    <w:rsid w:val="00DE1E4A"/>
    <w:rsid w:val="00DE21B9"/>
    <w:rsid w:val="00DE2621"/>
    <w:rsid w:val="00DE32A1"/>
    <w:rsid w:val="00DE3506"/>
    <w:rsid w:val="00DE39CE"/>
    <w:rsid w:val="00DE3AE9"/>
    <w:rsid w:val="00DE3B40"/>
    <w:rsid w:val="00DE3FDA"/>
    <w:rsid w:val="00DE4164"/>
    <w:rsid w:val="00DE42D7"/>
    <w:rsid w:val="00DE4665"/>
    <w:rsid w:val="00DE46C2"/>
    <w:rsid w:val="00DE484A"/>
    <w:rsid w:val="00DE4BD3"/>
    <w:rsid w:val="00DE4C13"/>
    <w:rsid w:val="00DE4E38"/>
    <w:rsid w:val="00DE5107"/>
    <w:rsid w:val="00DE52FD"/>
    <w:rsid w:val="00DE5357"/>
    <w:rsid w:val="00DE53F7"/>
    <w:rsid w:val="00DE5E37"/>
    <w:rsid w:val="00DE5E3C"/>
    <w:rsid w:val="00DE60B3"/>
    <w:rsid w:val="00DE617D"/>
    <w:rsid w:val="00DE6286"/>
    <w:rsid w:val="00DE6457"/>
    <w:rsid w:val="00DE68C2"/>
    <w:rsid w:val="00DE70F6"/>
    <w:rsid w:val="00DE7403"/>
    <w:rsid w:val="00DE77AB"/>
    <w:rsid w:val="00DE78FC"/>
    <w:rsid w:val="00DE7B87"/>
    <w:rsid w:val="00DE7E38"/>
    <w:rsid w:val="00DE7EA4"/>
    <w:rsid w:val="00DE7EF0"/>
    <w:rsid w:val="00DF0189"/>
    <w:rsid w:val="00DF05BA"/>
    <w:rsid w:val="00DF07A3"/>
    <w:rsid w:val="00DF08CC"/>
    <w:rsid w:val="00DF09A7"/>
    <w:rsid w:val="00DF0AE9"/>
    <w:rsid w:val="00DF0DE0"/>
    <w:rsid w:val="00DF0E66"/>
    <w:rsid w:val="00DF107E"/>
    <w:rsid w:val="00DF1175"/>
    <w:rsid w:val="00DF15C4"/>
    <w:rsid w:val="00DF15D0"/>
    <w:rsid w:val="00DF1638"/>
    <w:rsid w:val="00DF1889"/>
    <w:rsid w:val="00DF196F"/>
    <w:rsid w:val="00DF19DC"/>
    <w:rsid w:val="00DF1C3E"/>
    <w:rsid w:val="00DF272F"/>
    <w:rsid w:val="00DF27A5"/>
    <w:rsid w:val="00DF2E85"/>
    <w:rsid w:val="00DF2ED0"/>
    <w:rsid w:val="00DF3122"/>
    <w:rsid w:val="00DF3B15"/>
    <w:rsid w:val="00DF3B4B"/>
    <w:rsid w:val="00DF3BF1"/>
    <w:rsid w:val="00DF4266"/>
    <w:rsid w:val="00DF4435"/>
    <w:rsid w:val="00DF4699"/>
    <w:rsid w:val="00DF47D7"/>
    <w:rsid w:val="00DF482F"/>
    <w:rsid w:val="00DF484C"/>
    <w:rsid w:val="00DF50B3"/>
    <w:rsid w:val="00DF56A9"/>
    <w:rsid w:val="00DF5BCE"/>
    <w:rsid w:val="00DF5C8F"/>
    <w:rsid w:val="00DF5FBB"/>
    <w:rsid w:val="00DF6138"/>
    <w:rsid w:val="00DF6239"/>
    <w:rsid w:val="00DF67D5"/>
    <w:rsid w:val="00DF6A1D"/>
    <w:rsid w:val="00DF71D0"/>
    <w:rsid w:val="00DF7263"/>
    <w:rsid w:val="00DF7812"/>
    <w:rsid w:val="00DF78F0"/>
    <w:rsid w:val="00DF7A66"/>
    <w:rsid w:val="00DF7B50"/>
    <w:rsid w:val="00DF7C17"/>
    <w:rsid w:val="00DF7E82"/>
    <w:rsid w:val="00DF7FB9"/>
    <w:rsid w:val="00E00A96"/>
    <w:rsid w:val="00E00B99"/>
    <w:rsid w:val="00E00BCC"/>
    <w:rsid w:val="00E00E79"/>
    <w:rsid w:val="00E00F53"/>
    <w:rsid w:val="00E01077"/>
    <w:rsid w:val="00E013AC"/>
    <w:rsid w:val="00E015E0"/>
    <w:rsid w:val="00E01B8D"/>
    <w:rsid w:val="00E01FD2"/>
    <w:rsid w:val="00E020F9"/>
    <w:rsid w:val="00E0218D"/>
    <w:rsid w:val="00E023DD"/>
    <w:rsid w:val="00E0248A"/>
    <w:rsid w:val="00E025BF"/>
    <w:rsid w:val="00E027FA"/>
    <w:rsid w:val="00E02B03"/>
    <w:rsid w:val="00E02DEF"/>
    <w:rsid w:val="00E02FCC"/>
    <w:rsid w:val="00E03394"/>
    <w:rsid w:val="00E03625"/>
    <w:rsid w:val="00E039B9"/>
    <w:rsid w:val="00E03B08"/>
    <w:rsid w:val="00E03D63"/>
    <w:rsid w:val="00E03E92"/>
    <w:rsid w:val="00E041DC"/>
    <w:rsid w:val="00E043F7"/>
    <w:rsid w:val="00E048BE"/>
    <w:rsid w:val="00E04F69"/>
    <w:rsid w:val="00E053FB"/>
    <w:rsid w:val="00E05448"/>
    <w:rsid w:val="00E0596C"/>
    <w:rsid w:val="00E05DB3"/>
    <w:rsid w:val="00E062F1"/>
    <w:rsid w:val="00E06C3F"/>
    <w:rsid w:val="00E06D3D"/>
    <w:rsid w:val="00E06E05"/>
    <w:rsid w:val="00E06EA2"/>
    <w:rsid w:val="00E06EA3"/>
    <w:rsid w:val="00E06F14"/>
    <w:rsid w:val="00E070BF"/>
    <w:rsid w:val="00E07842"/>
    <w:rsid w:val="00E07C59"/>
    <w:rsid w:val="00E10499"/>
    <w:rsid w:val="00E10683"/>
    <w:rsid w:val="00E107B2"/>
    <w:rsid w:val="00E108A8"/>
    <w:rsid w:val="00E109A0"/>
    <w:rsid w:val="00E10F5B"/>
    <w:rsid w:val="00E113CB"/>
    <w:rsid w:val="00E1147B"/>
    <w:rsid w:val="00E1155A"/>
    <w:rsid w:val="00E11A4E"/>
    <w:rsid w:val="00E11B76"/>
    <w:rsid w:val="00E11C4C"/>
    <w:rsid w:val="00E11F1A"/>
    <w:rsid w:val="00E11FA9"/>
    <w:rsid w:val="00E11FE2"/>
    <w:rsid w:val="00E123A3"/>
    <w:rsid w:val="00E12900"/>
    <w:rsid w:val="00E13272"/>
    <w:rsid w:val="00E1334D"/>
    <w:rsid w:val="00E133E8"/>
    <w:rsid w:val="00E13A72"/>
    <w:rsid w:val="00E13C6E"/>
    <w:rsid w:val="00E13E3B"/>
    <w:rsid w:val="00E1409A"/>
    <w:rsid w:val="00E141E2"/>
    <w:rsid w:val="00E14893"/>
    <w:rsid w:val="00E14AA2"/>
    <w:rsid w:val="00E14FE5"/>
    <w:rsid w:val="00E15146"/>
    <w:rsid w:val="00E15747"/>
    <w:rsid w:val="00E15883"/>
    <w:rsid w:val="00E16445"/>
    <w:rsid w:val="00E1683A"/>
    <w:rsid w:val="00E16AB1"/>
    <w:rsid w:val="00E16C96"/>
    <w:rsid w:val="00E16DB4"/>
    <w:rsid w:val="00E16E35"/>
    <w:rsid w:val="00E1726C"/>
    <w:rsid w:val="00E17698"/>
    <w:rsid w:val="00E176F3"/>
    <w:rsid w:val="00E17E81"/>
    <w:rsid w:val="00E20036"/>
    <w:rsid w:val="00E20202"/>
    <w:rsid w:val="00E2073B"/>
    <w:rsid w:val="00E21182"/>
    <w:rsid w:val="00E215B8"/>
    <w:rsid w:val="00E21B12"/>
    <w:rsid w:val="00E21BD2"/>
    <w:rsid w:val="00E221B9"/>
    <w:rsid w:val="00E22522"/>
    <w:rsid w:val="00E22783"/>
    <w:rsid w:val="00E229CA"/>
    <w:rsid w:val="00E22FD1"/>
    <w:rsid w:val="00E23347"/>
    <w:rsid w:val="00E23A3E"/>
    <w:rsid w:val="00E242E9"/>
    <w:rsid w:val="00E24B19"/>
    <w:rsid w:val="00E24FF4"/>
    <w:rsid w:val="00E25015"/>
    <w:rsid w:val="00E25038"/>
    <w:rsid w:val="00E25293"/>
    <w:rsid w:val="00E252E5"/>
    <w:rsid w:val="00E25493"/>
    <w:rsid w:val="00E25706"/>
    <w:rsid w:val="00E2577A"/>
    <w:rsid w:val="00E257D9"/>
    <w:rsid w:val="00E25D22"/>
    <w:rsid w:val="00E26036"/>
    <w:rsid w:val="00E262BB"/>
    <w:rsid w:val="00E266A1"/>
    <w:rsid w:val="00E2685B"/>
    <w:rsid w:val="00E2699A"/>
    <w:rsid w:val="00E26F3A"/>
    <w:rsid w:val="00E27440"/>
    <w:rsid w:val="00E27696"/>
    <w:rsid w:val="00E27C81"/>
    <w:rsid w:val="00E27C88"/>
    <w:rsid w:val="00E27D65"/>
    <w:rsid w:val="00E27F2F"/>
    <w:rsid w:val="00E3007A"/>
    <w:rsid w:val="00E300C5"/>
    <w:rsid w:val="00E306A4"/>
    <w:rsid w:val="00E306DE"/>
    <w:rsid w:val="00E30916"/>
    <w:rsid w:val="00E30C02"/>
    <w:rsid w:val="00E31191"/>
    <w:rsid w:val="00E31556"/>
    <w:rsid w:val="00E3160D"/>
    <w:rsid w:val="00E316E2"/>
    <w:rsid w:val="00E31AB1"/>
    <w:rsid w:val="00E31C3B"/>
    <w:rsid w:val="00E31C44"/>
    <w:rsid w:val="00E31D10"/>
    <w:rsid w:val="00E32245"/>
    <w:rsid w:val="00E32503"/>
    <w:rsid w:val="00E3272B"/>
    <w:rsid w:val="00E32FC7"/>
    <w:rsid w:val="00E32FC8"/>
    <w:rsid w:val="00E332C7"/>
    <w:rsid w:val="00E337AF"/>
    <w:rsid w:val="00E33982"/>
    <w:rsid w:val="00E33A10"/>
    <w:rsid w:val="00E33B17"/>
    <w:rsid w:val="00E33B88"/>
    <w:rsid w:val="00E33F3C"/>
    <w:rsid w:val="00E33FA7"/>
    <w:rsid w:val="00E34140"/>
    <w:rsid w:val="00E341C0"/>
    <w:rsid w:val="00E346BE"/>
    <w:rsid w:val="00E346D3"/>
    <w:rsid w:val="00E35620"/>
    <w:rsid w:val="00E35DE4"/>
    <w:rsid w:val="00E35E91"/>
    <w:rsid w:val="00E3626D"/>
    <w:rsid w:val="00E365CD"/>
    <w:rsid w:val="00E36D29"/>
    <w:rsid w:val="00E36EEA"/>
    <w:rsid w:val="00E36F70"/>
    <w:rsid w:val="00E37888"/>
    <w:rsid w:val="00E379E9"/>
    <w:rsid w:val="00E37E79"/>
    <w:rsid w:val="00E40162"/>
    <w:rsid w:val="00E40A6C"/>
    <w:rsid w:val="00E40B2C"/>
    <w:rsid w:val="00E40B76"/>
    <w:rsid w:val="00E40DDF"/>
    <w:rsid w:val="00E41162"/>
    <w:rsid w:val="00E4132F"/>
    <w:rsid w:val="00E41547"/>
    <w:rsid w:val="00E41B72"/>
    <w:rsid w:val="00E4243E"/>
    <w:rsid w:val="00E42836"/>
    <w:rsid w:val="00E42F42"/>
    <w:rsid w:val="00E43269"/>
    <w:rsid w:val="00E43311"/>
    <w:rsid w:val="00E43BAB"/>
    <w:rsid w:val="00E43C47"/>
    <w:rsid w:val="00E44034"/>
    <w:rsid w:val="00E44186"/>
    <w:rsid w:val="00E44507"/>
    <w:rsid w:val="00E44588"/>
    <w:rsid w:val="00E44C3F"/>
    <w:rsid w:val="00E45195"/>
    <w:rsid w:val="00E451C0"/>
    <w:rsid w:val="00E45421"/>
    <w:rsid w:val="00E45428"/>
    <w:rsid w:val="00E455E9"/>
    <w:rsid w:val="00E45890"/>
    <w:rsid w:val="00E45A67"/>
    <w:rsid w:val="00E46078"/>
    <w:rsid w:val="00E46654"/>
    <w:rsid w:val="00E46C66"/>
    <w:rsid w:val="00E46D72"/>
    <w:rsid w:val="00E46EB5"/>
    <w:rsid w:val="00E47550"/>
    <w:rsid w:val="00E47907"/>
    <w:rsid w:val="00E47BDE"/>
    <w:rsid w:val="00E47C9F"/>
    <w:rsid w:val="00E50271"/>
    <w:rsid w:val="00E5077B"/>
    <w:rsid w:val="00E50F1E"/>
    <w:rsid w:val="00E50FBC"/>
    <w:rsid w:val="00E5121C"/>
    <w:rsid w:val="00E512E3"/>
    <w:rsid w:val="00E51361"/>
    <w:rsid w:val="00E5136C"/>
    <w:rsid w:val="00E51761"/>
    <w:rsid w:val="00E51772"/>
    <w:rsid w:val="00E5185C"/>
    <w:rsid w:val="00E5199D"/>
    <w:rsid w:val="00E519F8"/>
    <w:rsid w:val="00E51AA6"/>
    <w:rsid w:val="00E51AC4"/>
    <w:rsid w:val="00E51B80"/>
    <w:rsid w:val="00E51CD5"/>
    <w:rsid w:val="00E52156"/>
    <w:rsid w:val="00E52400"/>
    <w:rsid w:val="00E52419"/>
    <w:rsid w:val="00E52E3C"/>
    <w:rsid w:val="00E52EF6"/>
    <w:rsid w:val="00E5324B"/>
    <w:rsid w:val="00E53841"/>
    <w:rsid w:val="00E53913"/>
    <w:rsid w:val="00E53D75"/>
    <w:rsid w:val="00E53EA7"/>
    <w:rsid w:val="00E5465C"/>
    <w:rsid w:val="00E54776"/>
    <w:rsid w:val="00E54B95"/>
    <w:rsid w:val="00E54FED"/>
    <w:rsid w:val="00E550D8"/>
    <w:rsid w:val="00E551CF"/>
    <w:rsid w:val="00E551D0"/>
    <w:rsid w:val="00E554B2"/>
    <w:rsid w:val="00E554FC"/>
    <w:rsid w:val="00E55C75"/>
    <w:rsid w:val="00E55CA2"/>
    <w:rsid w:val="00E55E5F"/>
    <w:rsid w:val="00E55F58"/>
    <w:rsid w:val="00E56021"/>
    <w:rsid w:val="00E56044"/>
    <w:rsid w:val="00E560B9"/>
    <w:rsid w:val="00E561A7"/>
    <w:rsid w:val="00E56310"/>
    <w:rsid w:val="00E569BF"/>
    <w:rsid w:val="00E56F88"/>
    <w:rsid w:val="00E57E5E"/>
    <w:rsid w:val="00E6008D"/>
    <w:rsid w:val="00E602AF"/>
    <w:rsid w:val="00E6089C"/>
    <w:rsid w:val="00E60A78"/>
    <w:rsid w:val="00E61037"/>
    <w:rsid w:val="00E613F6"/>
    <w:rsid w:val="00E61487"/>
    <w:rsid w:val="00E614CD"/>
    <w:rsid w:val="00E6157F"/>
    <w:rsid w:val="00E6168E"/>
    <w:rsid w:val="00E61994"/>
    <w:rsid w:val="00E61BF7"/>
    <w:rsid w:val="00E61C26"/>
    <w:rsid w:val="00E61DEC"/>
    <w:rsid w:val="00E6217E"/>
    <w:rsid w:val="00E62389"/>
    <w:rsid w:val="00E62477"/>
    <w:rsid w:val="00E624C7"/>
    <w:rsid w:val="00E627DD"/>
    <w:rsid w:val="00E62942"/>
    <w:rsid w:val="00E62949"/>
    <w:rsid w:val="00E62963"/>
    <w:rsid w:val="00E63344"/>
    <w:rsid w:val="00E63390"/>
    <w:rsid w:val="00E63942"/>
    <w:rsid w:val="00E63A3C"/>
    <w:rsid w:val="00E644F6"/>
    <w:rsid w:val="00E64858"/>
    <w:rsid w:val="00E65678"/>
    <w:rsid w:val="00E6610F"/>
    <w:rsid w:val="00E661EB"/>
    <w:rsid w:val="00E664E0"/>
    <w:rsid w:val="00E6662E"/>
    <w:rsid w:val="00E6682A"/>
    <w:rsid w:val="00E66AB2"/>
    <w:rsid w:val="00E66AC9"/>
    <w:rsid w:val="00E66D7C"/>
    <w:rsid w:val="00E6705A"/>
    <w:rsid w:val="00E670CE"/>
    <w:rsid w:val="00E672FA"/>
    <w:rsid w:val="00E67695"/>
    <w:rsid w:val="00E6773F"/>
    <w:rsid w:val="00E679C0"/>
    <w:rsid w:val="00E67E86"/>
    <w:rsid w:val="00E70036"/>
    <w:rsid w:val="00E702C2"/>
    <w:rsid w:val="00E703F8"/>
    <w:rsid w:val="00E706AE"/>
    <w:rsid w:val="00E7112F"/>
    <w:rsid w:val="00E714E2"/>
    <w:rsid w:val="00E71570"/>
    <w:rsid w:val="00E717B3"/>
    <w:rsid w:val="00E719DD"/>
    <w:rsid w:val="00E72039"/>
    <w:rsid w:val="00E720CA"/>
    <w:rsid w:val="00E721A9"/>
    <w:rsid w:val="00E7222C"/>
    <w:rsid w:val="00E722B8"/>
    <w:rsid w:val="00E725E4"/>
    <w:rsid w:val="00E729AD"/>
    <w:rsid w:val="00E72ADF"/>
    <w:rsid w:val="00E730E4"/>
    <w:rsid w:val="00E7315A"/>
    <w:rsid w:val="00E73527"/>
    <w:rsid w:val="00E73571"/>
    <w:rsid w:val="00E735F0"/>
    <w:rsid w:val="00E737B8"/>
    <w:rsid w:val="00E73973"/>
    <w:rsid w:val="00E73E18"/>
    <w:rsid w:val="00E73F0D"/>
    <w:rsid w:val="00E73F43"/>
    <w:rsid w:val="00E73F4E"/>
    <w:rsid w:val="00E7417D"/>
    <w:rsid w:val="00E74C36"/>
    <w:rsid w:val="00E74CFE"/>
    <w:rsid w:val="00E750E1"/>
    <w:rsid w:val="00E75353"/>
    <w:rsid w:val="00E75A76"/>
    <w:rsid w:val="00E75D56"/>
    <w:rsid w:val="00E7622D"/>
    <w:rsid w:val="00E7631E"/>
    <w:rsid w:val="00E765F2"/>
    <w:rsid w:val="00E76671"/>
    <w:rsid w:val="00E768C6"/>
    <w:rsid w:val="00E76BDF"/>
    <w:rsid w:val="00E777D4"/>
    <w:rsid w:val="00E778B5"/>
    <w:rsid w:val="00E77C78"/>
    <w:rsid w:val="00E77CB2"/>
    <w:rsid w:val="00E80919"/>
    <w:rsid w:val="00E80B5A"/>
    <w:rsid w:val="00E80D9E"/>
    <w:rsid w:val="00E80DF4"/>
    <w:rsid w:val="00E81004"/>
    <w:rsid w:val="00E81483"/>
    <w:rsid w:val="00E814AD"/>
    <w:rsid w:val="00E820D0"/>
    <w:rsid w:val="00E82141"/>
    <w:rsid w:val="00E82457"/>
    <w:rsid w:val="00E833A1"/>
    <w:rsid w:val="00E835C9"/>
    <w:rsid w:val="00E835E1"/>
    <w:rsid w:val="00E83875"/>
    <w:rsid w:val="00E838E3"/>
    <w:rsid w:val="00E8397A"/>
    <w:rsid w:val="00E849A2"/>
    <w:rsid w:val="00E84B11"/>
    <w:rsid w:val="00E84B25"/>
    <w:rsid w:val="00E84DDE"/>
    <w:rsid w:val="00E84E5C"/>
    <w:rsid w:val="00E853FC"/>
    <w:rsid w:val="00E85472"/>
    <w:rsid w:val="00E856CF"/>
    <w:rsid w:val="00E858A3"/>
    <w:rsid w:val="00E859F0"/>
    <w:rsid w:val="00E85BD4"/>
    <w:rsid w:val="00E85D6A"/>
    <w:rsid w:val="00E85D75"/>
    <w:rsid w:val="00E85D82"/>
    <w:rsid w:val="00E8607A"/>
    <w:rsid w:val="00E86348"/>
    <w:rsid w:val="00E86377"/>
    <w:rsid w:val="00E86896"/>
    <w:rsid w:val="00E868DB"/>
    <w:rsid w:val="00E86932"/>
    <w:rsid w:val="00E86C7B"/>
    <w:rsid w:val="00E86CCA"/>
    <w:rsid w:val="00E86E73"/>
    <w:rsid w:val="00E8743D"/>
    <w:rsid w:val="00E87687"/>
    <w:rsid w:val="00E876BB"/>
    <w:rsid w:val="00E87939"/>
    <w:rsid w:val="00E87AF0"/>
    <w:rsid w:val="00E87B87"/>
    <w:rsid w:val="00E87F0D"/>
    <w:rsid w:val="00E901C5"/>
    <w:rsid w:val="00E905CA"/>
    <w:rsid w:val="00E906AA"/>
    <w:rsid w:val="00E90805"/>
    <w:rsid w:val="00E90BE2"/>
    <w:rsid w:val="00E90CA6"/>
    <w:rsid w:val="00E90D92"/>
    <w:rsid w:val="00E90DAC"/>
    <w:rsid w:val="00E910A8"/>
    <w:rsid w:val="00E912D5"/>
    <w:rsid w:val="00E912DE"/>
    <w:rsid w:val="00E9153B"/>
    <w:rsid w:val="00E915BD"/>
    <w:rsid w:val="00E91A74"/>
    <w:rsid w:val="00E91B2B"/>
    <w:rsid w:val="00E91D32"/>
    <w:rsid w:val="00E91E66"/>
    <w:rsid w:val="00E91F58"/>
    <w:rsid w:val="00E921C6"/>
    <w:rsid w:val="00E926B4"/>
    <w:rsid w:val="00E9277F"/>
    <w:rsid w:val="00E927B1"/>
    <w:rsid w:val="00E9295F"/>
    <w:rsid w:val="00E92C3B"/>
    <w:rsid w:val="00E939E3"/>
    <w:rsid w:val="00E93AC3"/>
    <w:rsid w:val="00E93B4A"/>
    <w:rsid w:val="00E93F6B"/>
    <w:rsid w:val="00E93FAD"/>
    <w:rsid w:val="00E94280"/>
    <w:rsid w:val="00E943C4"/>
    <w:rsid w:val="00E94A1E"/>
    <w:rsid w:val="00E94A9E"/>
    <w:rsid w:val="00E94BEA"/>
    <w:rsid w:val="00E94C92"/>
    <w:rsid w:val="00E9508B"/>
    <w:rsid w:val="00E9592C"/>
    <w:rsid w:val="00E95DC3"/>
    <w:rsid w:val="00E960A9"/>
    <w:rsid w:val="00E9635B"/>
    <w:rsid w:val="00E963E3"/>
    <w:rsid w:val="00E9654D"/>
    <w:rsid w:val="00E96784"/>
    <w:rsid w:val="00E9694F"/>
    <w:rsid w:val="00E96993"/>
    <w:rsid w:val="00E969CF"/>
    <w:rsid w:val="00E96DFB"/>
    <w:rsid w:val="00E96F78"/>
    <w:rsid w:val="00E97272"/>
    <w:rsid w:val="00E977F0"/>
    <w:rsid w:val="00EA0169"/>
    <w:rsid w:val="00EA030D"/>
    <w:rsid w:val="00EA036E"/>
    <w:rsid w:val="00EA04D4"/>
    <w:rsid w:val="00EA0505"/>
    <w:rsid w:val="00EA075B"/>
    <w:rsid w:val="00EA085F"/>
    <w:rsid w:val="00EA0D2B"/>
    <w:rsid w:val="00EA0F54"/>
    <w:rsid w:val="00EA11B2"/>
    <w:rsid w:val="00EA140C"/>
    <w:rsid w:val="00EA173B"/>
    <w:rsid w:val="00EA19C5"/>
    <w:rsid w:val="00EA1BAC"/>
    <w:rsid w:val="00EA1C7F"/>
    <w:rsid w:val="00EA20EB"/>
    <w:rsid w:val="00EA210F"/>
    <w:rsid w:val="00EA2286"/>
    <w:rsid w:val="00EA2714"/>
    <w:rsid w:val="00EA27CC"/>
    <w:rsid w:val="00EA2869"/>
    <w:rsid w:val="00EA2A1D"/>
    <w:rsid w:val="00EA33FB"/>
    <w:rsid w:val="00EA3615"/>
    <w:rsid w:val="00EA388A"/>
    <w:rsid w:val="00EA3CBB"/>
    <w:rsid w:val="00EA4370"/>
    <w:rsid w:val="00EA4701"/>
    <w:rsid w:val="00EA47FE"/>
    <w:rsid w:val="00EA4D59"/>
    <w:rsid w:val="00EA5215"/>
    <w:rsid w:val="00EA52B5"/>
    <w:rsid w:val="00EA52F6"/>
    <w:rsid w:val="00EA56F2"/>
    <w:rsid w:val="00EA5A0E"/>
    <w:rsid w:val="00EA5BD6"/>
    <w:rsid w:val="00EA5C57"/>
    <w:rsid w:val="00EA5D8C"/>
    <w:rsid w:val="00EA5E0C"/>
    <w:rsid w:val="00EA5F40"/>
    <w:rsid w:val="00EA63AB"/>
    <w:rsid w:val="00EA6683"/>
    <w:rsid w:val="00EA6CD4"/>
    <w:rsid w:val="00EA70F3"/>
    <w:rsid w:val="00EA7119"/>
    <w:rsid w:val="00EA75DC"/>
    <w:rsid w:val="00EA7FD2"/>
    <w:rsid w:val="00EB01F1"/>
    <w:rsid w:val="00EB0350"/>
    <w:rsid w:val="00EB059B"/>
    <w:rsid w:val="00EB0C54"/>
    <w:rsid w:val="00EB0C86"/>
    <w:rsid w:val="00EB0D4E"/>
    <w:rsid w:val="00EB1724"/>
    <w:rsid w:val="00EB1D8B"/>
    <w:rsid w:val="00EB2098"/>
    <w:rsid w:val="00EB221D"/>
    <w:rsid w:val="00EB2393"/>
    <w:rsid w:val="00EB23A7"/>
    <w:rsid w:val="00EB23BA"/>
    <w:rsid w:val="00EB24A6"/>
    <w:rsid w:val="00EB2620"/>
    <w:rsid w:val="00EB276C"/>
    <w:rsid w:val="00EB2993"/>
    <w:rsid w:val="00EB2B8B"/>
    <w:rsid w:val="00EB2CE3"/>
    <w:rsid w:val="00EB2E41"/>
    <w:rsid w:val="00EB3176"/>
    <w:rsid w:val="00EB3302"/>
    <w:rsid w:val="00EB34C1"/>
    <w:rsid w:val="00EB3654"/>
    <w:rsid w:val="00EB36AC"/>
    <w:rsid w:val="00EB37DF"/>
    <w:rsid w:val="00EB3A6D"/>
    <w:rsid w:val="00EB4090"/>
    <w:rsid w:val="00EB419B"/>
    <w:rsid w:val="00EB421F"/>
    <w:rsid w:val="00EB46C0"/>
    <w:rsid w:val="00EB484B"/>
    <w:rsid w:val="00EB4ECC"/>
    <w:rsid w:val="00EB4FA9"/>
    <w:rsid w:val="00EB511D"/>
    <w:rsid w:val="00EB522A"/>
    <w:rsid w:val="00EB52AA"/>
    <w:rsid w:val="00EB5413"/>
    <w:rsid w:val="00EB544D"/>
    <w:rsid w:val="00EB58B6"/>
    <w:rsid w:val="00EB59CF"/>
    <w:rsid w:val="00EB5D46"/>
    <w:rsid w:val="00EB6399"/>
    <w:rsid w:val="00EB6573"/>
    <w:rsid w:val="00EB684C"/>
    <w:rsid w:val="00EB69B4"/>
    <w:rsid w:val="00EB6D78"/>
    <w:rsid w:val="00EB6DE2"/>
    <w:rsid w:val="00EB6E93"/>
    <w:rsid w:val="00EB712B"/>
    <w:rsid w:val="00EB72C7"/>
    <w:rsid w:val="00EB7614"/>
    <w:rsid w:val="00EB76C7"/>
    <w:rsid w:val="00EB78F5"/>
    <w:rsid w:val="00EC0832"/>
    <w:rsid w:val="00EC0C63"/>
    <w:rsid w:val="00EC1437"/>
    <w:rsid w:val="00EC14D2"/>
    <w:rsid w:val="00EC156D"/>
    <w:rsid w:val="00EC1590"/>
    <w:rsid w:val="00EC1991"/>
    <w:rsid w:val="00EC19F0"/>
    <w:rsid w:val="00EC2658"/>
    <w:rsid w:val="00EC2B9B"/>
    <w:rsid w:val="00EC2E8F"/>
    <w:rsid w:val="00EC3266"/>
    <w:rsid w:val="00EC3473"/>
    <w:rsid w:val="00EC3B50"/>
    <w:rsid w:val="00EC3C10"/>
    <w:rsid w:val="00EC3C71"/>
    <w:rsid w:val="00EC3E3A"/>
    <w:rsid w:val="00EC3F2C"/>
    <w:rsid w:val="00EC4026"/>
    <w:rsid w:val="00EC403C"/>
    <w:rsid w:val="00EC40EE"/>
    <w:rsid w:val="00EC453C"/>
    <w:rsid w:val="00EC45CD"/>
    <w:rsid w:val="00EC492C"/>
    <w:rsid w:val="00EC49F3"/>
    <w:rsid w:val="00EC4A4D"/>
    <w:rsid w:val="00EC4ABC"/>
    <w:rsid w:val="00EC4D54"/>
    <w:rsid w:val="00EC4F82"/>
    <w:rsid w:val="00EC506E"/>
    <w:rsid w:val="00EC52A0"/>
    <w:rsid w:val="00EC5C20"/>
    <w:rsid w:val="00EC5D18"/>
    <w:rsid w:val="00EC5D62"/>
    <w:rsid w:val="00EC6031"/>
    <w:rsid w:val="00EC6193"/>
    <w:rsid w:val="00EC64E4"/>
    <w:rsid w:val="00EC6E15"/>
    <w:rsid w:val="00EC6F8E"/>
    <w:rsid w:val="00EC7407"/>
    <w:rsid w:val="00EC7C3B"/>
    <w:rsid w:val="00ED002B"/>
    <w:rsid w:val="00ED004C"/>
    <w:rsid w:val="00ED00EE"/>
    <w:rsid w:val="00ED0122"/>
    <w:rsid w:val="00ED0334"/>
    <w:rsid w:val="00ED0902"/>
    <w:rsid w:val="00ED0ACA"/>
    <w:rsid w:val="00ED0D27"/>
    <w:rsid w:val="00ED0E24"/>
    <w:rsid w:val="00ED1076"/>
    <w:rsid w:val="00ED1126"/>
    <w:rsid w:val="00ED15FC"/>
    <w:rsid w:val="00ED1ABB"/>
    <w:rsid w:val="00ED1C34"/>
    <w:rsid w:val="00ED1D13"/>
    <w:rsid w:val="00ED2216"/>
    <w:rsid w:val="00ED2498"/>
    <w:rsid w:val="00ED2A25"/>
    <w:rsid w:val="00ED2CF9"/>
    <w:rsid w:val="00ED31F4"/>
    <w:rsid w:val="00ED326A"/>
    <w:rsid w:val="00ED329E"/>
    <w:rsid w:val="00ED33D6"/>
    <w:rsid w:val="00ED3E8B"/>
    <w:rsid w:val="00ED4887"/>
    <w:rsid w:val="00ED4BEF"/>
    <w:rsid w:val="00ED51CA"/>
    <w:rsid w:val="00ED52EC"/>
    <w:rsid w:val="00ED55C8"/>
    <w:rsid w:val="00ED5C8C"/>
    <w:rsid w:val="00ED5E86"/>
    <w:rsid w:val="00ED606F"/>
    <w:rsid w:val="00ED6190"/>
    <w:rsid w:val="00ED6438"/>
    <w:rsid w:val="00ED65CC"/>
    <w:rsid w:val="00ED6698"/>
    <w:rsid w:val="00ED6CCE"/>
    <w:rsid w:val="00ED6D3C"/>
    <w:rsid w:val="00ED6EB4"/>
    <w:rsid w:val="00ED7262"/>
    <w:rsid w:val="00ED7475"/>
    <w:rsid w:val="00ED74EE"/>
    <w:rsid w:val="00ED7516"/>
    <w:rsid w:val="00ED7996"/>
    <w:rsid w:val="00ED7E3E"/>
    <w:rsid w:val="00EE0407"/>
    <w:rsid w:val="00EE044A"/>
    <w:rsid w:val="00EE0A80"/>
    <w:rsid w:val="00EE0B84"/>
    <w:rsid w:val="00EE0D73"/>
    <w:rsid w:val="00EE0E02"/>
    <w:rsid w:val="00EE1279"/>
    <w:rsid w:val="00EE12A0"/>
    <w:rsid w:val="00EE183F"/>
    <w:rsid w:val="00EE1C4D"/>
    <w:rsid w:val="00EE229C"/>
    <w:rsid w:val="00EE2CA2"/>
    <w:rsid w:val="00EE351A"/>
    <w:rsid w:val="00EE3642"/>
    <w:rsid w:val="00EE3698"/>
    <w:rsid w:val="00EE3952"/>
    <w:rsid w:val="00EE3D35"/>
    <w:rsid w:val="00EE3E08"/>
    <w:rsid w:val="00EE4026"/>
    <w:rsid w:val="00EE4249"/>
    <w:rsid w:val="00EE42BA"/>
    <w:rsid w:val="00EE42F7"/>
    <w:rsid w:val="00EE43BA"/>
    <w:rsid w:val="00EE4443"/>
    <w:rsid w:val="00EE4B47"/>
    <w:rsid w:val="00EE51DA"/>
    <w:rsid w:val="00EE52C1"/>
    <w:rsid w:val="00EE549C"/>
    <w:rsid w:val="00EE55D8"/>
    <w:rsid w:val="00EE5815"/>
    <w:rsid w:val="00EE582D"/>
    <w:rsid w:val="00EE58D6"/>
    <w:rsid w:val="00EE5CB7"/>
    <w:rsid w:val="00EE63DE"/>
    <w:rsid w:val="00EE6478"/>
    <w:rsid w:val="00EE6604"/>
    <w:rsid w:val="00EE6752"/>
    <w:rsid w:val="00EE6E84"/>
    <w:rsid w:val="00EE6EE9"/>
    <w:rsid w:val="00EE7150"/>
    <w:rsid w:val="00EE72D0"/>
    <w:rsid w:val="00EE751F"/>
    <w:rsid w:val="00EE7549"/>
    <w:rsid w:val="00EE7B55"/>
    <w:rsid w:val="00EF029D"/>
    <w:rsid w:val="00EF03ED"/>
    <w:rsid w:val="00EF05A4"/>
    <w:rsid w:val="00EF064A"/>
    <w:rsid w:val="00EF0741"/>
    <w:rsid w:val="00EF0851"/>
    <w:rsid w:val="00EF08C6"/>
    <w:rsid w:val="00EF0A6C"/>
    <w:rsid w:val="00EF0EDB"/>
    <w:rsid w:val="00EF1276"/>
    <w:rsid w:val="00EF1895"/>
    <w:rsid w:val="00EF19ED"/>
    <w:rsid w:val="00EF1BDB"/>
    <w:rsid w:val="00EF1C8E"/>
    <w:rsid w:val="00EF2059"/>
    <w:rsid w:val="00EF2436"/>
    <w:rsid w:val="00EF24D3"/>
    <w:rsid w:val="00EF26CE"/>
    <w:rsid w:val="00EF2877"/>
    <w:rsid w:val="00EF2CC3"/>
    <w:rsid w:val="00EF2D3C"/>
    <w:rsid w:val="00EF31B3"/>
    <w:rsid w:val="00EF33DA"/>
    <w:rsid w:val="00EF3536"/>
    <w:rsid w:val="00EF3B7F"/>
    <w:rsid w:val="00EF3D03"/>
    <w:rsid w:val="00EF3ED9"/>
    <w:rsid w:val="00EF3FD2"/>
    <w:rsid w:val="00EF3FD5"/>
    <w:rsid w:val="00EF4100"/>
    <w:rsid w:val="00EF429C"/>
    <w:rsid w:val="00EF4545"/>
    <w:rsid w:val="00EF45F3"/>
    <w:rsid w:val="00EF4717"/>
    <w:rsid w:val="00EF4745"/>
    <w:rsid w:val="00EF4C60"/>
    <w:rsid w:val="00EF4E66"/>
    <w:rsid w:val="00EF4F1E"/>
    <w:rsid w:val="00EF50CA"/>
    <w:rsid w:val="00EF50EC"/>
    <w:rsid w:val="00EF521D"/>
    <w:rsid w:val="00EF54D7"/>
    <w:rsid w:val="00EF58F4"/>
    <w:rsid w:val="00EF5910"/>
    <w:rsid w:val="00EF5DD4"/>
    <w:rsid w:val="00EF5DED"/>
    <w:rsid w:val="00EF5E42"/>
    <w:rsid w:val="00EF5E90"/>
    <w:rsid w:val="00EF5F10"/>
    <w:rsid w:val="00EF642B"/>
    <w:rsid w:val="00EF6478"/>
    <w:rsid w:val="00EF661B"/>
    <w:rsid w:val="00EF69C8"/>
    <w:rsid w:val="00EF6C26"/>
    <w:rsid w:val="00EF6C36"/>
    <w:rsid w:val="00EF6DEC"/>
    <w:rsid w:val="00EF74AD"/>
    <w:rsid w:val="00EF74CA"/>
    <w:rsid w:val="00EF7A33"/>
    <w:rsid w:val="00EF7B0B"/>
    <w:rsid w:val="00EF7CF9"/>
    <w:rsid w:val="00EF7DC6"/>
    <w:rsid w:val="00EF7DDE"/>
    <w:rsid w:val="00EF7F4F"/>
    <w:rsid w:val="00F0089B"/>
    <w:rsid w:val="00F00AC4"/>
    <w:rsid w:val="00F0114E"/>
    <w:rsid w:val="00F014BE"/>
    <w:rsid w:val="00F01685"/>
    <w:rsid w:val="00F01840"/>
    <w:rsid w:val="00F01865"/>
    <w:rsid w:val="00F019E6"/>
    <w:rsid w:val="00F01E99"/>
    <w:rsid w:val="00F02474"/>
    <w:rsid w:val="00F0258C"/>
    <w:rsid w:val="00F02A7E"/>
    <w:rsid w:val="00F02B24"/>
    <w:rsid w:val="00F02CDC"/>
    <w:rsid w:val="00F03686"/>
    <w:rsid w:val="00F03FEE"/>
    <w:rsid w:val="00F042B1"/>
    <w:rsid w:val="00F04462"/>
    <w:rsid w:val="00F04720"/>
    <w:rsid w:val="00F04A5A"/>
    <w:rsid w:val="00F04F4E"/>
    <w:rsid w:val="00F054C4"/>
    <w:rsid w:val="00F0596E"/>
    <w:rsid w:val="00F05A79"/>
    <w:rsid w:val="00F05B0E"/>
    <w:rsid w:val="00F05F4B"/>
    <w:rsid w:val="00F06375"/>
    <w:rsid w:val="00F06380"/>
    <w:rsid w:val="00F06C05"/>
    <w:rsid w:val="00F06CED"/>
    <w:rsid w:val="00F06F21"/>
    <w:rsid w:val="00F0724D"/>
    <w:rsid w:val="00F0725C"/>
    <w:rsid w:val="00F07291"/>
    <w:rsid w:val="00F076AF"/>
    <w:rsid w:val="00F07A77"/>
    <w:rsid w:val="00F10052"/>
    <w:rsid w:val="00F101CA"/>
    <w:rsid w:val="00F105B7"/>
    <w:rsid w:val="00F109DA"/>
    <w:rsid w:val="00F10E8E"/>
    <w:rsid w:val="00F113BD"/>
    <w:rsid w:val="00F1156E"/>
    <w:rsid w:val="00F11703"/>
    <w:rsid w:val="00F11893"/>
    <w:rsid w:val="00F11938"/>
    <w:rsid w:val="00F11990"/>
    <w:rsid w:val="00F11BFD"/>
    <w:rsid w:val="00F11EB1"/>
    <w:rsid w:val="00F11FB7"/>
    <w:rsid w:val="00F120B3"/>
    <w:rsid w:val="00F1240D"/>
    <w:rsid w:val="00F1261D"/>
    <w:rsid w:val="00F126A3"/>
    <w:rsid w:val="00F12920"/>
    <w:rsid w:val="00F12B0B"/>
    <w:rsid w:val="00F13077"/>
    <w:rsid w:val="00F130C7"/>
    <w:rsid w:val="00F1329D"/>
    <w:rsid w:val="00F1366C"/>
    <w:rsid w:val="00F139BA"/>
    <w:rsid w:val="00F13EAF"/>
    <w:rsid w:val="00F141EB"/>
    <w:rsid w:val="00F142B8"/>
    <w:rsid w:val="00F1483D"/>
    <w:rsid w:val="00F1492A"/>
    <w:rsid w:val="00F149E0"/>
    <w:rsid w:val="00F14AF9"/>
    <w:rsid w:val="00F14EBD"/>
    <w:rsid w:val="00F152C5"/>
    <w:rsid w:val="00F1540B"/>
    <w:rsid w:val="00F1548E"/>
    <w:rsid w:val="00F154C6"/>
    <w:rsid w:val="00F15529"/>
    <w:rsid w:val="00F15A82"/>
    <w:rsid w:val="00F15CD5"/>
    <w:rsid w:val="00F167D1"/>
    <w:rsid w:val="00F16965"/>
    <w:rsid w:val="00F16B8D"/>
    <w:rsid w:val="00F17511"/>
    <w:rsid w:val="00F17607"/>
    <w:rsid w:val="00F17776"/>
    <w:rsid w:val="00F2000E"/>
    <w:rsid w:val="00F20055"/>
    <w:rsid w:val="00F20154"/>
    <w:rsid w:val="00F2153A"/>
    <w:rsid w:val="00F21B08"/>
    <w:rsid w:val="00F21C59"/>
    <w:rsid w:val="00F2218A"/>
    <w:rsid w:val="00F222B2"/>
    <w:rsid w:val="00F223C8"/>
    <w:rsid w:val="00F2241E"/>
    <w:rsid w:val="00F2256D"/>
    <w:rsid w:val="00F227B3"/>
    <w:rsid w:val="00F22EA9"/>
    <w:rsid w:val="00F22F4B"/>
    <w:rsid w:val="00F23D81"/>
    <w:rsid w:val="00F240C8"/>
    <w:rsid w:val="00F24385"/>
    <w:rsid w:val="00F24A00"/>
    <w:rsid w:val="00F24B0E"/>
    <w:rsid w:val="00F2517C"/>
    <w:rsid w:val="00F25618"/>
    <w:rsid w:val="00F25894"/>
    <w:rsid w:val="00F25975"/>
    <w:rsid w:val="00F25AFE"/>
    <w:rsid w:val="00F25BD8"/>
    <w:rsid w:val="00F25E99"/>
    <w:rsid w:val="00F25FB5"/>
    <w:rsid w:val="00F26B0A"/>
    <w:rsid w:val="00F26F4A"/>
    <w:rsid w:val="00F271C8"/>
    <w:rsid w:val="00F27241"/>
    <w:rsid w:val="00F27877"/>
    <w:rsid w:val="00F27C9F"/>
    <w:rsid w:val="00F27DC6"/>
    <w:rsid w:val="00F27EA6"/>
    <w:rsid w:val="00F27F4E"/>
    <w:rsid w:val="00F302A4"/>
    <w:rsid w:val="00F30343"/>
    <w:rsid w:val="00F303BA"/>
    <w:rsid w:val="00F30796"/>
    <w:rsid w:val="00F30EFD"/>
    <w:rsid w:val="00F31EF3"/>
    <w:rsid w:val="00F31F6A"/>
    <w:rsid w:val="00F32077"/>
    <w:rsid w:val="00F3207B"/>
    <w:rsid w:val="00F321AC"/>
    <w:rsid w:val="00F32274"/>
    <w:rsid w:val="00F32392"/>
    <w:rsid w:val="00F3276E"/>
    <w:rsid w:val="00F32968"/>
    <w:rsid w:val="00F32989"/>
    <w:rsid w:val="00F32D88"/>
    <w:rsid w:val="00F32E6B"/>
    <w:rsid w:val="00F32F76"/>
    <w:rsid w:val="00F33098"/>
    <w:rsid w:val="00F33274"/>
    <w:rsid w:val="00F3329B"/>
    <w:rsid w:val="00F33672"/>
    <w:rsid w:val="00F3367D"/>
    <w:rsid w:val="00F3391A"/>
    <w:rsid w:val="00F33A20"/>
    <w:rsid w:val="00F33B2E"/>
    <w:rsid w:val="00F33E66"/>
    <w:rsid w:val="00F33EE9"/>
    <w:rsid w:val="00F34013"/>
    <w:rsid w:val="00F340F3"/>
    <w:rsid w:val="00F34154"/>
    <w:rsid w:val="00F3442A"/>
    <w:rsid w:val="00F3468E"/>
    <w:rsid w:val="00F34791"/>
    <w:rsid w:val="00F34BF9"/>
    <w:rsid w:val="00F34E53"/>
    <w:rsid w:val="00F35943"/>
    <w:rsid w:val="00F35ACD"/>
    <w:rsid w:val="00F35F44"/>
    <w:rsid w:val="00F36151"/>
    <w:rsid w:val="00F362B7"/>
    <w:rsid w:val="00F3644E"/>
    <w:rsid w:val="00F369E4"/>
    <w:rsid w:val="00F370A3"/>
    <w:rsid w:val="00F37451"/>
    <w:rsid w:val="00F37DDC"/>
    <w:rsid w:val="00F401F2"/>
    <w:rsid w:val="00F401F7"/>
    <w:rsid w:val="00F40A4D"/>
    <w:rsid w:val="00F40AAA"/>
    <w:rsid w:val="00F40D71"/>
    <w:rsid w:val="00F41156"/>
    <w:rsid w:val="00F414C5"/>
    <w:rsid w:val="00F415DC"/>
    <w:rsid w:val="00F41719"/>
    <w:rsid w:val="00F419A9"/>
    <w:rsid w:val="00F41A0C"/>
    <w:rsid w:val="00F41B16"/>
    <w:rsid w:val="00F41D7A"/>
    <w:rsid w:val="00F41DFA"/>
    <w:rsid w:val="00F420A7"/>
    <w:rsid w:val="00F42138"/>
    <w:rsid w:val="00F42648"/>
    <w:rsid w:val="00F428A3"/>
    <w:rsid w:val="00F428CE"/>
    <w:rsid w:val="00F42C14"/>
    <w:rsid w:val="00F4301A"/>
    <w:rsid w:val="00F431C8"/>
    <w:rsid w:val="00F43226"/>
    <w:rsid w:val="00F4364C"/>
    <w:rsid w:val="00F43A24"/>
    <w:rsid w:val="00F43C61"/>
    <w:rsid w:val="00F43DA1"/>
    <w:rsid w:val="00F43DC0"/>
    <w:rsid w:val="00F43E1F"/>
    <w:rsid w:val="00F43E49"/>
    <w:rsid w:val="00F44030"/>
    <w:rsid w:val="00F4455E"/>
    <w:rsid w:val="00F44716"/>
    <w:rsid w:val="00F44E6B"/>
    <w:rsid w:val="00F45419"/>
    <w:rsid w:val="00F45545"/>
    <w:rsid w:val="00F460DF"/>
    <w:rsid w:val="00F46110"/>
    <w:rsid w:val="00F467D6"/>
    <w:rsid w:val="00F4698C"/>
    <w:rsid w:val="00F46997"/>
    <w:rsid w:val="00F46BAE"/>
    <w:rsid w:val="00F46CD9"/>
    <w:rsid w:val="00F474D9"/>
    <w:rsid w:val="00F475FD"/>
    <w:rsid w:val="00F47929"/>
    <w:rsid w:val="00F47A8B"/>
    <w:rsid w:val="00F47CB8"/>
    <w:rsid w:val="00F47CFC"/>
    <w:rsid w:val="00F47F6A"/>
    <w:rsid w:val="00F50946"/>
    <w:rsid w:val="00F50BA6"/>
    <w:rsid w:val="00F50D64"/>
    <w:rsid w:val="00F5104E"/>
    <w:rsid w:val="00F5116C"/>
    <w:rsid w:val="00F512F5"/>
    <w:rsid w:val="00F51382"/>
    <w:rsid w:val="00F51485"/>
    <w:rsid w:val="00F51509"/>
    <w:rsid w:val="00F51887"/>
    <w:rsid w:val="00F51BA9"/>
    <w:rsid w:val="00F51D49"/>
    <w:rsid w:val="00F51E61"/>
    <w:rsid w:val="00F51ED4"/>
    <w:rsid w:val="00F52301"/>
    <w:rsid w:val="00F526E0"/>
    <w:rsid w:val="00F528A7"/>
    <w:rsid w:val="00F528BC"/>
    <w:rsid w:val="00F52F67"/>
    <w:rsid w:val="00F53229"/>
    <w:rsid w:val="00F53297"/>
    <w:rsid w:val="00F535F2"/>
    <w:rsid w:val="00F536BA"/>
    <w:rsid w:val="00F53BA1"/>
    <w:rsid w:val="00F53C2A"/>
    <w:rsid w:val="00F54062"/>
    <w:rsid w:val="00F541BE"/>
    <w:rsid w:val="00F54EB8"/>
    <w:rsid w:val="00F553FC"/>
    <w:rsid w:val="00F55526"/>
    <w:rsid w:val="00F555C3"/>
    <w:rsid w:val="00F55751"/>
    <w:rsid w:val="00F557B6"/>
    <w:rsid w:val="00F5598B"/>
    <w:rsid w:val="00F55DB4"/>
    <w:rsid w:val="00F55EAA"/>
    <w:rsid w:val="00F55F93"/>
    <w:rsid w:val="00F56261"/>
    <w:rsid w:val="00F569AF"/>
    <w:rsid w:val="00F56B02"/>
    <w:rsid w:val="00F57440"/>
    <w:rsid w:val="00F574E6"/>
    <w:rsid w:val="00F57540"/>
    <w:rsid w:val="00F5755B"/>
    <w:rsid w:val="00F5765E"/>
    <w:rsid w:val="00F578E7"/>
    <w:rsid w:val="00F57969"/>
    <w:rsid w:val="00F57A45"/>
    <w:rsid w:val="00F57A4C"/>
    <w:rsid w:val="00F57E90"/>
    <w:rsid w:val="00F57FA5"/>
    <w:rsid w:val="00F600F4"/>
    <w:rsid w:val="00F60565"/>
    <w:rsid w:val="00F60601"/>
    <w:rsid w:val="00F60D7D"/>
    <w:rsid w:val="00F60DB5"/>
    <w:rsid w:val="00F60DC7"/>
    <w:rsid w:val="00F60E1F"/>
    <w:rsid w:val="00F612CD"/>
    <w:rsid w:val="00F6135D"/>
    <w:rsid w:val="00F6191C"/>
    <w:rsid w:val="00F61B55"/>
    <w:rsid w:val="00F61E98"/>
    <w:rsid w:val="00F62056"/>
    <w:rsid w:val="00F62260"/>
    <w:rsid w:val="00F62587"/>
    <w:rsid w:val="00F626A4"/>
    <w:rsid w:val="00F62F1F"/>
    <w:rsid w:val="00F6379F"/>
    <w:rsid w:val="00F63CE7"/>
    <w:rsid w:val="00F63D46"/>
    <w:rsid w:val="00F63EBE"/>
    <w:rsid w:val="00F63F16"/>
    <w:rsid w:val="00F63F62"/>
    <w:rsid w:val="00F63F9B"/>
    <w:rsid w:val="00F641D3"/>
    <w:rsid w:val="00F648B9"/>
    <w:rsid w:val="00F64C3E"/>
    <w:rsid w:val="00F6586A"/>
    <w:rsid w:val="00F65BD6"/>
    <w:rsid w:val="00F65CB7"/>
    <w:rsid w:val="00F65E03"/>
    <w:rsid w:val="00F6600B"/>
    <w:rsid w:val="00F66079"/>
    <w:rsid w:val="00F660D2"/>
    <w:rsid w:val="00F6630B"/>
    <w:rsid w:val="00F66428"/>
    <w:rsid w:val="00F670D4"/>
    <w:rsid w:val="00F672FD"/>
    <w:rsid w:val="00F673E8"/>
    <w:rsid w:val="00F67674"/>
    <w:rsid w:val="00F67695"/>
    <w:rsid w:val="00F67854"/>
    <w:rsid w:val="00F67B57"/>
    <w:rsid w:val="00F67D7B"/>
    <w:rsid w:val="00F67E5B"/>
    <w:rsid w:val="00F67F91"/>
    <w:rsid w:val="00F700AB"/>
    <w:rsid w:val="00F705F5"/>
    <w:rsid w:val="00F709E7"/>
    <w:rsid w:val="00F70C8F"/>
    <w:rsid w:val="00F70F92"/>
    <w:rsid w:val="00F71005"/>
    <w:rsid w:val="00F71056"/>
    <w:rsid w:val="00F713B4"/>
    <w:rsid w:val="00F71489"/>
    <w:rsid w:val="00F714D8"/>
    <w:rsid w:val="00F7156F"/>
    <w:rsid w:val="00F71756"/>
    <w:rsid w:val="00F718A8"/>
    <w:rsid w:val="00F719CC"/>
    <w:rsid w:val="00F71B7C"/>
    <w:rsid w:val="00F71F98"/>
    <w:rsid w:val="00F72032"/>
    <w:rsid w:val="00F72049"/>
    <w:rsid w:val="00F722FE"/>
    <w:rsid w:val="00F722FF"/>
    <w:rsid w:val="00F723FB"/>
    <w:rsid w:val="00F72815"/>
    <w:rsid w:val="00F72D7F"/>
    <w:rsid w:val="00F732D1"/>
    <w:rsid w:val="00F736FF"/>
    <w:rsid w:val="00F7378D"/>
    <w:rsid w:val="00F73DB0"/>
    <w:rsid w:val="00F73E95"/>
    <w:rsid w:val="00F74001"/>
    <w:rsid w:val="00F740E2"/>
    <w:rsid w:val="00F7424E"/>
    <w:rsid w:val="00F742D3"/>
    <w:rsid w:val="00F74395"/>
    <w:rsid w:val="00F74775"/>
    <w:rsid w:val="00F74837"/>
    <w:rsid w:val="00F74948"/>
    <w:rsid w:val="00F74A15"/>
    <w:rsid w:val="00F74B1C"/>
    <w:rsid w:val="00F74C7B"/>
    <w:rsid w:val="00F74DEC"/>
    <w:rsid w:val="00F74E86"/>
    <w:rsid w:val="00F7535D"/>
    <w:rsid w:val="00F7552D"/>
    <w:rsid w:val="00F755C5"/>
    <w:rsid w:val="00F75B46"/>
    <w:rsid w:val="00F76300"/>
    <w:rsid w:val="00F7662F"/>
    <w:rsid w:val="00F7673B"/>
    <w:rsid w:val="00F76BC4"/>
    <w:rsid w:val="00F76C71"/>
    <w:rsid w:val="00F76C97"/>
    <w:rsid w:val="00F76F0A"/>
    <w:rsid w:val="00F76FF9"/>
    <w:rsid w:val="00F7713A"/>
    <w:rsid w:val="00F771D3"/>
    <w:rsid w:val="00F77311"/>
    <w:rsid w:val="00F7748B"/>
    <w:rsid w:val="00F77633"/>
    <w:rsid w:val="00F77838"/>
    <w:rsid w:val="00F77987"/>
    <w:rsid w:val="00F8086F"/>
    <w:rsid w:val="00F80923"/>
    <w:rsid w:val="00F80A46"/>
    <w:rsid w:val="00F80DA1"/>
    <w:rsid w:val="00F80E4C"/>
    <w:rsid w:val="00F8143D"/>
    <w:rsid w:val="00F8155B"/>
    <w:rsid w:val="00F81B7D"/>
    <w:rsid w:val="00F81C5A"/>
    <w:rsid w:val="00F82310"/>
    <w:rsid w:val="00F82360"/>
    <w:rsid w:val="00F83163"/>
    <w:rsid w:val="00F8317E"/>
    <w:rsid w:val="00F83361"/>
    <w:rsid w:val="00F8380F"/>
    <w:rsid w:val="00F83848"/>
    <w:rsid w:val="00F83B1D"/>
    <w:rsid w:val="00F83C9A"/>
    <w:rsid w:val="00F83FA4"/>
    <w:rsid w:val="00F83FF2"/>
    <w:rsid w:val="00F8415E"/>
    <w:rsid w:val="00F84ED0"/>
    <w:rsid w:val="00F85021"/>
    <w:rsid w:val="00F85032"/>
    <w:rsid w:val="00F852AE"/>
    <w:rsid w:val="00F85306"/>
    <w:rsid w:val="00F853D1"/>
    <w:rsid w:val="00F853E9"/>
    <w:rsid w:val="00F85463"/>
    <w:rsid w:val="00F8561F"/>
    <w:rsid w:val="00F85DCB"/>
    <w:rsid w:val="00F85F4A"/>
    <w:rsid w:val="00F86645"/>
    <w:rsid w:val="00F866CE"/>
    <w:rsid w:val="00F86E70"/>
    <w:rsid w:val="00F8716E"/>
    <w:rsid w:val="00F872AF"/>
    <w:rsid w:val="00F874EE"/>
    <w:rsid w:val="00F87732"/>
    <w:rsid w:val="00F87A79"/>
    <w:rsid w:val="00F87BD4"/>
    <w:rsid w:val="00F87D08"/>
    <w:rsid w:val="00F87DF4"/>
    <w:rsid w:val="00F90055"/>
    <w:rsid w:val="00F90200"/>
    <w:rsid w:val="00F90288"/>
    <w:rsid w:val="00F9048D"/>
    <w:rsid w:val="00F90521"/>
    <w:rsid w:val="00F907A1"/>
    <w:rsid w:val="00F90836"/>
    <w:rsid w:val="00F90A13"/>
    <w:rsid w:val="00F90E4C"/>
    <w:rsid w:val="00F9158F"/>
    <w:rsid w:val="00F920D6"/>
    <w:rsid w:val="00F9229B"/>
    <w:rsid w:val="00F922D5"/>
    <w:rsid w:val="00F9237A"/>
    <w:rsid w:val="00F9276C"/>
    <w:rsid w:val="00F927B2"/>
    <w:rsid w:val="00F92A29"/>
    <w:rsid w:val="00F92A3C"/>
    <w:rsid w:val="00F92B6D"/>
    <w:rsid w:val="00F92C45"/>
    <w:rsid w:val="00F92F7B"/>
    <w:rsid w:val="00F930F5"/>
    <w:rsid w:val="00F93400"/>
    <w:rsid w:val="00F9355B"/>
    <w:rsid w:val="00F93752"/>
    <w:rsid w:val="00F937CC"/>
    <w:rsid w:val="00F93A06"/>
    <w:rsid w:val="00F93B19"/>
    <w:rsid w:val="00F93D8A"/>
    <w:rsid w:val="00F94063"/>
    <w:rsid w:val="00F940B1"/>
    <w:rsid w:val="00F94251"/>
    <w:rsid w:val="00F9431E"/>
    <w:rsid w:val="00F943C2"/>
    <w:rsid w:val="00F94512"/>
    <w:rsid w:val="00F94702"/>
    <w:rsid w:val="00F9472C"/>
    <w:rsid w:val="00F947F1"/>
    <w:rsid w:val="00F9483A"/>
    <w:rsid w:val="00F94921"/>
    <w:rsid w:val="00F94E8C"/>
    <w:rsid w:val="00F9506F"/>
    <w:rsid w:val="00F950D9"/>
    <w:rsid w:val="00F9520D"/>
    <w:rsid w:val="00F95A59"/>
    <w:rsid w:val="00F95AF9"/>
    <w:rsid w:val="00F95D39"/>
    <w:rsid w:val="00F95E78"/>
    <w:rsid w:val="00F95F7E"/>
    <w:rsid w:val="00F9646D"/>
    <w:rsid w:val="00F9646E"/>
    <w:rsid w:val="00F96594"/>
    <w:rsid w:val="00F96848"/>
    <w:rsid w:val="00F96882"/>
    <w:rsid w:val="00F96B5C"/>
    <w:rsid w:val="00F96CB3"/>
    <w:rsid w:val="00F96D6C"/>
    <w:rsid w:val="00F974D7"/>
    <w:rsid w:val="00F974EC"/>
    <w:rsid w:val="00F975A9"/>
    <w:rsid w:val="00F976B5"/>
    <w:rsid w:val="00F978A9"/>
    <w:rsid w:val="00F97AFA"/>
    <w:rsid w:val="00FA0119"/>
    <w:rsid w:val="00FA038E"/>
    <w:rsid w:val="00FA03E3"/>
    <w:rsid w:val="00FA055C"/>
    <w:rsid w:val="00FA0782"/>
    <w:rsid w:val="00FA09AF"/>
    <w:rsid w:val="00FA0A00"/>
    <w:rsid w:val="00FA0A4D"/>
    <w:rsid w:val="00FA0A68"/>
    <w:rsid w:val="00FA0BE7"/>
    <w:rsid w:val="00FA0FCC"/>
    <w:rsid w:val="00FA1552"/>
    <w:rsid w:val="00FA15A2"/>
    <w:rsid w:val="00FA17E6"/>
    <w:rsid w:val="00FA187D"/>
    <w:rsid w:val="00FA1BAA"/>
    <w:rsid w:val="00FA1E35"/>
    <w:rsid w:val="00FA1F55"/>
    <w:rsid w:val="00FA1FEB"/>
    <w:rsid w:val="00FA21E9"/>
    <w:rsid w:val="00FA22FA"/>
    <w:rsid w:val="00FA2308"/>
    <w:rsid w:val="00FA2545"/>
    <w:rsid w:val="00FA28B5"/>
    <w:rsid w:val="00FA2CC6"/>
    <w:rsid w:val="00FA2D58"/>
    <w:rsid w:val="00FA2F92"/>
    <w:rsid w:val="00FA3032"/>
    <w:rsid w:val="00FA3725"/>
    <w:rsid w:val="00FA3CD7"/>
    <w:rsid w:val="00FA3DC7"/>
    <w:rsid w:val="00FA480D"/>
    <w:rsid w:val="00FA48C3"/>
    <w:rsid w:val="00FA4A4A"/>
    <w:rsid w:val="00FA5262"/>
    <w:rsid w:val="00FA5674"/>
    <w:rsid w:val="00FA5766"/>
    <w:rsid w:val="00FA57EB"/>
    <w:rsid w:val="00FA5912"/>
    <w:rsid w:val="00FA5ED1"/>
    <w:rsid w:val="00FA5FB4"/>
    <w:rsid w:val="00FA60A3"/>
    <w:rsid w:val="00FA615C"/>
    <w:rsid w:val="00FA664C"/>
    <w:rsid w:val="00FA6BB8"/>
    <w:rsid w:val="00FA6E99"/>
    <w:rsid w:val="00FA7034"/>
    <w:rsid w:val="00FA70B5"/>
    <w:rsid w:val="00FA778F"/>
    <w:rsid w:val="00FA7866"/>
    <w:rsid w:val="00FA79E0"/>
    <w:rsid w:val="00FA7C9D"/>
    <w:rsid w:val="00FA7D77"/>
    <w:rsid w:val="00FA7F92"/>
    <w:rsid w:val="00FB0393"/>
    <w:rsid w:val="00FB041C"/>
    <w:rsid w:val="00FB0563"/>
    <w:rsid w:val="00FB05F9"/>
    <w:rsid w:val="00FB0799"/>
    <w:rsid w:val="00FB0A7F"/>
    <w:rsid w:val="00FB0BEE"/>
    <w:rsid w:val="00FB159D"/>
    <w:rsid w:val="00FB1708"/>
    <w:rsid w:val="00FB1ACD"/>
    <w:rsid w:val="00FB1EE8"/>
    <w:rsid w:val="00FB1F6F"/>
    <w:rsid w:val="00FB2906"/>
    <w:rsid w:val="00FB2BF0"/>
    <w:rsid w:val="00FB2C70"/>
    <w:rsid w:val="00FB2D06"/>
    <w:rsid w:val="00FB34AC"/>
    <w:rsid w:val="00FB387E"/>
    <w:rsid w:val="00FB4265"/>
    <w:rsid w:val="00FB43F3"/>
    <w:rsid w:val="00FB4BBB"/>
    <w:rsid w:val="00FB4EB7"/>
    <w:rsid w:val="00FB4F55"/>
    <w:rsid w:val="00FB5277"/>
    <w:rsid w:val="00FB52EE"/>
    <w:rsid w:val="00FB537B"/>
    <w:rsid w:val="00FB5648"/>
    <w:rsid w:val="00FB5700"/>
    <w:rsid w:val="00FB5AB8"/>
    <w:rsid w:val="00FB5B80"/>
    <w:rsid w:val="00FB5D4E"/>
    <w:rsid w:val="00FB6223"/>
    <w:rsid w:val="00FB67F6"/>
    <w:rsid w:val="00FB6B1F"/>
    <w:rsid w:val="00FB6D15"/>
    <w:rsid w:val="00FB6D77"/>
    <w:rsid w:val="00FB6EFA"/>
    <w:rsid w:val="00FB6F17"/>
    <w:rsid w:val="00FB7426"/>
    <w:rsid w:val="00FB754A"/>
    <w:rsid w:val="00FB75C6"/>
    <w:rsid w:val="00FB7B6A"/>
    <w:rsid w:val="00FB7DD9"/>
    <w:rsid w:val="00FB7F63"/>
    <w:rsid w:val="00FC0740"/>
    <w:rsid w:val="00FC0B39"/>
    <w:rsid w:val="00FC0C76"/>
    <w:rsid w:val="00FC0CD3"/>
    <w:rsid w:val="00FC0F9B"/>
    <w:rsid w:val="00FC111F"/>
    <w:rsid w:val="00FC12B4"/>
    <w:rsid w:val="00FC12B6"/>
    <w:rsid w:val="00FC192D"/>
    <w:rsid w:val="00FC1C2B"/>
    <w:rsid w:val="00FC2765"/>
    <w:rsid w:val="00FC2804"/>
    <w:rsid w:val="00FC2ACB"/>
    <w:rsid w:val="00FC2C32"/>
    <w:rsid w:val="00FC2D4C"/>
    <w:rsid w:val="00FC2E63"/>
    <w:rsid w:val="00FC33DB"/>
    <w:rsid w:val="00FC37C7"/>
    <w:rsid w:val="00FC3C6B"/>
    <w:rsid w:val="00FC3C89"/>
    <w:rsid w:val="00FC3CAC"/>
    <w:rsid w:val="00FC4004"/>
    <w:rsid w:val="00FC408B"/>
    <w:rsid w:val="00FC499C"/>
    <w:rsid w:val="00FC4C5F"/>
    <w:rsid w:val="00FC4D89"/>
    <w:rsid w:val="00FC4EDB"/>
    <w:rsid w:val="00FC4FB9"/>
    <w:rsid w:val="00FC5030"/>
    <w:rsid w:val="00FC552A"/>
    <w:rsid w:val="00FC582C"/>
    <w:rsid w:val="00FC5A64"/>
    <w:rsid w:val="00FC5F18"/>
    <w:rsid w:val="00FC60D2"/>
    <w:rsid w:val="00FC6224"/>
    <w:rsid w:val="00FC64E5"/>
    <w:rsid w:val="00FC6541"/>
    <w:rsid w:val="00FC6B54"/>
    <w:rsid w:val="00FC759B"/>
    <w:rsid w:val="00FC7697"/>
    <w:rsid w:val="00FC77DD"/>
    <w:rsid w:val="00FC79BF"/>
    <w:rsid w:val="00FC7A5E"/>
    <w:rsid w:val="00FC7B2C"/>
    <w:rsid w:val="00FC7CCD"/>
    <w:rsid w:val="00FC7E2B"/>
    <w:rsid w:val="00FD024E"/>
    <w:rsid w:val="00FD0866"/>
    <w:rsid w:val="00FD091D"/>
    <w:rsid w:val="00FD0D91"/>
    <w:rsid w:val="00FD12D4"/>
    <w:rsid w:val="00FD137F"/>
    <w:rsid w:val="00FD187C"/>
    <w:rsid w:val="00FD2202"/>
    <w:rsid w:val="00FD2422"/>
    <w:rsid w:val="00FD256A"/>
    <w:rsid w:val="00FD2764"/>
    <w:rsid w:val="00FD287A"/>
    <w:rsid w:val="00FD29CB"/>
    <w:rsid w:val="00FD2BC1"/>
    <w:rsid w:val="00FD2BCF"/>
    <w:rsid w:val="00FD2C77"/>
    <w:rsid w:val="00FD30E6"/>
    <w:rsid w:val="00FD328F"/>
    <w:rsid w:val="00FD3485"/>
    <w:rsid w:val="00FD391B"/>
    <w:rsid w:val="00FD3AB3"/>
    <w:rsid w:val="00FD3DB4"/>
    <w:rsid w:val="00FD420E"/>
    <w:rsid w:val="00FD43EF"/>
    <w:rsid w:val="00FD4A73"/>
    <w:rsid w:val="00FD4AD9"/>
    <w:rsid w:val="00FD4DB9"/>
    <w:rsid w:val="00FD50CC"/>
    <w:rsid w:val="00FD5844"/>
    <w:rsid w:val="00FD5BDC"/>
    <w:rsid w:val="00FD5C28"/>
    <w:rsid w:val="00FD5E8F"/>
    <w:rsid w:val="00FD64CD"/>
    <w:rsid w:val="00FD6549"/>
    <w:rsid w:val="00FD65F1"/>
    <w:rsid w:val="00FD66A0"/>
    <w:rsid w:val="00FD6811"/>
    <w:rsid w:val="00FD68C8"/>
    <w:rsid w:val="00FD68F8"/>
    <w:rsid w:val="00FD6AB3"/>
    <w:rsid w:val="00FD6C4F"/>
    <w:rsid w:val="00FD6D34"/>
    <w:rsid w:val="00FD6FA4"/>
    <w:rsid w:val="00FD7142"/>
    <w:rsid w:val="00FD7271"/>
    <w:rsid w:val="00FD7A2D"/>
    <w:rsid w:val="00FE0024"/>
    <w:rsid w:val="00FE00A9"/>
    <w:rsid w:val="00FE071F"/>
    <w:rsid w:val="00FE0B39"/>
    <w:rsid w:val="00FE0BB8"/>
    <w:rsid w:val="00FE0ED4"/>
    <w:rsid w:val="00FE114B"/>
    <w:rsid w:val="00FE1631"/>
    <w:rsid w:val="00FE1ADA"/>
    <w:rsid w:val="00FE1FD2"/>
    <w:rsid w:val="00FE227D"/>
    <w:rsid w:val="00FE23F1"/>
    <w:rsid w:val="00FE27F9"/>
    <w:rsid w:val="00FE2FAB"/>
    <w:rsid w:val="00FE314D"/>
    <w:rsid w:val="00FE3261"/>
    <w:rsid w:val="00FE3818"/>
    <w:rsid w:val="00FE396D"/>
    <w:rsid w:val="00FE3C18"/>
    <w:rsid w:val="00FE3EA9"/>
    <w:rsid w:val="00FE4288"/>
    <w:rsid w:val="00FE4729"/>
    <w:rsid w:val="00FE49D1"/>
    <w:rsid w:val="00FE4CEC"/>
    <w:rsid w:val="00FE4F38"/>
    <w:rsid w:val="00FE5021"/>
    <w:rsid w:val="00FE50DD"/>
    <w:rsid w:val="00FE5223"/>
    <w:rsid w:val="00FE5329"/>
    <w:rsid w:val="00FE5794"/>
    <w:rsid w:val="00FE582C"/>
    <w:rsid w:val="00FE5953"/>
    <w:rsid w:val="00FE59EB"/>
    <w:rsid w:val="00FE5C0C"/>
    <w:rsid w:val="00FE5F57"/>
    <w:rsid w:val="00FE6069"/>
    <w:rsid w:val="00FE625F"/>
    <w:rsid w:val="00FE6488"/>
    <w:rsid w:val="00FE65C2"/>
    <w:rsid w:val="00FE6837"/>
    <w:rsid w:val="00FE71E5"/>
    <w:rsid w:val="00FE78B5"/>
    <w:rsid w:val="00FE7A91"/>
    <w:rsid w:val="00FE7B9E"/>
    <w:rsid w:val="00FE7D1E"/>
    <w:rsid w:val="00FF0613"/>
    <w:rsid w:val="00FF06D8"/>
    <w:rsid w:val="00FF0C62"/>
    <w:rsid w:val="00FF0DAA"/>
    <w:rsid w:val="00FF0E2E"/>
    <w:rsid w:val="00FF0F7F"/>
    <w:rsid w:val="00FF148A"/>
    <w:rsid w:val="00FF163F"/>
    <w:rsid w:val="00FF1765"/>
    <w:rsid w:val="00FF1B8C"/>
    <w:rsid w:val="00FF1D8E"/>
    <w:rsid w:val="00FF1F5A"/>
    <w:rsid w:val="00FF1FDA"/>
    <w:rsid w:val="00FF24D0"/>
    <w:rsid w:val="00FF25BE"/>
    <w:rsid w:val="00FF26D9"/>
    <w:rsid w:val="00FF272A"/>
    <w:rsid w:val="00FF2A32"/>
    <w:rsid w:val="00FF3385"/>
    <w:rsid w:val="00FF379F"/>
    <w:rsid w:val="00FF383C"/>
    <w:rsid w:val="00FF3953"/>
    <w:rsid w:val="00FF3B5C"/>
    <w:rsid w:val="00FF3D78"/>
    <w:rsid w:val="00FF447B"/>
    <w:rsid w:val="00FF4A00"/>
    <w:rsid w:val="00FF4C8C"/>
    <w:rsid w:val="00FF4CF9"/>
    <w:rsid w:val="00FF5163"/>
    <w:rsid w:val="00FF5174"/>
    <w:rsid w:val="00FF51F4"/>
    <w:rsid w:val="00FF5699"/>
    <w:rsid w:val="00FF5ADE"/>
    <w:rsid w:val="00FF5B1D"/>
    <w:rsid w:val="00FF5B23"/>
    <w:rsid w:val="00FF6204"/>
    <w:rsid w:val="00FF63C5"/>
    <w:rsid w:val="00FF6468"/>
    <w:rsid w:val="00FF658A"/>
    <w:rsid w:val="00FF7437"/>
    <w:rsid w:val="00FF74A2"/>
    <w:rsid w:val="00FF76D4"/>
    <w:rsid w:val="00FF76E6"/>
    <w:rsid w:val="00FF78A2"/>
    <w:rsid w:val="00FF78DA"/>
    <w:rsid w:val="00FF7F9B"/>
    <w:rsid w:val="048600DC"/>
    <w:rsid w:val="3566AD0F"/>
    <w:rsid w:val="4DCF8257"/>
    <w:rsid w:val="551728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17286E"/>
  <w15:chartTrackingRefBased/>
  <w15:docId w15:val="{A79FCA1E-A5D7-4D7A-BE52-529987CF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E9F"/>
    <w:pPr>
      <w:tabs>
        <w:tab w:val="left" w:pos="5309"/>
      </w:tabs>
      <w:spacing w:line="278" w:lineRule="auto"/>
    </w:pPr>
    <w:rPr>
      <w:rFonts w:ascii="Avenir Next LT Pro" w:hAnsi="Avenir Next LT Pro"/>
      <w:color w:val="484B5D" w:themeColor="accent3"/>
      <w:sz w:val="20"/>
      <w:szCs w:val="20"/>
      <w:lang w:val="en-AU"/>
    </w:rPr>
  </w:style>
  <w:style w:type="paragraph" w:styleId="Heading1">
    <w:name w:val="heading 1"/>
    <w:basedOn w:val="Normal"/>
    <w:next w:val="Normal"/>
    <w:link w:val="Heading1Char"/>
    <w:uiPriority w:val="9"/>
    <w:qFormat/>
    <w:rsid w:val="009A515B"/>
    <w:pPr>
      <w:numPr>
        <w:numId w:val="106"/>
      </w:numPr>
      <w:pBdr>
        <w:bottom w:val="single" w:sz="4" w:space="1" w:color="220054"/>
      </w:pBdr>
      <w:spacing w:after="0" w:line="240" w:lineRule="auto"/>
      <w:contextualSpacing/>
      <w:outlineLvl w:val="0"/>
    </w:pPr>
    <w:rPr>
      <w:rFonts w:ascii="Avenir Next LT Pro Demi" w:eastAsia="Times New Roman" w:hAnsi="Avenir Next LT Pro Demi" w:cs="Times New Roman"/>
      <w:color w:val="220054"/>
      <w:spacing w:val="-10"/>
      <w:kern w:val="28"/>
      <w:sz w:val="48"/>
      <w:szCs w:val="40"/>
      <w:lang w:eastAsia="en-US"/>
      <w14:ligatures w14:val="standardContextual"/>
    </w:rPr>
  </w:style>
  <w:style w:type="paragraph" w:styleId="Heading2">
    <w:name w:val="heading 2"/>
    <w:basedOn w:val="Normal"/>
    <w:next w:val="Normal"/>
    <w:link w:val="Heading2Char"/>
    <w:uiPriority w:val="9"/>
    <w:unhideWhenUsed/>
    <w:qFormat/>
    <w:rsid w:val="00837B44"/>
    <w:pPr>
      <w:keepNext/>
      <w:keepLines/>
      <w:numPr>
        <w:ilvl w:val="1"/>
        <w:numId w:val="106"/>
      </w:numPr>
      <w:tabs>
        <w:tab w:val="clear" w:pos="5309"/>
      </w:tabs>
      <w:spacing w:before="120" w:after="240" w:line="240" w:lineRule="auto"/>
      <w:outlineLvl w:val="1"/>
    </w:pPr>
    <w:rPr>
      <w:rFonts w:ascii="AvenirNext LT Pro Regular" w:eastAsia="Times New Roman" w:hAnsi="AvenirNext LT Pro Regular" w:cs="Times New Roman"/>
      <w:color w:val="464E7E" w:themeColor="accent2"/>
      <w:kern w:val="2"/>
      <w:sz w:val="38"/>
      <w:szCs w:val="36"/>
      <w:lang w:eastAsia="en-US"/>
      <w14:ligatures w14:val="standardContextual"/>
    </w:rPr>
  </w:style>
  <w:style w:type="paragraph" w:styleId="Heading3">
    <w:name w:val="heading 3"/>
    <w:basedOn w:val="Normal"/>
    <w:next w:val="Normal"/>
    <w:link w:val="Heading3Char"/>
    <w:uiPriority w:val="9"/>
    <w:unhideWhenUsed/>
    <w:qFormat/>
    <w:rsid w:val="00A1514D"/>
    <w:pPr>
      <w:keepNext/>
      <w:keepLines/>
      <w:numPr>
        <w:ilvl w:val="2"/>
        <w:numId w:val="106"/>
      </w:numPr>
      <w:spacing w:before="360" w:after="80"/>
      <w:outlineLvl w:val="2"/>
    </w:pPr>
    <w:rPr>
      <w:rFonts w:eastAsiaTheme="majorEastAsia" w:cstheme="majorBidi"/>
      <w:color w:val="464E7E" w:themeColor="accent2"/>
      <w:sz w:val="28"/>
      <w:szCs w:val="28"/>
      <w:lang w:val="en-US"/>
    </w:rPr>
  </w:style>
  <w:style w:type="paragraph" w:styleId="Heading4">
    <w:name w:val="heading 4"/>
    <w:basedOn w:val="Normal"/>
    <w:next w:val="Normal"/>
    <w:link w:val="Heading4Char"/>
    <w:uiPriority w:val="9"/>
    <w:unhideWhenUsed/>
    <w:qFormat/>
    <w:rsid w:val="00B85B83"/>
    <w:pPr>
      <w:keepNext/>
      <w:keepLines/>
      <w:numPr>
        <w:ilvl w:val="3"/>
        <w:numId w:val="106"/>
      </w:numPr>
      <w:spacing w:before="240" w:after="40"/>
      <w:outlineLvl w:val="3"/>
    </w:pPr>
    <w:rPr>
      <w:rFonts w:eastAsiaTheme="majorEastAsia" w:cstheme="majorBidi"/>
      <w:color w:val="464E7E" w:themeColor="accent2"/>
      <w:u w:val="single"/>
      <w:lang w:val="en-US"/>
    </w:rPr>
  </w:style>
  <w:style w:type="paragraph" w:styleId="Heading5">
    <w:name w:val="heading 5"/>
    <w:basedOn w:val="Normal"/>
    <w:next w:val="Normal"/>
    <w:link w:val="Heading5Char"/>
    <w:uiPriority w:val="9"/>
    <w:unhideWhenUsed/>
    <w:qFormat/>
    <w:rsid w:val="003E7B29"/>
    <w:pPr>
      <w:keepNext/>
      <w:keepLines/>
      <w:numPr>
        <w:ilvl w:val="4"/>
        <w:numId w:val="106"/>
      </w:numPr>
      <w:spacing w:before="80" w:after="40"/>
      <w:outlineLvl w:val="4"/>
    </w:pPr>
    <w:rPr>
      <w:rFonts w:eastAsiaTheme="majorEastAsia" w:cstheme="majorBidi"/>
      <w:color w:val="464E7E" w:themeColor="accent2"/>
      <w:lang w:val="en-US"/>
    </w:rPr>
  </w:style>
  <w:style w:type="paragraph" w:styleId="Heading6">
    <w:name w:val="heading 6"/>
    <w:basedOn w:val="Normal"/>
    <w:next w:val="Normal"/>
    <w:link w:val="Heading6Char"/>
    <w:uiPriority w:val="9"/>
    <w:unhideWhenUsed/>
    <w:pPr>
      <w:keepNext/>
      <w:keepLines/>
      <w:numPr>
        <w:ilvl w:val="5"/>
        <w:numId w:val="106"/>
      </w:numPr>
      <w:spacing w:before="40" w:after="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unhideWhenUsed/>
    <w:pPr>
      <w:keepNext/>
      <w:keepLines/>
      <w:numPr>
        <w:ilvl w:val="6"/>
        <w:numId w:val="106"/>
      </w:numPr>
      <w:spacing w:before="40" w:after="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unhideWhenUsed/>
    <w:pPr>
      <w:keepNext/>
      <w:keepLines/>
      <w:numPr>
        <w:ilvl w:val="7"/>
        <w:numId w:val="106"/>
      </w:numPr>
      <w:spacing w:after="0"/>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unhideWhenUsed/>
    <w:pPr>
      <w:keepNext/>
      <w:keepLines/>
      <w:numPr>
        <w:ilvl w:val="8"/>
        <w:numId w:val="106"/>
      </w:numPr>
      <w:spacing w:after="0"/>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AD6"/>
    <w:rPr>
      <w:rFonts w:ascii="Avenir Next LT Pro Demi" w:eastAsia="Times New Roman" w:hAnsi="Avenir Next LT Pro Demi" w:cs="Times New Roman"/>
      <w:color w:val="220054"/>
      <w:spacing w:val="-10"/>
      <w:kern w:val="28"/>
      <w:sz w:val="48"/>
      <w:szCs w:val="40"/>
      <w:lang w:val="en-AU" w:eastAsia="en-US"/>
      <w14:ligatures w14:val="standardContextual"/>
    </w:rPr>
  </w:style>
  <w:style w:type="character" w:customStyle="1" w:styleId="Heading2Char">
    <w:name w:val="Heading 2 Char"/>
    <w:basedOn w:val="DefaultParagraphFont"/>
    <w:link w:val="Heading2"/>
    <w:uiPriority w:val="9"/>
    <w:rsid w:val="0029311C"/>
    <w:rPr>
      <w:rFonts w:ascii="AvenirNext LT Pro Regular" w:eastAsia="Times New Roman" w:hAnsi="AvenirNext LT Pro Regular" w:cs="Times New Roman"/>
      <w:color w:val="464E7E" w:themeColor="accent2"/>
      <w:kern w:val="2"/>
      <w:sz w:val="38"/>
      <w:szCs w:val="36"/>
      <w:lang w:val="en-AU" w:eastAsia="en-US"/>
      <w14:ligatures w14:val="standardContextual"/>
    </w:rPr>
  </w:style>
  <w:style w:type="character" w:customStyle="1" w:styleId="Heading3Char">
    <w:name w:val="Heading 3 Char"/>
    <w:basedOn w:val="DefaultParagraphFont"/>
    <w:link w:val="Heading3"/>
    <w:uiPriority w:val="9"/>
    <w:rsid w:val="00A1514D"/>
    <w:rPr>
      <w:rFonts w:ascii="Avenir Next LT Pro" w:eastAsiaTheme="majorEastAsia" w:hAnsi="Avenir Next LT Pro" w:cstheme="majorBidi"/>
      <w:color w:val="464E7E" w:themeColor="accent2"/>
      <w:sz w:val="28"/>
      <w:szCs w:val="28"/>
    </w:rPr>
  </w:style>
  <w:style w:type="character" w:customStyle="1" w:styleId="Heading4Char">
    <w:name w:val="Heading 4 Char"/>
    <w:basedOn w:val="DefaultParagraphFont"/>
    <w:link w:val="Heading4"/>
    <w:uiPriority w:val="9"/>
    <w:rsid w:val="00852DF8"/>
    <w:rPr>
      <w:rFonts w:ascii="Avenir Next LT Pro" w:eastAsiaTheme="majorEastAsia" w:hAnsi="Avenir Next LT Pro" w:cstheme="majorBidi"/>
      <w:color w:val="464E7E" w:themeColor="accent2"/>
      <w:sz w:val="20"/>
      <w:szCs w:val="20"/>
      <w:u w:val="single"/>
    </w:rPr>
  </w:style>
  <w:style w:type="character" w:customStyle="1" w:styleId="Heading5Char">
    <w:name w:val="Heading 5 Char"/>
    <w:basedOn w:val="DefaultParagraphFont"/>
    <w:link w:val="Heading5"/>
    <w:uiPriority w:val="9"/>
    <w:rsid w:val="003E7B29"/>
    <w:rPr>
      <w:rFonts w:ascii="Avenir Next LT Pro" w:eastAsiaTheme="majorEastAsia" w:hAnsi="Avenir Next LT Pro" w:cstheme="majorBidi"/>
      <w:color w:val="464E7E" w:themeColor="accent2"/>
      <w:sz w:val="20"/>
      <w:szCs w:val="20"/>
    </w:rPr>
  </w:style>
  <w:style w:type="character" w:customStyle="1" w:styleId="Heading6Char">
    <w:name w:val="Heading 6 Char"/>
    <w:basedOn w:val="DefaultParagraphFont"/>
    <w:link w:val="Heading6"/>
    <w:uiPriority w:val="9"/>
    <w:rPr>
      <w:rFonts w:ascii="Avenir Next LT Pro" w:eastAsiaTheme="majorEastAsia" w:hAnsi="Avenir Next LT Pro" w:cstheme="majorBidi"/>
      <w:i/>
      <w:iCs/>
      <w:color w:val="595959" w:themeColor="text1" w:themeTint="A6"/>
      <w:sz w:val="20"/>
      <w:szCs w:val="20"/>
    </w:rPr>
  </w:style>
  <w:style w:type="character" w:customStyle="1" w:styleId="Heading7Char">
    <w:name w:val="Heading 7 Char"/>
    <w:basedOn w:val="DefaultParagraphFont"/>
    <w:link w:val="Heading7"/>
    <w:uiPriority w:val="9"/>
    <w:rPr>
      <w:rFonts w:ascii="Avenir Next LT Pro" w:eastAsiaTheme="majorEastAsia" w:hAnsi="Avenir Next LT Pro" w:cstheme="majorBidi"/>
      <w:color w:val="595959" w:themeColor="text1" w:themeTint="A6"/>
      <w:sz w:val="20"/>
      <w:szCs w:val="20"/>
    </w:rPr>
  </w:style>
  <w:style w:type="character" w:customStyle="1" w:styleId="Heading8Char">
    <w:name w:val="Heading 8 Char"/>
    <w:basedOn w:val="DefaultParagraphFont"/>
    <w:link w:val="Heading8"/>
    <w:uiPriority w:val="9"/>
    <w:rPr>
      <w:rFonts w:ascii="Avenir Next LT Pro" w:eastAsiaTheme="majorEastAsia" w:hAnsi="Avenir Next LT Pro" w:cstheme="majorBidi"/>
      <w:i/>
      <w:iCs/>
      <w:color w:val="272727" w:themeColor="text1" w:themeTint="D8"/>
      <w:sz w:val="20"/>
      <w:szCs w:val="20"/>
    </w:rPr>
  </w:style>
  <w:style w:type="character" w:customStyle="1" w:styleId="Heading9Char">
    <w:name w:val="Heading 9 Char"/>
    <w:basedOn w:val="DefaultParagraphFont"/>
    <w:link w:val="Heading9"/>
    <w:uiPriority w:val="9"/>
    <w:rPr>
      <w:rFonts w:ascii="Avenir Next LT Pro" w:eastAsiaTheme="majorEastAsia" w:hAnsi="Avenir Next LT Pro" w:cstheme="majorBidi"/>
      <w:color w:val="272727" w:themeColor="text1" w:themeTint="D8"/>
      <w:sz w:val="20"/>
      <w:szCs w:val="2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rPr>
      <w:i/>
      <w:iCs/>
      <w:color w:val="19003E"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19003E" w:themeColor="accent1" w:themeShade="BF"/>
    </w:rPr>
  </w:style>
  <w:style w:type="paragraph" w:styleId="IntenseQuote">
    <w:name w:val="Intense Quote"/>
    <w:basedOn w:val="Normal"/>
    <w:next w:val="Normal"/>
    <w:link w:val="IntenseQuoteChar"/>
    <w:uiPriority w:val="30"/>
    <w:pPr>
      <w:pBdr>
        <w:top w:val="single" w:sz="4" w:space="10" w:color="19003E" w:themeColor="accent1" w:themeShade="BF"/>
        <w:bottom w:val="single" w:sz="4" w:space="10" w:color="19003E" w:themeColor="accent1" w:themeShade="BF"/>
      </w:pBdr>
      <w:spacing w:before="360" w:after="360"/>
      <w:ind w:left="864" w:right="864"/>
      <w:jc w:val="center"/>
    </w:pPr>
    <w:rPr>
      <w:i/>
      <w:iCs/>
      <w:color w:val="19003E" w:themeColor="accent1" w:themeShade="BF"/>
    </w:rPr>
  </w:style>
  <w:style w:type="character" w:styleId="IntenseReference">
    <w:name w:val="Intense Reference"/>
    <w:basedOn w:val="DefaultParagraphFont"/>
    <w:uiPriority w:val="32"/>
    <w:rPr>
      <w:b/>
      <w:bCs/>
      <w:smallCaps/>
      <w:color w:val="19003E" w:themeColor="accent1" w:themeShade="BF"/>
      <w:spacing w:val="5"/>
    </w:rPr>
  </w:style>
  <w:style w:type="paragraph" w:styleId="Header">
    <w:name w:val="header"/>
    <w:basedOn w:val="Normal"/>
    <w:link w:val="HeaderChar"/>
    <w:uiPriority w:val="99"/>
    <w:unhideWhenUsed/>
    <w:rsid w:val="004B7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B47"/>
  </w:style>
  <w:style w:type="paragraph" w:styleId="Footer">
    <w:name w:val="footer"/>
    <w:basedOn w:val="Normal"/>
    <w:link w:val="FooterChar"/>
    <w:uiPriority w:val="99"/>
    <w:unhideWhenUsed/>
    <w:rsid w:val="004B7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B47"/>
  </w:style>
  <w:style w:type="paragraph" w:styleId="ListParagraph">
    <w:name w:val="List Paragraph"/>
    <w:aliases w:val="CAB - List Bullet"/>
    <w:basedOn w:val="Normal"/>
    <w:link w:val="ListParagraphChar"/>
    <w:uiPriority w:val="34"/>
    <w:qFormat/>
    <w:rsid w:val="00C63500"/>
    <w:pPr>
      <w:ind w:left="720"/>
      <w:contextualSpacing/>
    </w:pPr>
  </w:style>
  <w:style w:type="paragraph" w:styleId="EndnoteText">
    <w:name w:val="endnote text"/>
    <w:basedOn w:val="Normal"/>
    <w:link w:val="EndnoteTextChar"/>
    <w:uiPriority w:val="99"/>
    <w:semiHidden/>
    <w:unhideWhenUsed/>
    <w:rsid w:val="00B02AC1"/>
    <w:pPr>
      <w:spacing w:after="0" w:line="240" w:lineRule="auto"/>
    </w:pPr>
  </w:style>
  <w:style w:type="character" w:customStyle="1" w:styleId="EndnoteTextChar">
    <w:name w:val="Endnote Text Char"/>
    <w:basedOn w:val="DefaultParagraphFont"/>
    <w:link w:val="EndnoteText"/>
    <w:uiPriority w:val="99"/>
    <w:semiHidden/>
    <w:rsid w:val="00B02AC1"/>
    <w:rPr>
      <w:color w:val="484B5D" w:themeColor="accent3"/>
      <w:sz w:val="20"/>
      <w:szCs w:val="20"/>
    </w:rPr>
  </w:style>
  <w:style w:type="character" w:styleId="EndnoteReference">
    <w:name w:val="endnote reference"/>
    <w:basedOn w:val="DefaultParagraphFont"/>
    <w:uiPriority w:val="99"/>
    <w:semiHidden/>
    <w:unhideWhenUsed/>
    <w:rsid w:val="00B02AC1"/>
    <w:rPr>
      <w:vertAlign w:val="superscript"/>
    </w:rPr>
  </w:style>
  <w:style w:type="paragraph" w:styleId="FootnoteText">
    <w:name w:val="footnote text"/>
    <w:basedOn w:val="Normal"/>
    <w:link w:val="FootnoteTextChar"/>
    <w:uiPriority w:val="99"/>
    <w:unhideWhenUsed/>
    <w:rsid w:val="002202C1"/>
    <w:pPr>
      <w:spacing w:after="0" w:line="240" w:lineRule="auto"/>
    </w:pPr>
  </w:style>
  <w:style w:type="character" w:customStyle="1" w:styleId="FootnoteTextChar">
    <w:name w:val="Footnote Text Char"/>
    <w:basedOn w:val="DefaultParagraphFont"/>
    <w:link w:val="FootnoteText"/>
    <w:uiPriority w:val="99"/>
    <w:rsid w:val="002202C1"/>
    <w:rPr>
      <w:color w:val="484B5D" w:themeColor="accent3"/>
      <w:sz w:val="20"/>
      <w:szCs w:val="20"/>
    </w:rPr>
  </w:style>
  <w:style w:type="character" w:styleId="FootnoteReference">
    <w:name w:val="footnote reference"/>
    <w:basedOn w:val="DefaultParagraphFont"/>
    <w:uiPriority w:val="99"/>
    <w:semiHidden/>
    <w:unhideWhenUsed/>
    <w:rsid w:val="002202C1"/>
    <w:rPr>
      <w:vertAlign w:val="superscript"/>
    </w:rPr>
  </w:style>
  <w:style w:type="paragraph" w:styleId="TOCHeading">
    <w:name w:val="TOC Heading"/>
    <w:aliases w:val="Table of Contents Heading"/>
    <w:basedOn w:val="Heading1"/>
    <w:next w:val="Normal"/>
    <w:uiPriority w:val="39"/>
    <w:unhideWhenUsed/>
    <w:qFormat/>
    <w:rsid w:val="001D0416"/>
  </w:style>
  <w:style w:type="paragraph" w:styleId="TOC1">
    <w:name w:val="toc 1"/>
    <w:basedOn w:val="Normal"/>
    <w:next w:val="Normal"/>
    <w:autoRedefine/>
    <w:uiPriority w:val="39"/>
    <w:unhideWhenUsed/>
    <w:rsid w:val="00B72C8B"/>
    <w:pPr>
      <w:tabs>
        <w:tab w:val="clear" w:pos="5309"/>
        <w:tab w:val="left" w:pos="8222"/>
      </w:tabs>
      <w:kinsoku w:val="0"/>
      <w:overflowPunct w:val="0"/>
      <w:autoSpaceDE w:val="0"/>
      <w:autoSpaceDN w:val="0"/>
      <w:adjustRightInd w:val="0"/>
      <w:snapToGrid w:val="0"/>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1D0416"/>
    <w:pPr>
      <w:tabs>
        <w:tab w:val="clear" w:pos="5309"/>
      </w:tabs>
      <w:spacing w:before="240" w:after="0"/>
    </w:pPr>
    <w:rPr>
      <w:rFonts w:asciiTheme="minorHAnsi" w:hAnsiTheme="minorHAnsi"/>
      <w:b/>
      <w:bCs/>
    </w:rPr>
  </w:style>
  <w:style w:type="character" w:styleId="Hyperlink">
    <w:name w:val="Hyperlink"/>
    <w:basedOn w:val="DefaultParagraphFont"/>
    <w:uiPriority w:val="99"/>
    <w:unhideWhenUsed/>
    <w:qFormat/>
    <w:rsid w:val="00AC4A19"/>
    <w:rPr>
      <w:color w:val="5F4AFF" w:themeColor="accent6"/>
      <w:u w:val="single"/>
    </w:rPr>
  </w:style>
  <w:style w:type="paragraph" w:styleId="TOC3">
    <w:name w:val="toc 3"/>
    <w:basedOn w:val="Normal"/>
    <w:next w:val="Normal"/>
    <w:autoRedefine/>
    <w:uiPriority w:val="39"/>
    <w:unhideWhenUsed/>
    <w:rsid w:val="002709C1"/>
    <w:pPr>
      <w:tabs>
        <w:tab w:val="clear" w:pos="5309"/>
      </w:tabs>
      <w:spacing w:after="0"/>
      <w:ind w:left="200"/>
    </w:pPr>
    <w:rPr>
      <w:rFonts w:asciiTheme="minorHAnsi" w:hAnsiTheme="minorHAnsi"/>
    </w:rPr>
  </w:style>
  <w:style w:type="paragraph" w:styleId="TOC4">
    <w:name w:val="toc 4"/>
    <w:basedOn w:val="Normal"/>
    <w:next w:val="Normal"/>
    <w:autoRedefine/>
    <w:uiPriority w:val="39"/>
    <w:unhideWhenUsed/>
    <w:rsid w:val="002709C1"/>
    <w:pPr>
      <w:tabs>
        <w:tab w:val="clear" w:pos="5309"/>
      </w:tabs>
      <w:spacing w:after="0"/>
      <w:ind w:left="400"/>
    </w:pPr>
    <w:rPr>
      <w:rFonts w:asciiTheme="minorHAnsi" w:hAnsiTheme="minorHAnsi"/>
    </w:rPr>
  </w:style>
  <w:style w:type="paragraph" w:styleId="TOC5">
    <w:name w:val="toc 5"/>
    <w:basedOn w:val="Normal"/>
    <w:next w:val="Normal"/>
    <w:autoRedefine/>
    <w:uiPriority w:val="39"/>
    <w:unhideWhenUsed/>
    <w:rsid w:val="002709C1"/>
    <w:pPr>
      <w:tabs>
        <w:tab w:val="clear" w:pos="5309"/>
      </w:tabs>
      <w:spacing w:after="0"/>
      <w:ind w:left="600"/>
    </w:pPr>
    <w:rPr>
      <w:rFonts w:asciiTheme="minorHAnsi" w:hAnsiTheme="minorHAnsi"/>
    </w:rPr>
  </w:style>
  <w:style w:type="paragraph" w:styleId="TOC6">
    <w:name w:val="toc 6"/>
    <w:basedOn w:val="Normal"/>
    <w:next w:val="Normal"/>
    <w:autoRedefine/>
    <w:uiPriority w:val="39"/>
    <w:unhideWhenUsed/>
    <w:rsid w:val="002709C1"/>
    <w:pPr>
      <w:tabs>
        <w:tab w:val="clear" w:pos="5309"/>
      </w:tabs>
      <w:spacing w:after="0"/>
      <w:ind w:left="800"/>
    </w:pPr>
    <w:rPr>
      <w:rFonts w:asciiTheme="minorHAnsi" w:hAnsiTheme="minorHAnsi"/>
    </w:rPr>
  </w:style>
  <w:style w:type="paragraph" w:styleId="TOC7">
    <w:name w:val="toc 7"/>
    <w:basedOn w:val="Normal"/>
    <w:next w:val="Normal"/>
    <w:autoRedefine/>
    <w:uiPriority w:val="39"/>
    <w:unhideWhenUsed/>
    <w:rsid w:val="002709C1"/>
    <w:pPr>
      <w:tabs>
        <w:tab w:val="clear" w:pos="5309"/>
      </w:tabs>
      <w:spacing w:after="0"/>
      <w:ind w:left="1000"/>
    </w:pPr>
    <w:rPr>
      <w:rFonts w:asciiTheme="minorHAnsi" w:hAnsiTheme="minorHAnsi"/>
    </w:rPr>
  </w:style>
  <w:style w:type="paragraph" w:styleId="TOC8">
    <w:name w:val="toc 8"/>
    <w:basedOn w:val="Normal"/>
    <w:next w:val="Normal"/>
    <w:autoRedefine/>
    <w:uiPriority w:val="39"/>
    <w:unhideWhenUsed/>
    <w:rsid w:val="002709C1"/>
    <w:pPr>
      <w:tabs>
        <w:tab w:val="clear" w:pos="5309"/>
      </w:tabs>
      <w:spacing w:after="0"/>
      <w:ind w:left="1200"/>
    </w:pPr>
    <w:rPr>
      <w:rFonts w:asciiTheme="minorHAnsi" w:hAnsiTheme="minorHAnsi"/>
    </w:rPr>
  </w:style>
  <w:style w:type="paragraph" w:styleId="TOC9">
    <w:name w:val="toc 9"/>
    <w:basedOn w:val="Normal"/>
    <w:next w:val="Normal"/>
    <w:autoRedefine/>
    <w:uiPriority w:val="39"/>
    <w:unhideWhenUsed/>
    <w:rsid w:val="002709C1"/>
    <w:pPr>
      <w:tabs>
        <w:tab w:val="clear" w:pos="5309"/>
      </w:tabs>
      <w:spacing w:after="0"/>
      <w:ind w:left="1400"/>
    </w:pPr>
    <w:rPr>
      <w:rFonts w:asciiTheme="minorHAnsi" w:hAnsiTheme="minorHAnsi"/>
    </w:rPr>
  </w:style>
  <w:style w:type="character" w:styleId="CommentReference">
    <w:name w:val="annotation reference"/>
    <w:basedOn w:val="DefaultParagraphFont"/>
    <w:uiPriority w:val="99"/>
    <w:semiHidden/>
    <w:unhideWhenUsed/>
    <w:rsid w:val="006828BC"/>
    <w:rPr>
      <w:sz w:val="16"/>
      <w:szCs w:val="16"/>
    </w:rPr>
  </w:style>
  <w:style w:type="paragraph" w:styleId="CommentText">
    <w:name w:val="annotation text"/>
    <w:basedOn w:val="Normal"/>
    <w:link w:val="CommentTextChar"/>
    <w:uiPriority w:val="99"/>
    <w:unhideWhenUsed/>
    <w:rsid w:val="006828BC"/>
    <w:pPr>
      <w:spacing w:line="240" w:lineRule="auto"/>
    </w:pPr>
  </w:style>
  <w:style w:type="character" w:customStyle="1" w:styleId="CommentTextChar">
    <w:name w:val="Comment Text Char"/>
    <w:basedOn w:val="DefaultParagraphFont"/>
    <w:link w:val="CommentText"/>
    <w:uiPriority w:val="99"/>
    <w:rsid w:val="006828BC"/>
    <w:rPr>
      <w:color w:val="484B5D" w:themeColor="accent3"/>
      <w:sz w:val="20"/>
      <w:szCs w:val="20"/>
    </w:rPr>
  </w:style>
  <w:style w:type="paragraph" w:styleId="CommentSubject">
    <w:name w:val="annotation subject"/>
    <w:basedOn w:val="CommentText"/>
    <w:next w:val="CommentText"/>
    <w:link w:val="CommentSubjectChar"/>
    <w:uiPriority w:val="99"/>
    <w:semiHidden/>
    <w:unhideWhenUsed/>
    <w:rsid w:val="006828BC"/>
    <w:rPr>
      <w:b/>
      <w:bCs/>
    </w:rPr>
  </w:style>
  <w:style w:type="character" w:customStyle="1" w:styleId="CommentSubjectChar">
    <w:name w:val="Comment Subject Char"/>
    <w:basedOn w:val="CommentTextChar"/>
    <w:link w:val="CommentSubject"/>
    <w:uiPriority w:val="99"/>
    <w:semiHidden/>
    <w:rsid w:val="006828BC"/>
    <w:rPr>
      <w:b/>
      <w:bCs/>
      <w:color w:val="484B5D" w:themeColor="accent3"/>
      <w:sz w:val="20"/>
      <w:szCs w:val="20"/>
    </w:rPr>
  </w:style>
  <w:style w:type="character" w:styleId="PlaceholderText">
    <w:name w:val="Placeholder Text"/>
    <w:basedOn w:val="DefaultParagraphFont"/>
    <w:uiPriority w:val="99"/>
    <w:semiHidden/>
    <w:rsid w:val="00E95DC3"/>
    <w:rPr>
      <w:color w:val="666666"/>
    </w:rPr>
  </w:style>
  <w:style w:type="character" w:customStyle="1" w:styleId="ListParagraphChar">
    <w:name w:val="List Paragraph Char"/>
    <w:aliases w:val="CAB - List Bullet Char"/>
    <w:link w:val="ListParagraph"/>
    <w:uiPriority w:val="34"/>
    <w:locked/>
    <w:rsid w:val="002571BC"/>
    <w:rPr>
      <w:color w:val="484B5D" w:themeColor="accent3"/>
    </w:rPr>
  </w:style>
  <w:style w:type="paragraph" w:customStyle="1" w:styleId="Tablebodytext">
    <w:name w:val="Table body text"/>
    <w:qFormat/>
    <w:rsid w:val="00AC4A19"/>
    <w:pPr>
      <w:framePr w:hSpace="180" w:wrap="around" w:vAnchor="text" w:hAnchor="margin" w:y="778"/>
      <w:spacing w:before="120" w:after="120" w:line="240" w:lineRule="auto"/>
    </w:pPr>
    <w:rPr>
      <w:rFonts w:ascii="Avenir Next LT Pro" w:eastAsiaTheme="minorHAnsi" w:hAnsi="Avenir Next LT Pro" w:cs="Times New Roman (Body CS)"/>
      <w:color w:val="484B5D" w:themeColor="accent3"/>
      <w:sz w:val="22"/>
      <w:szCs w:val="22"/>
      <w:lang w:val="en-AU" w:eastAsia="en-US"/>
    </w:rPr>
  </w:style>
  <w:style w:type="paragraph" w:customStyle="1" w:styleId="TableNormalBullet1">
    <w:name w:val="Table Normal Bullet 1"/>
    <w:basedOn w:val="Normal"/>
    <w:uiPriority w:val="14"/>
    <w:rsid w:val="002571BC"/>
    <w:pPr>
      <w:numPr>
        <w:numId w:val="2"/>
      </w:numPr>
      <w:spacing w:before="40" w:after="40" w:line="264" w:lineRule="auto"/>
    </w:pPr>
    <w:rPr>
      <w:rFonts w:eastAsia="Times New Roman" w:cs="Arial"/>
      <w:snapToGrid w:val="0"/>
      <w:color w:val="auto"/>
      <w:sz w:val="18"/>
      <w:lang w:eastAsia="en-US"/>
    </w:rPr>
  </w:style>
  <w:style w:type="paragraph" w:customStyle="1" w:styleId="TableNormalBullet3">
    <w:name w:val="Table Normal Bullet 3"/>
    <w:basedOn w:val="TableNormalBullet2"/>
    <w:uiPriority w:val="14"/>
    <w:rsid w:val="002571BC"/>
    <w:pPr>
      <w:numPr>
        <w:ilvl w:val="2"/>
      </w:numPr>
    </w:pPr>
  </w:style>
  <w:style w:type="paragraph" w:customStyle="1" w:styleId="TableNormalBullet2">
    <w:name w:val="Table Normal Bullet 2"/>
    <w:basedOn w:val="TableNormalBullet1"/>
    <w:uiPriority w:val="14"/>
    <w:rsid w:val="002571BC"/>
    <w:pPr>
      <w:numPr>
        <w:ilvl w:val="1"/>
      </w:numPr>
    </w:pPr>
  </w:style>
  <w:style w:type="paragraph" w:customStyle="1" w:styleId="CVbullets">
    <w:name w:val="CV bullets"/>
    <w:basedOn w:val="ListParagraph"/>
    <w:qFormat/>
    <w:rsid w:val="00164F75"/>
    <w:pPr>
      <w:numPr>
        <w:numId w:val="4"/>
      </w:numPr>
      <w:kinsoku w:val="0"/>
      <w:overflowPunct w:val="0"/>
      <w:autoSpaceDE w:val="0"/>
      <w:autoSpaceDN w:val="0"/>
      <w:adjustRightInd w:val="0"/>
      <w:snapToGrid w:val="0"/>
      <w:spacing w:after="0"/>
      <w:ind w:left="527" w:hanging="357"/>
    </w:pPr>
    <w:rPr>
      <w:rFonts w:asciiTheme="minorHAnsi" w:eastAsia="Times New Roman" w:hAnsiTheme="minorHAnsi" w:cs="Arial"/>
      <w:lang w:eastAsia="en-AU"/>
    </w:rPr>
  </w:style>
  <w:style w:type="paragraph" w:customStyle="1" w:styleId="CVHeading">
    <w:name w:val="CV Heading"/>
    <w:basedOn w:val="Normal"/>
    <w:rsid w:val="00463BA2"/>
    <w:pPr>
      <w:shd w:val="clear" w:color="auto" w:fill="464E7E" w:themeFill="accent2"/>
    </w:pPr>
    <w:rPr>
      <w:rFonts w:asciiTheme="majorHAnsi" w:hAnsiTheme="majorHAnsi"/>
      <w:b/>
      <w:bCs/>
      <w:noProof/>
      <w:color w:val="FFFFFF" w:themeColor="background1"/>
    </w:rPr>
  </w:style>
  <w:style w:type="paragraph" w:customStyle="1" w:styleId="TableNormalText">
    <w:name w:val="Table Normal Text"/>
    <w:basedOn w:val="Normal"/>
    <w:uiPriority w:val="13"/>
    <w:rsid w:val="008226E8"/>
    <w:pPr>
      <w:tabs>
        <w:tab w:val="clear" w:pos="5309"/>
      </w:tabs>
      <w:spacing w:before="40" w:after="40" w:line="264" w:lineRule="auto"/>
    </w:pPr>
    <w:rPr>
      <w:rFonts w:eastAsia="Times New Roman" w:cs="Arial"/>
      <w:snapToGrid w:val="0"/>
      <w:color w:val="000000" w:themeColor="text1"/>
      <w:sz w:val="18"/>
      <w:lang w:eastAsia="en-US"/>
    </w:rPr>
  </w:style>
  <w:style w:type="paragraph" w:customStyle="1" w:styleId="TableNormalColumnHeading">
    <w:name w:val="Table Normal Column Heading"/>
    <w:basedOn w:val="TableNormalText"/>
    <w:uiPriority w:val="14"/>
    <w:rsid w:val="008226E8"/>
    <w:pPr>
      <w:keepNext/>
      <w:keepLines/>
    </w:pPr>
    <w:rPr>
      <w:b/>
      <w:color w:val="FFFFFF" w:themeColor="background1"/>
    </w:rPr>
  </w:style>
  <w:style w:type="table" w:customStyle="1" w:styleId="ScyneTable">
    <w:name w:val="Scyne Table"/>
    <w:basedOn w:val="TableNormal"/>
    <w:rsid w:val="008226E8"/>
    <w:pPr>
      <w:spacing w:after="0" w:line="240" w:lineRule="auto"/>
    </w:pPr>
    <w:rPr>
      <w:rFonts w:eastAsia="Times New Roman" w:cs="Times New Roman"/>
      <w:sz w:val="20"/>
      <w:szCs w:val="20"/>
      <w:lang w:val="en-AU" w:eastAsia="en-AU"/>
    </w:rPr>
    <w:tblPr>
      <w:tblStyleRowBandSize w:val="1"/>
      <w:tblStyleColBandSize w:val="1"/>
      <w:tblBorders>
        <w:bottom w:val="single" w:sz="4" w:space="0" w:color="220054" w:themeColor="accent1"/>
        <w:insideH w:val="single" w:sz="4" w:space="0" w:color="220054" w:themeColor="accent1"/>
      </w:tblBorders>
    </w:tblPr>
    <w:tcPr>
      <w:shd w:val="clear" w:color="auto" w:fill="auto"/>
      <w:tcMar>
        <w:top w:w="0" w:type="dxa"/>
        <w:left w:w="108" w:type="dxa"/>
        <w:bottom w:w="0" w:type="dxa"/>
        <w:right w:w="108" w:type="dxa"/>
      </w:tcMar>
    </w:tcPr>
    <w:tblStylePr w:type="firstRow">
      <w:pPr>
        <w:jc w:val="left"/>
      </w:pPr>
      <w:rPr>
        <w:rFonts w:asciiTheme="minorHAnsi" w:hAnsiTheme="minorHAnsi"/>
        <w:b w:val="0"/>
        <w:color w:val="auto"/>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484B5D" w:themeFill="accent3"/>
      </w:tcPr>
    </w:tblStylePr>
    <w:tblStylePr w:type="lastRow">
      <w:rPr>
        <w:b/>
        <w:color w:val="auto"/>
      </w:rPr>
      <w:tblPr/>
      <w:tcPr>
        <w:tcBorders>
          <w:bottom w:val="single" w:sz="4" w:space="0" w:color="220054" w:themeColor="accent1"/>
        </w:tcBorders>
        <w:shd w:val="clear" w:color="auto" w:fill="auto"/>
      </w:tcPr>
    </w:tblStylePr>
    <w:tblStylePr w:type="firstCol">
      <w:tblPr/>
      <w:tcPr>
        <w:shd w:val="clear" w:color="auto" w:fill="DEDAFF" w:themeFill="accent6" w:themeFillTint="33"/>
      </w:tcPr>
    </w:tblStylePr>
    <w:tblStylePr w:type="nwCell">
      <w:pPr>
        <w:jc w:val="left"/>
      </w:pPr>
      <w:tblPr/>
      <w:tcPr>
        <w:vAlign w:val="bottom"/>
      </w:tcPr>
    </w:tblStylePr>
    <w:tblStylePr w:type="swCell">
      <w:tblPr/>
      <w:tcPr>
        <w:shd w:val="clear" w:color="auto" w:fill="DEDAFF" w:themeFill="accent6" w:themeFillTint="33"/>
      </w:tcPr>
    </w:tblStylePr>
  </w:style>
  <w:style w:type="paragraph" w:customStyle="1" w:styleId="TableNormalTopic">
    <w:name w:val="Table Normal Topic"/>
    <w:basedOn w:val="TableNormalText"/>
    <w:uiPriority w:val="39"/>
    <w:rsid w:val="008226E8"/>
    <w:pPr>
      <w:keepNext/>
      <w:keepLines/>
    </w:pPr>
    <w:rPr>
      <w:rFonts w:eastAsia="Georgia"/>
      <w:b/>
    </w:rPr>
  </w:style>
  <w:style w:type="table" w:styleId="TableGrid">
    <w:name w:val="Table Grid"/>
    <w:basedOn w:val="TableNormal"/>
    <w:uiPriority w:val="39"/>
    <w:rsid w:val="00CE0C70"/>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text">
    <w:name w:val="Table Heading text"/>
    <w:basedOn w:val="Tablebodytext"/>
    <w:rsid w:val="008B67C1"/>
    <w:pPr>
      <w:framePr w:wrap="around"/>
    </w:pPr>
    <w:rPr>
      <w:b/>
      <w:bCs/>
    </w:rPr>
  </w:style>
  <w:style w:type="paragraph" w:styleId="Caption">
    <w:name w:val="caption"/>
    <w:basedOn w:val="Normal"/>
    <w:next w:val="Normal"/>
    <w:uiPriority w:val="35"/>
    <w:unhideWhenUsed/>
    <w:qFormat/>
    <w:rsid w:val="00457619"/>
    <w:pPr>
      <w:spacing w:after="200" w:line="240" w:lineRule="auto"/>
    </w:pPr>
    <w:rPr>
      <w:i/>
      <w:iCs/>
      <w:color w:val="44546A" w:themeColor="text2"/>
      <w:sz w:val="18"/>
      <w:szCs w:val="18"/>
    </w:rPr>
  </w:style>
  <w:style w:type="paragraph" w:customStyle="1" w:styleId="TableHeader">
    <w:name w:val="Table Header"/>
    <w:basedOn w:val="Normal"/>
    <w:qFormat/>
    <w:rsid w:val="00623F06"/>
    <w:pPr>
      <w:tabs>
        <w:tab w:val="clear" w:pos="5309"/>
      </w:tabs>
      <w:spacing w:before="60" w:after="60" w:line="240" w:lineRule="auto"/>
    </w:pPr>
    <w:rPr>
      <w:rFonts w:asciiTheme="majorHAnsi" w:eastAsia="Times New Roman" w:hAnsiTheme="majorHAnsi" w:cs="Arial"/>
      <w:b/>
      <w:color w:val="002664"/>
      <w:szCs w:val="24"/>
      <w:lang w:eastAsia="en-US"/>
    </w:rPr>
  </w:style>
  <w:style w:type="paragraph" w:customStyle="1" w:styleId="TableText">
    <w:name w:val="Table Text"/>
    <w:basedOn w:val="Normal"/>
    <w:link w:val="TableTextChar"/>
    <w:qFormat/>
    <w:rsid w:val="00623F06"/>
    <w:pPr>
      <w:tabs>
        <w:tab w:val="clear" w:pos="5309"/>
      </w:tabs>
      <w:spacing w:before="60" w:after="60" w:line="240" w:lineRule="auto"/>
    </w:pPr>
    <w:rPr>
      <w:rFonts w:eastAsia="Times New Roman" w:cs="Times New Roman"/>
      <w:szCs w:val="24"/>
      <w:lang w:eastAsia="en-US"/>
    </w:rPr>
  </w:style>
  <w:style w:type="table" w:customStyle="1" w:styleId="IMSTable">
    <w:name w:val="IMS Table"/>
    <w:basedOn w:val="TableNormal"/>
    <w:uiPriority w:val="99"/>
    <w:rsid w:val="00EE751F"/>
    <w:pPr>
      <w:spacing w:after="0" w:line="240" w:lineRule="auto"/>
    </w:pPr>
    <w:rPr>
      <w:rFonts w:ascii="Public Sans (NSW)" w:eastAsia="Times New Roman" w:hAnsi="Public Sans (NSW)"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Yu Gothic UI Light" w:hAnsi="@Yu Gothic UI Light"/>
        <w:b w:val="0"/>
        <w:color w:val="002664"/>
        <w:sz w:val="20"/>
      </w:rPr>
      <w:tblPr/>
      <w:tcPr>
        <w:shd w:val="clear" w:color="auto" w:fill="8CE0FF"/>
      </w:tcPr>
    </w:tblStylePr>
  </w:style>
  <w:style w:type="character" w:customStyle="1" w:styleId="TableTextChar">
    <w:name w:val="Table Text Char"/>
    <w:link w:val="TableText"/>
    <w:rsid w:val="00623F06"/>
    <w:rPr>
      <w:rFonts w:ascii="Avenir Next LT Pro" w:eastAsia="Times New Roman" w:hAnsi="Avenir Next LT Pro" w:cs="Times New Roman"/>
      <w:color w:val="484B5D" w:themeColor="accent3"/>
      <w:sz w:val="20"/>
      <w:lang w:val="en-AU" w:eastAsia="en-US"/>
    </w:rPr>
  </w:style>
  <w:style w:type="paragraph" w:customStyle="1" w:styleId="Numberedheading1">
    <w:name w:val="Numbered heading 1"/>
    <w:basedOn w:val="Heading1"/>
    <w:link w:val="Numberedheading1Char"/>
    <w:qFormat/>
    <w:rsid w:val="003A2623"/>
    <w:pPr>
      <w:tabs>
        <w:tab w:val="clear" w:pos="5309"/>
      </w:tabs>
    </w:pPr>
  </w:style>
  <w:style w:type="character" w:customStyle="1" w:styleId="Numberedheading1Char">
    <w:name w:val="Numbered heading 1 Char"/>
    <w:basedOn w:val="Heading1Char"/>
    <w:link w:val="Numberedheading1"/>
    <w:rsid w:val="00240820"/>
    <w:rPr>
      <w:rFonts w:ascii="Avenir Next LT Pro Demi" w:eastAsia="Times New Roman" w:hAnsi="Avenir Next LT Pro Demi" w:cs="Times New Roman"/>
      <w:color w:val="220054"/>
      <w:spacing w:val="-10"/>
      <w:kern w:val="28"/>
      <w:sz w:val="48"/>
      <w:szCs w:val="40"/>
      <w:lang w:val="en-AU" w:eastAsia="en-US"/>
      <w14:ligatures w14:val="standardContextual"/>
    </w:rPr>
  </w:style>
  <w:style w:type="paragraph" w:customStyle="1" w:styleId="Numberedheading2">
    <w:name w:val="Numbered heading 2"/>
    <w:basedOn w:val="Heading2"/>
    <w:link w:val="Numberedheading2Char"/>
    <w:qFormat/>
    <w:rsid w:val="00314129"/>
  </w:style>
  <w:style w:type="character" w:customStyle="1" w:styleId="Numberedheading2Char">
    <w:name w:val="Numbered heading 2 Char"/>
    <w:basedOn w:val="Heading2Char"/>
    <w:link w:val="Numberedheading2"/>
    <w:rsid w:val="00314129"/>
    <w:rPr>
      <w:rFonts w:ascii="AvenirNext LT Pro Regular" w:eastAsia="Times New Roman" w:hAnsi="AvenirNext LT Pro Regular" w:cs="Times New Roman"/>
      <w:color w:val="464E7E" w:themeColor="accent2"/>
      <w:kern w:val="2"/>
      <w:sz w:val="38"/>
      <w:szCs w:val="36"/>
      <w:lang w:val="en-AU" w:eastAsia="en-US"/>
      <w14:ligatures w14:val="standardContextual"/>
    </w:rPr>
  </w:style>
  <w:style w:type="paragraph" w:customStyle="1" w:styleId="Tablebulletpoint">
    <w:name w:val="Table bullet point"/>
    <w:basedOn w:val="ListParagraph"/>
    <w:link w:val="TablebulletpointChar"/>
    <w:qFormat/>
    <w:rsid w:val="003B46EA"/>
    <w:pPr>
      <w:numPr>
        <w:numId w:val="21"/>
      </w:numPr>
      <w:kinsoku w:val="0"/>
      <w:overflowPunct w:val="0"/>
      <w:autoSpaceDE w:val="0"/>
      <w:autoSpaceDN w:val="0"/>
      <w:adjustRightInd w:val="0"/>
      <w:snapToGrid w:val="0"/>
      <w:spacing w:after="0"/>
    </w:pPr>
    <w:rPr>
      <w:rFonts w:eastAsia="Times New Roman" w:cs="Times New Roman"/>
    </w:rPr>
  </w:style>
  <w:style w:type="character" w:customStyle="1" w:styleId="TablebulletpointChar">
    <w:name w:val="Table bullet point Char"/>
    <w:basedOn w:val="ListParagraphChar"/>
    <w:link w:val="Tablebulletpoint"/>
    <w:rsid w:val="003B46EA"/>
    <w:rPr>
      <w:rFonts w:ascii="Avenir Next LT Pro" w:eastAsia="Times New Roman" w:hAnsi="Avenir Next LT Pro" w:cs="Times New Roman"/>
      <w:color w:val="484B5D" w:themeColor="accent3"/>
      <w:sz w:val="20"/>
      <w:szCs w:val="20"/>
      <w:lang w:val="en-AU"/>
    </w:rPr>
  </w:style>
  <w:style w:type="character" w:styleId="UnresolvedMention">
    <w:name w:val="Unresolved Mention"/>
    <w:basedOn w:val="DefaultParagraphFont"/>
    <w:uiPriority w:val="99"/>
    <w:semiHidden/>
    <w:unhideWhenUsed/>
    <w:rsid w:val="00D422F0"/>
    <w:rPr>
      <w:color w:val="605E5C"/>
      <w:shd w:val="clear" w:color="auto" w:fill="E1DFDD"/>
    </w:rPr>
  </w:style>
  <w:style w:type="character" w:styleId="Mention">
    <w:name w:val="Mention"/>
    <w:basedOn w:val="DefaultParagraphFont"/>
    <w:uiPriority w:val="99"/>
    <w:unhideWhenUsed/>
    <w:rsid w:val="00EC453C"/>
    <w:rPr>
      <w:color w:val="2B579A"/>
      <w:shd w:val="clear" w:color="auto" w:fill="E1DFDD"/>
    </w:rPr>
  </w:style>
  <w:style w:type="character" w:customStyle="1" w:styleId="normaltextrun">
    <w:name w:val="normaltextrun"/>
    <w:basedOn w:val="DefaultParagraphFont"/>
    <w:rsid w:val="006044E0"/>
  </w:style>
  <w:style w:type="character" w:customStyle="1" w:styleId="eop">
    <w:name w:val="eop"/>
    <w:basedOn w:val="DefaultParagraphFont"/>
    <w:rsid w:val="006044E0"/>
  </w:style>
  <w:style w:type="paragraph" w:styleId="NoSpacing">
    <w:name w:val="No Spacing"/>
    <w:link w:val="NoSpacingChar"/>
    <w:uiPriority w:val="1"/>
    <w:qFormat/>
    <w:rsid w:val="006044E0"/>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6044E0"/>
    <w:rPr>
      <w:sz w:val="22"/>
      <w:szCs w:val="22"/>
      <w:lang w:eastAsia="en-US"/>
    </w:rPr>
  </w:style>
  <w:style w:type="paragraph" w:styleId="NormalWeb">
    <w:name w:val="Normal (Web)"/>
    <w:basedOn w:val="Normal"/>
    <w:uiPriority w:val="99"/>
    <w:semiHidden/>
    <w:unhideWhenUsed/>
    <w:rsid w:val="00530D63"/>
    <w:rPr>
      <w:rFonts w:ascii="Times New Roman" w:hAnsi="Times New Roman" w:cs="Times New Roman"/>
      <w:sz w:val="24"/>
      <w:szCs w:val="24"/>
      <w:lang w:val="en-US"/>
    </w:rPr>
  </w:style>
  <w:style w:type="table" w:styleId="ListTable3-Accent5">
    <w:name w:val="List Table 3 Accent 5"/>
    <w:basedOn w:val="TableNormal"/>
    <w:uiPriority w:val="48"/>
    <w:rsid w:val="006E7BC1"/>
    <w:pPr>
      <w:spacing w:after="0" w:line="240" w:lineRule="auto"/>
    </w:pPr>
    <w:tblPr>
      <w:tblStyleRowBandSize w:val="1"/>
      <w:tblStyleColBandSize w:val="1"/>
      <w:tblBorders>
        <w:top w:val="single" w:sz="4" w:space="0" w:color="F7BE85" w:themeColor="accent5"/>
        <w:left w:val="single" w:sz="4" w:space="0" w:color="F7BE85" w:themeColor="accent5"/>
        <w:bottom w:val="single" w:sz="4" w:space="0" w:color="F7BE85" w:themeColor="accent5"/>
        <w:right w:val="single" w:sz="4" w:space="0" w:color="F7BE85" w:themeColor="accent5"/>
      </w:tblBorders>
    </w:tblPr>
    <w:tblStylePr w:type="firstRow">
      <w:rPr>
        <w:b/>
        <w:bCs/>
        <w:color w:val="FFFFFF" w:themeColor="background1"/>
      </w:rPr>
      <w:tblPr/>
      <w:tcPr>
        <w:shd w:val="clear" w:color="auto" w:fill="F7BE85" w:themeFill="accent5"/>
      </w:tcPr>
    </w:tblStylePr>
    <w:tblStylePr w:type="lastRow">
      <w:rPr>
        <w:b/>
        <w:bCs/>
      </w:rPr>
      <w:tblPr/>
      <w:tcPr>
        <w:tcBorders>
          <w:top w:val="double" w:sz="4" w:space="0" w:color="F7BE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BE85" w:themeColor="accent5"/>
          <w:right w:val="single" w:sz="4" w:space="0" w:color="F7BE85" w:themeColor="accent5"/>
        </w:tcBorders>
      </w:tcPr>
    </w:tblStylePr>
    <w:tblStylePr w:type="band1Horz">
      <w:tblPr/>
      <w:tcPr>
        <w:tcBorders>
          <w:top w:val="single" w:sz="4" w:space="0" w:color="F7BE85" w:themeColor="accent5"/>
          <w:bottom w:val="single" w:sz="4" w:space="0" w:color="F7BE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BE85" w:themeColor="accent5"/>
          <w:left w:val="nil"/>
        </w:tcBorders>
      </w:tcPr>
    </w:tblStylePr>
    <w:tblStylePr w:type="swCell">
      <w:tblPr/>
      <w:tcPr>
        <w:tcBorders>
          <w:top w:val="double" w:sz="4" w:space="0" w:color="F7BE85" w:themeColor="accent5"/>
          <w:right w:val="nil"/>
        </w:tcBorders>
      </w:tcPr>
    </w:tblStylePr>
  </w:style>
  <w:style w:type="paragraph" w:styleId="Revision">
    <w:name w:val="Revision"/>
    <w:hidden/>
    <w:uiPriority w:val="99"/>
    <w:semiHidden/>
    <w:rsid w:val="00C411B3"/>
    <w:pPr>
      <w:spacing w:after="0" w:line="240" w:lineRule="auto"/>
    </w:pPr>
    <w:rPr>
      <w:rFonts w:ascii="Avenir Next LT Pro" w:hAnsi="Avenir Next LT Pro"/>
      <w:color w:val="484B5D" w:themeColor="accent3"/>
      <w:sz w:val="20"/>
      <w:szCs w:val="20"/>
      <w:lang w:val="en-AU"/>
    </w:rPr>
  </w:style>
  <w:style w:type="paragraph" w:styleId="BalloonText">
    <w:name w:val="Balloon Text"/>
    <w:basedOn w:val="Normal"/>
    <w:link w:val="BalloonTextChar"/>
    <w:uiPriority w:val="99"/>
    <w:semiHidden/>
    <w:unhideWhenUsed/>
    <w:rsid w:val="00CE6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F96"/>
    <w:rPr>
      <w:rFonts w:ascii="Segoe UI" w:hAnsi="Segoe UI" w:cs="Segoe UI"/>
      <w:color w:val="484B5D" w:themeColor="accent3"/>
      <w:sz w:val="18"/>
      <w:szCs w:val="18"/>
      <w:lang w:val="en-AU"/>
    </w:rPr>
  </w:style>
  <w:style w:type="paragraph" w:styleId="Bibliography">
    <w:name w:val="Bibliography"/>
    <w:basedOn w:val="Normal"/>
    <w:next w:val="Normal"/>
    <w:uiPriority w:val="37"/>
    <w:semiHidden/>
    <w:unhideWhenUsed/>
    <w:rsid w:val="00CE6F96"/>
  </w:style>
  <w:style w:type="paragraph" w:styleId="BlockText">
    <w:name w:val="Block Text"/>
    <w:basedOn w:val="Normal"/>
    <w:uiPriority w:val="99"/>
    <w:semiHidden/>
    <w:unhideWhenUsed/>
    <w:rsid w:val="00CE6F96"/>
    <w:pPr>
      <w:pBdr>
        <w:top w:val="single" w:sz="2" w:space="10" w:color="220054" w:themeColor="accent1"/>
        <w:left w:val="single" w:sz="2" w:space="10" w:color="220054" w:themeColor="accent1"/>
        <w:bottom w:val="single" w:sz="2" w:space="10" w:color="220054" w:themeColor="accent1"/>
        <w:right w:val="single" w:sz="2" w:space="10" w:color="220054" w:themeColor="accent1"/>
      </w:pBdr>
      <w:ind w:left="1152" w:right="1152"/>
    </w:pPr>
    <w:rPr>
      <w:rFonts w:asciiTheme="minorHAnsi" w:hAnsiTheme="minorHAnsi"/>
      <w:i/>
      <w:iCs/>
      <w:color w:val="220054" w:themeColor="accent1"/>
    </w:rPr>
  </w:style>
  <w:style w:type="paragraph" w:styleId="BodyText">
    <w:name w:val="Body Text"/>
    <w:basedOn w:val="Normal"/>
    <w:link w:val="BodyTextChar"/>
    <w:uiPriority w:val="99"/>
    <w:semiHidden/>
    <w:unhideWhenUsed/>
    <w:rsid w:val="00CE6F96"/>
    <w:pPr>
      <w:spacing w:after="120"/>
    </w:pPr>
  </w:style>
  <w:style w:type="character" w:customStyle="1" w:styleId="BodyTextChar">
    <w:name w:val="Body Text Char"/>
    <w:basedOn w:val="DefaultParagraphFont"/>
    <w:link w:val="BodyText"/>
    <w:uiPriority w:val="99"/>
    <w:semiHidden/>
    <w:rsid w:val="00CE6F96"/>
    <w:rPr>
      <w:rFonts w:ascii="Avenir Next LT Pro" w:hAnsi="Avenir Next LT Pro"/>
      <w:color w:val="484B5D" w:themeColor="accent3"/>
      <w:sz w:val="20"/>
      <w:szCs w:val="20"/>
      <w:lang w:val="en-AU"/>
    </w:rPr>
  </w:style>
  <w:style w:type="paragraph" w:styleId="BodyText2">
    <w:name w:val="Body Text 2"/>
    <w:basedOn w:val="Normal"/>
    <w:link w:val="BodyText2Char"/>
    <w:uiPriority w:val="99"/>
    <w:semiHidden/>
    <w:unhideWhenUsed/>
    <w:rsid w:val="00CE6F96"/>
    <w:pPr>
      <w:spacing w:after="120" w:line="480" w:lineRule="auto"/>
    </w:pPr>
  </w:style>
  <w:style w:type="character" w:customStyle="1" w:styleId="BodyText2Char">
    <w:name w:val="Body Text 2 Char"/>
    <w:basedOn w:val="DefaultParagraphFont"/>
    <w:link w:val="BodyText2"/>
    <w:uiPriority w:val="99"/>
    <w:semiHidden/>
    <w:rsid w:val="00CE6F96"/>
    <w:rPr>
      <w:rFonts w:ascii="Avenir Next LT Pro" w:hAnsi="Avenir Next LT Pro"/>
      <w:color w:val="484B5D" w:themeColor="accent3"/>
      <w:sz w:val="20"/>
      <w:szCs w:val="20"/>
      <w:lang w:val="en-AU"/>
    </w:rPr>
  </w:style>
  <w:style w:type="paragraph" w:styleId="BodyText3">
    <w:name w:val="Body Text 3"/>
    <w:basedOn w:val="Normal"/>
    <w:link w:val="BodyText3Char"/>
    <w:uiPriority w:val="99"/>
    <w:semiHidden/>
    <w:unhideWhenUsed/>
    <w:rsid w:val="00CE6F96"/>
    <w:pPr>
      <w:spacing w:after="120"/>
    </w:pPr>
    <w:rPr>
      <w:sz w:val="16"/>
      <w:szCs w:val="16"/>
    </w:rPr>
  </w:style>
  <w:style w:type="character" w:customStyle="1" w:styleId="BodyText3Char">
    <w:name w:val="Body Text 3 Char"/>
    <w:basedOn w:val="DefaultParagraphFont"/>
    <w:link w:val="BodyText3"/>
    <w:uiPriority w:val="99"/>
    <w:semiHidden/>
    <w:rsid w:val="00CE6F96"/>
    <w:rPr>
      <w:rFonts w:ascii="Avenir Next LT Pro" w:hAnsi="Avenir Next LT Pro"/>
      <w:color w:val="484B5D" w:themeColor="accent3"/>
      <w:sz w:val="16"/>
      <w:szCs w:val="16"/>
      <w:lang w:val="en-AU"/>
    </w:rPr>
  </w:style>
  <w:style w:type="paragraph" w:styleId="BodyTextFirstIndent">
    <w:name w:val="Body Text First Indent"/>
    <w:basedOn w:val="BodyText"/>
    <w:link w:val="BodyTextFirstIndentChar"/>
    <w:uiPriority w:val="99"/>
    <w:semiHidden/>
    <w:unhideWhenUsed/>
    <w:rsid w:val="00CE6F96"/>
    <w:pPr>
      <w:spacing w:after="160"/>
      <w:ind w:firstLine="360"/>
    </w:pPr>
  </w:style>
  <w:style w:type="character" w:customStyle="1" w:styleId="BodyTextFirstIndentChar">
    <w:name w:val="Body Text First Indent Char"/>
    <w:basedOn w:val="BodyTextChar"/>
    <w:link w:val="BodyTextFirstIndent"/>
    <w:uiPriority w:val="99"/>
    <w:semiHidden/>
    <w:rsid w:val="00CE6F96"/>
    <w:rPr>
      <w:rFonts w:ascii="Avenir Next LT Pro" w:hAnsi="Avenir Next LT Pro"/>
      <w:color w:val="484B5D" w:themeColor="accent3"/>
      <w:sz w:val="20"/>
      <w:szCs w:val="20"/>
      <w:lang w:val="en-AU"/>
    </w:rPr>
  </w:style>
  <w:style w:type="paragraph" w:styleId="BodyTextIndent">
    <w:name w:val="Body Text Indent"/>
    <w:basedOn w:val="Normal"/>
    <w:link w:val="BodyTextIndentChar"/>
    <w:uiPriority w:val="99"/>
    <w:semiHidden/>
    <w:unhideWhenUsed/>
    <w:rsid w:val="00CE6F96"/>
    <w:pPr>
      <w:spacing w:after="120"/>
      <w:ind w:left="283"/>
    </w:pPr>
  </w:style>
  <w:style w:type="character" w:customStyle="1" w:styleId="BodyTextIndentChar">
    <w:name w:val="Body Text Indent Char"/>
    <w:basedOn w:val="DefaultParagraphFont"/>
    <w:link w:val="BodyTextIndent"/>
    <w:uiPriority w:val="99"/>
    <w:semiHidden/>
    <w:rsid w:val="00CE6F96"/>
    <w:rPr>
      <w:rFonts w:ascii="Avenir Next LT Pro" w:hAnsi="Avenir Next LT Pro"/>
      <w:color w:val="484B5D" w:themeColor="accent3"/>
      <w:sz w:val="20"/>
      <w:szCs w:val="20"/>
      <w:lang w:val="en-AU"/>
    </w:rPr>
  </w:style>
  <w:style w:type="paragraph" w:styleId="BodyTextFirstIndent2">
    <w:name w:val="Body Text First Indent 2"/>
    <w:basedOn w:val="BodyTextIndent"/>
    <w:link w:val="BodyTextFirstIndent2Char"/>
    <w:uiPriority w:val="99"/>
    <w:semiHidden/>
    <w:unhideWhenUsed/>
    <w:rsid w:val="00CE6F96"/>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E6F96"/>
    <w:rPr>
      <w:rFonts w:ascii="Avenir Next LT Pro" w:hAnsi="Avenir Next LT Pro"/>
      <w:color w:val="484B5D" w:themeColor="accent3"/>
      <w:sz w:val="20"/>
      <w:szCs w:val="20"/>
      <w:lang w:val="en-AU"/>
    </w:rPr>
  </w:style>
  <w:style w:type="paragraph" w:styleId="BodyTextIndent2">
    <w:name w:val="Body Text Indent 2"/>
    <w:basedOn w:val="Normal"/>
    <w:link w:val="BodyTextIndent2Char"/>
    <w:uiPriority w:val="99"/>
    <w:semiHidden/>
    <w:unhideWhenUsed/>
    <w:rsid w:val="00CE6F96"/>
    <w:pPr>
      <w:spacing w:after="120" w:line="480" w:lineRule="auto"/>
      <w:ind w:left="283"/>
    </w:pPr>
  </w:style>
  <w:style w:type="character" w:customStyle="1" w:styleId="BodyTextIndent2Char">
    <w:name w:val="Body Text Indent 2 Char"/>
    <w:basedOn w:val="DefaultParagraphFont"/>
    <w:link w:val="BodyTextIndent2"/>
    <w:uiPriority w:val="99"/>
    <w:semiHidden/>
    <w:rsid w:val="00CE6F96"/>
    <w:rPr>
      <w:rFonts w:ascii="Avenir Next LT Pro" w:hAnsi="Avenir Next LT Pro"/>
      <w:color w:val="484B5D" w:themeColor="accent3"/>
      <w:sz w:val="20"/>
      <w:szCs w:val="20"/>
      <w:lang w:val="en-AU"/>
    </w:rPr>
  </w:style>
  <w:style w:type="paragraph" w:styleId="BodyTextIndent3">
    <w:name w:val="Body Text Indent 3"/>
    <w:basedOn w:val="Normal"/>
    <w:link w:val="BodyTextIndent3Char"/>
    <w:uiPriority w:val="99"/>
    <w:semiHidden/>
    <w:unhideWhenUsed/>
    <w:rsid w:val="00CE6F9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E6F96"/>
    <w:rPr>
      <w:rFonts w:ascii="Avenir Next LT Pro" w:hAnsi="Avenir Next LT Pro"/>
      <w:color w:val="484B5D" w:themeColor="accent3"/>
      <w:sz w:val="16"/>
      <w:szCs w:val="16"/>
      <w:lang w:val="en-AU"/>
    </w:rPr>
  </w:style>
  <w:style w:type="paragraph" w:styleId="Closing">
    <w:name w:val="Closing"/>
    <w:basedOn w:val="Normal"/>
    <w:link w:val="ClosingChar"/>
    <w:uiPriority w:val="99"/>
    <w:semiHidden/>
    <w:unhideWhenUsed/>
    <w:rsid w:val="00CE6F96"/>
    <w:pPr>
      <w:spacing w:after="0" w:line="240" w:lineRule="auto"/>
      <w:ind w:left="4252"/>
    </w:pPr>
  </w:style>
  <w:style w:type="character" w:customStyle="1" w:styleId="ClosingChar">
    <w:name w:val="Closing Char"/>
    <w:basedOn w:val="DefaultParagraphFont"/>
    <w:link w:val="Closing"/>
    <w:uiPriority w:val="99"/>
    <w:semiHidden/>
    <w:rsid w:val="00CE6F96"/>
    <w:rPr>
      <w:rFonts w:ascii="Avenir Next LT Pro" w:hAnsi="Avenir Next LT Pro"/>
      <w:color w:val="484B5D" w:themeColor="accent3"/>
      <w:sz w:val="20"/>
      <w:szCs w:val="20"/>
      <w:lang w:val="en-AU"/>
    </w:rPr>
  </w:style>
  <w:style w:type="paragraph" w:styleId="Date">
    <w:name w:val="Date"/>
    <w:basedOn w:val="Normal"/>
    <w:next w:val="Normal"/>
    <w:link w:val="DateChar"/>
    <w:uiPriority w:val="99"/>
    <w:semiHidden/>
    <w:unhideWhenUsed/>
    <w:rsid w:val="00CE6F96"/>
  </w:style>
  <w:style w:type="character" w:customStyle="1" w:styleId="DateChar">
    <w:name w:val="Date Char"/>
    <w:basedOn w:val="DefaultParagraphFont"/>
    <w:link w:val="Date"/>
    <w:uiPriority w:val="99"/>
    <w:semiHidden/>
    <w:rsid w:val="00CE6F96"/>
    <w:rPr>
      <w:rFonts w:ascii="Avenir Next LT Pro" w:hAnsi="Avenir Next LT Pro"/>
      <w:color w:val="484B5D" w:themeColor="accent3"/>
      <w:sz w:val="20"/>
      <w:szCs w:val="20"/>
      <w:lang w:val="en-AU"/>
    </w:rPr>
  </w:style>
  <w:style w:type="paragraph" w:styleId="DocumentMap">
    <w:name w:val="Document Map"/>
    <w:basedOn w:val="Normal"/>
    <w:link w:val="DocumentMapChar"/>
    <w:uiPriority w:val="99"/>
    <w:semiHidden/>
    <w:unhideWhenUsed/>
    <w:rsid w:val="00CE6F9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E6F96"/>
    <w:rPr>
      <w:rFonts w:ascii="Segoe UI" w:hAnsi="Segoe UI" w:cs="Segoe UI"/>
      <w:color w:val="484B5D" w:themeColor="accent3"/>
      <w:sz w:val="16"/>
      <w:szCs w:val="16"/>
      <w:lang w:val="en-AU"/>
    </w:rPr>
  </w:style>
  <w:style w:type="paragraph" w:styleId="EmailSignature">
    <w:name w:val="E-mail Signature"/>
    <w:basedOn w:val="Normal"/>
    <w:link w:val="EmailSignatureChar"/>
    <w:uiPriority w:val="99"/>
    <w:semiHidden/>
    <w:unhideWhenUsed/>
    <w:rsid w:val="00CE6F96"/>
    <w:pPr>
      <w:spacing w:after="0" w:line="240" w:lineRule="auto"/>
    </w:pPr>
  </w:style>
  <w:style w:type="character" w:customStyle="1" w:styleId="EmailSignatureChar">
    <w:name w:val="Email Signature Char"/>
    <w:basedOn w:val="DefaultParagraphFont"/>
    <w:link w:val="EmailSignature"/>
    <w:uiPriority w:val="99"/>
    <w:semiHidden/>
    <w:rsid w:val="00CE6F96"/>
    <w:rPr>
      <w:rFonts w:ascii="Avenir Next LT Pro" w:hAnsi="Avenir Next LT Pro"/>
      <w:color w:val="484B5D" w:themeColor="accent3"/>
      <w:sz w:val="20"/>
      <w:szCs w:val="20"/>
      <w:lang w:val="en-AU"/>
    </w:rPr>
  </w:style>
  <w:style w:type="paragraph" w:styleId="EnvelopeAddress">
    <w:name w:val="envelope address"/>
    <w:basedOn w:val="Normal"/>
    <w:uiPriority w:val="99"/>
    <w:semiHidden/>
    <w:unhideWhenUsed/>
    <w:rsid w:val="00CE6F9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E6F96"/>
    <w:pPr>
      <w:spacing w:after="0"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CE6F96"/>
    <w:pPr>
      <w:spacing w:after="0" w:line="240" w:lineRule="auto"/>
    </w:pPr>
    <w:rPr>
      <w:i/>
      <w:iCs/>
    </w:rPr>
  </w:style>
  <w:style w:type="character" w:customStyle="1" w:styleId="HTMLAddressChar">
    <w:name w:val="HTML Address Char"/>
    <w:basedOn w:val="DefaultParagraphFont"/>
    <w:link w:val="HTMLAddress"/>
    <w:uiPriority w:val="99"/>
    <w:semiHidden/>
    <w:rsid w:val="00CE6F96"/>
    <w:rPr>
      <w:rFonts w:ascii="Avenir Next LT Pro" w:hAnsi="Avenir Next LT Pro"/>
      <w:i/>
      <w:iCs/>
      <w:color w:val="484B5D" w:themeColor="accent3"/>
      <w:sz w:val="20"/>
      <w:szCs w:val="20"/>
      <w:lang w:val="en-AU"/>
    </w:rPr>
  </w:style>
  <w:style w:type="paragraph" w:styleId="HTMLPreformatted">
    <w:name w:val="HTML Preformatted"/>
    <w:basedOn w:val="Normal"/>
    <w:link w:val="HTMLPreformattedChar"/>
    <w:uiPriority w:val="99"/>
    <w:semiHidden/>
    <w:unhideWhenUsed/>
    <w:rsid w:val="00CE6F96"/>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E6F96"/>
    <w:rPr>
      <w:rFonts w:ascii="Consolas" w:hAnsi="Consolas"/>
      <w:color w:val="484B5D" w:themeColor="accent3"/>
      <w:sz w:val="20"/>
      <w:szCs w:val="20"/>
      <w:lang w:val="en-AU"/>
    </w:rPr>
  </w:style>
  <w:style w:type="paragraph" w:styleId="Index1">
    <w:name w:val="index 1"/>
    <w:basedOn w:val="Normal"/>
    <w:next w:val="Normal"/>
    <w:autoRedefine/>
    <w:uiPriority w:val="99"/>
    <w:semiHidden/>
    <w:unhideWhenUsed/>
    <w:rsid w:val="00CE6F96"/>
    <w:pPr>
      <w:tabs>
        <w:tab w:val="clear" w:pos="5309"/>
      </w:tabs>
      <w:spacing w:after="0" w:line="240" w:lineRule="auto"/>
      <w:ind w:left="200" w:hanging="200"/>
    </w:pPr>
  </w:style>
  <w:style w:type="paragraph" w:styleId="Index2">
    <w:name w:val="index 2"/>
    <w:basedOn w:val="Normal"/>
    <w:next w:val="Normal"/>
    <w:autoRedefine/>
    <w:uiPriority w:val="99"/>
    <w:semiHidden/>
    <w:unhideWhenUsed/>
    <w:rsid w:val="00CE6F96"/>
    <w:pPr>
      <w:tabs>
        <w:tab w:val="clear" w:pos="5309"/>
      </w:tabs>
      <w:spacing w:after="0" w:line="240" w:lineRule="auto"/>
      <w:ind w:left="400" w:hanging="200"/>
    </w:pPr>
  </w:style>
  <w:style w:type="paragraph" w:styleId="Index3">
    <w:name w:val="index 3"/>
    <w:basedOn w:val="Normal"/>
    <w:next w:val="Normal"/>
    <w:autoRedefine/>
    <w:uiPriority w:val="99"/>
    <w:semiHidden/>
    <w:unhideWhenUsed/>
    <w:rsid w:val="00CE6F96"/>
    <w:pPr>
      <w:tabs>
        <w:tab w:val="clear" w:pos="5309"/>
      </w:tabs>
      <w:spacing w:after="0" w:line="240" w:lineRule="auto"/>
      <w:ind w:left="600" w:hanging="200"/>
    </w:pPr>
  </w:style>
  <w:style w:type="paragraph" w:styleId="Index4">
    <w:name w:val="index 4"/>
    <w:basedOn w:val="Normal"/>
    <w:next w:val="Normal"/>
    <w:autoRedefine/>
    <w:uiPriority w:val="99"/>
    <w:semiHidden/>
    <w:unhideWhenUsed/>
    <w:rsid w:val="00CE6F96"/>
    <w:pPr>
      <w:tabs>
        <w:tab w:val="clear" w:pos="5309"/>
      </w:tabs>
      <w:spacing w:after="0" w:line="240" w:lineRule="auto"/>
      <w:ind w:left="800" w:hanging="200"/>
    </w:pPr>
  </w:style>
  <w:style w:type="paragraph" w:styleId="Index5">
    <w:name w:val="index 5"/>
    <w:basedOn w:val="Normal"/>
    <w:next w:val="Normal"/>
    <w:autoRedefine/>
    <w:uiPriority w:val="99"/>
    <w:semiHidden/>
    <w:unhideWhenUsed/>
    <w:rsid w:val="00CE6F96"/>
    <w:pPr>
      <w:tabs>
        <w:tab w:val="clear" w:pos="5309"/>
      </w:tabs>
      <w:spacing w:after="0" w:line="240" w:lineRule="auto"/>
      <w:ind w:left="1000" w:hanging="200"/>
    </w:pPr>
  </w:style>
  <w:style w:type="paragraph" w:styleId="Index6">
    <w:name w:val="index 6"/>
    <w:basedOn w:val="Normal"/>
    <w:next w:val="Normal"/>
    <w:autoRedefine/>
    <w:uiPriority w:val="99"/>
    <w:semiHidden/>
    <w:unhideWhenUsed/>
    <w:rsid w:val="00CE6F96"/>
    <w:pPr>
      <w:tabs>
        <w:tab w:val="clear" w:pos="5309"/>
      </w:tabs>
      <w:spacing w:after="0" w:line="240" w:lineRule="auto"/>
      <w:ind w:left="1200" w:hanging="200"/>
    </w:pPr>
  </w:style>
  <w:style w:type="paragraph" w:styleId="Index7">
    <w:name w:val="index 7"/>
    <w:basedOn w:val="Normal"/>
    <w:next w:val="Normal"/>
    <w:autoRedefine/>
    <w:uiPriority w:val="99"/>
    <w:semiHidden/>
    <w:unhideWhenUsed/>
    <w:rsid w:val="00CE6F96"/>
    <w:pPr>
      <w:tabs>
        <w:tab w:val="clear" w:pos="5309"/>
      </w:tabs>
      <w:spacing w:after="0" w:line="240" w:lineRule="auto"/>
      <w:ind w:left="1400" w:hanging="200"/>
    </w:pPr>
  </w:style>
  <w:style w:type="paragraph" w:styleId="Index8">
    <w:name w:val="index 8"/>
    <w:basedOn w:val="Normal"/>
    <w:next w:val="Normal"/>
    <w:autoRedefine/>
    <w:uiPriority w:val="99"/>
    <w:semiHidden/>
    <w:unhideWhenUsed/>
    <w:rsid w:val="00CE6F96"/>
    <w:pPr>
      <w:tabs>
        <w:tab w:val="clear" w:pos="5309"/>
      </w:tabs>
      <w:spacing w:after="0" w:line="240" w:lineRule="auto"/>
      <w:ind w:left="1600" w:hanging="200"/>
    </w:pPr>
  </w:style>
  <w:style w:type="paragraph" w:styleId="Index9">
    <w:name w:val="index 9"/>
    <w:basedOn w:val="Normal"/>
    <w:next w:val="Normal"/>
    <w:autoRedefine/>
    <w:uiPriority w:val="99"/>
    <w:semiHidden/>
    <w:unhideWhenUsed/>
    <w:rsid w:val="00CE6F96"/>
    <w:pPr>
      <w:tabs>
        <w:tab w:val="clear" w:pos="5309"/>
      </w:tabs>
      <w:spacing w:after="0" w:line="240" w:lineRule="auto"/>
      <w:ind w:left="1800" w:hanging="200"/>
    </w:pPr>
  </w:style>
  <w:style w:type="paragraph" w:styleId="IndexHeading">
    <w:name w:val="index heading"/>
    <w:basedOn w:val="Normal"/>
    <w:next w:val="Index1"/>
    <w:uiPriority w:val="99"/>
    <w:semiHidden/>
    <w:unhideWhenUsed/>
    <w:rsid w:val="00CE6F96"/>
    <w:rPr>
      <w:rFonts w:asciiTheme="majorHAnsi" w:eastAsiaTheme="majorEastAsia" w:hAnsiTheme="majorHAnsi" w:cstheme="majorBidi"/>
      <w:b/>
      <w:bCs/>
    </w:rPr>
  </w:style>
  <w:style w:type="paragraph" w:styleId="List">
    <w:name w:val="List"/>
    <w:basedOn w:val="Normal"/>
    <w:uiPriority w:val="99"/>
    <w:semiHidden/>
    <w:unhideWhenUsed/>
    <w:rsid w:val="00CE6F96"/>
    <w:pPr>
      <w:ind w:left="283" w:hanging="283"/>
      <w:contextualSpacing/>
    </w:pPr>
  </w:style>
  <w:style w:type="paragraph" w:styleId="List2">
    <w:name w:val="List 2"/>
    <w:basedOn w:val="Normal"/>
    <w:uiPriority w:val="99"/>
    <w:semiHidden/>
    <w:unhideWhenUsed/>
    <w:rsid w:val="00CE6F96"/>
    <w:pPr>
      <w:ind w:left="566" w:hanging="283"/>
      <w:contextualSpacing/>
    </w:pPr>
  </w:style>
  <w:style w:type="paragraph" w:styleId="List3">
    <w:name w:val="List 3"/>
    <w:basedOn w:val="Normal"/>
    <w:uiPriority w:val="99"/>
    <w:semiHidden/>
    <w:unhideWhenUsed/>
    <w:rsid w:val="00CE6F96"/>
    <w:pPr>
      <w:ind w:left="849" w:hanging="283"/>
      <w:contextualSpacing/>
    </w:pPr>
  </w:style>
  <w:style w:type="paragraph" w:styleId="List4">
    <w:name w:val="List 4"/>
    <w:basedOn w:val="Normal"/>
    <w:uiPriority w:val="99"/>
    <w:semiHidden/>
    <w:unhideWhenUsed/>
    <w:rsid w:val="00CE6F96"/>
    <w:pPr>
      <w:ind w:left="1132" w:hanging="283"/>
      <w:contextualSpacing/>
    </w:pPr>
  </w:style>
  <w:style w:type="paragraph" w:styleId="List5">
    <w:name w:val="List 5"/>
    <w:basedOn w:val="Normal"/>
    <w:uiPriority w:val="99"/>
    <w:semiHidden/>
    <w:unhideWhenUsed/>
    <w:rsid w:val="00CE6F96"/>
    <w:pPr>
      <w:ind w:left="1415" w:hanging="283"/>
      <w:contextualSpacing/>
    </w:pPr>
  </w:style>
  <w:style w:type="paragraph" w:styleId="ListBullet">
    <w:name w:val="List Bullet"/>
    <w:basedOn w:val="Normal"/>
    <w:uiPriority w:val="99"/>
    <w:semiHidden/>
    <w:unhideWhenUsed/>
    <w:rsid w:val="00CE6F96"/>
    <w:pPr>
      <w:numPr>
        <w:numId w:val="109"/>
      </w:numPr>
      <w:contextualSpacing/>
    </w:pPr>
  </w:style>
  <w:style w:type="paragraph" w:styleId="ListBullet2">
    <w:name w:val="List Bullet 2"/>
    <w:basedOn w:val="Normal"/>
    <w:uiPriority w:val="99"/>
    <w:semiHidden/>
    <w:unhideWhenUsed/>
    <w:rsid w:val="00CE6F96"/>
    <w:pPr>
      <w:numPr>
        <w:numId w:val="110"/>
      </w:numPr>
      <w:contextualSpacing/>
    </w:pPr>
  </w:style>
  <w:style w:type="paragraph" w:styleId="ListBullet3">
    <w:name w:val="List Bullet 3"/>
    <w:basedOn w:val="Normal"/>
    <w:uiPriority w:val="99"/>
    <w:semiHidden/>
    <w:unhideWhenUsed/>
    <w:rsid w:val="00CE6F96"/>
    <w:pPr>
      <w:numPr>
        <w:numId w:val="111"/>
      </w:numPr>
      <w:contextualSpacing/>
    </w:pPr>
  </w:style>
  <w:style w:type="paragraph" w:styleId="ListBullet4">
    <w:name w:val="List Bullet 4"/>
    <w:basedOn w:val="Normal"/>
    <w:uiPriority w:val="99"/>
    <w:semiHidden/>
    <w:unhideWhenUsed/>
    <w:rsid w:val="00CE6F96"/>
    <w:pPr>
      <w:numPr>
        <w:numId w:val="112"/>
      </w:numPr>
      <w:contextualSpacing/>
    </w:pPr>
  </w:style>
  <w:style w:type="paragraph" w:styleId="ListBullet5">
    <w:name w:val="List Bullet 5"/>
    <w:basedOn w:val="Normal"/>
    <w:uiPriority w:val="99"/>
    <w:semiHidden/>
    <w:unhideWhenUsed/>
    <w:rsid w:val="00CE6F96"/>
    <w:pPr>
      <w:numPr>
        <w:numId w:val="113"/>
      </w:numPr>
      <w:contextualSpacing/>
    </w:pPr>
  </w:style>
  <w:style w:type="paragraph" w:styleId="ListContinue">
    <w:name w:val="List Continue"/>
    <w:basedOn w:val="Normal"/>
    <w:uiPriority w:val="99"/>
    <w:semiHidden/>
    <w:unhideWhenUsed/>
    <w:rsid w:val="00CE6F96"/>
    <w:pPr>
      <w:spacing w:after="120"/>
      <w:ind w:left="283"/>
      <w:contextualSpacing/>
    </w:pPr>
  </w:style>
  <w:style w:type="paragraph" w:styleId="ListContinue2">
    <w:name w:val="List Continue 2"/>
    <w:basedOn w:val="Normal"/>
    <w:uiPriority w:val="99"/>
    <w:semiHidden/>
    <w:unhideWhenUsed/>
    <w:rsid w:val="00CE6F96"/>
    <w:pPr>
      <w:spacing w:after="120"/>
      <w:ind w:left="566"/>
      <w:contextualSpacing/>
    </w:pPr>
  </w:style>
  <w:style w:type="paragraph" w:styleId="ListContinue3">
    <w:name w:val="List Continue 3"/>
    <w:basedOn w:val="Normal"/>
    <w:uiPriority w:val="99"/>
    <w:semiHidden/>
    <w:unhideWhenUsed/>
    <w:rsid w:val="00CE6F96"/>
    <w:pPr>
      <w:spacing w:after="120"/>
      <w:ind w:left="849"/>
      <w:contextualSpacing/>
    </w:pPr>
  </w:style>
  <w:style w:type="paragraph" w:styleId="ListContinue4">
    <w:name w:val="List Continue 4"/>
    <w:basedOn w:val="Normal"/>
    <w:uiPriority w:val="99"/>
    <w:semiHidden/>
    <w:unhideWhenUsed/>
    <w:rsid w:val="00CE6F96"/>
    <w:pPr>
      <w:spacing w:after="120"/>
      <w:ind w:left="1132"/>
      <w:contextualSpacing/>
    </w:pPr>
  </w:style>
  <w:style w:type="paragraph" w:styleId="ListContinue5">
    <w:name w:val="List Continue 5"/>
    <w:basedOn w:val="Normal"/>
    <w:uiPriority w:val="99"/>
    <w:semiHidden/>
    <w:unhideWhenUsed/>
    <w:rsid w:val="00CE6F96"/>
    <w:pPr>
      <w:spacing w:after="120"/>
      <w:ind w:left="1415"/>
      <w:contextualSpacing/>
    </w:pPr>
  </w:style>
  <w:style w:type="paragraph" w:styleId="ListNumber">
    <w:name w:val="List Number"/>
    <w:basedOn w:val="Normal"/>
    <w:uiPriority w:val="99"/>
    <w:semiHidden/>
    <w:unhideWhenUsed/>
    <w:rsid w:val="00CE6F96"/>
    <w:pPr>
      <w:numPr>
        <w:numId w:val="114"/>
      </w:numPr>
      <w:contextualSpacing/>
    </w:pPr>
  </w:style>
  <w:style w:type="paragraph" w:styleId="ListNumber2">
    <w:name w:val="List Number 2"/>
    <w:basedOn w:val="Normal"/>
    <w:uiPriority w:val="99"/>
    <w:semiHidden/>
    <w:unhideWhenUsed/>
    <w:rsid w:val="00CE6F96"/>
    <w:pPr>
      <w:numPr>
        <w:numId w:val="115"/>
      </w:numPr>
      <w:contextualSpacing/>
    </w:pPr>
  </w:style>
  <w:style w:type="paragraph" w:styleId="ListNumber3">
    <w:name w:val="List Number 3"/>
    <w:basedOn w:val="Normal"/>
    <w:uiPriority w:val="99"/>
    <w:semiHidden/>
    <w:unhideWhenUsed/>
    <w:rsid w:val="00CE6F96"/>
    <w:pPr>
      <w:numPr>
        <w:numId w:val="116"/>
      </w:numPr>
      <w:contextualSpacing/>
    </w:pPr>
  </w:style>
  <w:style w:type="paragraph" w:styleId="ListNumber4">
    <w:name w:val="List Number 4"/>
    <w:basedOn w:val="Normal"/>
    <w:uiPriority w:val="99"/>
    <w:semiHidden/>
    <w:unhideWhenUsed/>
    <w:rsid w:val="00CE6F96"/>
    <w:pPr>
      <w:numPr>
        <w:numId w:val="117"/>
      </w:numPr>
      <w:contextualSpacing/>
    </w:pPr>
  </w:style>
  <w:style w:type="paragraph" w:styleId="ListNumber5">
    <w:name w:val="List Number 5"/>
    <w:basedOn w:val="Normal"/>
    <w:uiPriority w:val="99"/>
    <w:semiHidden/>
    <w:unhideWhenUsed/>
    <w:rsid w:val="00CE6F96"/>
    <w:pPr>
      <w:numPr>
        <w:numId w:val="118"/>
      </w:numPr>
      <w:contextualSpacing/>
    </w:pPr>
  </w:style>
  <w:style w:type="paragraph" w:styleId="MacroText">
    <w:name w:val="macro"/>
    <w:link w:val="MacroTextChar"/>
    <w:uiPriority w:val="99"/>
    <w:semiHidden/>
    <w:unhideWhenUsed/>
    <w:rsid w:val="00CE6F96"/>
    <w:pPr>
      <w:tabs>
        <w:tab w:val="left" w:pos="480"/>
        <w:tab w:val="left" w:pos="960"/>
        <w:tab w:val="left" w:pos="1440"/>
        <w:tab w:val="left" w:pos="1920"/>
        <w:tab w:val="left" w:pos="2400"/>
        <w:tab w:val="left" w:pos="2880"/>
        <w:tab w:val="left" w:pos="3360"/>
        <w:tab w:val="left" w:pos="3840"/>
        <w:tab w:val="left" w:pos="4320"/>
      </w:tabs>
      <w:spacing w:after="0" w:line="278" w:lineRule="auto"/>
    </w:pPr>
    <w:rPr>
      <w:rFonts w:ascii="Consolas" w:hAnsi="Consolas"/>
      <w:color w:val="484B5D" w:themeColor="accent3"/>
      <w:sz w:val="20"/>
      <w:szCs w:val="20"/>
      <w:lang w:val="en-AU"/>
    </w:rPr>
  </w:style>
  <w:style w:type="character" w:customStyle="1" w:styleId="MacroTextChar">
    <w:name w:val="Macro Text Char"/>
    <w:basedOn w:val="DefaultParagraphFont"/>
    <w:link w:val="MacroText"/>
    <w:uiPriority w:val="99"/>
    <w:semiHidden/>
    <w:rsid w:val="00CE6F96"/>
    <w:rPr>
      <w:rFonts w:ascii="Consolas" w:hAnsi="Consolas"/>
      <w:color w:val="484B5D" w:themeColor="accent3"/>
      <w:sz w:val="20"/>
      <w:szCs w:val="20"/>
      <w:lang w:val="en-AU"/>
    </w:rPr>
  </w:style>
  <w:style w:type="paragraph" w:styleId="MessageHeader">
    <w:name w:val="Message Header"/>
    <w:basedOn w:val="Normal"/>
    <w:link w:val="MessageHeaderChar"/>
    <w:uiPriority w:val="99"/>
    <w:semiHidden/>
    <w:unhideWhenUsed/>
    <w:rsid w:val="00CE6F9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E6F96"/>
    <w:rPr>
      <w:rFonts w:asciiTheme="majorHAnsi" w:eastAsiaTheme="majorEastAsia" w:hAnsiTheme="majorHAnsi" w:cstheme="majorBidi"/>
      <w:color w:val="484B5D" w:themeColor="accent3"/>
      <w:shd w:val="pct20" w:color="auto" w:fill="auto"/>
      <w:lang w:val="en-AU"/>
    </w:rPr>
  </w:style>
  <w:style w:type="paragraph" w:styleId="NormalIndent">
    <w:name w:val="Normal Indent"/>
    <w:basedOn w:val="Normal"/>
    <w:uiPriority w:val="99"/>
    <w:semiHidden/>
    <w:unhideWhenUsed/>
    <w:rsid w:val="00CE6F96"/>
    <w:pPr>
      <w:ind w:left="720"/>
    </w:pPr>
  </w:style>
  <w:style w:type="paragraph" w:styleId="NoteHeading">
    <w:name w:val="Note Heading"/>
    <w:basedOn w:val="Normal"/>
    <w:next w:val="Normal"/>
    <w:link w:val="NoteHeadingChar"/>
    <w:uiPriority w:val="99"/>
    <w:semiHidden/>
    <w:unhideWhenUsed/>
    <w:rsid w:val="00CE6F96"/>
    <w:pPr>
      <w:spacing w:after="0" w:line="240" w:lineRule="auto"/>
    </w:pPr>
  </w:style>
  <w:style w:type="character" w:customStyle="1" w:styleId="NoteHeadingChar">
    <w:name w:val="Note Heading Char"/>
    <w:basedOn w:val="DefaultParagraphFont"/>
    <w:link w:val="NoteHeading"/>
    <w:uiPriority w:val="99"/>
    <w:semiHidden/>
    <w:rsid w:val="00CE6F96"/>
    <w:rPr>
      <w:rFonts w:ascii="Avenir Next LT Pro" w:hAnsi="Avenir Next LT Pro"/>
      <w:color w:val="484B5D" w:themeColor="accent3"/>
      <w:sz w:val="20"/>
      <w:szCs w:val="20"/>
      <w:lang w:val="en-AU"/>
    </w:rPr>
  </w:style>
  <w:style w:type="paragraph" w:styleId="PlainText">
    <w:name w:val="Plain Text"/>
    <w:basedOn w:val="Normal"/>
    <w:link w:val="PlainTextChar"/>
    <w:uiPriority w:val="99"/>
    <w:semiHidden/>
    <w:unhideWhenUsed/>
    <w:rsid w:val="00CE6F9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E6F96"/>
    <w:rPr>
      <w:rFonts w:ascii="Consolas" w:hAnsi="Consolas"/>
      <w:color w:val="484B5D" w:themeColor="accent3"/>
      <w:sz w:val="21"/>
      <w:szCs w:val="21"/>
      <w:lang w:val="en-AU"/>
    </w:rPr>
  </w:style>
  <w:style w:type="paragraph" w:styleId="Salutation">
    <w:name w:val="Salutation"/>
    <w:basedOn w:val="Normal"/>
    <w:next w:val="Normal"/>
    <w:link w:val="SalutationChar"/>
    <w:uiPriority w:val="99"/>
    <w:semiHidden/>
    <w:unhideWhenUsed/>
    <w:rsid w:val="00CE6F96"/>
  </w:style>
  <w:style w:type="character" w:customStyle="1" w:styleId="SalutationChar">
    <w:name w:val="Salutation Char"/>
    <w:basedOn w:val="DefaultParagraphFont"/>
    <w:link w:val="Salutation"/>
    <w:uiPriority w:val="99"/>
    <w:semiHidden/>
    <w:rsid w:val="00CE6F96"/>
    <w:rPr>
      <w:rFonts w:ascii="Avenir Next LT Pro" w:hAnsi="Avenir Next LT Pro"/>
      <w:color w:val="484B5D" w:themeColor="accent3"/>
      <w:sz w:val="20"/>
      <w:szCs w:val="20"/>
      <w:lang w:val="en-AU"/>
    </w:rPr>
  </w:style>
  <w:style w:type="paragraph" w:styleId="Signature">
    <w:name w:val="Signature"/>
    <w:basedOn w:val="Normal"/>
    <w:link w:val="SignatureChar"/>
    <w:uiPriority w:val="99"/>
    <w:semiHidden/>
    <w:unhideWhenUsed/>
    <w:rsid w:val="00CE6F96"/>
    <w:pPr>
      <w:spacing w:after="0" w:line="240" w:lineRule="auto"/>
      <w:ind w:left="4252"/>
    </w:pPr>
  </w:style>
  <w:style w:type="character" w:customStyle="1" w:styleId="SignatureChar">
    <w:name w:val="Signature Char"/>
    <w:basedOn w:val="DefaultParagraphFont"/>
    <w:link w:val="Signature"/>
    <w:uiPriority w:val="99"/>
    <w:semiHidden/>
    <w:rsid w:val="00CE6F96"/>
    <w:rPr>
      <w:rFonts w:ascii="Avenir Next LT Pro" w:hAnsi="Avenir Next LT Pro"/>
      <w:color w:val="484B5D" w:themeColor="accent3"/>
      <w:sz w:val="20"/>
      <w:szCs w:val="20"/>
      <w:lang w:val="en-AU"/>
    </w:rPr>
  </w:style>
  <w:style w:type="paragraph" w:styleId="TableofAuthorities">
    <w:name w:val="table of authorities"/>
    <w:basedOn w:val="Normal"/>
    <w:next w:val="Normal"/>
    <w:uiPriority w:val="99"/>
    <w:semiHidden/>
    <w:unhideWhenUsed/>
    <w:rsid w:val="00CE6F96"/>
    <w:pPr>
      <w:tabs>
        <w:tab w:val="clear" w:pos="5309"/>
      </w:tabs>
      <w:spacing w:after="0"/>
      <w:ind w:left="200" w:hanging="200"/>
    </w:pPr>
  </w:style>
  <w:style w:type="paragraph" w:styleId="TableofFigures">
    <w:name w:val="table of figures"/>
    <w:basedOn w:val="Normal"/>
    <w:next w:val="Normal"/>
    <w:uiPriority w:val="99"/>
    <w:semiHidden/>
    <w:unhideWhenUsed/>
    <w:rsid w:val="00CE6F96"/>
    <w:pPr>
      <w:tabs>
        <w:tab w:val="clear" w:pos="5309"/>
      </w:tabs>
      <w:spacing w:after="0"/>
    </w:pPr>
  </w:style>
  <w:style w:type="paragraph" w:styleId="TOAHeading">
    <w:name w:val="toa heading"/>
    <w:basedOn w:val="Normal"/>
    <w:next w:val="Normal"/>
    <w:uiPriority w:val="99"/>
    <w:semiHidden/>
    <w:unhideWhenUsed/>
    <w:rsid w:val="00CE6F96"/>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4970">
      <w:bodyDiv w:val="1"/>
      <w:marLeft w:val="0"/>
      <w:marRight w:val="0"/>
      <w:marTop w:val="0"/>
      <w:marBottom w:val="0"/>
      <w:divBdr>
        <w:top w:val="none" w:sz="0" w:space="0" w:color="auto"/>
        <w:left w:val="none" w:sz="0" w:space="0" w:color="auto"/>
        <w:bottom w:val="none" w:sz="0" w:space="0" w:color="auto"/>
        <w:right w:val="none" w:sz="0" w:space="0" w:color="auto"/>
      </w:divBdr>
      <w:divsChild>
        <w:div w:id="856315286">
          <w:marLeft w:val="0"/>
          <w:marRight w:val="0"/>
          <w:marTop w:val="0"/>
          <w:marBottom w:val="0"/>
          <w:divBdr>
            <w:top w:val="none" w:sz="0" w:space="0" w:color="auto"/>
            <w:left w:val="none" w:sz="0" w:space="0" w:color="auto"/>
            <w:bottom w:val="none" w:sz="0" w:space="0" w:color="auto"/>
            <w:right w:val="none" w:sz="0" w:space="0" w:color="auto"/>
          </w:divBdr>
        </w:div>
      </w:divsChild>
    </w:div>
    <w:div w:id="113837087">
      <w:bodyDiv w:val="1"/>
      <w:marLeft w:val="0"/>
      <w:marRight w:val="0"/>
      <w:marTop w:val="0"/>
      <w:marBottom w:val="0"/>
      <w:divBdr>
        <w:top w:val="none" w:sz="0" w:space="0" w:color="auto"/>
        <w:left w:val="none" w:sz="0" w:space="0" w:color="auto"/>
        <w:bottom w:val="none" w:sz="0" w:space="0" w:color="auto"/>
        <w:right w:val="none" w:sz="0" w:space="0" w:color="auto"/>
      </w:divBdr>
      <w:divsChild>
        <w:div w:id="1066074532">
          <w:marLeft w:val="0"/>
          <w:marRight w:val="0"/>
          <w:marTop w:val="0"/>
          <w:marBottom w:val="0"/>
          <w:divBdr>
            <w:top w:val="none" w:sz="0" w:space="0" w:color="auto"/>
            <w:left w:val="none" w:sz="0" w:space="0" w:color="auto"/>
            <w:bottom w:val="none" w:sz="0" w:space="0" w:color="auto"/>
            <w:right w:val="none" w:sz="0" w:space="0" w:color="auto"/>
          </w:divBdr>
        </w:div>
      </w:divsChild>
    </w:div>
    <w:div w:id="117531465">
      <w:bodyDiv w:val="1"/>
      <w:marLeft w:val="0"/>
      <w:marRight w:val="0"/>
      <w:marTop w:val="0"/>
      <w:marBottom w:val="0"/>
      <w:divBdr>
        <w:top w:val="none" w:sz="0" w:space="0" w:color="auto"/>
        <w:left w:val="none" w:sz="0" w:space="0" w:color="auto"/>
        <w:bottom w:val="none" w:sz="0" w:space="0" w:color="auto"/>
        <w:right w:val="none" w:sz="0" w:space="0" w:color="auto"/>
      </w:divBdr>
    </w:div>
    <w:div w:id="139810795">
      <w:bodyDiv w:val="1"/>
      <w:marLeft w:val="0"/>
      <w:marRight w:val="0"/>
      <w:marTop w:val="0"/>
      <w:marBottom w:val="0"/>
      <w:divBdr>
        <w:top w:val="none" w:sz="0" w:space="0" w:color="auto"/>
        <w:left w:val="none" w:sz="0" w:space="0" w:color="auto"/>
        <w:bottom w:val="none" w:sz="0" w:space="0" w:color="auto"/>
        <w:right w:val="none" w:sz="0" w:space="0" w:color="auto"/>
      </w:divBdr>
    </w:div>
    <w:div w:id="520439050">
      <w:bodyDiv w:val="1"/>
      <w:marLeft w:val="0"/>
      <w:marRight w:val="0"/>
      <w:marTop w:val="0"/>
      <w:marBottom w:val="0"/>
      <w:divBdr>
        <w:top w:val="none" w:sz="0" w:space="0" w:color="auto"/>
        <w:left w:val="none" w:sz="0" w:space="0" w:color="auto"/>
        <w:bottom w:val="none" w:sz="0" w:space="0" w:color="auto"/>
        <w:right w:val="none" w:sz="0" w:space="0" w:color="auto"/>
      </w:divBdr>
    </w:div>
    <w:div w:id="611598676">
      <w:bodyDiv w:val="1"/>
      <w:marLeft w:val="0"/>
      <w:marRight w:val="0"/>
      <w:marTop w:val="0"/>
      <w:marBottom w:val="0"/>
      <w:divBdr>
        <w:top w:val="none" w:sz="0" w:space="0" w:color="auto"/>
        <w:left w:val="none" w:sz="0" w:space="0" w:color="auto"/>
        <w:bottom w:val="none" w:sz="0" w:space="0" w:color="auto"/>
        <w:right w:val="none" w:sz="0" w:space="0" w:color="auto"/>
      </w:divBdr>
    </w:div>
    <w:div w:id="820583184">
      <w:bodyDiv w:val="1"/>
      <w:marLeft w:val="0"/>
      <w:marRight w:val="0"/>
      <w:marTop w:val="0"/>
      <w:marBottom w:val="0"/>
      <w:divBdr>
        <w:top w:val="none" w:sz="0" w:space="0" w:color="auto"/>
        <w:left w:val="none" w:sz="0" w:space="0" w:color="auto"/>
        <w:bottom w:val="none" w:sz="0" w:space="0" w:color="auto"/>
        <w:right w:val="none" w:sz="0" w:space="0" w:color="auto"/>
      </w:divBdr>
    </w:div>
    <w:div w:id="823401234">
      <w:bodyDiv w:val="1"/>
      <w:marLeft w:val="0"/>
      <w:marRight w:val="0"/>
      <w:marTop w:val="0"/>
      <w:marBottom w:val="0"/>
      <w:divBdr>
        <w:top w:val="none" w:sz="0" w:space="0" w:color="auto"/>
        <w:left w:val="none" w:sz="0" w:space="0" w:color="auto"/>
        <w:bottom w:val="none" w:sz="0" w:space="0" w:color="auto"/>
        <w:right w:val="none" w:sz="0" w:space="0" w:color="auto"/>
      </w:divBdr>
    </w:div>
    <w:div w:id="860977964">
      <w:bodyDiv w:val="1"/>
      <w:marLeft w:val="0"/>
      <w:marRight w:val="0"/>
      <w:marTop w:val="0"/>
      <w:marBottom w:val="0"/>
      <w:divBdr>
        <w:top w:val="none" w:sz="0" w:space="0" w:color="auto"/>
        <w:left w:val="none" w:sz="0" w:space="0" w:color="auto"/>
        <w:bottom w:val="none" w:sz="0" w:space="0" w:color="auto"/>
        <w:right w:val="none" w:sz="0" w:space="0" w:color="auto"/>
      </w:divBdr>
    </w:div>
    <w:div w:id="1034158743">
      <w:bodyDiv w:val="1"/>
      <w:marLeft w:val="0"/>
      <w:marRight w:val="0"/>
      <w:marTop w:val="0"/>
      <w:marBottom w:val="0"/>
      <w:divBdr>
        <w:top w:val="none" w:sz="0" w:space="0" w:color="auto"/>
        <w:left w:val="none" w:sz="0" w:space="0" w:color="auto"/>
        <w:bottom w:val="none" w:sz="0" w:space="0" w:color="auto"/>
        <w:right w:val="none" w:sz="0" w:space="0" w:color="auto"/>
      </w:divBdr>
    </w:div>
    <w:div w:id="1102990123">
      <w:bodyDiv w:val="1"/>
      <w:marLeft w:val="0"/>
      <w:marRight w:val="0"/>
      <w:marTop w:val="0"/>
      <w:marBottom w:val="0"/>
      <w:divBdr>
        <w:top w:val="none" w:sz="0" w:space="0" w:color="auto"/>
        <w:left w:val="none" w:sz="0" w:space="0" w:color="auto"/>
        <w:bottom w:val="none" w:sz="0" w:space="0" w:color="auto"/>
        <w:right w:val="none" w:sz="0" w:space="0" w:color="auto"/>
      </w:divBdr>
    </w:div>
    <w:div w:id="1265071086">
      <w:bodyDiv w:val="1"/>
      <w:marLeft w:val="0"/>
      <w:marRight w:val="0"/>
      <w:marTop w:val="0"/>
      <w:marBottom w:val="0"/>
      <w:divBdr>
        <w:top w:val="none" w:sz="0" w:space="0" w:color="auto"/>
        <w:left w:val="none" w:sz="0" w:space="0" w:color="auto"/>
        <w:bottom w:val="none" w:sz="0" w:space="0" w:color="auto"/>
        <w:right w:val="none" w:sz="0" w:space="0" w:color="auto"/>
      </w:divBdr>
    </w:div>
    <w:div w:id="1435326797">
      <w:bodyDiv w:val="1"/>
      <w:marLeft w:val="0"/>
      <w:marRight w:val="0"/>
      <w:marTop w:val="0"/>
      <w:marBottom w:val="0"/>
      <w:divBdr>
        <w:top w:val="none" w:sz="0" w:space="0" w:color="auto"/>
        <w:left w:val="none" w:sz="0" w:space="0" w:color="auto"/>
        <w:bottom w:val="none" w:sz="0" w:space="0" w:color="auto"/>
        <w:right w:val="none" w:sz="0" w:space="0" w:color="auto"/>
      </w:divBdr>
      <w:divsChild>
        <w:div w:id="1688871487">
          <w:marLeft w:val="0"/>
          <w:marRight w:val="0"/>
          <w:marTop w:val="0"/>
          <w:marBottom w:val="0"/>
          <w:divBdr>
            <w:top w:val="none" w:sz="0" w:space="0" w:color="auto"/>
            <w:left w:val="none" w:sz="0" w:space="0" w:color="auto"/>
            <w:bottom w:val="none" w:sz="0" w:space="0" w:color="auto"/>
            <w:right w:val="none" w:sz="0" w:space="0" w:color="auto"/>
          </w:divBdr>
        </w:div>
      </w:divsChild>
    </w:div>
    <w:div w:id="1590115796">
      <w:bodyDiv w:val="1"/>
      <w:marLeft w:val="0"/>
      <w:marRight w:val="0"/>
      <w:marTop w:val="0"/>
      <w:marBottom w:val="0"/>
      <w:divBdr>
        <w:top w:val="none" w:sz="0" w:space="0" w:color="auto"/>
        <w:left w:val="none" w:sz="0" w:space="0" w:color="auto"/>
        <w:bottom w:val="none" w:sz="0" w:space="0" w:color="auto"/>
        <w:right w:val="none" w:sz="0" w:space="0" w:color="auto"/>
      </w:divBdr>
      <w:divsChild>
        <w:div w:id="918951560">
          <w:marLeft w:val="0"/>
          <w:marRight w:val="0"/>
          <w:marTop w:val="0"/>
          <w:marBottom w:val="0"/>
          <w:divBdr>
            <w:top w:val="none" w:sz="0" w:space="0" w:color="auto"/>
            <w:left w:val="none" w:sz="0" w:space="0" w:color="auto"/>
            <w:bottom w:val="none" w:sz="0" w:space="0" w:color="auto"/>
            <w:right w:val="none" w:sz="0" w:space="0" w:color="auto"/>
          </w:divBdr>
        </w:div>
      </w:divsChild>
    </w:div>
    <w:div w:id="1658340894">
      <w:bodyDiv w:val="1"/>
      <w:marLeft w:val="0"/>
      <w:marRight w:val="0"/>
      <w:marTop w:val="0"/>
      <w:marBottom w:val="0"/>
      <w:divBdr>
        <w:top w:val="none" w:sz="0" w:space="0" w:color="auto"/>
        <w:left w:val="none" w:sz="0" w:space="0" w:color="auto"/>
        <w:bottom w:val="none" w:sz="0" w:space="0" w:color="auto"/>
        <w:right w:val="none" w:sz="0" w:space="0" w:color="auto"/>
      </w:divBdr>
      <w:divsChild>
        <w:div w:id="19094710">
          <w:marLeft w:val="0"/>
          <w:marRight w:val="0"/>
          <w:marTop w:val="0"/>
          <w:marBottom w:val="0"/>
          <w:divBdr>
            <w:top w:val="none" w:sz="0" w:space="0" w:color="auto"/>
            <w:left w:val="none" w:sz="0" w:space="0" w:color="auto"/>
            <w:bottom w:val="none" w:sz="0" w:space="0" w:color="auto"/>
            <w:right w:val="none" w:sz="0" w:space="0" w:color="auto"/>
          </w:divBdr>
        </w:div>
      </w:divsChild>
    </w:div>
    <w:div w:id="1859469919">
      <w:bodyDiv w:val="1"/>
      <w:marLeft w:val="0"/>
      <w:marRight w:val="0"/>
      <w:marTop w:val="0"/>
      <w:marBottom w:val="0"/>
      <w:divBdr>
        <w:top w:val="none" w:sz="0" w:space="0" w:color="auto"/>
        <w:left w:val="none" w:sz="0" w:space="0" w:color="auto"/>
        <w:bottom w:val="none" w:sz="0" w:space="0" w:color="auto"/>
        <w:right w:val="none" w:sz="0" w:space="0" w:color="auto"/>
      </w:divBdr>
    </w:div>
    <w:div w:id="1879198081">
      <w:bodyDiv w:val="1"/>
      <w:marLeft w:val="0"/>
      <w:marRight w:val="0"/>
      <w:marTop w:val="0"/>
      <w:marBottom w:val="0"/>
      <w:divBdr>
        <w:top w:val="none" w:sz="0" w:space="0" w:color="auto"/>
        <w:left w:val="none" w:sz="0" w:space="0" w:color="auto"/>
        <w:bottom w:val="none" w:sz="0" w:space="0" w:color="auto"/>
        <w:right w:val="none" w:sz="0" w:space="0" w:color="auto"/>
      </w:divBdr>
    </w:div>
    <w:div w:id="2070036619">
      <w:bodyDiv w:val="1"/>
      <w:marLeft w:val="0"/>
      <w:marRight w:val="0"/>
      <w:marTop w:val="0"/>
      <w:marBottom w:val="0"/>
      <w:divBdr>
        <w:top w:val="none" w:sz="0" w:space="0" w:color="auto"/>
        <w:left w:val="none" w:sz="0" w:space="0" w:color="auto"/>
        <w:bottom w:val="none" w:sz="0" w:space="0" w:color="auto"/>
        <w:right w:val="none" w:sz="0" w:space="0" w:color="auto"/>
      </w:divBdr>
      <w:divsChild>
        <w:div w:id="1240822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21" Type="http://schemas.openxmlformats.org/officeDocument/2006/relationships/header" Target="header3.xml"/><Relationship Id="rId42" Type="http://schemas.openxmlformats.org/officeDocument/2006/relationships/chart" Target="charts/chart1.xml"/><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image" Target="media/image45.png"/><Relationship Id="rId89" Type="http://schemas.openxmlformats.org/officeDocument/2006/relationships/header" Target="header14.xml"/><Relationship Id="rId112" Type="http://schemas.openxmlformats.org/officeDocument/2006/relationships/hyperlink" Target="https://www.ihacpa.gov.au/resources/three-year-data-plan" TargetMode="External"/><Relationship Id="rId16" Type="http://schemas.openxmlformats.org/officeDocument/2006/relationships/image" Target="media/image6.png"/><Relationship Id="rId107" Type="http://schemas.openxmlformats.org/officeDocument/2006/relationships/image" Target="media/image60.png"/><Relationship Id="rId11" Type="http://schemas.openxmlformats.org/officeDocument/2006/relationships/image" Target="media/image1.png"/><Relationship Id="rId32" Type="http://schemas.openxmlformats.org/officeDocument/2006/relationships/header" Target="header7.xml"/><Relationship Id="rId37" Type="http://schemas.openxmlformats.org/officeDocument/2006/relationships/image" Target="media/image18.svg"/><Relationship Id="rId53" Type="http://schemas.openxmlformats.org/officeDocument/2006/relationships/image" Target="media/image30.png"/><Relationship Id="rId58" Type="http://schemas.openxmlformats.org/officeDocument/2006/relationships/header" Target="header8.xml"/><Relationship Id="rId74" Type="http://schemas.openxmlformats.org/officeDocument/2006/relationships/footer" Target="footer4.xml"/><Relationship Id="rId79" Type="http://schemas.openxmlformats.org/officeDocument/2006/relationships/chart" Target="charts/chart6.xml"/><Relationship Id="rId102"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49.png"/><Relationship Id="rId95" Type="http://schemas.openxmlformats.org/officeDocument/2006/relationships/image" Target="media/image51.png"/><Relationship Id="rId22" Type="http://schemas.openxmlformats.org/officeDocument/2006/relationships/footer" Target="footer3.xml"/><Relationship Id="rId27" Type="http://schemas.openxmlformats.org/officeDocument/2006/relationships/header" Target="header6.xml"/><Relationship Id="rId43" Type="http://schemas.openxmlformats.org/officeDocument/2006/relationships/image" Target="media/image23.png"/><Relationship Id="rId48" Type="http://schemas.openxmlformats.org/officeDocument/2006/relationships/image" Target="media/image27.svg"/><Relationship Id="rId64" Type="http://schemas.microsoft.com/office/2014/relationships/chartEx" Target="charts/chartEx4.xml"/><Relationship Id="rId69" Type="http://schemas.openxmlformats.org/officeDocument/2006/relationships/image" Target="media/image41.png"/><Relationship Id="rId113" Type="http://schemas.openxmlformats.org/officeDocument/2006/relationships/header" Target="header18.xml"/><Relationship Id="rId80" Type="http://schemas.microsoft.com/office/2014/relationships/chartEx" Target="charts/chartEx5.xml"/><Relationship Id="rId85" Type="http://schemas.openxmlformats.org/officeDocument/2006/relationships/image" Target="media/image46.png"/><Relationship Id="rId12" Type="http://schemas.openxmlformats.org/officeDocument/2006/relationships/image" Target="media/image2.png"/><Relationship Id="rId17"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5.png"/><Relationship Id="rId103" Type="http://schemas.microsoft.com/office/2014/relationships/chartEx" Target="charts/chartEx8.xml"/><Relationship Id="rId108" Type="http://schemas.openxmlformats.org/officeDocument/2006/relationships/image" Target="media/image61.png"/><Relationship Id="rId54" Type="http://schemas.openxmlformats.org/officeDocument/2006/relationships/image" Target="media/image31.png"/><Relationship Id="rId70" Type="http://schemas.openxmlformats.org/officeDocument/2006/relationships/header" Target="header9.xml"/><Relationship Id="rId75" Type="http://schemas.openxmlformats.org/officeDocument/2006/relationships/footer" Target="footer5.xml"/><Relationship Id="rId91" Type="http://schemas.openxmlformats.org/officeDocument/2006/relationships/chart" Target="charts/chart7.xml"/><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image" Target="media/image10.emf"/><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4.png"/><Relationship Id="rId106" Type="http://schemas.openxmlformats.org/officeDocument/2006/relationships/image" Target="media/image59.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4.svg"/><Relationship Id="rId52" Type="http://schemas.microsoft.com/office/2014/relationships/chartEx" Target="charts/chartEx2.xml"/><Relationship Id="rId60" Type="http://schemas.openxmlformats.org/officeDocument/2006/relationships/chart" Target="charts/chart3.xml"/><Relationship Id="rId65" Type="http://schemas.openxmlformats.org/officeDocument/2006/relationships/image" Target="media/image37.png"/><Relationship Id="rId73" Type="http://schemas.openxmlformats.org/officeDocument/2006/relationships/header" Target="header11.xml"/><Relationship Id="rId78" Type="http://schemas.openxmlformats.org/officeDocument/2006/relationships/chart" Target="charts/chart5.xml"/><Relationship Id="rId81" Type="http://schemas.openxmlformats.org/officeDocument/2006/relationships/image" Target="media/image43.png"/><Relationship Id="rId86" Type="http://schemas.openxmlformats.org/officeDocument/2006/relationships/image" Target="media/image47.png"/><Relationship Id="rId94" Type="http://schemas.openxmlformats.org/officeDocument/2006/relationships/image" Target="media/image50.png"/><Relationship Id="rId99" Type="http://schemas.openxmlformats.org/officeDocument/2006/relationships/header" Target="header15.xml"/><Relationship Id="rId101"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eader" Target="header2.xml"/><Relationship Id="rId39" Type="http://schemas.openxmlformats.org/officeDocument/2006/relationships/image" Target="media/image20.png"/><Relationship Id="rId109" Type="http://schemas.openxmlformats.org/officeDocument/2006/relationships/header" Target="header16.xml"/><Relationship Id="rId34" Type="http://schemas.openxmlformats.org/officeDocument/2006/relationships/image" Target="media/image15.svg"/><Relationship Id="rId50" Type="http://schemas.microsoft.com/office/2014/relationships/chartEx" Target="charts/chartEx1.xml"/><Relationship Id="rId55" Type="http://schemas.openxmlformats.org/officeDocument/2006/relationships/image" Target="media/image32.png"/><Relationship Id="rId76" Type="http://schemas.openxmlformats.org/officeDocument/2006/relationships/header" Target="header12.xml"/><Relationship Id="rId97" Type="http://schemas.openxmlformats.org/officeDocument/2006/relationships/image" Target="media/image53.png"/><Relationship Id="rId104"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chart" Target="charts/chart8.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5.xml"/><Relationship Id="rId40" Type="http://schemas.openxmlformats.org/officeDocument/2006/relationships/image" Target="media/image21.sv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48.png"/><Relationship Id="rId110" Type="http://schemas.openxmlformats.org/officeDocument/2006/relationships/image" Target="media/image62.png"/><Relationship Id="rId115" Type="http://schemas.openxmlformats.org/officeDocument/2006/relationships/theme" Target="theme/theme1.xml"/><Relationship Id="rId61" Type="http://schemas.openxmlformats.org/officeDocument/2006/relationships/chart" Target="charts/chart4.xml"/><Relationship Id="rId82" Type="http://schemas.microsoft.com/office/2014/relationships/chartEx" Target="charts/chartEx6.xm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3.png"/><Relationship Id="rId77" Type="http://schemas.openxmlformats.org/officeDocument/2006/relationships/footer" Target="footer6.xml"/><Relationship Id="rId100" Type="http://schemas.openxmlformats.org/officeDocument/2006/relationships/image" Target="media/image55.png"/><Relationship Id="rId105"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eader" Target="header10.xml"/><Relationship Id="rId93" Type="http://schemas.microsoft.com/office/2014/relationships/chartEx" Target="charts/chartEx7.xml"/><Relationship Id="rId98" Type="http://schemas.openxmlformats.org/officeDocument/2006/relationships/image" Target="media/image54.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chart" Target="charts/chart2.xml"/><Relationship Id="rId67" Type="http://schemas.openxmlformats.org/officeDocument/2006/relationships/image" Target="media/image39.png"/><Relationship Id="rId20" Type="http://schemas.openxmlformats.org/officeDocument/2006/relationships/footer" Target="footer2.xml"/><Relationship Id="rId41" Type="http://schemas.openxmlformats.org/officeDocument/2006/relationships/image" Target="media/image22.png"/><Relationship Id="rId62" Type="http://schemas.microsoft.com/office/2014/relationships/chartEx" Target="charts/chartEx3.xml"/><Relationship Id="rId83" Type="http://schemas.openxmlformats.org/officeDocument/2006/relationships/image" Target="media/image44.png"/><Relationship Id="rId88" Type="http://schemas.openxmlformats.org/officeDocument/2006/relationships/header" Target="header13.xml"/><Relationship Id="rId111" Type="http://schemas.openxmlformats.org/officeDocument/2006/relationships/header" Target="header17.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wa.gov.au/~/media/Corp/Documents/Reports-and-publications/Independent-Inquiry-into-Perth-Childrens-Hospital/Independent-Inquiry-into-Perth-Childrens-Hospital.pdf" TargetMode="External"/><Relationship Id="rId2" Type="http://schemas.openxmlformats.org/officeDocument/2006/relationships/hyperlink" Target="https://www.ihacpa.gov.au/sites/default/files/2025-03/nhcdc_public_sector_review_report_2022-23.pdf" TargetMode="External"/><Relationship Id="rId1" Type="http://schemas.openxmlformats.org/officeDocument/2006/relationships/hyperlink" Target="https://www.ihacpa.gov.au/sites/default/files/2024-05/nhcdc_public_sector_report_2021-22.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https://scyneadvisory.sharepoint.com/sites/EN0001373/Shared%20Documents/4%20-%20Execution/2.%20Draft%20and%20Final%20Report/Charts%20and%20tables/Costing%20results%20by%20stream.xlsx" TargetMode="External"/><Relationship Id="rId2" Type="http://schemas.microsoft.com/office/2011/relationships/chartColorStyle" Target="colors9.xml"/><Relationship Id="rId1" Type="http://schemas.microsoft.com/office/2011/relationships/chartStyle" Target="style9.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7.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scyneadvisory.sharepoint.com/sites/EN0001373/Shared%20Documents/4%20-%20Execution/2.%20Draft%20and%20Final%20Report/Whole%20Report/NSW%20Reconciliation%20-%20HNE%20&amp;%20MUR_%20GL%20to%20NHCDC.xlsx" TargetMode="External"/><Relationship Id="rId4" Type="http://schemas.openxmlformats.org/officeDocument/2006/relationships/themeOverride" Target="../theme/themeOverride3.xml"/></Relationships>
</file>

<file path=word/charts/_rels/chartEx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scyneadvisory.sharepoint.com/sites/EN0001373/Shared%20Documents/4%20-%20Execution/2.%20Draft%20and%20Final%20Report/Whole%20Report/NSW%20Reconciliation%20-%20HNE%20&amp;%20MUR_%20GL%20to%20NHCDC.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https://scyneadvisory.sharepoint.com/sites/EN0001373/Shared%20Documents/4%20-%20Execution/2.%20Draft%20and%20Final%20Report/Charts%20and%20tables/Waterfall%20Charts%20%20Reconciliation.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https://scyneadvisory.sharepoint.com/sites/EN0001373/Shared%20Documents/4%20-%20Execution/2.%20Draft%20and%20Final%20Report/Charts%20and%20tables/Waterfall%20Charts%20%20Reconciliation.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oleObject" Target="https://scyneadvisory.sharepoint.com/sites/EN0001373/Shared%20Documents/4%20-%20Execution/2.%20Draft%20and%20Final%20Report/Charts%20and%20tables/Waterfall%20Charts%20%20Reconciliation.xlsx" TargetMode="External"/><Relationship Id="rId4" Type="http://schemas.openxmlformats.org/officeDocument/2006/relationships/themeOverride" Target="../theme/themeOverride7.xml"/></Relationships>
</file>

<file path=word/charts/_rels/chartEx6.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oleObject" Target="https://scyneadvisory.sharepoint.com/sites/EN0001373/Shared%20Documents/4%20-%20Execution/2.%20Draft%20and%20Final%20Report/Charts%20and%20tables/Waterfall%20Charts%20%20Reconciliation.xlsx" TargetMode="External"/><Relationship Id="rId4" Type="http://schemas.openxmlformats.org/officeDocument/2006/relationships/themeOverride" Target="../theme/themeOverride8.xml"/></Relationships>
</file>

<file path=word/charts/_rels/chartEx7.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https://scyneadvisory.sharepoint.com/sites/EN0001373/Shared%20Documents/4%20-%20Execution/2.%20Draft%20and%20Final%20Report/Charts%20and%20tables/Waterfall%20Charts%20%20Reconciliation.xlsx" TargetMode="External"/><Relationship Id="rId4" Type="http://schemas.openxmlformats.org/officeDocument/2006/relationships/themeOverride" Target="../theme/themeOverride11.xml"/></Relationships>
</file>

<file path=word/charts/_rels/chartEx8.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https://scyneadvisory.sharepoint.com/sites/EN0001373/Shared%20Documents/4%20-%20Execution/2.%20Draft%20and%20Final%20Report/Charts%20and%20tables/Waterfall%20Charts%20%20Reconcili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209861111111108E-2"/>
          <c:y val="1.6315913370998116E-2"/>
          <c:w val="0.94179013888888885"/>
          <c:h val="0.8374699795681837"/>
        </c:manualLayout>
      </c:layout>
      <c:barChart>
        <c:barDir val="col"/>
        <c:grouping val="percentStacked"/>
        <c:varyColors val="0"/>
        <c:ser>
          <c:idx val="0"/>
          <c:order val="0"/>
          <c:tx>
            <c:strRef>
              <c:f>Sheet1!$L$5</c:f>
              <c:strCache>
                <c:ptCount val="1"/>
                <c:pt idx="0">
                  <c:v>Acute</c:v>
                </c:pt>
              </c:strCache>
            </c:strRef>
          </c:tx>
          <c:spPr>
            <a:solidFill>
              <a:schemeClr val="accent1"/>
            </a:solidFill>
            <a:ln>
              <a:noFill/>
            </a:ln>
            <a:effectLst/>
          </c:spPr>
          <c:invertIfNegative val="0"/>
          <c:dLbls>
            <c:dLbl>
              <c:idx val="0"/>
              <c:tx>
                <c:rich>
                  <a:bodyPr/>
                  <a:lstStyle/>
                  <a:p>
                    <a:fld id="{D757B5D0-CFDC-4D1A-B4AC-EF234D61E6E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581-46F3-A9FB-F45136978AFC}"/>
                </c:ext>
              </c:extLst>
            </c:dLbl>
            <c:dLbl>
              <c:idx val="1"/>
              <c:tx>
                <c:rich>
                  <a:bodyPr/>
                  <a:lstStyle/>
                  <a:p>
                    <a:fld id="{149ACF86-0E78-4089-8403-2A996F10367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581-46F3-A9FB-F45136978AFC}"/>
                </c:ext>
              </c:extLst>
            </c:dLbl>
            <c:dLbl>
              <c:idx val="2"/>
              <c:tx>
                <c:rich>
                  <a:bodyPr/>
                  <a:lstStyle/>
                  <a:p>
                    <a:r>
                      <a:rPr lang="en-US"/>
                      <a:t>$11.80bn (+4.0%)</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2-E581-46F3-A9FB-F45136978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Sheet1!$M$4:$O$4</c:f>
              <c:strCache>
                <c:ptCount val="3"/>
                <c:pt idx="0">
                  <c:v>Episodes</c:v>
                </c:pt>
                <c:pt idx="1">
                  <c:v>GWAU</c:v>
                </c:pt>
                <c:pt idx="2">
                  <c:v>Total Costs</c:v>
                </c:pt>
              </c:strCache>
            </c:strRef>
          </c:cat>
          <c:val>
            <c:numRef>
              <c:f>Sheet1!$M$5:$O$5</c:f>
              <c:numCache>
                <c:formatCode>#,##0</c:formatCode>
                <c:ptCount val="3"/>
                <c:pt idx="0">
                  <c:v>1730864</c:v>
                </c:pt>
                <c:pt idx="1">
                  <c:v>1931912</c:v>
                </c:pt>
                <c:pt idx="2" formatCode="&quot;$&quot;#,##0">
                  <c:v>11802821951</c:v>
                </c:pt>
              </c:numCache>
            </c:numRef>
          </c:val>
          <c:extLst>
            <c:ext xmlns:c15="http://schemas.microsoft.com/office/drawing/2012/chart" uri="{02D57815-91ED-43cb-92C2-25804820EDAC}">
              <c15:datalabelsRange>
                <c15:f>Sheet1!$M$21:$O$21</c15:f>
                <c15:dlblRangeCache>
                  <c:ptCount val="3"/>
                  <c:pt idx="0">
                    <c:v>1.73M (+3.9%)</c:v>
                  </c:pt>
                  <c:pt idx="1">
                    <c:v>1.93M (+3.6%)</c:v>
                  </c:pt>
                  <c:pt idx="2">
                    <c:v>$11.803bn (+4.0%)</c:v>
                  </c:pt>
                </c15:dlblRangeCache>
              </c15:datalabelsRange>
            </c:ext>
            <c:ext xmlns:c16="http://schemas.microsoft.com/office/drawing/2014/chart" uri="{C3380CC4-5D6E-409C-BE32-E72D297353CC}">
              <c16:uniqueId val="{00000003-E581-46F3-A9FB-F45136978AFC}"/>
            </c:ext>
          </c:extLst>
        </c:ser>
        <c:ser>
          <c:idx val="1"/>
          <c:order val="1"/>
          <c:tx>
            <c:strRef>
              <c:f>Sheet1!$L$6</c:f>
              <c:strCache>
                <c:ptCount val="1"/>
                <c:pt idx="0">
                  <c:v>ED</c:v>
                </c:pt>
              </c:strCache>
            </c:strRef>
          </c:tx>
          <c:spPr>
            <a:solidFill>
              <a:schemeClr val="accent2"/>
            </a:solidFill>
            <a:ln>
              <a:noFill/>
            </a:ln>
            <a:effectLst/>
          </c:spPr>
          <c:invertIfNegative val="0"/>
          <c:dLbls>
            <c:dLbl>
              <c:idx val="0"/>
              <c:tx>
                <c:rich>
                  <a:bodyPr/>
                  <a:lstStyle/>
                  <a:p>
                    <a:fld id="{D60A28B7-8759-4757-9E2E-B239E97D014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581-46F3-A9FB-F45136978AFC}"/>
                </c:ext>
              </c:extLst>
            </c:dLbl>
            <c:dLbl>
              <c:idx val="1"/>
              <c:tx>
                <c:rich>
                  <a:bodyPr/>
                  <a:lstStyle/>
                  <a:p>
                    <a:fld id="{757D109D-0875-4780-91A1-7753B7E6AF7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581-46F3-A9FB-F45136978AFC}"/>
                </c:ext>
              </c:extLst>
            </c:dLbl>
            <c:dLbl>
              <c:idx val="2"/>
              <c:tx>
                <c:rich>
                  <a:bodyPr/>
                  <a:lstStyle/>
                  <a:p>
                    <a:r>
                      <a:rPr lang="en-US"/>
                      <a:t>$2.80bn (+7.9%)</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6-E581-46F3-A9FB-F45136978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Sheet1!$M$4:$O$4</c:f>
              <c:strCache>
                <c:ptCount val="3"/>
                <c:pt idx="0">
                  <c:v>Episodes</c:v>
                </c:pt>
                <c:pt idx="1">
                  <c:v>GWAU</c:v>
                </c:pt>
                <c:pt idx="2">
                  <c:v>Total Costs</c:v>
                </c:pt>
              </c:strCache>
            </c:strRef>
          </c:cat>
          <c:val>
            <c:numRef>
              <c:f>Sheet1!$M$6:$O$6</c:f>
              <c:numCache>
                <c:formatCode>#,##0</c:formatCode>
                <c:ptCount val="3"/>
                <c:pt idx="0">
                  <c:v>2812388</c:v>
                </c:pt>
                <c:pt idx="1">
                  <c:v>422698</c:v>
                </c:pt>
                <c:pt idx="2" formatCode="&quot;$&quot;#,##0">
                  <c:v>2803032894</c:v>
                </c:pt>
              </c:numCache>
            </c:numRef>
          </c:val>
          <c:extLst>
            <c:ext xmlns:c15="http://schemas.microsoft.com/office/drawing/2012/chart" uri="{02D57815-91ED-43cb-92C2-25804820EDAC}">
              <c15:datalabelsRange>
                <c15:f>Sheet1!$M$22:$O$22</c15:f>
                <c15:dlblRangeCache>
                  <c:ptCount val="3"/>
                  <c:pt idx="0">
                    <c:v>2.81M (+3.2%)</c:v>
                  </c:pt>
                  <c:pt idx="1">
                    <c:v>0.42M (+4.3%)</c:v>
                  </c:pt>
                  <c:pt idx="2">
                    <c:v>$2.803bn (+7.9%)</c:v>
                  </c:pt>
                </c15:dlblRangeCache>
              </c15:datalabelsRange>
            </c:ext>
            <c:ext xmlns:c16="http://schemas.microsoft.com/office/drawing/2014/chart" uri="{C3380CC4-5D6E-409C-BE32-E72D297353CC}">
              <c16:uniqueId val="{00000007-E581-46F3-A9FB-F45136978AFC}"/>
            </c:ext>
          </c:extLst>
        </c:ser>
        <c:ser>
          <c:idx val="2"/>
          <c:order val="2"/>
          <c:tx>
            <c:strRef>
              <c:f>Sheet1!$L$7</c:f>
              <c:strCache>
                <c:ptCount val="1"/>
                <c:pt idx="0">
                  <c:v>Mental Health*</c:v>
                </c:pt>
              </c:strCache>
            </c:strRef>
          </c:tx>
          <c:spPr>
            <a:solidFill>
              <a:srgbClr val="80C0B0"/>
            </a:solidFill>
            <a:ln>
              <a:noFill/>
            </a:ln>
            <a:effectLst/>
          </c:spPr>
          <c:invertIfNegative val="0"/>
          <c:dLbls>
            <c:dLbl>
              <c:idx val="0"/>
              <c:layout>
                <c:manualLayout>
                  <c:x val="0.15064322208005976"/>
                  <c:y val="2.931129246173508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13A73053-9148-4118-B245-9922B6F87A3A}" type="CELLRANGE">
                      <a:rPr lang="en-US"/>
                      <a:pPr>
                        <a:defRPr>
                          <a:solidFill>
                            <a:sysClr val="windowText" lastClr="000000"/>
                          </a:solidFill>
                        </a:defRPr>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layout>
                    <c:manualLayout>
                      <c:w val="0.10395708129035409"/>
                      <c:h val="0.12486737242063255"/>
                    </c:manualLayout>
                  </c15:layout>
                  <c15:dlblFieldTable/>
                  <c15:showDataLabelsRange val="1"/>
                </c:ext>
                <c:ext xmlns:c16="http://schemas.microsoft.com/office/drawing/2014/chart" uri="{C3380CC4-5D6E-409C-BE32-E72D297353CC}">
                  <c16:uniqueId val="{00000008-E581-46F3-A9FB-F45136978AFC}"/>
                </c:ext>
              </c:extLst>
            </c:dLbl>
            <c:dLbl>
              <c:idx val="1"/>
              <c:tx>
                <c:rich>
                  <a:bodyPr/>
                  <a:lstStyle/>
                  <a:p>
                    <a:fld id="{412E3918-7C9C-49BD-9EE1-198848393C9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581-46F3-A9FB-F45136978AFC}"/>
                </c:ext>
              </c:extLst>
            </c:dLbl>
            <c:dLbl>
              <c:idx val="2"/>
              <c:tx>
                <c:rich>
                  <a:bodyPr/>
                  <a:lstStyle/>
                  <a:p>
                    <a:r>
                      <a:rPr lang="en-US"/>
                      <a:t>$950M (+11.8%)</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A-E581-46F3-A9FB-F45136978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Sheet1!$M$4:$O$4</c:f>
              <c:strCache>
                <c:ptCount val="3"/>
                <c:pt idx="0">
                  <c:v>Episodes</c:v>
                </c:pt>
                <c:pt idx="1">
                  <c:v>GWAU</c:v>
                </c:pt>
                <c:pt idx="2">
                  <c:v>Total Costs</c:v>
                </c:pt>
              </c:strCache>
            </c:strRef>
          </c:cat>
          <c:val>
            <c:numRef>
              <c:f>Sheet1!$M$7:$O$7</c:f>
              <c:numCache>
                <c:formatCode>#,##0</c:formatCode>
                <c:ptCount val="3"/>
                <c:pt idx="0">
                  <c:v>35807</c:v>
                </c:pt>
                <c:pt idx="1">
                  <c:v>150841</c:v>
                </c:pt>
                <c:pt idx="2" formatCode="&quot;$&quot;#,##0">
                  <c:v>950784578</c:v>
                </c:pt>
              </c:numCache>
            </c:numRef>
          </c:val>
          <c:extLst>
            <c:ext xmlns:c15="http://schemas.microsoft.com/office/drawing/2012/chart" uri="{02D57815-91ED-43cb-92C2-25804820EDAC}">
              <c15:datalabelsRange>
                <c15:f>Sheet1!$M$23:$O$23</c15:f>
                <c15:dlblRangeCache>
                  <c:ptCount val="3"/>
                  <c:pt idx="0">
                    <c:v>0.04M (+1.0%)</c:v>
                  </c:pt>
                  <c:pt idx="1">
                    <c:v>0.15M (-6.3%)</c:v>
                  </c:pt>
                  <c:pt idx="2">
                    <c:v>$0.951bn (+11.8%)</c:v>
                  </c:pt>
                </c15:dlblRangeCache>
              </c15:datalabelsRange>
            </c:ext>
            <c:ext xmlns:c16="http://schemas.microsoft.com/office/drawing/2014/chart" uri="{C3380CC4-5D6E-409C-BE32-E72D297353CC}">
              <c16:uniqueId val="{0000000B-E581-46F3-A9FB-F45136978AFC}"/>
            </c:ext>
          </c:extLst>
        </c:ser>
        <c:ser>
          <c:idx val="3"/>
          <c:order val="3"/>
          <c:tx>
            <c:strRef>
              <c:f>Sheet1!$L$8</c:f>
              <c:strCache>
                <c:ptCount val="1"/>
                <c:pt idx="0">
                  <c:v>Non Admitted</c:v>
                </c:pt>
              </c:strCache>
            </c:strRef>
          </c:tx>
          <c:spPr>
            <a:solidFill>
              <a:schemeClr val="accent4"/>
            </a:solidFill>
            <a:ln>
              <a:noFill/>
            </a:ln>
            <a:effectLst/>
          </c:spPr>
          <c:invertIfNegative val="0"/>
          <c:dLbls>
            <c:dLbl>
              <c:idx val="0"/>
              <c:tx>
                <c:rich>
                  <a:bodyPr/>
                  <a:lstStyle/>
                  <a:p>
                    <a:fld id="{9B5381D1-2460-4F57-AC44-D8A399D5183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E581-46F3-A9FB-F45136978AFC}"/>
                </c:ext>
              </c:extLst>
            </c:dLbl>
            <c:dLbl>
              <c:idx val="1"/>
              <c:tx>
                <c:rich>
                  <a:bodyPr/>
                  <a:lstStyle/>
                  <a:p>
                    <a:fld id="{24D8A8D5-04D2-4CB7-9E6C-B35F24E6E35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581-46F3-A9FB-F45136978AFC}"/>
                </c:ext>
              </c:extLst>
            </c:dLbl>
            <c:dLbl>
              <c:idx val="2"/>
              <c:tx>
                <c:rich>
                  <a:bodyPr/>
                  <a:lstStyle/>
                  <a:p>
                    <a:r>
                      <a:rPr lang="en-US"/>
                      <a:t>$3.75bn (+15.1%)</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0E-E581-46F3-A9FB-F45136978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Sheet1!$M$4:$O$4</c:f>
              <c:strCache>
                <c:ptCount val="3"/>
                <c:pt idx="0">
                  <c:v>Episodes</c:v>
                </c:pt>
                <c:pt idx="1">
                  <c:v>GWAU</c:v>
                </c:pt>
                <c:pt idx="2">
                  <c:v>Total Costs</c:v>
                </c:pt>
              </c:strCache>
            </c:strRef>
          </c:cat>
          <c:val>
            <c:numRef>
              <c:f>Sheet1!$M$8:$O$8</c:f>
              <c:numCache>
                <c:formatCode>#,##0</c:formatCode>
                <c:ptCount val="3"/>
                <c:pt idx="0">
                  <c:v>10498772</c:v>
                </c:pt>
                <c:pt idx="1">
                  <c:v>572471</c:v>
                </c:pt>
                <c:pt idx="2" formatCode="&quot;$&quot;#,##0">
                  <c:v>3749395742</c:v>
                </c:pt>
              </c:numCache>
            </c:numRef>
          </c:val>
          <c:extLst>
            <c:ext xmlns:c15="http://schemas.microsoft.com/office/drawing/2012/chart" uri="{02D57815-91ED-43cb-92C2-25804820EDAC}">
              <c15:datalabelsRange>
                <c15:f>Sheet1!$M$24:$O$24</c15:f>
                <c15:dlblRangeCache>
                  <c:ptCount val="3"/>
                  <c:pt idx="0">
                    <c:v>10.50M (+15.5%)</c:v>
                  </c:pt>
                  <c:pt idx="1">
                    <c:v>0.57M (+13.7%)</c:v>
                  </c:pt>
                  <c:pt idx="2">
                    <c:v>$3.749bn (+15.1%)</c:v>
                  </c:pt>
                </c15:dlblRangeCache>
              </c15:datalabelsRange>
            </c:ext>
            <c:ext xmlns:c16="http://schemas.microsoft.com/office/drawing/2014/chart" uri="{C3380CC4-5D6E-409C-BE32-E72D297353CC}">
              <c16:uniqueId val="{0000000F-E581-46F3-A9FB-F45136978AFC}"/>
            </c:ext>
          </c:extLst>
        </c:ser>
        <c:ser>
          <c:idx val="4"/>
          <c:order val="4"/>
          <c:tx>
            <c:strRef>
              <c:f>Sheet1!$L$9</c:f>
              <c:strCache>
                <c:ptCount val="1"/>
                <c:pt idx="0">
                  <c:v>Subacute</c:v>
                </c:pt>
              </c:strCache>
            </c:strRef>
          </c:tx>
          <c:spPr>
            <a:solidFill>
              <a:schemeClr val="accent5"/>
            </a:solidFill>
            <a:ln>
              <a:noFill/>
            </a:ln>
            <a:effectLst/>
          </c:spPr>
          <c:invertIfNegative val="0"/>
          <c:dLbls>
            <c:dLbl>
              <c:idx val="0"/>
              <c:layout>
                <c:manualLayout>
                  <c:x val="0.15104818143575546"/>
                  <c:y val="3.65247093544262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7B8C7C4E-F820-432C-A201-584F78C94C6C}" type="CELLRANGE">
                      <a:rPr lang="en-US" sz="900">
                        <a:solidFill>
                          <a:schemeClr val="tx1"/>
                        </a:solidFill>
                      </a:rPr>
                      <a:pPr>
                        <a:defRPr>
                          <a:solidFill>
                            <a:schemeClr val="tx1"/>
                          </a:solidFill>
                        </a:defRPr>
                      </a:pPr>
                      <a:t>[CELLRANGE]</a:t>
                    </a:fld>
                    <a:endParaRPr lang="en-A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AU"/>
                </a:p>
              </c:txPr>
              <c:showLegendKey val="0"/>
              <c:showVal val="0"/>
              <c:showCatName val="0"/>
              <c:showSerName val="0"/>
              <c:showPercent val="0"/>
              <c:showBubbleSize val="0"/>
              <c:extLst>
                <c:ext xmlns:c15="http://schemas.microsoft.com/office/drawing/2012/chart" uri="{CE6537A1-D6FC-4f65-9D91-7224C49458BB}">
                  <c15:layout>
                    <c:manualLayout>
                      <c:w val="0.10395708129035409"/>
                      <c:h val="0.10210561217784042"/>
                    </c:manualLayout>
                  </c15:layout>
                  <c15:dlblFieldTable/>
                  <c15:showDataLabelsRange val="1"/>
                </c:ext>
                <c:ext xmlns:c16="http://schemas.microsoft.com/office/drawing/2014/chart" uri="{C3380CC4-5D6E-409C-BE32-E72D297353CC}">
                  <c16:uniqueId val="{00000010-E581-46F3-A9FB-F45136978AFC}"/>
                </c:ext>
              </c:extLst>
            </c:dLbl>
            <c:dLbl>
              <c:idx val="1"/>
              <c:tx>
                <c:rich>
                  <a:bodyPr/>
                  <a:lstStyle/>
                  <a:p>
                    <a:fld id="{30273738-B2EC-4F5B-9B4F-46F809915A2A}"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E581-46F3-A9FB-F45136978AFC}"/>
                </c:ext>
              </c:extLst>
            </c:dLbl>
            <c:dLbl>
              <c:idx val="2"/>
              <c:tx>
                <c:rich>
                  <a:bodyPr/>
                  <a:lstStyle/>
                  <a:p>
                    <a:r>
                      <a:rPr lang="en-US"/>
                      <a:t>$1.28bn (+10.7%)</a:t>
                    </a:r>
                  </a:p>
                </c:rich>
              </c:tx>
              <c:showLegendKey val="0"/>
              <c:showVal val="0"/>
              <c:showCatName val="0"/>
              <c:showSerName val="0"/>
              <c:showPercent val="0"/>
              <c:showBubbleSize val="0"/>
              <c:extLst>
                <c:ext xmlns:c15="http://schemas.microsoft.com/office/drawing/2012/chart" uri="{CE6537A1-D6FC-4f65-9D91-7224C49458BB}">
                  <c15:showDataLabelsRange val="1"/>
                </c:ext>
                <c:ext xmlns:c16="http://schemas.microsoft.com/office/drawing/2014/chart" uri="{C3380CC4-5D6E-409C-BE32-E72D297353CC}">
                  <c16:uniqueId val="{00000012-E581-46F3-A9FB-F45136978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Sheet1!$M$4:$O$4</c:f>
              <c:strCache>
                <c:ptCount val="3"/>
                <c:pt idx="0">
                  <c:v>Episodes</c:v>
                </c:pt>
                <c:pt idx="1">
                  <c:v>GWAU</c:v>
                </c:pt>
                <c:pt idx="2">
                  <c:v>Total Costs</c:v>
                </c:pt>
              </c:strCache>
            </c:strRef>
          </c:cat>
          <c:val>
            <c:numRef>
              <c:f>Sheet1!$M$9:$O$9</c:f>
              <c:numCache>
                <c:formatCode>#,##0</c:formatCode>
                <c:ptCount val="3"/>
                <c:pt idx="0">
                  <c:v>85024</c:v>
                </c:pt>
                <c:pt idx="1">
                  <c:v>212075</c:v>
                </c:pt>
                <c:pt idx="2" formatCode="&quot;$&quot;#,##0">
                  <c:v>1276160855</c:v>
                </c:pt>
              </c:numCache>
            </c:numRef>
          </c:val>
          <c:extLst>
            <c:ext xmlns:c15="http://schemas.microsoft.com/office/drawing/2012/chart" uri="{02D57815-91ED-43cb-92C2-25804820EDAC}">
              <c15:datalabelsRange>
                <c15:f>Sheet1!$M$25:$O$25</c15:f>
                <c15:dlblRangeCache>
                  <c:ptCount val="3"/>
                  <c:pt idx="0">
                    <c:v>0.09M (+5.1%)</c:v>
                  </c:pt>
                  <c:pt idx="1">
                    <c:v>0.21M (+4.6%)</c:v>
                  </c:pt>
                  <c:pt idx="2">
                    <c:v>$1.276bn (+10.7%)</c:v>
                  </c:pt>
                </c15:dlblRangeCache>
              </c15:datalabelsRange>
            </c:ext>
            <c:ext xmlns:c16="http://schemas.microsoft.com/office/drawing/2014/chart" uri="{C3380CC4-5D6E-409C-BE32-E72D297353CC}">
              <c16:uniqueId val="{00000013-E581-46F3-A9FB-F45136978AFC}"/>
            </c:ext>
          </c:extLst>
        </c:ser>
        <c:dLbls>
          <c:showLegendKey val="0"/>
          <c:showVal val="0"/>
          <c:showCatName val="0"/>
          <c:showSerName val="0"/>
          <c:showPercent val="0"/>
          <c:showBubbleSize val="0"/>
        </c:dLbls>
        <c:gapWidth val="87"/>
        <c:overlap val="100"/>
        <c:axId val="1867744976"/>
        <c:axId val="1867743056"/>
      </c:barChart>
      <c:catAx>
        <c:axId val="186774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7743056"/>
        <c:crosses val="autoZero"/>
        <c:auto val="1"/>
        <c:lblAlgn val="ctr"/>
        <c:lblOffset val="100"/>
        <c:noMultiLvlLbl val="0"/>
      </c:catAx>
      <c:valAx>
        <c:axId val="1867743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67744976"/>
        <c:crosses val="autoZero"/>
        <c:crossBetween val="between"/>
        <c:majorUnit val="0.2"/>
      </c:valAx>
      <c:spPr>
        <a:noFill/>
        <a:ln>
          <a:noFill/>
        </a:ln>
        <a:effectLst/>
      </c:spPr>
    </c:plotArea>
    <c:legend>
      <c:legendPos val="b"/>
      <c:layout>
        <c:manualLayout>
          <c:xMode val="edge"/>
          <c:yMode val="edge"/>
          <c:x val="8.0654812395411085E-2"/>
          <c:y val="0.94234604519774023"/>
          <c:w val="0.89719696989946895"/>
          <c:h val="5.57042628834687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15527054518225"/>
          <c:y val="4.9398222159045303E-2"/>
          <c:w val="0.81530412336826141"/>
          <c:h val="0.75156407076710807"/>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71FB-40AC-A0CE-E6B93B678E99}"/>
              </c:ext>
            </c:extLst>
          </c:dPt>
          <c:dPt>
            <c:idx val="2"/>
            <c:invertIfNegative val="0"/>
            <c:bubble3D val="0"/>
            <c:spPr>
              <a:solidFill>
                <a:srgbClr val="80C0B0"/>
              </a:solidFill>
              <a:ln>
                <a:noFill/>
              </a:ln>
              <a:effectLst/>
            </c:spPr>
            <c:extLst>
              <c:ext xmlns:c16="http://schemas.microsoft.com/office/drawing/2014/chart" uri="{C3380CC4-5D6E-409C-BE32-E72D297353CC}">
                <c16:uniqueId val="{00000003-71FB-40AC-A0CE-E6B93B678E9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71FB-40AC-A0CE-E6B93B678E9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71FB-40AC-A0CE-E6B93B678E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Sheet1!$R$5:$R$9</c:f>
              <c:strCache>
                <c:ptCount val="5"/>
                <c:pt idx="0">
                  <c:v>Acute</c:v>
                </c:pt>
                <c:pt idx="1">
                  <c:v>ED</c:v>
                </c:pt>
                <c:pt idx="2">
                  <c:v>Mental Health*</c:v>
                </c:pt>
                <c:pt idx="3">
                  <c:v>Non Admitted</c:v>
                </c:pt>
                <c:pt idx="4">
                  <c:v>Subacute</c:v>
                </c:pt>
              </c:strCache>
            </c:strRef>
          </c:cat>
          <c:val>
            <c:numRef>
              <c:f>Sheet1!$S$5:$S$9</c:f>
              <c:numCache>
                <c:formatCode>"$"#,##0</c:formatCode>
                <c:ptCount val="5"/>
                <c:pt idx="0">
                  <c:v>6109</c:v>
                </c:pt>
                <c:pt idx="1">
                  <c:v>6631</c:v>
                </c:pt>
                <c:pt idx="2">
                  <c:v>6303</c:v>
                </c:pt>
                <c:pt idx="3">
                  <c:v>6549</c:v>
                </c:pt>
                <c:pt idx="4">
                  <c:v>6018</c:v>
                </c:pt>
              </c:numCache>
            </c:numRef>
          </c:val>
          <c:extLst>
            <c:ext xmlns:c16="http://schemas.microsoft.com/office/drawing/2014/chart" uri="{C3380CC4-5D6E-409C-BE32-E72D297353CC}">
              <c16:uniqueId val="{00000008-71FB-40AC-A0CE-E6B93B678E99}"/>
            </c:ext>
          </c:extLst>
        </c:ser>
        <c:dLbls>
          <c:showLegendKey val="0"/>
          <c:showVal val="0"/>
          <c:showCatName val="0"/>
          <c:showSerName val="0"/>
          <c:showPercent val="0"/>
          <c:showBubbleSize val="0"/>
        </c:dLbls>
        <c:gapWidth val="100"/>
        <c:axId val="448507824"/>
        <c:axId val="448510224"/>
      </c:barChart>
      <c:catAx>
        <c:axId val="44850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48510224"/>
        <c:crosses val="autoZero"/>
        <c:auto val="1"/>
        <c:lblAlgn val="ctr"/>
        <c:lblOffset val="100"/>
        <c:noMultiLvlLbl val="0"/>
      </c:catAx>
      <c:valAx>
        <c:axId val="448510224"/>
        <c:scaling>
          <c:orientation val="minMax"/>
          <c:max val="7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Cost per GWAU</a:t>
                </a:r>
              </a:p>
            </c:rich>
          </c:tx>
          <c:layout>
            <c:manualLayout>
              <c:xMode val="edge"/>
              <c:yMode val="edge"/>
              <c:x val="0.4646600760078492"/>
              <c:y val="0.907224792777191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48507824"/>
        <c:crosses val="autoZero"/>
        <c:crossBetween val="between"/>
        <c:majorUnit val="25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24010949993976E-2"/>
          <c:y val="2.0509133088916311E-2"/>
          <c:w val="0.92687598905000601"/>
          <c:h val="0.81941231644223533"/>
        </c:manualLayout>
      </c:layout>
      <c:barChart>
        <c:barDir val="col"/>
        <c:grouping val="stacked"/>
        <c:varyColors val="0"/>
        <c:ser>
          <c:idx val="0"/>
          <c:order val="0"/>
          <c:tx>
            <c:strRef>
              <c:f>Sheet1!$F$38</c:f>
              <c:strCache>
                <c:ptCount val="1"/>
                <c:pt idx="0">
                  <c:v>Acute</c:v>
                </c:pt>
              </c:strCache>
            </c:strRef>
          </c:tx>
          <c:spPr>
            <a:solidFill>
              <a:schemeClr val="accent1"/>
            </a:solidFill>
            <a:ln>
              <a:noFill/>
            </a:ln>
            <a:effectLst/>
          </c:spPr>
          <c:invertIfNegative val="0"/>
          <c:dLbls>
            <c:dLbl>
              <c:idx val="0"/>
              <c:tx>
                <c:rich>
                  <a:bodyPr/>
                  <a:lstStyle/>
                  <a:p>
                    <a:r>
                      <a:rPr lang="en-US"/>
                      <a:t>1.94M</a:t>
                    </a:r>
                    <a:r>
                      <a:rPr lang="en-US" baseline="0"/>
                      <a:t> (+8.4%)</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E5-4642-94D3-B85BFDF67C66}"/>
                </c:ext>
              </c:extLst>
            </c:dLbl>
            <c:dLbl>
              <c:idx val="1"/>
              <c:tx>
                <c:rich>
                  <a:bodyPr/>
                  <a:lstStyle/>
                  <a:p>
                    <a:r>
                      <a:rPr lang="en-US"/>
                      <a:t>1.74M (+8.0%)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DE5-4642-94D3-B85BFDF67C66}"/>
                </c:ext>
              </c:extLst>
            </c:dLbl>
            <c:dLbl>
              <c:idx val="2"/>
              <c:tx>
                <c:rich>
                  <a:bodyPr/>
                  <a:lstStyle/>
                  <a:p>
                    <a:r>
                      <a:rPr lang="en-US"/>
                      <a:t>$12.20bn</a:t>
                    </a:r>
                    <a:r>
                      <a:rPr lang="en-US" baseline="0"/>
                      <a:t> (+12.9%)</a:t>
                    </a:r>
                    <a:endParaRPr 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6960992827370094"/>
                      <c:h val="0.11728011900636849"/>
                    </c:manualLayout>
                  </c15:layout>
                  <c15:showDataLabelsRange val="0"/>
                </c:ext>
                <c:ext xmlns:c16="http://schemas.microsoft.com/office/drawing/2014/chart" uri="{C3380CC4-5D6E-409C-BE32-E72D297353CC}">
                  <c16:uniqueId val="{00000002-1DE5-4642-94D3-B85BFDF67C6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Sheet1!$G$37:$I$37</c:f>
              <c:strCache>
                <c:ptCount val="3"/>
                <c:pt idx="0">
                  <c:v>Episodes</c:v>
                </c:pt>
                <c:pt idx="1">
                  <c:v>GWAU</c:v>
                </c:pt>
                <c:pt idx="2">
                  <c:v>Total Costs</c:v>
                </c:pt>
              </c:strCache>
            </c:strRef>
          </c:cat>
          <c:val>
            <c:numRef>
              <c:f>Sheet1!$G$38:$I$38</c:f>
              <c:numCache>
                <c:formatCode>0%</c:formatCode>
                <c:ptCount val="3"/>
                <c:pt idx="0">
                  <c:v>0.2056150717299238</c:v>
                </c:pt>
                <c:pt idx="1">
                  <c:v>0.66095753147941549</c:v>
                </c:pt>
                <c:pt idx="2">
                  <c:v>0.65930808398810914</c:v>
                </c:pt>
              </c:numCache>
            </c:numRef>
          </c:val>
          <c:extLst>
            <c:ext xmlns:c16="http://schemas.microsoft.com/office/drawing/2014/chart" uri="{C3380CC4-5D6E-409C-BE32-E72D297353CC}">
              <c16:uniqueId val="{00000003-1DE5-4642-94D3-B85BFDF67C66}"/>
            </c:ext>
          </c:extLst>
        </c:ser>
        <c:ser>
          <c:idx val="1"/>
          <c:order val="1"/>
          <c:tx>
            <c:strRef>
              <c:f>Sheet1!$F$39</c:f>
              <c:strCache>
                <c:ptCount val="1"/>
                <c:pt idx="0">
                  <c:v>ED</c:v>
                </c:pt>
              </c:strCache>
            </c:strRef>
          </c:tx>
          <c:spPr>
            <a:solidFill>
              <a:schemeClr val="accent2"/>
            </a:solidFill>
            <a:ln>
              <a:noFill/>
            </a:ln>
            <a:effectLst/>
          </c:spPr>
          <c:invertIfNegative val="0"/>
          <c:dLbls>
            <c:dLbl>
              <c:idx val="0"/>
              <c:tx>
                <c:rich>
                  <a:bodyPr/>
                  <a:lstStyle/>
                  <a:p>
                    <a:r>
                      <a:rPr lang="en-US"/>
                      <a:t>1.91M (+2.2%)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DE5-4642-94D3-B85BFDF67C66}"/>
                </c:ext>
              </c:extLst>
            </c:dLbl>
            <c:dLbl>
              <c:idx val="1"/>
              <c:tx>
                <c:rich>
                  <a:bodyPr/>
                  <a:lstStyle/>
                  <a:p>
                    <a:r>
                      <a:rPr lang="en-US"/>
                      <a:t>0.30M (+3.5%)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DE5-4642-94D3-B85BFDF67C66}"/>
                </c:ext>
              </c:extLst>
            </c:dLbl>
            <c:dLbl>
              <c:idx val="2"/>
              <c:tx>
                <c:rich>
                  <a:bodyPr/>
                  <a:lstStyle/>
                  <a:p>
                    <a:r>
                      <a:rPr lang="en-US"/>
                      <a:t>$2.08bn</a:t>
                    </a:r>
                    <a:r>
                      <a:rPr lang="en-US" baseline="0"/>
                      <a:t> (+8.6%)</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DE5-4642-94D3-B85BFDF67C6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Sheet1!$G$37:$I$37</c:f>
              <c:strCache>
                <c:ptCount val="3"/>
                <c:pt idx="0">
                  <c:v>Episodes</c:v>
                </c:pt>
                <c:pt idx="1">
                  <c:v>GWAU</c:v>
                </c:pt>
                <c:pt idx="2">
                  <c:v>Total Costs</c:v>
                </c:pt>
              </c:strCache>
            </c:strRef>
          </c:cat>
          <c:val>
            <c:numRef>
              <c:f>Sheet1!$G$39:$I$39</c:f>
              <c:numCache>
                <c:formatCode>0%</c:formatCode>
                <c:ptCount val="3"/>
                <c:pt idx="0">
                  <c:v>0.20271026722313987</c:v>
                </c:pt>
                <c:pt idx="1">
                  <c:v>0.11301263363597573</c:v>
                </c:pt>
                <c:pt idx="2">
                  <c:v>0.11221356559350973</c:v>
                </c:pt>
              </c:numCache>
            </c:numRef>
          </c:val>
          <c:extLst>
            <c:ext xmlns:c16="http://schemas.microsoft.com/office/drawing/2014/chart" uri="{C3380CC4-5D6E-409C-BE32-E72D297353CC}">
              <c16:uniqueId val="{00000007-1DE5-4642-94D3-B85BFDF67C66}"/>
            </c:ext>
          </c:extLst>
        </c:ser>
        <c:ser>
          <c:idx val="2"/>
          <c:order val="2"/>
          <c:tx>
            <c:strRef>
              <c:f>Sheet1!$F$40</c:f>
              <c:strCache>
                <c:ptCount val="1"/>
                <c:pt idx="0">
                  <c:v>Mental Health</c:v>
                </c:pt>
              </c:strCache>
            </c:strRef>
          </c:tx>
          <c:spPr>
            <a:solidFill>
              <a:srgbClr val="80C0B0"/>
            </a:solidFill>
            <a:ln>
              <a:noFill/>
            </a:ln>
            <a:effectLst/>
          </c:spPr>
          <c:invertIfNegative val="0"/>
          <c:dLbls>
            <c:dLbl>
              <c:idx val="0"/>
              <c:layout>
                <c:manualLayout>
                  <c:x val="0.14597091688819042"/>
                  <c:y val="7.3456584223007271E-2"/>
                </c:manualLayout>
              </c:layout>
              <c:tx>
                <c:rich>
                  <a:bodyPr/>
                  <a:lstStyle/>
                  <a:p>
                    <a:r>
                      <a:rPr lang="en-US">
                        <a:solidFill>
                          <a:schemeClr val="tx1">
                            <a:lumMod val="75000"/>
                            <a:lumOff val="25000"/>
                          </a:schemeClr>
                        </a:solidFill>
                      </a:rPr>
                      <a:t>0.03M</a:t>
                    </a:r>
                    <a:r>
                      <a:rPr lang="en-US" baseline="0">
                        <a:solidFill>
                          <a:schemeClr val="tx1">
                            <a:lumMod val="75000"/>
                            <a:lumOff val="25000"/>
                          </a:schemeClr>
                        </a:solidFill>
                      </a:rPr>
                      <a:t> (+25.9%)</a:t>
                    </a:r>
                    <a:endParaRPr lang="en-US">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layout>
                    <c:manualLayout>
                      <c:w val="0.13541998530928151"/>
                      <c:h val="0.10589923888497244"/>
                    </c:manualLayout>
                  </c15:layout>
                  <c15:showDataLabelsRange val="0"/>
                </c:ext>
                <c:ext xmlns:c16="http://schemas.microsoft.com/office/drawing/2014/chart" uri="{C3380CC4-5D6E-409C-BE32-E72D297353CC}">
                  <c16:uniqueId val="{00000008-1DE5-4642-94D3-B85BFDF67C66}"/>
                </c:ext>
              </c:extLst>
            </c:dLbl>
            <c:dLbl>
              <c:idx val="1"/>
              <c:tx>
                <c:rich>
                  <a:bodyPr/>
                  <a:lstStyle/>
                  <a:p>
                    <a:r>
                      <a:rPr lang="en-US" sz="900">
                        <a:solidFill>
                          <a:schemeClr val="bg1"/>
                        </a:solidFill>
                      </a:rPr>
                      <a:t>0.12M (+14.8%)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DE5-4642-94D3-B85BFDF67C66}"/>
                </c:ext>
              </c:extLst>
            </c:dLbl>
            <c:dLbl>
              <c:idx val="2"/>
              <c:tx>
                <c:rich>
                  <a:bodyPr/>
                  <a:lstStyle/>
                  <a:p>
                    <a:r>
                      <a:rPr lang="en-US" sz="900">
                        <a:solidFill>
                          <a:schemeClr val="bg1"/>
                        </a:solidFill>
                      </a:rPr>
                      <a:t>$851M (+19.0%)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DE5-4642-94D3-B85BFDF67C6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Sheet1!$G$37:$I$37</c:f>
              <c:strCache>
                <c:ptCount val="3"/>
                <c:pt idx="0">
                  <c:v>Episodes</c:v>
                </c:pt>
                <c:pt idx="1">
                  <c:v>GWAU</c:v>
                </c:pt>
                <c:pt idx="2">
                  <c:v>Total Costs</c:v>
                </c:pt>
              </c:strCache>
            </c:strRef>
          </c:cat>
          <c:val>
            <c:numRef>
              <c:f>Sheet1!$G$40:$I$40</c:f>
              <c:numCache>
                <c:formatCode>0%</c:formatCode>
                <c:ptCount val="3"/>
                <c:pt idx="0">
                  <c:v>3.1850628958994369E-3</c:v>
                </c:pt>
                <c:pt idx="1">
                  <c:v>4.5578303535370263E-2</c:v>
                </c:pt>
                <c:pt idx="2">
                  <c:v>4.6004623154029985E-2</c:v>
                </c:pt>
              </c:numCache>
            </c:numRef>
          </c:val>
          <c:extLst>
            <c:ext xmlns:c16="http://schemas.microsoft.com/office/drawing/2014/chart" uri="{C3380CC4-5D6E-409C-BE32-E72D297353CC}">
              <c16:uniqueId val="{0000000B-1DE5-4642-94D3-B85BFDF67C66}"/>
            </c:ext>
          </c:extLst>
        </c:ser>
        <c:ser>
          <c:idx val="3"/>
          <c:order val="3"/>
          <c:tx>
            <c:strRef>
              <c:f>Sheet1!$F$41</c:f>
              <c:strCache>
                <c:ptCount val="1"/>
                <c:pt idx="0">
                  <c:v>Non Admitted</c:v>
                </c:pt>
              </c:strCache>
            </c:strRef>
          </c:tx>
          <c:spPr>
            <a:solidFill>
              <a:schemeClr val="accent4"/>
            </a:solidFill>
            <a:ln>
              <a:noFill/>
            </a:ln>
            <a:effectLst/>
          </c:spPr>
          <c:invertIfNegative val="0"/>
          <c:dLbls>
            <c:dLbl>
              <c:idx val="0"/>
              <c:tx>
                <c:rich>
                  <a:bodyPr/>
                  <a:lstStyle/>
                  <a:p>
                    <a:r>
                      <a:rPr lang="en-US"/>
                      <a:t>5.50M</a:t>
                    </a:r>
                    <a:r>
                      <a:rPr lang="en-US" baseline="0"/>
                      <a:t> (+10.8%)</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DE5-4642-94D3-B85BFDF67C66}"/>
                </c:ext>
              </c:extLst>
            </c:dLbl>
            <c:dLbl>
              <c:idx val="1"/>
              <c:tx>
                <c:rich>
                  <a:bodyPr/>
                  <a:lstStyle/>
                  <a:p>
                    <a:r>
                      <a:rPr lang="en-US"/>
                      <a:t>0.30M (+11.5%)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DE5-4642-94D3-B85BFDF67C66}"/>
                </c:ext>
              </c:extLst>
            </c:dLbl>
            <c:dLbl>
              <c:idx val="2"/>
              <c:tx>
                <c:rich>
                  <a:bodyPr/>
                  <a:lstStyle/>
                  <a:p>
                    <a:r>
                      <a:rPr lang="en-US"/>
                      <a:t>$2.20bn (+9.2%)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DE5-4642-94D3-B85BFDF67C6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Sheet1!$G$37:$I$37</c:f>
              <c:strCache>
                <c:ptCount val="3"/>
                <c:pt idx="0">
                  <c:v>Episodes</c:v>
                </c:pt>
                <c:pt idx="1">
                  <c:v>GWAU</c:v>
                </c:pt>
                <c:pt idx="2">
                  <c:v>Total Costs</c:v>
                </c:pt>
              </c:strCache>
            </c:strRef>
          </c:cat>
          <c:val>
            <c:numRef>
              <c:f>Sheet1!$G$41:$I$41</c:f>
              <c:numCache>
                <c:formatCode>0%</c:formatCode>
                <c:ptCount val="3"/>
                <c:pt idx="0">
                  <c:v>0.58308834141006982</c:v>
                </c:pt>
                <c:pt idx="1">
                  <c:v>0.1106995184594356</c:v>
                </c:pt>
                <c:pt idx="2">
                  <c:v>0.11870059516817352</c:v>
                </c:pt>
              </c:numCache>
            </c:numRef>
          </c:val>
          <c:extLst>
            <c:ext xmlns:c16="http://schemas.microsoft.com/office/drawing/2014/chart" uri="{C3380CC4-5D6E-409C-BE32-E72D297353CC}">
              <c16:uniqueId val="{0000000F-1DE5-4642-94D3-B85BFDF67C66}"/>
            </c:ext>
          </c:extLst>
        </c:ser>
        <c:ser>
          <c:idx val="4"/>
          <c:order val="4"/>
          <c:tx>
            <c:strRef>
              <c:f>Sheet1!$F$42</c:f>
              <c:strCache>
                <c:ptCount val="1"/>
                <c:pt idx="0">
                  <c:v>Subacute</c:v>
                </c:pt>
              </c:strCache>
            </c:strRef>
          </c:tx>
          <c:spPr>
            <a:solidFill>
              <a:schemeClr val="accent5"/>
            </a:solidFill>
            <a:ln>
              <a:noFill/>
            </a:ln>
            <a:effectLst/>
          </c:spPr>
          <c:invertIfNegative val="0"/>
          <c:dLbls>
            <c:dLbl>
              <c:idx val="0"/>
              <c:layout>
                <c:manualLayout>
                  <c:x val="0.15203775254238569"/>
                  <c:y val="5.0062474585043079E-2"/>
                </c:manualLayout>
              </c:layout>
              <c:tx>
                <c:rich>
                  <a:bodyPr/>
                  <a:lstStyle/>
                  <a:p>
                    <a:r>
                      <a:rPr lang="en-US">
                        <a:solidFill>
                          <a:schemeClr val="tx1">
                            <a:lumMod val="75000"/>
                            <a:lumOff val="25000"/>
                          </a:schemeClr>
                        </a:solidFill>
                      </a:rPr>
                      <a:t>0.05M</a:t>
                    </a:r>
                    <a:r>
                      <a:rPr lang="en-US" baseline="0">
                        <a:solidFill>
                          <a:schemeClr val="tx1">
                            <a:lumMod val="75000"/>
                            <a:lumOff val="25000"/>
                          </a:schemeClr>
                        </a:solidFill>
                      </a:rPr>
                      <a:t> (+5.5%)</a:t>
                    </a:r>
                    <a:endParaRPr lang="en-US">
                      <a:solidFill>
                        <a:schemeClr val="tx1">
                          <a:lumMod val="75000"/>
                          <a:lumOff val="25000"/>
                        </a:schemeClr>
                      </a:solidFill>
                    </a:endParaRP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1DE5-4642-94D3-B85BFDF67C66}"/>
                </c:ext>
              </c:extLst>
            </c:dLbl>
            <c:dLbl>
              <c:idx val="1"/>
              <c:tx>
                <c:rich>
                  <a:bodyPr/>
                  <a:lstStyle/>
                  <a:p>
                    <a:r>
                      <a:rPr lang="en-US" sz="900">
                        <a:solidFill>
                          <a:schemeClr val="bg1"/>
                        </a:solidFill>
                      </a:rPr>
                      <a:t>0.18M (+0.9%)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1DE5-4642-94D3-B85BFDF67C66}"/>
                </c:ext>
              </c:extLst>
            </c:dLbl>
            <c:dLbl>
              <c:idx val="2"/>
              <c:tx>
                <c:rich>
                  <a:bodyPr/>
                  <a:lstStyle/>
                  <a:p>
                    <a:r>
                      <a:rPr lang="en-US" sz="900">
                        <a:solidFill>
                          <a:schemeClr val="bg1"/>
                        </a:solidFill>
                      </a:rPr>
                      <a:t>$1.18bn (+6.5%)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1DE5-4642-94D3-B85BFDF67C6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Sheet1!$G$37:$I$37</c:f>
              <c:strCache>
                <c:ptCount val="3"/>
                <c:pt idx="0">
                  <c:v>Episodes</c:v>
                </c:pt>
                <c:pt idx="1">
                  <c:v>GWAU</c:v>
                </c:pt>
                <c:pt idx="2">
                  <c:v>Total Costs</c:v>
                </c:pt>
              </c:strCache>
            </c:strRef>
          </c:cat>
          <c:val>
            <c:numRef>
              <c:f>Sheet1!$G$42:$I$42</c:f>
              <c:numCache>
                <c:formatCode>0%</c:formatCode>
                <c:ptCount val="3"/>
                <c:pt idx="0">
                  <c:v>5.401256740967128E-3</c:v>
                </c:pt>
                <c:pt idx="1">
                  <c:v>6.9752012889802914E-2</c:v>
                </c:pt>
                <c:pt idx="2">
                  <c:v>6.3773132096177659E-2</c:v>
                </c:pt>
              </c:numCache>
            </c:numRef>
          </c:val>
          <c:extLst>
            <c:ext xmlns:c16="http://schemas.microsoft.com/office/drawing/2014/chart" uri="{C3380CC4-5D6E-409C-BE32-E72D297353CC}">
              <c16:uniqueId val="{00000013-1DE5-4642-94D3-B85BFDF67C66}"/>
            </c:ext>
          </c:extLst>
        </c:ser>
        <c:dLbls>
          <c:dLblPos val="ctr"/>
          <c:showLegendKey val="0"/>
          <c:showVal val="1"/>
          <c:showCatName val="0"/>
          <c:showSerName val="0"/>
          <c:showPercent val="0"/>
          <c:showBubbleSize val="0"/>
        </c:dLbls>
        <c:gapWidth val="87"/>
        <c:overlap val="100"/>
        <c:axId val="990656719"/>
        <c:axId val="990668719"/>
      </c:barChart>
      <c:catAx>
        <c:axId val="99065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90668719"/>
        <c:crosses val="autoZero"/>
        <c:auto val="1"/>
        <c:lblAlgn val="ctr"/>
        <c:lblOffset val="100"/>
        <c:noMultiLvlLbl val="0"/>
      </c:catAx>
      <c:valAx>
        <c:axId val="99066871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90656719"/>
        <c:crosses val="autoZero"/>
        <c:crossBetween val="between"/>
        <c:majorUnit val="0.2"/>
      </c:valAx>
      <c:spPr>
        <a:noFill/>
        <a:ln>
          <a:noFill/>
        </a:ln>
        <a:effectLst/>
      </c:spPr>
    </c:plotArea>
    <c:legend>
      <c:legendPos val="b"/>
      <c:layout>
        <c:manualLayout>
          <c:xMode val="edge"/>
          <c:yMode val="edge"/>
          <c:x val="7.7007106329745556E-2"/>
          <c:y val="0.93684423888953006"/>
          <c:w val="0.90138131138216626"/>
          <c:h val="6.31557611104699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b="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30995734908136"/>
          <c:y val="9.1533180778032037E-3"/>
          <c:w val="0.74903379265091863"/>
          <c:h val="0.80173120236400652"/>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tx2"/>
              </a:solidFill>
              <a:ln>
                <a:noFill/>
              </a:ln>
              <a:effectLst/>
            </c:spPr>
            <c:extLst>
              <c:ext xmlns:c16="http://schemas.microsoft.com/office/drawing/2014/chart" uri="{C3380CC4-5D6E-409C-BE32-E72D297353CC}">
                <c16:uniqueId val="{00000001-2794-48F8-A05D-0B93D9EA7E61}"/>
              </c:ext>
            </c:extLst>
          </c:dPt>
          <c:dPt>
            <c:idx val="2"/>
            <c:invertIfNegative val="0"/>
            <c:bubble3D val="0"/>
            <c:spPr>
              <a:solidFill>
                <a:srgbClr val="80C0B0"/>
              </a:solidFill>
              <a:ln>
                <a:noFill/>
              </a:ln>
              <a:effectLst/>
            </c:spPr>
            <c:extLst>
              <c:ext xmlns:c16="http://schemas.microsoft.com/office/drawing/2014/chart" uri="{C3380CC4-5D6E-409C-BE32-E72D297353CC}">
                <c16:uniqueId val="{00000003-2794-48F8-A05D-0B93D9EA7E6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2794-48F8-A05D-0B93D9EA7E6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2794-48F8-A05D-0B93D9EA7E6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Sheet1!$U$31:$U$35</c:f>
              <c:strCache>
                <c:ptCount val="5"/>
                <c:pt idx="0">
                  <c:v>Acute</c:v>
                </c:pt>
                <c:pt idx="1">
                  <c:v>ED</c:v>
                </c:pt>
                <c:pt idx="2">
                  <c:v>Mental Health*</c:v>
                </c:pt>
                <c:pt idx="3">
                  <c:v>Non Admitted</c:v>
                </c:pt>
                <c:pt idx="4">
                  <c:v>Subacute </c:v>
                </c:pt>
              </c:strCache>
            </c:strRef>
          </c:cat>
          <c:val>
            <c:numRef>
              <c:f>Sheet1!$V$31:$V$35</c:f>
              <c:numCache>
                <c:formatCode>"$"#,##0</c:formatCode>
                <c:ptCount val="5"/>
                <c:pt idx="0">
                  <c:v>7025</c:v>
                </c:pt>
                <c:pt idx="1">
                  <c:v>6993</c:v>
                </c:pt>
                <c:pt idx="2">
                  <c:v>7109</c:v>
                </c:pt>
                <c:pt idx="3">
                  <c:v>7552</c:v>
                </c:pt>
                <c:pt idx="4">
                  <c:v>6439</c:v>
                </c:pt>
              </c:numCache>
            </c:numRef>
          </c:val>
          <c:extLst>
            <c:ext xmlns:c16="http://schemas.microsoft.com/office/drawing/2014/chart" uri="{C3380CC4-5D6E-409C-BE32-E72D297353CC}">
              <c16:uniqueId val="{00000008-2794-48F8-A05D-0B93D9EA7E61}"/>
            </c:ext>
          </c:extLst>
        </c:ser>
        <c:dLbls>
          <c:showLegendKey val="0"/>
          <c:showVal val="0"/>
          <c:showCatName val="0"/>
          <c:showSerName val="0"/>
          <c:showPercent val="0"/>
          <c:showBubbleSize val="0"/>
        </c:dLbls>
        <c:gapWidth val="100"/>
        <c:axId val="1705201039"/>
        <c:axId val="1705198159"/>
      </c:barChart>
      <c:catAx>
        <c:axId val="1705201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5198159"/>
        <c:crosses val="autoZero"/>
        <c:auto val="1"/>
        <c:lblAlgn val="ctr"/>
        <c:lblOffset val="100"/>
        <c:noMultiLvlLbl val="0"/>
      </c:catAx>
      <c:valAx>
        <c:axId val="17051981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Cost per GWAU</a:t>
                </a:r>
              </a:p>
            </c:rich>
          </c:tx>
          <c:layout>
            <c:manualLayout>
              <c:xMode val="edge"/>
              <c:yMode val="edge"/>
              <c:x val="0.4697018536745407"/>
              <c:y val="0.930755148741418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05201039"/>
        <c:crosses val="autoZero"/>
        <c:crossBetween val="between"/>
        <c:majorUnit val="4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Sheet1!$F$65</c:f>
              <c:strCache>
                <c:ptCount val="1"/>
                <c:pt idx="0">
                  <c:v>Acute</c:v>
                </c:pt>
              </c:strCache>
            </c:strRef>
          </c:tx>
          <c:spPr>
            <a:solidFill>
              <a:schemeClr val="accent1"/>
            </a:solidFill>
            <a:ln>
              <a:noFill/>
            </a:ln>
            <a:effectLst/>
          </c:spPr>
          <c:invertIfNegative val="0"/>
          <c:dLbls>
            <c:dLbl>
              <c:idx val="0"/>
              <c:tx>
                <c:rich>
                  <a:bodyPr/>
                  <a:lstStyle/>
                  <a:p>
                    <a:r>
                      <a:rPr lang="en-US"/>
                      <a:t>1.66M (+2.9%)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F2-4534-BD27-1EA264123478}"/>
                </c:ext>
              </c:extLst>
            </c:dLbl>
            <c:dLbl>
              <c:idx val="1"/>
              <c:tx>
                <c:rich>
                  <a:bodyPr/>
                  <a:lstStyle/>
                  <a:p>
                    <a:r>
                      <a:rPr lang="en-US"/>
                      <a:t>1.48M (+4.6%)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F2-4534-BD27-1EA264123478}"/>
                </c:ext>
              </c:extLst>
            </c:dLbl>
            <c:dLbl>
              <c:idx val="2"/>
              <c:tx>
                <c:rich>
                  <a:bodyPr/>
                  <a:lstStyle/>
                  <a:p>
                    <a:r>
                      <a:rPr lang="en-US"/>
                      <a:t>$9.12bn</a:t>
                    </a:r>
                    <a:r>
                      <a:rPr lang="en-US" baseline="0"/>
                      <a:t> (+4.7%)</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6F2-4534-BD27-1EA2641234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Sheet1!$G$64:$I$64</c:f>
              <c:strCache>
                <c:ptCount val="3"/>
                <c:pt idx="0">
                  <c:v>Episodes</c:v>
                </c:pt>
                <c:pt idx="1">
                  <c:v>GWAU</c:v>
                </c:pt>
                <c:pt idx="2">
                  <c:v>Total Costs</c:v>
                </c:pt>
              </c:strCache>
            </c:strRef>
          </c:cat>
          <c:val>
            <c:numRef>
              <c:f>Sheet1!$G$65:$I$65</c:f>
              <c:numCache>
                <c:formatCode>0%</c:formatCode>
                <c:ptCount val="3"/>
                <c:pt idx="0">
                  <c:v>0.15800322678557543</c:v>
                </c:pt>
                <c:pt idx="1">
                  <c:v>0.59017601898631766</c:v>
                </c:pt>
                <c:pt idx="2">
                  <c:v>0.57056476841521253</c:v>
                </c:pt>
              </c:numCache>
            </c:numRef>
          </c:val>
          <c:extLst>
            <c:ext xmlns:c16="http://schemas.microsoft.com/office/drawing/2014/chart" uri="{C3380CC4-5D6E-409C-BE32-E72D297353CC}">
              <c16:uniqueId val="{00000003-96F2-4534-BD27-1EA264123478}"/>
            </c:ext>
          </c:extLst>
        </c:ser>
        <c:ser>
          <c:idx val="1"/>
          <c:order val="1"/>
          <c:tx>
            <c:strRef>
              <c:f>Sheet1!$F$66</c:f>
              <c:strCache>
                <c:ptCount val="1"/>
                <c:pt idx="0">
                  <c:v>ED</c:v>
                </c:pt>
              </c:strCache>
            </c:strRef>
          </c:tx>
          <c:spPr>
            <a:solidFill>
              <a:schemeClr val="accent2"/>
            </a:solidFill>
            <a:ln>
              <a:noFill/>
            </a:ln>
            <a:effectLst/>
          </c:spPr>
          <c:invertIfNegative val="0"/>
          <c:dLbls>
            <c:dLbl>
              <c:idx val="0"/>
              <c:tx>
                <c:rich>
                  <a:bodyPr/>
                  <a:lstStyle/>
                  <a:p>
                    <a:r>
                      <a:rPr lang="en-US"/>
                      <a:t>1.93M (-0.4%)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F2-4534-BD27-1EA264123478}"/>
                </c:ext>
              </c:extLst>
            </c:dLbl>
            <c:dLbl>
              <c:idx val="1"/>
              <c:tx>
                <c:rich>
                  <a:bodyPr/>
                  <a:lstStyle/>
                  <a:p>
                    <a:r>
                      <a:rPr lang="en-US"/>
                      <a:t>0.31M (+0.6%)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F2-4534-BD27-1EA264123478}"/>
                </c:ext>
              </c:extLst>
            </c:dLbl>
            <c:dLbl>
              <c:idx val="2"/>
              <c:tx>
                <c:rich>
                  <a:bodyPr/>
                  <a:lstStyle/>
                  <a:p>
                    <a:r>
                      <a:rPr lang="en-US"/>
                      <a:t>$1.94bn</a:t>
                    </a:r>
                    <a:r>
                      <a:rPr lang="en-US" baseline="0"/>
                      <a:t> (+12.1%)</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6F2-4534-BD27-1EA2641234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Sheet1!$G$64:$I$64</c:f>
              <c:strCache>
                <c:ptCount val="3"/>
                <c:pt idx="0">
                  <c:v>Episodes</c:v>
                </c:pt>
                <c:pt idx="1">
                  <c:v>GWAU</c:v>
                </c:pt>
                <c:pt idx="2">
                  <c:v>Total Costs</c:v>
                </c:pt>
              </c:strCache>
            </c:strRef>
          </c:cat>
          <c:val>
            <c:numRef>
              <c:f>Sheet1!$G$66:$I$66</c:f>
              <c:numCache>
                <c:formatCode>0%</c:formatCode>
                <c:ptCount val="3"/>
                <c:pt idx="0">
                  <c:v>0.18369882217853045</c:v>
                </c:pt>
                <c:pt idx="1">
                  <c:v>0.12541157997566779</c:v>
                </c:pt>
                <c:pt idx="2">
                  <c:v>0.12142500754976948</c:v>
                </c:pt>
              </c:numCache>
            </c:numRef>
          </c:val>
          <c:extLst>
            <c:ext xmlns:c16="http://schemas.microsoft.com/office/drawing/2014/chart" uri="{C3380CC4-5D6E-409C-BE32-E72D297353CC}">
              <c16:uniqueId val="{00000007-96F2-4534-BD27-1EA264123478}"/>
            </c:ext>
          </c:extLst>
        </c:ser>
        <c:ser>
          <c:idx val="2"/>
          <c:order val="2"/>
          <c:tx>
            <c:strRef>
              <c:f>Sheet1!$F$67</c:f>
              <c:strCache>
                <c:ptCount val="1"/>
                <c:pt idx="0">
                  <c:v>Mental Health</c:v>
                </c:pt>
              </c:strCache>
            </c:strRef>
          </c:tx>
          <c:spPr>
            <a:solidFill>
              <a:srgbClr val="80C0B0"/>
            </a:solidFill>
            <a:ln>
              <a:noFill/>
            </a:ln>
            <a:effectLst/>
          </c:spPr>
          <c:invertIfNegative val="0"/>
          <c:dLbls>
            <c:dLbl>
              <c:idx val="0"/>
              <c:layout>
                <c:manualLayout>
                  <c:x val="0.15491636243369417"/>
                  <c:y val="4.088429227377010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r>
                      <a:rPr lang="en-US">
                        <a:solidFill>
                          <a:schemeClr val="tx1">
                            <a:lumMod val="75000"/>
                            <a:lumOff val="25000"/>
                          </a:schemeClr>
                        </a:solidFill>
                      </a:rPr>
                      <a:t>0.03M (+10.9%)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0364019521792409"/>
                      <c:h val="8.3355769053458484E-2"/>
                    </c:manualLayout>
                  </c15:layout>
                  <c15:showDataLabelsRange val="0"/>
                </c:ext>
                <c:ext xmlns:c16="http://schemas.microsoft.com/office/drawing/2014/chart" uri="{C3380CC4-5D6E-409C-BE32-E72D297353CC}">
                  <c16:uniqueId val="{00000008-96F2-4534-BD27-1EA264123478}"/>
                </c:ext>
              </c:extLst>
            </c:dLbl>
            <c:dLbl>
              <c:idx val="1"/>
              <c:tx>
                <c:rich>
                  <a:bodyPr/>
                  <a:lstStyle/>
                  <a:p>
                    <a:r>
                      <a:rPr lang="en-US"/>
                      <a:t>0.10M (-0.1%)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6F2-4534-BD27-1EA264123478}"/>
                </c:ext>
              </c:extLst>
            </c:dLbl>
            <c:dLbl>
              <c:idx val="2"/>
              <c:tx>
                <c:rich>
                  <a:bodyPr/>
                  <a:lstStyle/>
                  <a:p>
                    <a:r>
                      <a:rPr lang="en-US"/>
                      <a:t>$617M</a:t>
                    </a:r>
                    <a:r>
                      <a:rPr lang="en-US" baseline="0"/>
                      <a:t> (+7.3%)</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6F2-4534-BD27-1EA2641234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Sheet1!$G$64:$I$64</c:f>
              <c:strCache>
                <c:ptCount val="3"/>
                <c:pt idx="0">
                  <c:v>Episodes</c:v>
                </c:pt>
                <c:pt idx="1">
                  <c:v>GWAU</c:v>
                </c:pt>
                <c:pt idx="2">
                  <c:v>Total Costs</c:v>
                </c:pt>
              </c:strCache>
            </c:strRef>
          </c:cat>
          <c:val>
            <c:numRef>
              <c:f>Sheet1!$G$67:$I$67</c:f>
              <c:numCache>
                <c:formatCode>0%</c:formatCode>
                <c:ptCount val="3"/>
                <c:pt idx="0">
                  <c:v>2.5248345513333693E-3</c:v>
                </c:pt>
                <c:pt idx="1">
                  <c:v>4.1501405395038868E-2</c:v>
                </c:pt>
                <c:pt idx="2">
                  <c:v>3.8635324167196575E-2</c:v>
                </c:pt>
              </c:numCache>
            </c:numRef>
          </c:val>
          <c:extLst>
            <c:ext xmlns:c16="http://schemas.microsoft.com/office/drawing/2014/chart" uri="{C3380CC4-5D6E-409C-BE32-E72D297353CC}">
              <c16:uniqueId val="{0000000B-96F2-4534-BD27-1EA264123478}"/>
            </c:ext>
          </c:extLst>
        </c:ser>
        <c:ser>
          <c:idx val="3"/>
          <c:order val="3"/>
          <c:tx>
            <c:strRef>
              <c:f>Sheet1!$F$68</c:f>
              <c:strCache>
                <c:ptCount val="1"/>
                <c:pt idx="0">
                  <c:v>Non Admitted</c:v>
                </c:pt>
              </c:strCache>
            </c:strRef>
          </c:tx>
          <c:spPr>
            <a:solidFill>
              <a:schemeClr val="accent4"/>
            </a:solidFill>
            <a:ln>
              <a:noFill/>
            </a:ln>
            <a:effectLst/>
          </c:spPr>
          <c:invertIfNegative val="0"/>
          <c:dLbls>
            <c:dLbl>
              <c:idx val="0"/>
              <c:tx>
                <c:rich>
                  <a:bodyPr/>
                  <a:lstStyle/>
                  <a:p>
                    <a:r>
                      <a:rPr lang="en-US"/>
                      <a:t>6.82M (+7.3%)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6F2-4534-BD27-1EA264123478}"/>
                </c:ext>
              </c:extLst>
            </c:dLbl>
            <c:dLbl>
              <c:idx val="1"/>
              <c:tx>
                <c:rich>
                  <a:bodyPr/>
                  <a:lstStyle/>
                  <a:p>
                    <a:r>
                      <a:rPr lang="en-US"/>
                      <a:t>0.43M (+10.1%)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6F2-4534-BD27-1EA264123478}"/>
                </c:ext>
              </c:extLst>
            </c:dLbl>
            <c:dLbl>
              <c:idx val="2"/>
              <c:tx>
                <c:rich>
                  <a:bodyPr/>
                  <a:lstStyle/>
                  <a:p>
                    <a:r>
                      <a:rPr lang="en-US"/>
                      <a:t>$3.06bn (+9.4%)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6F2-4534-BD27-1EA2641234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Sheet1!$G$64:$I$64</c:f>
              <c:strCache>
                <c:ptCount val="3"/>
                <c:pt idx="0">
                  <c:v>Episodes</c:v>
                </c:pt>
                <c:pt idx="1">
                  <c:v>GWAU</c:v>
                </c:pt>
                <c:pt idx="2">
                  <c:v>Total Costs</c:v>
                </c:pt>
              </c:strCache>
            </c:strRef>
          </c:cat>
          <c:val>
            <c:numRef>
              <c:f>Sheet1!$G$68:$I$68</c:f>
              <c:numCache>
                <c:formatCode>0%</c:formatCode>
                <c:ptCount val="3"/>
                <c:pt idx="0">
                  <c:v>0.649344577621078</c:v>
                </c:pt>
                <c:pt idx="1">
                  <c:v>0.17217217937115814</c:v>
                </c:pt>
                <c:pt idx="2">
                  <c:v>0.19154540736668441</c:v>
                </c:pt>
              </c:numCache>
            </c:numRef>
          </c:val>
          <c:extLst>
            <c:ext xmlns:c16="http://schemas.microsoft.com/office/drawing/2014/chart" uri="{C3380CC4-5D6E-409C-BE32-E72D297353CC}">
              <c16:uniqueId val="{0000000F-96F2-4534-BD27-1EA264123478}"/>
            </c:ext>
          </c:extLst>
        </c:ser>
        <c:ser>
          <c:idx val="4"/>
          <c:order val="4"/>
          <c:tx>
            <c:strRef>
              <c:f>Sheet1!$F$69</c:f>
              <c:strCache>
                <c:ptCount val="1"/>
                <c:pt idx="0">
                  <c:v>Subacute</c:v>
                </c:pt>
              </c:strCache>
            </c:strRef>
          </c:tx>
          <c:spPr>
            <a:solidFill>
              <a:schemeClr val="accent5"/>
            </a:solidFill>
            <a:ln>
              <a:noFill/>
            </a:ln>
            <a:effectLst/>
          </c:spPr>
          <c:invertIfNegative val="0"/>
          <c:dLbls>
            <c:dLbl>
              <c:idx val="0"/>
              <c:layout>
                <c:manualLayout>
                  <c:x val="0.14658169344340843"/>
                  <c:y val="5.028556149450873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r>
                      <a:rPr lang="en-US">
                        <a:solidFill>
                          <a:schemeClr val="tx1">
                            <a:lumMod val="75000"/>
                            <a:lumOff val="25000"/>
                          </a:schemeClr>
                        </a:solidFill>
                      </a:rPr>
                      <a:t>0.07M (+1.9%)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9.6704277070374281E-2"/>
                      <c:h val="9.6738171194642814E-2"/>
                    </c:manualLayout>
                  </c15:layout>
                  <c15:showDataLabelsRange val="0"/>
                </c:ext>
                <c:ext xmlns:c16="http://schemas.microsoft.com/office/drawing/2014/chart" uri="{C3380CC4-5D6E-409C-BE32-E72D297353CC}">
                  <c16:uniqueId val="{00000010-96F2-4534-BD27-1EA264123478}"/>
                </c:ext>
              </c:extLst>
            </c:dLbl>
            <c:dLbl>
              <c:idx val="1"/>
              <c:layout>
                <c:manualLayout>
                  <c:x val="0.15224810145904613"/>
                  <c:y val="2.559516126058013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r>
                      <a:rPr lang="en-US">
                        <a:solidFill>
                          <a:schemeClr val="tx1">
                            <a:lumMod val="75000"/>
                            <a:lumOff val="25000"/>
                          </a:schemeClr>
                        </a:solidFill>
                      </a:rPr>
                      <a:t>0.18M (+6.8%)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5934217835048482E-2"/>
                      <c:h val="8.3355769053458484E-2"/>
                    </c:manualLayout>
                  </c15:layout>
                  <c15:showDataLabelsRange val="0"/>
                </c:ext>
                <c:ext xmlns:c16="http://schemas.microsoft.com/office/drawing/2014/chart" uri="{C3380CC4-5D6E-409C-BE32-E72D297353CC}">
                  <c16:uniqueId val="{00000011-96F2-4534-BD27-1EA264123478}"/>
                </c:ext>
              </c:extLst>
            </c:dLbl>
            <c:dLbl>
              <c:idx val="2"/>
              <c:tx>
                <c:rich>
                  <a:bodyPr/>
                  <a:lstStyle/>
                  <a:p>
                    <a:r>
                      <a:rPr lang="en-US"/>
                      <a:t>$1.24bn</a:t>
                    </a:r>
                    <a:r>
                      <a:rPr lang="en-US" baseline="0"/>
                      <a:t> (+11.5%)</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96F2-4534-BD27-1EA2641234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Sheet1!$G$64:$I$64</c:f>
              <c:strCache>
                <c:ptCount val="3"/>
                <c:pt idx="0">
                  <c:v>Episodes</c:v>
                </c:pt>
                <c:pt idx="1">
                  <c:v>GWAU</c:v>
                </c:pt>
                <c:pt idx="2">
                  <c:v>Total Costs</c:v>
                </c:pt>
              </c:strCache>
            </c:strRef>
          </c:cat>
          <c:val>
            <c:numRef>
              <c:f>Sheet1!$G$69:$I$69</c:f>
              <c:numCache>
                <c:formatCode>0%</c:formatCode>
                <c:ptCount val="3"/>
                <c:pt idx="0">
                  <c:v>6.4285388634827568E-3</c:v>
                </c:pt>
                <c:pt idx="1">
                  <c:v>7.0738816271817578E-2</c:v>
                </c:pt>
                <c:pt idx="2">
                  <c:v>7.7829492501136993E-2</c:v>
                </c:pt>
              </c:numCache>
            </c:numRef>
          </c:val>
          <c:extLst>
            <c:ext xmlns:c16="http://schemas.microsoft.com/office/drawing/2014/chart" uri="{C3380CC4-5D6E-409C-BE32-E72D297353CC}">
              <c16:uniqueId val="{00000013-96F2-4534-BD27-1EA264123478}"/>
            </c:ext>
          </c:extLst>
        </c:ser>
        <c:dLbls>
          <c:dLblPos val="ctr"/>
          <c:showLegendKey val="0"/>
          <c:showVal val="1"/>
          <c:showCatName val="0"/>
          <c:showSerName val="0"/>
          <c:showPercent val="0"/>
          <c:showBubbleSize val="0"/>
        </c:dLbls>
        <c:gapWidth val="87"/>
        <c:overlap val="100"/>
        <c:axId val="1973390319"/>
        <c:axId val="1973409039"/>
      </c:barChart>
      <c:catAx>
        <c:axId val="1973390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409039"/>
        <c:crosses val="autoZero"/>
        <c:auto val="1"/>
        <c:lblAlgn val="ctr"/>
        <c:lblOffset val="100"/>
        <c:noMultiLvlLbl val="0"/>
      </c:catAx>
      <c:valAx>
        <c:axId val="19734090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3903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50208227567752"/>
          <c:y val="1.4391940513312544E-2"/>
          <c:w val="0.71565640732103453"/>
          <c:h val="0.79764931638282566"/>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44546A"/>
              </a:solidFill>
              <a:ln>
                <a:noFill/>
              </a:ln>
              <a:effectLst/>
            </c:spPr>
            <c:extLst>
              <c:ext xmlns:c16="http://schemas.microsoft.com/office/drawing/2014/chart" uri="{C3380CC4-5D6E-409C-BE32-E72D297353CC}">
                <c16:uniqueId val="{00000001-9881-47B0-986A-56CF42CBFC34}"/>
              </c:ext>
            </c:extLst>
          </c:dPt>
          <c:dPt>
            <c:idx val="2"/>
            <c:invertIfNegative val="0"/>
            <c:bubble3D val="0"/>
            <c:spPr>
              <a:solidFill>
                <a:srgbClr val="80C0B0"/>
              </a:solidFill>
              <a:ln>
                <a:noFill/>
              </a:ln>
              <a:effectLst/>
            </c:spPr>
            <c:extLst>
              <c:ext xmlns:c16="http://schemas.microsoft.com/office/drawing/2014/chart" uri="{C3380CC4-5D6E-409C-BE32-E72D297353CC}">
                <c16:uniqueId val="{00000003-9881-47B0-986A-56CF42CBFC34}"/>
              </c:ext>
            </c:extLst>
          </c:dPt>
          <c:dPt>
            <c:idx val="3"/>
            <c:invertIfNegative val="0"/>
            <c:bubble3D val="0"/>
            <c:spPr>
              <a:solidFill>
                <a:srgbClr val="B4B5DB"/>
              </a:solidFill>
              <a:ln>
                <a:noFill/>
              </a:ln>
              <a:effectLst/>
            </c:spPr>
            <c:extLst>
              <c:ext xmlns:c16="http://schemas.microsoft.com/office/drawing/2014/chart" uri="{C3380CC4-5D6E-409C-BE32-E72D297353CC}">
                <c16:uniqueId val="{00000005-9881-47B0-986A-56CF42CBFC34}"/>
              </c:ext>
            </c:extLst>
          </c:dPt>
          <c:dPt>
            <c:idx val="4"/>
            <c:invertIfNegative val="0"/>
            <c:bubble3D val="0"/>
            <c:spPr>
              <a:solidFill>
                <a:srgbClr val="F7BE85"/>
              </a:solidFill>
              <a:ln>
                <a:noFill/>
              </a:ln>
              <a:effectLst/>
            </c:spPr>
            <c:extLst>
              <c:ext xmlns:c16="http://schemas.microsoft.com/office/drawing/2014/chart" uri="{C3380CC4-5D6E-409C-BE32-E72D297353CC}">
                <c16:uniqueId val="{00000007-9881-47B0-986A-56CF42CBFC3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Sheet1!$U$58:$U$62</c:f>
              <c:strCache>
                <c:ptCount val="5"/>
                <c:pt idx="0">
                  <c:v>Acute</c:v>
                </c:pt>
                <c:pt idx="1">
                  <c:v>ED</c:v>
                </c:pt>
                <c:pt idx="2">
                  <c:v>Mental Health*</c:v>
                </c:pt>
                <c:pt idx="3">
                  <c:v>Non Admitted</c:v>
                </c:pt>
                <c:pt idx="4">
                  <c:v>Subacute </c:v>
                </c:pt>
              </c:strCache>
            </c:strRef>
          </c:cat>
          <c:val>
            <c:numRef>
              <c:f>Sheet1!$V$58:$V$62</c:f>
              <c:numCache>
                <c:formatCode>"$"#,##0</c:formatCode>
                <c:ptCount val="5"/>
                <c:pt idx="0">
                  <c:v>6171</c:v>
                </c:pt>
                <c:pt idx="1">
                  <c:v>6181</c:v>
                </c:pt>
                <c:pt idx="2">
                  <c:v>5943</c:v>
                </c:pt>
                <c:pt idx="3">
                  <c:v>7102</c:v>
                </c:pt>
                <c:pt idx="4">
                  <c:v>7023</c:v>
                </c:pt>
              </c:numCache>
            </c:numRef>
          </c:val>
          <c:extLst>
            <c:ext xmlns:c16="http://schemas.microsoft.com/office/drawing/2014/chart" uri="{C3380CC4-5D6E-409C-BE32-E72D297353CC}">
              <c16:uniqueId val="{00000008-9881-47B0-986A-56CF42CBFC34}"/>
            </c:ext>
          </c:extLst>
        </c:ser>
        <c:dLbls>
          <c:dLblPos val="outEnd"/>
          <c:showLegendKey val="0"/>
          <c:showVal val="1"/>
          <c:showCatName val="0"/>
          <c:showSerName val="0"/>
          <c:showPercent val="0"/>
          <c:showBubbleSize val="0"/>
        </c:dLbls>
        <c:gapWidth val="100"/>
        <c:axId val="90332575"/>
        <c:axId val="90340735"/>
      </c:barChart>
      <c:catAx>
        <c:axId val="903325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0340735"/>
        <c:crosses val="autoZero"/>
        <c:auto val="1"/>
        <c:lblAlgn val="ctr"/>
        <c:lblOffset val="100"/>
        <c:noMultiLvlLbl val="0"/>
      </c:catAx>
      <c:valAx>
        <c:axId val="90340735"/>
        <c:scaling>
          <c:orientation val="minMax"/>
          <c:max val="9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Cost per GWAU</a:t>
                </a:r>
              </a:p>
            </c:rich>
          </c:tx>
          <c:layout>
            <c:manualLayout>
              <c:xMode val="edge"/>
              <c:yMode val="edge"/>
              <c:x val="0.46221466943266259"/>
              <c:y val="0.922619333173422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03325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15033488301831E-2"/>
          <c:y val="1.5138641650376226E-2"/>
          <c:w val="0.93348496651169821"/>
          <c:h val="0.82235461747099514"/>
        </c:manualLayout>
      </c:layout>
      <c:barChart>
        <c:barDir val="col"/>
        <c:grouping val="stacked"/>
        <c:varyColors val="0"/>
        <c:ser>
          <c:idx val="0"/>
          <c:order val="0"/>
          <c:tx>
            <c:strRef>
              <c:f>Sheet1!$F$95</c:f>
              <c:strCache>
                <c:ptCount val="1"/>
                <c:pt idx="0">
                  <c:v>Acute</c:v>
                </c:pt>
              </c:strCache>
            </c:strRef>
          </c:tx>
          <c:spPr>
            <a:solidFill>
              <a:schemeClr val="accent1"/>
            </a:solidFill>
            <a:ln>
              <a:noFill/>
            </a:ln>
            <a:effectLst/>
          </c:spPr>
          <c:invertIfNegative val="0"/>
          <c:dLbls>
            <c:dLbl>
              <c:idx val="0"/>
              <c:tx>
                <c:rich>
                  <a:bodyPr/>
                  <a:lstStyle/>
                  <a:p>
                    <a:r>
                      <a:rPr lang="en-US"/>
                      <a:t>0.64M (+5.5%)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795-4AAE-B284-9BFECC247504}"/>
                </c:ext>
              </c:extLst>
            </c:dLbl>
            <c:dLbl>
              <c:idx val="1"/>
              <c:tx>
                <c:rich>
                  <a:bodyPr/>
                  <a:lstStyle/>
                  <a:p>
                    <a:r>
                      <a:rPr lang="en-US"/>
                      <a:t>0.58M (+4.3%)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795-4AAE-B284-9BFECC247504}"/>
                </c:ext>
              </c:extLst>
            </c:dLbl>
            <c:dLbl>
              <c:idx val="2"/>
              <c:tx>
                <c:rich>
                  <a:bodyPr/>
                  <a:lstStyle/>
                  <a:p>
                    <a:r>
                      <a:rPr lang="en-US"/>
                      <a:t>$4.47bn (+6.9%)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95-4AAE-B284-9BFECC2475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Sheet1!$G$94:$I$94</c:f>
              <c:strCache>
                <c:ptCount val="3"/>
                <c:pt idx="0">
                  <c:v>Episodes</c:v>
                </c:pt>
                <c:pt idx="1">
                  <c:v>GWAU</c:v>
                </c:pt>
                <c:pt idx="2">
                  <c:v>Total Costs</c:v>
                </c:pt>
              </c:strCache>
            </c:strRef>
          </c:cat>
          <c:val>
            <c:numRef>
              <c:f>Sheet1!$G$95:$I$95</c:f>
              <c:numCache>
                <c:formatCode>0%</c:formatCode>
                <c:ptCount val="3"/>
                <c:pt idx="0" formatCode="0.0%">
                  <c:v>0.15253828530085614</c:v>
                </c:pt>
                <c:pt idx="1">
                  <c:v>0.64010442415320534</c:v>
                </c:pt>
                <c:pt idx="2">
                  <c:v>0.6346199695605681</c:v>
                </c:pt>
              </c:numCache>
            </c:numRef>
          </c:val>
          <c:extLst>
            <c:ext xmlns:c16="http://schemas.microsoft.com/office/drawing/2014/chart" uri="{C3380CC4-5D6E-409C-BE32-E72D297353CC}">
              <c16:uniqueId val="{00000003-D795-4AAE-B284-9BFECC247504}"/>
            </c:ext>
          </c:extLst>
        </c:ser>
        <c:ser>
          <c:idx val="1"/>
          <c:order val="1"/>
          <c:tx>
            <c:strRef>
              <c:f>Sheet1!$F$96</c:f>
              <c:strCache>
                <c:ptCount val="1"/>
                <c:pt idx="0">
                  <c:v>ED</c:v>
                </c:pt>
              </c:strCache>
            </c:strRef>
          </c:tx>
          <c:spPr>
            <a:solidFill>
              <a:schemeClr val="accent2"/>
            </a:solidFill>
            <a:ln>
              <a:noFill/>
            </a:ln>
            <a:effectLst/>
          </c:spPr>
          <c:invertIfNegative val="0"/>
          <c:dLbls>
            <c:dLbl>
              <c:idx val="0"/>
              <c:tx>
                <c:rich>
                  <a:bodyPr/>
                  <a:lstStyle/>
                  <a:p>
                    <a:r>
                      <a:rPr lang="en-US"/>
                      <a:t>0.79M (+3.3%)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795-4AAE-B284-9BFECC247504}"/>
                </c:ext>
              </c:extLst>
            </c:dLbl>
            <c:dLbl>
              <c:idx val="1"/>
              <c:tx>
                <c:rich>
                  <a:bodyPr/>
                  <a:lstStyle/>
                  <a:p>
                    <a:r>
                      <a:rPr lang="en-US"/>
                      <a:t>0.12M (+4.4%)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795-4AAE-B284-9BFECC247504}"/>
                </c:ext>
              </c:extLst>
            </c:dLbl>
            <c:dLbl>
              <c:idx val="2"/>
              <c:tx>
                <c:rich>
                  <a:bodyPr/>
                  <a:lstStyle/>
                  <a:p>
                    <a:r>
                      <a:rPr lang="en-US"/>
                      <a:t>$993M (+9.8%)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795-4AAE-B284-9BFECC2475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Sheet1!$G$94:$I$94</c:f>
              <c:strCache>
                <c:ptCount val="3"/>
                <c:pt idx="0">
                  <c:v>Episodes</c:v>
                </c:pt>
                <c:pt idx="1">
                  <c:v>GWAU</c:v>
                </c:pt>
                <c:pt idx="2">
                  <c:v>Total Costs</c:v>
                </c:pt>
              </c:strCache>
            </c:strRef>
          </c:cat>
          <c:val>
            <c:numRef>
              <c:f>Sheet1!$G$96:$I$96</c:f>
              <c:numCache>
                <c:formatCode>0%</c:formatCode>
                <c:ptCount val="3"/>
                <c:pt idx="0" formatCode="0.0%">
                  <c:v>0.18654144326255612</c:v>
                </c:pt>
                <c:pt idx="1">
                  <c:v>0.12901073419516659</c:v>
                </c:pt>
                <c:pt idx="2">
                  <c:v>0.14075906568890834</c:v>
                </c:pt>
              </c:numCache>
            </c:numRef>
          </c:val>
          <c:extLst>
            <c:ext xmlns:c16="http://schemas.microsoft.com/office/drawing/2014/chart" uri="{C3380CC4-5D6E-409C-BE32-E72D297353CC}">
              <c16:uniqueId val="{00000007-D795-4AAE-B284-9BFECC247504}"/>
            </c:ext>
          </c:extLst>
        </c:ser>
        <c:ser>
          <c:idx val="2"/>
          <c:order val="2"/>
          <c:tx>
            <c:strRef>
              <c:f>Sheet1!$F$97</c:f>
              <c:strCache>
                <c:ptCount val="1"/>
                <c:pt idx="0">
                  <c:v>Mental Health</c:v>
                </c:pt>
              </c:strCache>
            </c:strRef>
          </c:tx>
          <c:spPr>
            <a:solidFill>
              <a:schemeClr val="accent3"/>
            </a:solidFill>
            <a:ln>
              <a:noFill/>
            </a:ln>
            <a:effectLst/>
          </c:spPr>
          <c:invertIfNegative val="0"/>
          <c:dLbls>
            <c:delete val="1"/>
          </c:dLbls>
          <c:cat>
            <c:strRef>
              <c:f>Sheet1!$G$94:$I$94</c:f>
              <c:strCache>
                <c:ptCount val="3"/>
                <c:pt idx="0">
                  <c:v>Episodes</c:v>
                </c:pt>
                <c:pt idx="1">
                  <c:v>GWAU</c:v>
                </c:pt>
                <c:pt idx="2">
                  <c:v>Total Costs</c:v>
                </c:pt>
              </c:strCache>
            </c:strRef>
          </c:cat>
          <c:val>
            <c:numRef>
              <c:f>Sheet1!$G$97:$I$97</c:f>
              <c:numCache>
                <c:formatCode>0%</c:formatCode>
                <c:ptCount val="3"/>
                <c:pt idx="0" formatCode="0.0%">
                  <c:v>0</c:v>
                </c:pt>
                <c:pt idx="1">
                  <c:v>0</c:v>
                </c:pt>
                <c:pt idx="2">
                  <c:v>0</c:v>
                </c:pt>
              </c:numCache>
            </c:numRef>
          </c:val>
          <c:extLst>
            <c:ext xmlns:c16="http://schemas.microsoft.com/office/drawing/2014/chart" uri="{C3380CC4-5D6E-409C-BE32-E72D297353CC}">
              <c16:uniqueId val="{00000008-D795-4AAE-B284-9BFECC247504}"/>
            </c:ext>
          </c:extLst>
        </c:ser>
        <c:ser>
          <c:idx val="3"/>
          <c:order val="3"/>
          <c:tx>
            <c:strRef>
              <c:f>Sheet1!$F$98</c:f>
              <c:strCache>
                <c:ptCount val="1"/>
                <c:pt idx="0">
                  <c:v>Non Admitted</c:v>
                </c:pt>
              </c:strCache>
            </c:strRef>
          </c:tx>
          <c:spPr>
            <a:solidFill>
              <a:schemeClr val="accent4"/>
            </a:solidFill>
            <a:ln>
              <a:noFill/>
            </a:ln>
            <a:effectLst/>
          </c:spPr>
          <c:invertIfNegative val="0"/>
          <c:dLbls>
            <c:dLbl>
              <c:idx val="0"/>
              <c:tx>
                <c:rich>
                  <a:bodyPr/>
                  <a:lstStyle/>
                  <a:p>
                    <a:r>
                      <a:rPr lang="en-US"/>
                      <a:t>2.77M (+7.8%)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795-4AAE-B284-9BFECC247504}"/>
                </c:ext>
              </c:extLst>
            </c:dLbl>
            <c:dLbl>
              <c:idx val="1"/>
              <c:tx>
                <c:rich>
                  <a:bodyPr/>
                  <a:lstStyle/>
                  <a:p>
                    <a:r>
                      <a:rPr lang="en-US"/>
                      <a:t>0.16M (+6.3%)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795-4AAE-B284-9BFECC247504}"/>
                </c:ext>
              </c:extLst>
            </c:dLbl>
            <c:dLbl>
              <c:idx val="2"/>
              <c:tx>
                <c:rich>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r>
                      <a:rPr lang="en-US"/>
                      <a:t>$1.17bn (+10.1%)</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7165964990028804"/>
                      <c:h val="0.12568285280728375"/>
                    </c:manualLayout>
                  </c15:layout>
                  <c15:showDataLabelsRange val="0"/>
                </c:ext>
                <c:ext xmlns:c16="http://schemas.microsoft.com/office/drawing/2014/chart" uri="{C3380CC4-5D6E-409C-BE32-E72D297353CC}">
                  <c16:uniqueId val="{0000000B-D795-4AAE-B284-9BFECC2475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Sheet1!$G$94:$I$94</c:f>
              <c:strCache>
                <c:ptCount val="3"/>
                <c:pt idx="0">
                  <c:v>Episodes</c:v>
                </c:pt>
                <c:pt idx="1">
                  <c:v>GWAU</c:v>
                </c:pt>
                <c:pt idx="2">
                  <c:v>Total Costs</c:v>
                </c:pt>
              </c:strCache>
            </c:strRef>
          </c:cat>
          <c:val>
            <c:numRef>
              <c:f>Sheet1!$G$98:$I$98</c:f>
              <c:numCache>
                <c:formatCode>0%</c:formatCode>
                <c:ptCount val="3"/>
                <c:pt idx="0" formatCode="0.0%">
                  <c:v>0.65776136025924525</c:v>
                </c:pt>
                <c:pt idx="1">
                  <c:v>0.17116686614131613</c:v>
                </c:pt>
                <c:pt idx="2">
                  <c:v>0.16586348974169901</c:v>
                </c:pt>
              </c:numCache>
            </c:numRef>
          </c:val>
          <c:extLst>
            <c:ext xmlns:c16="http://schemas.microsoft.com/office/drawing/2014/chart" uri="{C3380CC4-5D6E-409C-BE32-E72D297353CC}">
              <c16:uniqueId val="{0000000C-D795-4AAE-B284-9BFECC247504}"/>
            </c:ext>
          </c:extLst>
        </c:ser>
        <c:ser>
          <c:idx val="4"/>
          <c:order val="4"/>
          <c:tx>
            <c:strRef>
              <c:f>Sheet1!$F$99</c:f>
              <c:strCache>
                <c:ptCount val="1"/>
                <c:pt idx="0">
                  <c:v>Subacute</c:v>
                </c:pt>
              </c:strCache>
            </c:strRef>
          </c:tx>
          <c:spPr>
            <a:solidFill>
              <a:schemeClr val="accent5"/>
            </a:solidFill>
            <a:ln>
              <a:noFill/>
            </a:ln>
            <a:effectLst/>
          </c:spPr>
          <c:invertIfNegative val="0"/>
          <c:dLbls>
            <c:dLbl>
              <c:idx val="0"/>
              <c:layout>
                <c:manualLayout>
                  <c:x val="0.14858876631114662"/>
                  <c:y val="3.9777669578100916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r>
                      <a:rPr lang="en-US">
                        <a:solidFill>
                          <a:schemeClr val="tx1">
                            <a:lumMod val="75000"/>
                            <a:lumOff val="25000"/>
                          </a:schemeClr>
                        </a:solidFill>
                      </a:rPr>
                      <a:t>0.01M (+9.8%)</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9.4283181918900949E-2"/>
                      <c:h val="0.14085735963581181"/>
                    </c:manualLayout>
                  </c15:layout>
                  <c15:showDataLabelsRange val="0"/>
                </c:ext>
                <c:ext xmlns:c16="http://schemas.microsoft.com/office/drawing/2014/chart" uri="{C3380CC4-5D6E-409C-BE32-E72D297353CC}">
                  <c16:uniqueId val="{0000000D-D795-4AAE-B284-9BFECC247504}"/>
                </c:ext>
              </c:extLst>
            </c:dLbl>
            <c:dLbl>
              <c:idx val="1"/>
              <c:tx>
                <c:rich>
                  <a:bodyPr/>
                  <a:lstStyle/>
                  <a:p>
                    <a:r>
                      <a:rPr lang="en-US"/>
                      <a:t>0.05M (+23.4%)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795-4AAE-B284-9BFECC247504}"/>
                </c:ext>
              </c:extLst>
            </c:dLbl>
            <c:dLbl>
              <c:idx val="2"/>
              <c:tx>
                <c:rich>
                  <a:bodyPr/>
                  <a:lstStyle/>
                  <a:p>
                    <a:r>
                      <a:rPr lang="en-US"/>
                      <a:t>$415M (+9.6%)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795-4AAE-B284-9BFECC24750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Sheet1!$G$94:$I$94</c:f>
              <c:strCache>
                <c:ptCount val="3"/>
                <c:pt idx="0">
                  <c:v>Episodes</c:v>
                </c:pt>
                <c:pt idx="1">
                  <c:v>GWAU</c:v>
                </c:pt>
                <c:pt idx="2">
                  <c:v>Total Costs</c:v>
                </c:pt>
              </c:strCache>
            </c:strRef>
          </c:cat>
          <c:val>
            <c:numRef>
              <c:f>Sheet1!$G$99:$I$99</c:f>
              <c:numCache>
                <c:formatCode>0%</c:formatCode>
                <c:ptCount val="3"/>
                <c:pt idx="0" formatCode="0.0%">
                  <c:v>3.1589111773424319E-3</c:v>
                </c:pt>
                <c:pt idx="1">
                  <c:v>5.9717975510311938E-2</c:v>
                </c:pt>
                <c:pt idx="2">
                  <c:v>5.8757475008824514E-2</c:v>
                </c:pt>
              </c:numCache>
            </c:numRef>
          </c:val>
          <c:extLst>
            <c:ext xmlns:c16="http://schemas.microsoft.com/office/drawing/2014/chart" uri="{C3380CC4-5D6E-409C-BE32-E72D297353CC}">
              <c16:uniqueId val="{00000010-D795-4AAE-B284-9BFECC247504}"/>
            </c:ext>
          </c:extLst>
        </c:ser>
        <c:dLbls>
          <c:dLblPos val="ctr"/>
          <c:showLegendKey val="0"/>
          <c:showVal val="1"/>
          <c:showCatName val="0"/>
          <c:showSerName val="0"/>
          <c:showPercent val="0"/>
          <c:showBubbleSize val="0"/>
        </c:dLbls>
        <c:gapWidth val="87"/>
        <c:overlap val="100"/>
        <c:axId val="1976452367"/>
        <c:axId val="1976456687"/>
      </c:barChart>
      <c:catAx>
        <c:axId val="197645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76456687"/>
        <c:crosses val="autoZero"/>
        <c:auto val="1"/>
        <c:lblAlgn val="ctr"/>
        <c:lblOffset val="100"/>
        <c:noMultiLvlLbl val="0"/>
      </c:catAx>
      <c:valAx>
        <c:axId val="1976456687"/>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76452367"/>
        <c:crosses val="autoZero"/>
        <c:crossBetween val="between"/>
        <c:majorUnit val="0.2"/>
      </c:valAx>
      <c:spPr>
        <a:noFill/>
        <a:ln>
          <a:noFill/>
        </a:ln>
        <a:effectLst/>
      </c:spPr>
    </c:plotArea>
    <c:legend>
      <c:legendPos val="b"/>
      <c:legendEntry>
        <c:idx val="4"/>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2.6784739100167321E-2"/>
          <c:y val="0.95191294373484048"/>
          <c:w val="0.97321526089983268"/>
          <c:h val="4.661788635643845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9358-49AB-BBF3-CE0F244FA3B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3-9358-49AB-BBF3-CE0F244FA3BE}"/>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9358-49AB-BBF3-CE0F244FA3BE}"/>
              </c:ext>
            </c:extLst>
          </c:dPt>
          <c:dLbls>
            <c:dLbl>
              <c:idx val="2"/>
              <c:delete val="1"/>
              <c:extLst>
                <c:ext xmlns:c15="http://schemas.microsoft.com/office/drawing/2012/chart" uri="{CE6537A1-D6FC-4f65-9D91-7224C49458BB}"/>
                <c:ext xmlns:c16="http://schemas.microsoft.com/office/drawing/2014/chart" uri="{C3380CC4-5D6E-409C-BE32-E72D297353CC}">
                  <c16:uniqueId val="{00000006-9358-49AB-BBF3-CE0F244FA3B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Sheet1!$U$88:$U$92</c:f>
              <c:strCache>
                <c:ptCount val="5"/>
                <c:pt idx="0">
                  <c:v>Acute</c:v>
                </c:pt>
                <c:pt idx="1">
                  <c:v>ED</c:v>
                </c:pt>
                <c:pt idx="2">
                  <c:v>Mental Health^</c:v>
                </c:pt>
                <c:pt idx="3">
                  <c:v>Non Admitted</c:v>
                </c:pt>
                <c:pt idx="4">
                  <c:v>Subacute </c:v>
                </c:pt>
              </c:strCache>
            </c:strRef>
          </c:cat>
          <c:val>
            <c:numRef>
              <c:f>Sheet1!$V$88:$V$92</c:f>
              <c:numCache>
                <c:formatCode>"$"#,##0</c:formatCode>
                <c:ptCount val="5"/>
                <c:pt idx="0">
                  <c:v>7697</c:v>
                </c:pt>
                <c:pt idx="1">
                  <c:v>8471</c:v>
                </c:pt>
                <c:pt idx="2">
                  <c:v>0</c:v>
                </c:pt>
                <c:pt idx="3">
                  <c:v>7523</c:v>
                </c:pt>
                <c:pt idx="4">
                  <c:v>7643</c:v>
                </c:pt>
              </c:numCache>
            </c:numRef>
          </c:val>
          <c:extLst>
            <c:ext xmlns:c16="http://schemas.microsoft.com/office/drawing/2014/chart" uri="{C3380CC4-5D6E-409C-BE32-E72D297353CC}">
              <c16:uniqueId val="{00000007-9358-49AB-BBF3-CE0F244FA3BE}"/>
            </c:ext>
          </c:extLst>
        </c:ser>
        <c:dLbls>
          <c:dLblPos val="outEnd"/>
          <c:showLegendKey val="0"/>
          <c:showVal val="1"/>
          <c:showCatName val="0"/>
          <c:showSerName val="0"/>
          <c:showPercent val="0"/>
          <c:showBubbleSize val="0"/>
        </c:dLbls>
        <c:gapWidth val="100"/>
        <c:axId val="1135794111"/>
        <c:axId val="1135771071"/>
      </c:barChart>
      <c:catAx>
        <c:axId val="1135794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35771071"/>
        <c:crosses val="autoZero"/>
        <c:auto val="1"/>
        <c:lblAlgn val="ctr"/>
        <c:lblOffset val="100"/>
        <c:noMultiLvlLbl val="0"/>
      </c:catAx>
      <c:valAx>
        <c:axId val="11357710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Cost per GWAU</a:t>
                </a:r>
              </a:p>
            </c:rich>
          </c:tx>
          <c:layout>
            <c:manualLayout>
              <c:xMode val="edge"/>
              <c:yMode val="edge"/>
              <c:x val="0.46533115479770326"/>
              <c:y val="0.921041714680801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1357941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124010949993976E-2"/>
          <c:y val="2.047450877869304E-2"/>
          <c:w val="0.92687598905000601"/>
          <c:h val="0.81617902714327284"/>
        </c:manualLayout>
      </c:layout>
      <c:barChart>
        <c:barDir val="col"/>
        <c:grouping val="stacked"/>
        <c:varyColors val="0"/>
        <c:ser>
          <c:idx val="0"/>
          <c:order val="0"/>
          <c:tx>
            <c:strRef>
              <c:f>Sheet1!$F$122</c:f>
              <c:strCache>
                <c:ptCount val="1"/>
                <c:pt idx="0">
                  <c:v>Acute</c:v>
                </c:pt>
              </c:strCache>
            </c:strRef>
          </c:tx>
          <c:spPr>
            <a:solidFill>
              <a:schemeClr val="accent1"/>
            </a:solidFill>
            <a:ln>
              <a:noFill/>
            </a:ln>
            <a:effectLst/>
          </c:spPr>
          <c:invertIfNegative val="0"/>
          <c:dLbls>
            <c:dLbl>
              <c:idx val="0"/>
              <c:tx>
                <c:rich>
                  <a:bodyPr/>
                  <a:lstStyle/>
                  <a:p>
                    <a:r>
                      <a:rPr lang="en-US"/>
                      <a:t>0.44M (+4.1%)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5EF-4948-BECE-4D4E8938ABBF}"/>
                </c:ext>
              </c:extLst>
            </c:dLbl>
            <c:dLbl>
              <c:idx val="1"/>
              <c:tx>
                <c:rich>
                  <a:bodyPr/>
                  <a:lstStyle/>
                  <a:p>
                    <a:r>
                      <a:rPr lang="en-US"/>
                      <a:t>0.47M (+3.4%)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5EF-4948-BECE-4D4E8938ABBF}"/>
                </c:ext>
              </c:extLst>
            </c:dLbl>
            <c:dLbl>
              <c:idx val="2"/>
              <c:tx>
                <c:rich>
                  <a:bodyPr/>
                  <a:lstStyle/>
                  <a:p>
                    <a:r>
                      <a:rPr lang="en-US"/>
                      <a:t>$3.39bn (+8.6%)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5EF-4948-BECE-4D4E8938A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Sheet1!$G$121:$I$121</c:f>
              <c:strCache>
                <c:ptCount val="3"/>
                <c:pt idx="0">
                  <c:v>Episodes</c:v>
                </c:pt>
                <c:pt idx="1">
                  <c:v>GWAU</c:v>
                </c:pt>
                <c:pt idx="2">
                  <c:v>Total Costs</c:v>
                </c:pt>
              </c:strCache>
            </c:strRef>
          </c:cat>
          <c:val>
            <c:numRef>
              <c:f>Sheet1!$G$122:$I$122</c:f>
              <c:numCache>
                <c:formatCode>0%</c:formatCode>
                <c:ptCount val="3"/>
                <c:pt idx="0">
                  <c:v>0.13519031610346532</c:v>
                </c:pt>
                <c:pt idx="1">
                  <c:v>0.57439310884886452</c:v>
                </c:pt>
                <c:pt idx="2">
                  <c:v>0.56775784062479107</c:v>
                </c:pt>
              </c:numCache>
            </c:numRef>
          </c:val>
          <c:extLst>
            <c:ext xmlns:c16="http://schemas.microsoft.com/office/drawing/2014/chart" uri="{C3380CC4-5D6E-409C-BE32-E72D297353CC}">
              <c16:uniqueId val="{00000003-B5EF-4948-BECE-4D4E8938ABBF}"/>
            </c:ext>
          </c:extLst>
        </c:ser>
        <c:ser>
          <c:idx val="1"/>
          <c:order val="1"/>
          <c:tx>
            <c:strRef>
              <c:f>Sheet1!$F$123</c:f>
              <c:strCache>
                <c:ptCount val="1"/>
                <c:pt idx="0">
                  <c:v>ED</c:v>
                </c:pt>
              </c:strCache>
            </c:strRef>
          </c:tx>
          <c:spPr>
            <a:solidFill>
              <a:schemeClr val="accent2"/>
            </a:solidFill>
            <a:ln>
              <a:noFill/>
            </a:ln>
            <a:effectLst/>
          </c:spPr>
          <c:invertIfNegative val="0"/>
          <c:dLbls>
            <c:dLbl>
              <c:idx val="0"/>
              <c:tx>
                <c:rich>
                  <a:bodyPr/>
                  <a:lstStyle/>
                  <a:p>
                    <a:r>
                      <a:rPr lang="en-US"/>
                      <a:t>0.60M (+1.0%)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5EF-4948-BECE-4D4E8938ABBF}"/>
                </c:ext>
              </c:extLst>
            </c:dLbl>
            <c:dLbl>
              <c:idx val="1"/>
              <c:tx>
                <c:rich>
                  <a:bodyPr/>
                  <a:lstStyle/>
                  <a:p>
                    <a:r>
                      <a:rPr lang="en-US"/>
                      <a:t>0.09M (+2.3%)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5EF-4948-BECE-4D4E8938ABBF}"/>
                </c:ext>
              </c:extLst>
            </c:dLbl>
            <c:dLbl>
              <c:idx val="2"/>
              <c:tx>
                <c:rich>
                  <a:bodyPr/>
                  <a:lstStyle/>
                  <a:p>
                    <a:r>
                      <a:rPr lang="en-US"/>
                      <a:t>$643M (+6.8%)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5EF-4948-BECE-4D4E8938A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Sheet1!$G$121:$I$121</c:f>
              <c:strCache>
                <c:ptCount val="3"/>
                <c:pt idx="0">
                  <c:v>Episodes</c:v>
                </c:pt>
                <c:pt idx="1">
                  <c:v>GWAU</c:v>
                </c:pt>
                <c:pt idx="2">
                  <c:v>Total Costs</c:v>
                </c:pt>
              </c:strCache>
            </c:strRef>
          </c:cat>
          <c:val>
            <c:numRef>
              <c:f>Sheet1!$G$123:$I$123</c:f>
              <c:numCache>
                <c:formatCode>0%</c:formatCode>
                <c:ptCount val="3"/>
                <c:pt idx="0">
                  <c:v>0.18704567233291478</c:v>
                </c:pt>
                <c:pt idx="1">
                  <c:v>0.1148204983535752</c:v>
                </c:pt>
                <c:pt idx="2">
                  <c:v>0.10777895883146525</c:v>
                </c:pt>
              </c:numCache>
            </c:numRef>
          </c:val>
          <c:extLst>
            <c:ext xmlns:c16="http://schemas.microsoft.com/office/drawing/2014/chart" uri="{C3380CC4-5D6E-409C-BE32-E72D297353CC}">
              <c16:uniqueId val="{00000007-B5EF-4948-BECE-4D4E8938ABBF}"/>
            </c:ext>
          </c:extLst>
        </c:ser>
        <c:ser>
          <c:idx val="2"/>
          <c:order val="2"/>
          <c:tx>
            <c:strRef>
              <c:f>Sheet1!$F$124</c:f>
              <c:strCache>
                <c:ptCount val="1"/>
                <c:pt idx="0">
                  <c:v>Mental Health</c:v>
                </c:pt>
              </c:strCache>
            </c:strRef>
          </c:tx>
          <c:spPr>
            <a:solidFill>
              <a:srgbClr val="80C0B0"/>
            </a:solidFill>
            <a:ln>
              <a:noFill/>
            </a:ln>
            <a:effectLst/>
          </c:spPr>
          <c:invertIfNegative val="0"/>
          <c:dLbls>
            <c:dLbl>
              <c:idx val="0"/>
              <c:layout>
                <c:manualLayout>
                  <c:x val="0.15431500599318501"/>
                  <c:y val="4.4985542399005818E-2"/>
                </c:manualLayout>
              </c:layout>
              <c:tx>
                <c:rich>
                  <a:bodyPr/>
                  <a:lstStyle/>
                  <a:p>
                    <a:r>
                      <a:rPr lang="en-US">
                        <a:solidFill>
                          <a:schemeClr val="tx1">
                            <a:lumMod val="75000"/>
                            <a:lumOff val="25000"/>
                          </a:schemeClr>
                        </a:solidFill>
                      </a:rPr>
                      <a:t>0.01M (+13.7%)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5EF-4948-BECE-4D4E8938ABBF}"/>
                </c:ext>
              </c:extLst>
            </c:dLbl>
            <c:dLbl>
              <c:idx val="1"/>
              <c:tx>
                <c:rich>
                  <a:bodyPr/>
                  <a:lstStyle/>
                  <a:p>
                    <a:r>
                      <a:rPr lang="en-US"/>
                      <a:t>0.04M (-8.3%)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5EF-4948-BECE-4D4E8938ABBF}"/>
                </c:ext>
              </c:extLst>
            </c:dLbl>
            <c:dLbl>
              <c:idx val="2"/>
              <c:tx>
                <c:rich>
                  <a:bodyPr/>
                  <a:lstStyle/>
                  <a:p>
                    <a:r>
                      <a:rPr lang="en-US"/>
                      <a:t>$241M (-2.7%)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5EF-4948-BECE-4D4E8938A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Sheet1!$G$121:$I$121</c:f>
              <c:strCache>
                <c:ptCount val="3"/>
                <c:pt idx="0">
                  <c:v>Episodes</c:v>
                </c:pt>
                <c:pt idx="1">
                  <c:v>GWAU</c:v>
                </c:pt>
                <c:pt idx="2">
                  <c:v>Total Costs</c:v>
                </c:pt>
              </c:strCache>
            </c:strRef>
          </c:cat>
          <c:val>
            <c:numRef>
              <c:f>Sheet1!$G$124:$I$124</c:f>
              <c:numCache>
                <c:formatCode>0%</c:formatCode>
                <c:ptCount val="3"/>
                <c:pt idx="0">
                  <c:v>3.2180720133072713E-3</c:v>
                </c:pt>
                <c:pt idx="1">
                  <c:v>4.2995520362651203E-2</c:v>
                </c:pt>
                <c:pt idx="2">
                  <c:v>4.0441459598451378E-2</c:v>
                </c:pt>
              </c:numCache>
            </c:numRef>
          </c:val>
          <c:extLst>
            <c:ext xmlns:c16="http://schemas.microsoft.com/office/drawing/2014/chart" uri="{C3380CC4-5D6E-409C-BE32-E72D297353CC}">
              <c16:uniqueId val="{0000000B-B5EF-4948-BECE-4D4E8938ABBF}"/>
            </c:ext>
          </c:extLst>
        </c:ser>
        <c:ser>
          <c:idx val="3"/>
          <c:order val="3"/>
          <c:tx>
            <c:strRef>
              <c:f>Sheet1!$F$125</c:f>
              <c:strCache>
                <c:ptCount val="1"/>
                <c:pt idx="0">
                  <c:v>Non Admitted</c:v>
                </c:pt>
              </c:strCache>
            </c:strRef>
          </c:tx>
          <c:spPr>
            <a:solidFill>
              <a:schemeClr val="accent4"/>
            </a:solidFill>
            <a:ln>
              <a:noFill/>
            </a:ln>
            <a:effectLst/>
          </c:spPr>
          <c:invertIfNegative val="0"/>
          <c:dLbls>
            <c:dLbl>
              <c:idx val="0"/>
              <c:tx>
                <c:rich>
                  <a:bodyPr/>
                  <a:lstStyle/>
                  <a:p>
                    <a:r>
                      <a:rPr lang="en-US"/>
                      <a:t>2.16M (+19.1%)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5EF-4948-BECE-4D4E8938ABBF}"/>
                </c:ext>
              </c:extLst>
            </c:dLbl>
            <c:dLbl>
              <c:idx val="1"/>
              <c:tx>
                <c:rich>
                  <a:bodyPr/>
                  <a:lstStyle/>
                  <a:p>
                    <a:r>
                      <a:rPr lang="en-US"/>
                      <a:t>0.15M (+19.6%)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5EF-4948-BECE-4D4E8938ABBF}"/>
                </c:ext>
              </c:extLst>
            </c:dLbl>
            <c:dLbl>
              <c:idx val="2"/>
              <c:tx>
                <c:rich>
                  <a:bodyPr/>
                  <a:lstStyle/>
                  <a:p>
                    <a:r>
                      <a:rPr lang="en-US"/>
                      <a:t>$1.23bn (+23.8%)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5EF-4948-BECE-4D4E8938A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Sheet1!$G$121:$I$121</c:f>
              <c:strCache>
                <c:ptCount val="3"/>
                <c:pt idx="0">
                  <c:v>Episodes</c:v>
                </c:pt>
                <c:pt idx="1">
                  <c:v>GWAU</c:v>
                </c:pt>
                <c:pt idx="2">
                  <c:v>Total Costs</c:v>
                </c:pt>
              </c:strCache>
            </c:strRef>
          </c:cat>
          <c:val>
            <c:numRef>
              <c:f>Sheet1!$G$125:$I$125</c:f>
              <c:numCache>
                <c:formatCode>0%</c:formatCode>
                <c:ptCount val="3"/>
                <c:pt idx="0">
                  <c:v>0.66778200884900096</c:v>
                </c:pt>
                <c:pt idx="1">
                  <c:v>0.18027500401270447</c:v>
                </c:pt>
                <c:pt idx="2">
                  <c:v>0.20655471146409379</c:v>
                </c:pt>
              </c:numCache>
            </c:numRef>
          </c:val>
          <c:extLst>
            <c:ext xmlns:c16="http://schemas.microsoft.com/office/drawing/2014/chart" uri="{C3380CC4-5D6E-409C-BE32-E72D297353CC}">
              <c16:uniqueId val="{0000000F-B5EF-4948-BECE-4D4E8938ABBF}"/>
            </c:ext>
          </c:extLst>
        </c:ser>
        <c:ser>
          <c:idx val="4"/>
          <c:order val="4"/>
          <c:tx>
            <c:strRef>
              <c:f>Sheet1!$F$126</c:f>
              <c:strCache>
                <c:ptCount val="1"/>
                <c:pt idx="0">
                  <c:v>Subacute</c:v>
                </c:pt>
              </c:strCache>
            </c:strRef>
          </c:tx>
          <c:spPr>
            <a:solidFill>
              <a:schemeClr val="accent5"/>
            </a:solidFill>
            <a:ln>
              <a:noFill/>
            </a:ln>
            <a:effectLst/>
          </c:spPr>
          <c:invertIfNegative val="0"/>
          <c:dLbls>
            <c:dLbl>
              <c:idx val="0"/>
              <c:layout>
                <c:manualLayout>
                  <c:x val="0.14814052422121587"/>
                  <c:y val="3.8705112964692076E-2"/>
                </c:manualLayout>
              </c:layout>
              <c:tx>
                <c:rich>
                  <a:bodyPr/>
                  <a:lstStyle/>
                  <a:p>
                    <a:r>
                      <a:rPr lang="en-US">
                        <a:solidFill>
                          <a:schemeClr val="tx1">
                            <a:lumMod val="75000"/>
                            <a:lumOff val="25000"/>
                          </a:schemeClr>
                        </a:solidFill>
                      </a:rPr>
                      <a:t>0.02M (+11.1%)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5EF-4948-BECE-4D4E8938ABBF}"/>
                </c:ext>
              </c:extLst>
            </c:dLbl>
            <c:dLbl>
              <c:idx val="1"/>
              <c:layout>
                <c:manualLayout>
                  <c:x val="-1.7109339268736139E-3"/>
                  <c:y val="2.6566220459633767E-3"/>
                </c:manualLayout>
              </c:layout>
              <c:tx>
                <c:rich>
                  <a:bodyPr/>
                  <a:lstStyle/>
                  <a:p>
                    <a:r>
                      <a:rPr lang="en-US">
                        <a:solidFill>
                          <a:schemeClr val="bg1"/>
                        </a:solidFill>
                      </a:rPr>
                      <a:t>0.07M (+16.9%)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B5EF-4948-BECE-4D4E8938ABBF}"/>
                </c:ext>
              </c:extLst>
            </c:dLbl>
            <c:dLbl>
              <c:idx val="2"/>
              <c:tx>
                <c:rich>
                  <a:bodyPr/>
                  <a:lstStyle/>
                  <a:p>
                    <a:r>
                      <a:rPr lang="en-US"/>
                      <a:t>$462</a:t>
                    </a:r>
                    <a:r>
                      <a:rPr lang="en-US" baseline="0"/>
                      <a:t>M</a:t>
                    </a:r>
                    <a:r>
                      <a:rPr lang="en-US"/>
                      <a:t> (+23.3%)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B5EF-4948-BECE-4D4E8938AB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Sheet1!$G$121:$I$121</c:f>
              <c:strCache>
                <c:ptCount val="3"/>
                <c:pt idx="0">
                  <c:v>Episodes</c:v>
                </c:pt>
                <c:pt idx="1">
                  <c:v>GWAU</c:v>
                </c:pt>
                <c:pt idx="2">
                  <c:v>Total Costs</c:v>
                </c:pt>
              </c:strCache>
            </c:strRef>
          </c:cat>
          <c:val>
            <c:numRef>
              <c:f>Sheet1!$G$126:$I$126</c:f>
              <c:numCache>
                <c:formatCode>0%</c:formatCode>
                <c:ptCount val="3"/>
                <c:pt idx="0">
                  <c:v>6.7639307013116733E-3</c:v>
                </c:pt>
                <c:pt idx="1">
                  <c:v>8.7515868422204601E-2</c:v>
                </c:pt>
                <c:pt idx="2">
                  <c:v>7.7467029481198491E-2</c:v>
                </c:pt>
              </c:numCache>
            </c:numRef>
          </c:val>
          <c:extLst>
            <c:ext xmlns:c16="http://schemas.microsoft.com/office/drawing/2014/chart" uri="{C3380CC4-5D6E-409C-BE32-E72D297353CC}">
              <c16:uniqueId val="{00000013-B5EF-4948-BECE-4D4E8938ABBF}"/>
            </c:ext>
          </c:extLst>
        </c:ser>
        <c:dLbls>
          <c:dLblPos val="ctr"/>
          <c:showLegendKey val="0"/>
          <c:showVal val="1"/>
          <c:showCatName val="0"/>
          <c:showSerName val="0"/>
          <c:showPercent val="0"/>
          <c:showBubbleSize val="0"/>
        </c:dLbls>
        <c:gapWidth val="87"/>
        <c:overlap val="100"/>
        <c:axId val="90350815"/>
        <c:axId val="90339775"/>
      </c:barChart>
      <c:catAx>
        <c:axId val="90350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0339775"/>
        <c:crosses val="autoZero"/>
        <c:auto val="1"/>
        <c:lblAlgn val="ctr"/>
        <c:lblOffset val="100"/>
        <c:noMultiLvlLbl val="0"/>
      </c:catAx>
      <c:valAx>
        <c:axId val="903397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0350815"/>
        <c:crosses val="autoZero"/>
        <c:crossBetween val="between"/>
        <c:majorUnit val="0.2"/>
      </c:valAx>
      <c:spPr>
        <a:noFill/>
        <a:ln>
          <a:noFill/>
        </a:ln>
        <a:effectLst/>
      </c:spPr>
    </c:plotArea>
    <c:legend>
      <c:legendPos val="b"/>
      <c:layout>
        <c:manualLayout>
          <c:xMode val="edge"/>
          <c:yMode val="edge"/>
          <c:x val="6.0161458324246138E-2"/>
          <c:y val="0.95081816878353043"/>
          <c:w val="0.92179704824732056"/>
          <c:h val="4.742479199867035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'NSW rec &amp; graph HNE'!$C$3:$C$14</cx:f>
        <cx:lvl ptCount="12">
          <cx:pt idx="0">HNELHD GL</cx:pt>
          <cx:pt idx="1">Inclusions</cx:pt>
          <cx:pt idx="2">Exclusions</cx:pt>
          <cx:pt idx="3">Restated GL</cx:pt>
          <cx:pt idx="4">Jurisdictional adjustments</cx:pt>
          <cx:pt idx="5">Inclusions (Escalations)</cx:pt>
          <cx:pt idx="6">Out-of-Scope</cx:pt>
          <cx:pt idx="7">Inter Jurisdiction Transfer</cx:pt>
          <cx:pt idx="8">Other exclusions</cx:pt>
          <cx:pt idx="9">WIP</cx:pt>
          <cx:pt idx="10">Non-ABF</cx:pt>
          <cx:pt idx="11">Submitted to IHACPA</cx:pt>
        </cx:lvl>
      </cx:strDim>
      <cx:numDim type="val">
        <cx:f>'NSW rec &amp; graph HNE'!$D$3:$D$14</cx:f>
        <cx:lvl ptCount="12" formatCode="_-* #,##0_-;\-* #,##0_-;_-* &quot;-&quot;??_-;_-@_-">
          <cx:pt idx="0">3065902313</cx:pt>
          <cx:pt idx="1">274210629</cx:pt>
          <cx:pt idx="2">-207892137</cx:pt>
          <cx:pt idx="3">3132220805</cx:pt>
          <cx:pt idx="4">-14241555</cx:pt>
          <cx:pt idx="5">60031448</cx:pt>
          <cx:pt idx="6">-21724609.083214615</cx:pt>
          <cx:pt idx="7">-101815904.40356003</cx:pt>
          <cx:pt idx="8">-337052089.45469522</cx:pt>
          <cx:pt idx="9">-121058839.404082</cx:pt>
          <cx:pt idx="10">-139450985.98508435</cx:pt>
          <cx:pt idx="11">2456908276</cx:pt>
        </cx:lvl>
      </cx:numDim>
    </cx:data>
  </cx:chartData>
  <cx:chart>
    <cx:plotArea>
      <cx:plotAreaRegion>
        <cx:series layoutId="waterfall" uniqueId="{999F973A-F856-4B42-B2CD-567FB9421E6B}">
          <cx:dataPt idx="1">
            <cx:spPr>
              <a:solidFill>
                <a:srgbClr val="464E7E"/>
              </a:solidFill>
            </cx:spPr>
          </cx:dataPt>
          <cx:dataPt idx="3">
            <cx:spPr>
              <a:solidFill>
                <a:srgbClr val="464E7E"/>
              </a:solidFill>
            </cx:spPr>
          </cx:dataPt>
          <cx:dataPt idx="4">
            <cx:spPr>
              <a:solidFill>
                <a:srgbClr val="5F4AFF">
                  <a:lumMod val="40000"/>
                  <a:lumOff val="60000"/>
                </a:srgbClr>
              </a:solidFill>
            </cx:spPr>
          </cx:dataPt>
          <cx:dataPt idx="6">
            <cx:spPr>
              <a:solidFill>
                <a:srgbClr val="5F4AFF">
                  <a:lumMod val="40000"/>
                  <a:lumOff val="60000"/>
                </a:srgbClr>
              </a:solidFill>
            </cx:spPr>
          </cx:dataPt>
          <cx:dataPt idx="7">
            <cx:spPr>
              <a:solidFill>
                <a:srgbClr val="5F4AFF">
                  <a:lumMod val="40000"/>
                  <a:lumOff val="60000"/>
                </a:srgbClr>
              </a:solidFill>
            </cx:spPr>
          </cx:dataPt>
          <cx:dataPt idx="10">
            <cx:spPr>
              <a:solidFill>
                <a:srgbClr val="5F4AFF">
                  <a:lumMod val="40000"/>
                  <a:lumOff val="60000"/>
                </a:srgbClr>
              </a:solidFill>
            </cx:spPr>
          </cx:dataPt>
          <cx:dataLabels pos="outEnd">
            <cx:numFmt formatCode="$#,##0,,&quot;M&quot;;-$#,##0,, &quot;M&quot;" sourceLinked="0"/>
            <cx:txPr>
              <a:bodyPr vertOverflow="overflow" horzOverflow="overflow" wrap="square" lIns="0" tIns="0" rIns="0" bIns="0"/>
              <a:lstStyle/>
              <a:p>
                <a:pPr algn="ctr" rtl="0">
                  <a:defRPr sz="9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900"/>
              </a:p>
            </cx:txPr>
            <cx:visibility seriesName="0" categoryName="0" value="1"/>
            <cx:separator>, </cx:separator>
          </cx:dataLabels>
          <cx:dataId val="0"/>
          <cx:layoutPr>
            <cx:visibility connectorLines="1"/>
            <cx:subtotals>
              <cx:idx val="3"/>
              <cx:idx val="11"/>
            </cx:subtotals>
          </cx:layoutPr>
        </cx:series>
      </cx:plotAreaRegion>
      <cx:axis id="0">
        <cx:catScaling gapWidth="0.5"/>
        <cx:tickLabels/>
        <cx:txPr>
          <a:bodyPr vertOverflow="overflow" horzOverflow="overflow" wrap="square" lIns="0" tIns="0" rIns="0" bIns="0"/>
          <a:lstStyle/>
          <a:p>
            <a:pPr algn="ctr" rtl="0">
              <a:defRPr sz="9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900"/>
          </a:p>
        </cx:txPr>
      </cx:axis>
      <cx:axis id="1">
        <cx:valScaling max="3400000000" min="2400000000"/>
        <cx:majorGridlines/>
        <cx:tickLabels/>
        <cx:numFmt formatCode="$#,##0,,&quot;M&quot;;-$#,##0,, &quot;M&quot;" sourceLinked="0"/>
        <cx:txPr>
          <a:bodyPr spcFirstLastPara="1" vertOverflow="ellipsis" horzOverflow="overflow" wrap="square" lIns="0" tIns="0" rIns="0" bIns="0" anchor="ctr" anchorCtr="1"/>
          <a:lstStyle/>
          <a:p>
            <a:pPr algn="ctr" rtl="0">
              <a:defRPr sz="1000"/>
            </a:pPr>
            <a:endParaRPr lang="en-US" sz="1000" b="0" i="0" u="none" strike="noStrike" baseline="0">
              <a:solidFill>
                <a:sysClr val="windowText" lastClr="000000">
                  <a:lumMod val="65000"/>
                  <a:lumOff val="35000"/>
                </a:sysClr>
              </a:solidFill>
              <a:latin typeface="Avenir Next LT Pro"/>
            </a:endParaRPr>
          </a:p>
        </cx:txPr>
      </cx:axis>
    </cx:plotArea>
  </cx:chart>
  <cx:spPr>
    <a:ln>
      <a:no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'NSW rec &amp; graph MURRUM'!$C$3:$C$14</cx:f>
        <cx:lvl ptCount="12">
          <cx:pt idx="0">Murrumbidgee GL</cx:pt>
          <cx:pt idx="1">Inclusions</cx:pt>
          <cx:pt idx="2">Exclusions</cx:pt>
          <cx:pt idx="3">Restated GL</cx:pt>
          <cx:pt idx="4">Jurisdictional adjustments</cx:pt>
          <cx:pt idx="5">Inclusions (Escalations)</cx:pt>
          <cx:pt idx="6">Out-of-Scope</cx:pt>
          <cx:pt idx="7">Inter Jurisdiction Transfer</cx:pt>
          <cx:pt idx="8">Other exclusions</cx:pt>
          <cx:pt idx="9">WIP</cx:pt>
          <cx:pt idx="10">Non-ABF</cx:pt>
          <cx:pt idx="11">Submitted to IHACPA</cx:pt>
        </cx:lvl>
      </cx:strDim>
      <cx:numDim type="val">
        <cx:f>'NSW rec &amp; graph MURRUM'!$D$3:$D$14</cx:f>
        <cx:lvl ptCount="12" formatCode="_-* #,##0_-;\-* #,##0_-;_-* &quot;-&quot;??_-;_-@_-">
          <cx:pt idx="0">909253671</cx:pt>
          <cx:pt idx="1">24117118</cx:pt>
          <cx:pt idx="3">933370789</cx:pt>
          <cx:pt idx="4">-3377846</cx:pt>
          <cx:pt idx="5">25701806</cx:pt>
          <cx:pt idx="6">-1552552</cx:pt>
          <cx:pt idx="7">-30248801</cx:pt>
          <cx:pt idx="8">-125960826</cx:pt>
          <cx:pt idx="9">-126364669</cx:pt>
          <cx:pt idx="10">-122947858</cx:pt>
          <cx:pt idx="11">548620044</cx:pt>
        </cx:lvl>
      </cx:numDim>
    </cx:data>
  </cx:chartData>
  <cx:chart>
    <cx:plotArea>
      <cx:plotAreaRegion>
        <cx:series layoutId="waterfall" uniqueId="{999F973A-F856-4B42-B2CD-567FB9421E6B}">
          <cx:dataPt idx="1">
            <cx:spPr>
              <a:solidFill>
                <a:srgbClr val="464E7E"/>
              </a:solidFill>
            </cx:spPr>
          </cx:dataPt>
          <cx:dataPt idx="3">
            <cx:spPr>
              <a:solidFill>
                <a:srgbClr val="464E7E"/>
              </a:solidFill>
            </cx:spPr>
          </cx:dataPt>
          <cx:dataPt idx="4">
            <cx:spPr>
              <a:solidFill>
                <a:srgbClr val="5F4AFF">
                  <a:lumMod val="40000"/>
                  <a:lumOff val="60000"/>
                </a:srgbClr>
              </a:solidFill>
            </cx:spPr>
          </cx:dataPt>
          <cx:dataPt idx="6">
            <cx:spPr>
              <a:solidFill>
                <a:srgbClr val="5F4AFF">
                  <a:lumMod val="40000"/>
                  <a:lumOff val="60000"/>
                </a:srgbClr>
              </a:solidFill>
            </cx:spPr>
          </cx:dataPt>
          <cx:dataPt idx="7">
            <cx:spPr>
              <a:solidFill>
                <a:srgbClr val="5F4AFF">
                  <a:lumMod val="40000"/>
                  <a:lumOff val="60000"/>
                </a:srgbClr>
              </a:solidFill>
            </cx:spPr>
          </cx:dataPt>
          <cx:dataPt idx="10">
            <cx:spPr>
              <a:solidFill>
                <a:srgbClr val="5F4AFF">
                  <a:lumMod val="40000"/>
                  <a:lumOff val="60000"/>
                </a:srgbClr>
              </a:solidFill>
            </cx:spPr>
          </cx:dataPt>
          <cx:dataLabels pos="outEnd">
            <cx:numFmt formatCode="$#,##0,,&quot;M&quot;;-$#,##0,, &quot;M&quot;" sourceLinked="0"/>
            <cx:txPr>
              <a:bodyPr vertOverflow="overflow" horzOverflow="overflow" wrap="square" lIns="0" tIns="0" rIns="0" bIns="0"/>
              <a:lstStyle/>
              <a:p>
                <a:pPr algn="ctr" rtl="0">
                  <a:defRPr sz="9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900"/>
              </a:p>
            </cx:txPr>
            <cx:visibility seriesName="0" categoryName="0" value="1"/>
            <cx:separator>, </cx:separator>
          </cx:dataLabels>
          <cx:dataId val="0"/>
          <cx:layoutPr>
            <cx:visibility connectorLines="1"/>
            <cx:subtotals>
              <cx:idx val="3"/>
              <cx:idx val="11"/>
            </cx:subtotals>
          </cx:layoutPr>
        </cx:series>
      </cx:plotAreaRegion>
      <cx:axis id="0">
        <cx:catScaling gapWidth="0.5"/>
        <cx:tickLabels/>
        <cx:txPr>
          <a:bodyPr vertOverflow="overflow" horzOverflow="overflow" wrap="square" lIns="0" tIns="0" rIns="0" bIns="0"/>
          <a:lstStyle/>
          <a:p>
            <a:pPr algn="ctr" rtl="0">
              <a:defRPr sz="9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900"/>
          </a:p>
        </cx:txPr>
      </cx:axis>
      <cx:axis id="1">
        <cx:valScaling max="1000000000" min="400000000"/>
        <cx:majorGridlines/>
        <cx:tickLabels/>
        <cx:numFmt formatCode="$#,##0,,&quot;M&quot;;-$#,##0,, &quot;M&quot;" sourceLinked="0"/>
        <cx:txPr>
          <a:bodyPr spcFirstLastPara="1" vertOverflow="ellipsis" horzOverflow="overflow" wrap="square" lIns="0" tIns="0" rIns="0" bIns="0" anchor="ctr" anchorCtr="1"/>
          <a:lstStyle/>
          <a:p>
            <a:pPr algn="ctr" rtl="0">
              <a:defRPr sz="900"/>
            </a:pPr>
            <a:endParaRPr lang="en-US" sz="900" b="0" i="0" u="none" strike="noStrike" baseline="0">
              <a:solidFill>
                <a:sysClr val="windowText" lastClr="000000">
                  <a:lumMod val="65000"/>
                  <a:lumOff val="35000"/>
                </a:sysClr>
              </a:solidFill>
              <a:latin typeface="Avenir Next LT Pro"/>
            </a:endParaRPr>
          </a:p>
        </cx:txPr>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'VIC '!$C$65:$C$71</cx:f>
        <cx:lvl ptCount="7">
          <cx:pt idx="0">Alfred Health GL</cx:pt>
          <cx:pt idx="1">Inclusions</cx:pt>
          <cx:pt idx="2">Restated GL</cx:pt>
          <cx:pt idx="3">Out of scope</cx:pt>
          <cx:pt idx="4">Jurisdiction exclusions</cx:pt>
          <cx:pt idx="5">Other Exclusions</cx:pt>
          <cx:pt idx="6">Submitted to IHACPA</cx:pt>
        </cx:lvl>
      </cx:strDim>
      <cx:numDim type="val">
        <cx:f>'VIC '!$D$65:$D$71</cx:f>
        <cx:lvl ptCount="7" formatCode="_-* #,##0_-;\-* #,##0_-;_-* &quot;-&quot;??_-;_-@_-">
          <cx:pt idx="0">2014247317</cx:pt>
          <cx:pt idx="1">65142446</cx:pt>
          <cx:pt idx="2">2079389763</cx:pt>
          <cx:pt idx="3">-69420913</cx:pt>
          <cx:pt idx="4">-121566607</cx:pt>
          <cx:pt idx="5">-200567824</cx:pt>
          <cx:pt idx="6">1687834419</cx:pt>
        </cx:lvl>
      </cx:numDim>
    </cx:data>
  </cx:chartData>
  <cx:chart>
    <cx:plotArea>
      <cx:plotAreaRegion>
        <cx:plotSurface>
          <cx:spPr>
            <a:ln>
              <a:noFill/>
            </a:ln>
          </cx:spPr>
        </cx:plotSurface>
        <cx:series layoutId="waterfall" uniqueId="{999F973A-F856-4B42-B2CD-567FB9421E6B}">
          <cx:dataPt idx="1">
            <cx:spPr>
              <a:solidFill>
                <a:srgbClr val="464E7E"/>
              </a:solidFill>
            </cx:spPr>
          </cx:dataPt>
          <cx:dataPt idx="2">
            <cx:spPr>
              <a:solidFill>
                <a:srgbClr val="464E7E"/>
              </a:solidFill>
            </cx:spPr>
          </cx:dataPt>
          <cx:dataPt idx="3">
            <cx:spPr>
              <a:solidFill>
                <a:srgbClr val="5F4AFF">
                  <a:lumMod val="40000"/>
                  <a:lumOff val="60000"/>
                </a:srgbClr>
              </a:solidFill>
            </cx:spPr>
          </cx:dataPt>
          <cx:dataPt idx="4">
            <cx:spPr>
              <a:solidFill>
                <a:srgbClr val="5F4AFF">
                  <a:lumMod val="40000"/>
                  <a:lumOff val="60000"/>
                </a:srgbClr>
              </a:solidFill>
            </cx:spPr>
          </cx:dataPt>
          <cx:dataPt idx="6">
            <cx:spPr>
              <a:solidFill>
                <a:srgbClr val="F7BE85"/>
              </a:solidFill>
            </cx:spPr>
          </cx:dataPt>
          <cx:dataLabels pos="outEnd">
            <cx:numFmt formatCode="$##,##0,,&quot;M&quot;;-$##,##0,, &quot;M&quot;" sourceLinked="0"/>
            <cx:txPr>
              <a:bodyPr vertOverflow="overflow" horzOverflow="overflow" wrap="square" lIns="0" tIns="0" rIns="0" bIns="0"/>
              <a:lstStyle/>
              <a:p>
                <a:pPr algn="ctr" rtl="0">
                  <a:defRPr sz="1000" b="0" i="0">
                    <a:solidFill>
                      <a:srgbClr val="000000"/>
                    </a:solidFill>
                    <a:latin typeface="+mn-lt"/>
                    <a:ea typeface="Calibri" panose="020F0502020204030204" pitchFamily="34" charset="0"/>
                    <a:cs typeface="Calibri" panose="020F0502020204030204" pitchFamily="34" charset="0"/>
                  </a:defRPr>
                </a:pPr>
                <a:endParaRPr sz="1000">
                  <a:latin typeface="+mn-lt"/>
                </a:endParaRPr>
              </a:p>
            </cx:txPr>
            <cx:visibility seriesName="0" categoryName="0" value="1"/>
            <cx:separator>, </cx:separator>
            <cx:dataLabel idx="0">
              <cx:numFmt formatCode="$##,##0,,&quot;M&quot;;-$##,##0,, &quot;M&quot;" sourceLinked="0"/>
              <cx:txPr>
                <a:bodyPr vertOverflow="overflow" horzOverflow="overflow" wrap="square" lIns="0" tIns="0" rIns="0" bIns="0"/>
                <a:lstStyle/>
                <a:p>
                  <a:pPr algn="ctr" rtl="0">
                    <a:defRPr/>
                  </a:pPr>
                  <a:r>
                    <a:rPr sz="900"/>
                    <a:t>$2,014M</a:t>
                  </a:r>
                </a:p>
              </cx:txPr>
              <cx:visibility seriesName="0" categoryName="0" value="1"/>
              <cx:separator>, </cx:separator>
            </cx:dataLabel>
            <cx:dataLabel idx="1" pos="inEnd">
              <cx:numFmt formatCode="$##,##0,,&quot;M&quot;;-$##,##0,, &quot;M&quot;" sourceLinked="0"/>
              <cx:txPr>
                <a:bodyPr vertOverflow="overflow" horzOverflow="overflow" wrap="square" lIns="0" tIns="0" rIns="0" bIns="0"/>
                <a:lstStyle/>
                <a:p>
                  <a:pPr algn="ctr" rtl="0">
                    <a:defRPr sz="900"/>
                  </a:pPr>
                  <a:r>
                    <a:rPr sz="900"/>
                    <a:t>$65M</a:t>
                  </a:r>
                </a:p>
              </cx:txPr>
              <cx:visibility seriesName="0" categoryName="0" value="1"/>
              <cx:separator>, </cx:separator>
            </cx:dataLabel>
            <cx:dataLabel idx="2" pos="inEnd">
              <cx:numFmt formatCode="$##,##0,,&quot;M&quot;;-$##,##0,, &quot;M&quot;" sourceLinked="0"/>
              <cx:txPr>
                <a:bodyPr vertOverflow="overflow" horzOverflow="overflow" wrap="square" lIns="0" tIns="0" rIns="0" bIns="0"/>
                <a:lstStyle/>
                <a:p>
                  <a:pPr algn="ctr" rtl="0">
                    <a:defRPr/>
                  </a:pPr>
                  <a:r>
                    <a:rPr sz="900"/>
                    <a:t>$2,079M</a:t>
                  </a:r>
                </a:p>
              </cx:txPr>
              <cx:visibility seriesName="0" categoryName="0" value="1"/>
              <cx:separator>, </cx:separator>
            </cx:dataLabel>
          </cx:dataLabels>
          <cx:dataId val="0"/>
          <cx:layoutPr>
            <cx:visibility connectorLines="1"/>
            <cx:subtotals>
              <cx:idx val="2"/>
              <cx:idx val="6"/>
            </cx:subtotals>
          </cx:layoutPr>
        </cx:series>
      </cx:plotAreaRegion>
      <cx:axis id="0" hidden="1">
        <cx:catScaling gapWidth="0.5"/>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axis id="1">
        <cx:valScaling max="2100000000" min="1500000000"/>
        <cx:majorGridlines/>
        <cx:tickLabels/>
        <cx:numFmt formatCode="$#,###0,,&quot;M&quot;;-$#,###0,, &quot;M&quot;" sourceLinked="0"/>
        <cx:txPr>
          <a:bodyPr spcFirstLastPara="1" vertOverflow="ellipsis" horzOverflow="overflow" wrap="square" lIns="0" tIns="0" rIns="0" bIns="0" anchor="ctr" anchorCtr="1"/>
          <a:lstStyle/>
          <a:p>
            <a:pPr algn="ctr" rtl="0">
              <a:defRPr sz="1000"/>
            </a:pPr>
            <a:endParaRPr lang="en-US" sz="1000" b="0" i="0" u="none" strike="noStrike" baseline="0">
              <a:solidFill>
                <a:sysClr val="windowText" lastClr="000000">
                  <a:lumMod val="65000"/>
                  <a:lumOff val="35000"/>
                </a:sysClr>
              </a:solidFill>
              <a:latin typeface="Avenir Next LT Pro"/>
            </a:endParaRPr>
          </a:p>
        </cx:txPr>
      </cx:axis>
    </cx:plotArea>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'VIC '!$C$2:$C$9</cx:f>
        <cx:lvl ptCount="8">
          <cx:pt idx="0">Barwon Health GL</cx:pt>
          <cx:pt idx="1">Inclusions</cx:pt>
          <cx:pt idx="2">Restated GL</cx:pt>
          <cx:pt idx="3">Out of scope</cx:pt>
          <cx:pt idx="4">Jurisdiction exclusions</cx:pt>
          <cx:pt idx="5">Transfers / costed elsewhere</cx:pt>
          <cx:pt idx="6">Other exclusions</cx:pt>
          <cx:pt idx="7">Submitted to IHACPA</cx:pt>
        </cx:lvl>
      </cx:strDim>
      <cx:numDim type="val">
        <cx:f>'VIC '!$D$2:$D$9</cx:f>
        <cx:lvl ptCount="8" formatCode="_-* #,##0_-;\-* #,##0_-;_-* &quot;-&quot;??_-;_-@_-">
          <cx:pt idx="0">1270773657</cx:pt>
          <cx:pt idx="1">4795875</cx:pt>
          <cx:pt idx="2">1275569532</cx:pt>
          <cx:pt idx="3">-43022941</cx:pt>
          <cx:pt idx="4">-71218338</cx:pt>
          <cx:pt idx="5">-42500000</cx:pt>
          <cx:pt idx="6">-219659138</cx:pt>
          <cx:pt idx="7">899169115</cx:pt>
        </cx:lvl>
      </cx:numDim>
    </cx:data>
  </cx:chartData>
  <cx:chart>
    <cx:plotArea>
      <cx:plotAreaRegion>
        <cx:series layoutId="waterfall" uniqueId="{999F973A-F856-4B42-B2CD-567FB9421E6B}">
          <cx:dataPt idx="1">
            <cx:spPr>
              <a:solidFill>
                <a:srgbClr val="464E7E"/>
              </a:solidFill>
            </cx:spPr>
          </cx:dataPt>
          <cx:dataPt idx="2">
            <cx:spPr>
              <a:solidFill>
                <a:srgbClr val="464E7E"/>
              </a:solidFill>
            </cx:spPr>
          </cx:dataPt>
          <cx:dataPt idx="3">
            <cx:spPr>
              <a:solidFill>
                <a:srgbClr val="5F4AFF">
                  <a:lumMod val="40000"/>
                  <a:lumOff val="60000"/>
                </a:srgbClr>
              </a:solidFill>
            </cx:spPr>
          </cx:dataPt>
          <cx:dataPt idx="4">
            <cx:spPr>
              <a:solidFill>
                <a:srgbClr val="5F4AFF">
                  <a:lumMod val="40000"/>
                  <a:lumOff val="60000"/>
                </a:srgbClr>
              </a:solidFill>
            </cx:spPr>
          </cx:dataPt>
          <cx:dataPt idx="5">
            <cx:spPr>
              <a:solidFill>
                <a:srgbClr val="B4B5DB"/>
              </a:solidFill>
            </cx:spPr>
          </cx:dataPt>
          <cx:dataPt idx="6">
            <cx:spPr>
              <a:solidFill>
                <a:srgbClr val="5F4AFF">
                  <a:lumMod val="40000"/>
                  <a:lumOff val="60000"/>
                </a:srgbClr>
              </a:solidFill>
            </cx:spPr>
          </cx:dataPt>
          <cx:dataPt idx="7">
            <cx:spPr>
              <a:solidFill>
                <a:srgbClr val="F7BE85"/>
              </a:solidFill>
            </cx:spPr>
          </cx:dataPt>
          <cx:dataLabels pos="outEnd">
            <cx:numFmt formatCode="$#,##0,,&quot;M&quot;;-$#,##0,, &quot;M&quot;" sourceLinked="0"/>
            <cx:txPr>
              <a:bodyPr vertOverflow="overflow" horzOverflow="overflow" wrap="square" lIns="0" tIns="0" rIns="0" bIns="0"/>
              <a:lstStyle/>
              <a:p>
                <a:pPr algn="ctr" rtl="0">
                  <a:defRPr sz="1000" b="0" i="0">
                    <a:solidFill>
                      <a:srgbClr val="000000"/>
                    </a:solidFill>
                    <a:latin typeface="+mn-lt"/>
                    <a:ea typeface="Calibri" panose="020F0502020204030204" pitchFamily="34" charset="0"/>
                    <a:cs typeface="Calibri" panose="020F0502020204030204" pitchFamily="34" charset="0"/>
                  </a:defRPr>
                </a:pPr>
                <a:endParaRPr sz="1000">
                  <a:latin typeface="+mn-lt"/>
                </a:endParaRPr>
              </a:p>
            </cx:txPr>
            <cx:visibility seriesName="0" categoryName="0" value="1"/>
            <cx:separator>, </cx:separator>
          </cx:dataLabels>
          <cx:dataId val="0"/>
          <cx:layoutPr>
            <cx:visibility connectorLines="1"/>
            <cx:subtotals>
              <cx:idx val="2"/>
              <cx:idx val="7"/>
            </cx:subtotals>
          </cx:layoutPr>
        </cx:series>
      </cx:plotAreaRegion>
      <cx:axis id="0" hidden="1">
        <cx:catScaling gapWidth="0.5"/>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axis id="1">
        <cx:valScaling/>
        <cx:majorGridlines/>
        <cx:tickLabels/>
        <cx:numFmt formatCode="$#,##0,,&quot;M&quot;;-$#,##0,, &quot;M&quot;" sourceLinked="0"/>
        <cx:txPr>
          <a:bodyPr spcFirstLastPara="1" vertOverflow="ellipsis" horzOverflow="overflow" wrap="square" lIns="0" tIns="0" rIns="0" bIns="0" anchor="ctr" anchorCtr="1"/>
          <a:lstStyle/>
          <a:p>
            <a:pPr algn="ctr" rtl="0">
              <a:defRPr sz="1000"/>
            </a:pPr>
            <a:endParaRPr lang="en-US" sz="1000" b="0" i="0" u="none" strike="noStrike" baseline="0">
              <a:solidFill>
                <a:sysClr val="windowText" lastClr="000000">
                  <a:lumMod val="65000"/>
                  <a:lumOff val="35000"/>
                </a:sysClr>
              </a:solidFill>
              <a:latin typeface="Avenir Next LT Pro"/>
            </a:endParaRPr>
          </a:p>
        </cx:txPr>
      </cx:axis>
    </cx:plotArea>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'QLD MNHHS '!$C$2:$C$7</cx:f>
        <cx:lvl ptCount="6">
          <cx:pt idx="0">MNHHS GL</cx:pt>
          <cx:pt idx="1">Inclusions</cx:pt>
          <cx:pt idx="2">Restated GL</cx:pt>
          <cx:pt idx="3">Out-of-Scope</cx:pt>
          <cx:pt idx="4">Other Exclusions</cx:pt>
          <cx:pt idx="5">Submitted to IHACPA</cx:pt>
        </cx:lvl>
      </cx:strDim>
      <cx:numDim type="val">
        <cx:f>'QLD MNHHS '!$D$2:$D$7</cx:f>
        <cx:lvl ptCount="6" formatCode="_-* #,##0_-;\-* #,##0_-;_-* &quot;-&quot;??_-;_-@_-">
          <cx:pt idx="0">4246270046</cx:pt>
          <cx:pt idx="1">43845529</cx:pt>
          <cx:pt idx="2">4290115575</cx:pt>
          <cx:pt idx="3">-93148429</cx:pt>
          <cx:pt idx="4">-717435559</cx:pt>
          <cx:pt idx="5">3479531587</cx:pt>
        </cx:lvl>
      </cx:numDim>
    </cx:data>
  </cx:chartData>
  <cx:chart>
    <cx:plotArea>
      <cx:plotAreaRegion>
        <cx:series layoutId="waterfall" uniqueId="{999F973A-F856-4B42-B2CD-567FB9421E6B}">
          <cx:dataPt idx="1">
            <cx:spPr>
              <a:solidFill>
                <a:srgbClr val="464E7E"/>
              </a:solidFill>
            </cx:spPr>
          </cx:dataPt>
          <cx:dataPt idx="2">
            <cx:spPr>
              <a:solidFill>
                <a:srgbClr val="464E7E"/>
              </a:solidFill>
            </cx:spPr>
          </cx:dataPt>
          <cx:dataPt idx="3">
            <cx:spPr>
              <a:solidFill>
                <a:srgbClr val="5F4AFF">
                  <a:lumMod val="40000"/>
                  <a:lumOff val="60000"/>
                </a:srgbClr>
              </a:solidFill>
            </cx:spPr>
          </cx:dataPt>
          <cx:dataPt idx="4">
            <cx:spPr>
              <a:solidFill>
                <a:srgbClr val="5F4AFF">
                  <a:lumMod val="40000"/>
                  <a:lumOff val="60000"/>
                </a:srgbClr>
              </a:solidFill>
            </cx:spPr>
          </cx:dataPt>
          <cx:dataPt idx="5">
            <cx:spPr>
              <a:solidFill>
                <a:srgbClr val="F7BE85"/>
              </a:solidFill>
            </cx:spPr>
          </cx:dataPt>
          <cx:dataLabels pos="outEnd">
            <cx:numFmt formatCode="$#,##0,,&quot;M&quot;;-$#,##0,, &quot;M&quot;" sourceLinked="0"/>
            <cx:txPr>
              <a:bodyPr vertOverflow="overflow" horzOverflow="overflow" wrap="square" lIns="0" tIns="0" rIns="0" bIns="0"/>
              <a:lstStyle/>
              <a:p>
                <a:pPr algn="ctr" rtl="0">
                  <a:defRPr sz="10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1000"/>
              </a:p>
            </cx:txPr>
            <cx:visibility seriesName="0" categoryName="0" value="1"/>
            <cx:separator>, </cx:separator>
          </cx:dataLabels>
          <cx:dataId val="0"/>
          <cx:layoutPr>
            <cx:visibility connectorLines="1"/>
            <cx:subtotals>
              <cx:idx val="2"/>
              <cx:idx val="5"/>
            </cx:subtotals>
          </cx:layoutPr>
        </cx:series>
      </cx:plotAreaRegion>
      <cx:axis id="0">
        <cx:catScaling gapWidth="0.5"/>
        <cx:tickLabels/>
        <cx:txPr>
          <a:bodyPr vertOverflow="overflow" horzOverflow="overflow" wrap="square" lIns="0" tIns="0" rIns="0" bIns="0"/>
          <a:lstStyle/>
          <a:p>
            <a:pPr algn="ctr" rtl="0">
              <a:defRPr sz="10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1000"/>
          </a:p>
        </cx:txPr>
      </cx:axis>
      <cx:axis id="1">
        <cx:valScaling/>
        <cx:majorGridlines/>
        <cx:tickLabels/>
        <cx:numFmt formatCode="$#,##0,,&quot;M&quot;;-$#,##0,, &quot;M&quot;" sourceLinked="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Avenir Next LT Pro"/>
            </a:endParaRPr>
          </a:p>
        </cx:txPr>
      </cx:axis>
    </cx:plotArea>
  </cx:chart>
  <cx:spPr>
    <a:ln>
      <a:noFill/>
    </a:ln>
  </cx:spPr>
  <cx:clrMapOvr bg1="lt1" tx1="dk1" bg2="lt2" tx2="dk2" accent1="accent1" accent2="accent2" accent3="accent3" accent4="accent4" accent5="accent5" accent6="accent6" hlink="hlink" folHlink="folHlink"/>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'QLD WBHHS'!$C$2:$C$7</cx:f>
        <cx:lvl ptCount="6">
          <cx:pt idx="0">WBHHS GL</cx:pt>
          <cx:pt idx="1">Inclusions</cx:pt>
          <cx:pt idx="2">Restated GL</cx:pt>
          <cx:pt idx="3">Out-of-Scope</cx:pt>
          <cx:pt idx="4">Other Exclusions</cx:pt>
          <cx:pt idx="5">Submitted to IHACPA</cx:pt>
        </cx:lvl>
      </cx:strDim>
      <cx:numDim type="val">
        <cx:f>'QLD WBHHS'!$D$2:$D$7</cx:f>
        <cx:lvl ptCount="6" formatCode="_-* #,##0_-;\-* #,##0_-;_-* &quot;-&quot;??_-;_-@_-">
          <cx:pt idx="0">911223155</cx:pt>
          <cx:pt idx="1">22234777</cx:pt>
          <cx:pt idx="2">933457932</cx:pt>
          <cx:pt idx="3">-23358540</cx:pt>
          <cx:pt idx="4">-206347777</cx:pt>
          <cx:pt idx="5">703751615</cx:pt>
        </cx:lvl>
      </cx:numDim>
    </cx:data>
  </cx:chartData>
  <cx:chart>
    <cx:plotArea>
      <cx:plotAreaRegion>
        <cx:plotSurface>
          <cx:spPr>
            <a:ln>
              <a:noFill/>
            </a:ln>
          </cx:spPr>
        </cx:plotSurface>
        <cx:series layoutId="waterfall" uniqueId="{999F973A-F856-4B42-B2CD-567FB9421E6B}">
          <cx:dataPt idx="1">
            <cx:spPr>
              <a:solidFill>
                <a:srgbClr val="464E7E"/>
              </a:solidFill>
            </cx:spPr>
          </cx:dataPt>
          <cx:dataPt idx="2">
            <cx:spPr>
              <a:solidFill>
                <a:srgbClr val="464E7E"/>
              </a:solidFill>
            </cx:spPr>
          </cx:dataPt>
          <cx:dataPt idx="3">
            <cx:spPr>
              <a:solidFill>
                <a:srgbClr val="5F4AFF">
                  <a:lumMod val="40000"/>
                  <a:lumOff val="60000"/>
                </a:srgbClr>
              </a:solidFill>
            </cx:spPr>
          </cx:dataPt>
          <cx:dataPt idx="4">
            <cx:spPr>
              <a:solidFill>
                <a:srgbClr val="5F4AFF">
                  <a:lumMod val="40000"/>
                  <a:lumOff val="60000"/>
                </a:srgbClr>
              </a:solidFill>
            </cx:spPr>
          </cx:dataPt>
          <cx:dataPt idx="5">
            <cx:spPr>
              <a:solidFill>
                <a:srgbClr val="F7BE85"/>
              </a:solidFill>
            </cx:spPr>
          </cx:dataPt>
          <cx:dataLabels pos="outEnd">
            <cx:numFmt formatCode="$#,##0,,&quot;M&quot;;-$#,##0,, &quot;M&quot;" sourceLinked="0"/>
            <cx:txPr>
              <a:bodyPr vertOverflow="overflow" horzOverflow="overflow" wrap="square" lIns="0" tIns="0" rIns="0" bIns="0"/>
              <a:lstStyle/>
              <a:p>
                <a:pPr algn="ctr" rtl="0">
                  <a:defRPr sz="10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1000"/>
              </a:p>
            </cx:txPr>
            <cx:visibility seriesName="0" categoryName="0" value="1"/>
            <cx:separator>, </cx:separator>
          </cx:dataLabels>
          <cx:dataId val="0"/>
          <cx:layoutPr>
            <cx:visibility connectorLines="1"/>
            <cx:subtotals>
              <cx:idx val="2"/>
              <cx:idx val="5"/>
            </cx:subtotals>
          </cx:layoutPr>
        </cx:series>
      </cx:plotAreaRegion>
      <cx:axis id="0">
        <cx:catScaling gapWidth="0.5"/>
        <cx:tickLabels/>
        <cx:txPr>
          <a:bodyPr vertOverflow="overflow" horzOverflow="overflow" wrap="square" lIns="0" tIns="0" rIns="0" bIns="0"/>
          <a:lstStyle/>
          <a:p>
            <a:pPr algn="ctr" rtl="0">
              <a:defRPr sz="10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1000"/>
          </a:p>
        </cx:txPr>
      </cx:axis>
      <cx:axis id="1">
        <cx:valScaling/>
        <cx:majorGridlines/>
        <cx:tickLabels/>
        <cx:numFmt formatCode="$#,##0,,&quot;M&quot;;-$#,##0,, &quot;M&quot;" sourceLinked="0"/>
        <cx:txPr>
          <a:bodyPr spcFirstLastPara="1" vertOverflow="ellipsis" horzOverflow="overflow" wrap="square" lIns="0" tIns="0" rIns="0" bIns="0" anchor="ctr" anchorCtr="1"/>
          <a:lstStyle/>
          <a:p>
            <a:pPr algn="ctr" rtl="0">
              <a:defRPr/>
            </a:pPr>
            <a:endParaRPr lang="en-US" sz="900" b="0" i="0" u="none" strike="noStrike" baseline="0">
              <a:solidFill>
                <a:sysClr val="windowText" lastClr="000000">
                  <a:lumMod val="65000"/>
                  <a:lumOff val="35000"/>
                </a:sysClr>
              </a:solidFill>
              <a:latin typeface="Avenir Next LT Pro"/>
            </a:endParaRPr>
          </a:p>
        </cx:txPr>
      </cx:axis>
    </cx:plotArea>
  </cx:chart>
  <cx:spPr>
    <a:ln>
      <a:noFill/>
    </a:ln>
  </cx:spPr>
  <cx:clrMapOvr bg1="lt1" tx1="dk1" bg2="lt2" tx2="dk2" accent1="accent1" accent2="accent2" accent3="accent3" accent4="accent4" accent5="accent5" accent6="accent6" hlink="hlink" folHlink="folHlink"/>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'WA (v2) (2)'!$C$4:$C$8</cx:f>
        <cx:lvl ptCount="5">
          <cx:pt idx="0">North Metropolitan HS</cx:pt>
          <cx:pt idx="1">Non-ABF</cx:pt>
          <cx:pt idx="2">Jurisdiction exclusions</cx:pt>
          <cx:pt idx="3">Other exclusions</cx:pt>
          <cx:pt idx="4">Submitted to IHACPA</cx:pt>
        </cx:lvl>
      </cx:strDim>
      <cx:numDim type="val">
        <cx:f>'WA (v2) (2)'!$D$4:$D$8</cx:f>
        <cx:lvl ptCount="5" formatCode="_-* #,##0_-;\-* #,##0_-;_-* &quot;-&quot;??_-;_-@_-">
          <cx:pt idx="0">2706424321</cx:pt>
          <cx:pt idx="1">-284704544</cx:pt>
          <cx:pt idx="2">-500498669</cx:pt>
          <cx:pt idx="3">-53442447</cx:pt>
          <cx:pt idx="4">1867778661</cx:pt>
        </cx:lvl>
      </cx:numDim>
    </cx:data>
  </cx:chartData>
  <cx:chart>
    <cx:plotArea>
      <cx:plotAreaRegion>
        <cx:series layoutId="waterfall" uniqueId="{999F973A-F856-4B42-B2CD-567FB9421E6B}">
          <cx:dataPt idx="1">
            <cx:spPr>
              <a:solidFill>
                <a:srgbClr val="464E7E"/>
              </a:solidFill>
            </cx:spPr>
          </cx:dataPt>
          <cx:dataPt idx="2">
            <cx:spPr>
              <a:solidFill>
                <a:srgbClr val="464E7E"/>
              </a:solidFill>
            </cx:spPr>
          </cx:dataPt>
          <cx:dataPt idx="3">
            <cx:spPr>
              <a:solidFill>
                <a:srgbClr val="5F4AFF">
                  <a:lumMod val="40000"/>
                  <a:lumOff val="60000"/>
                </a:srgbClr>
              </a:solidFill>
            </cx:spPr>
          </cx:dataPt>
          <cx:dataPt idx="4">
            <cx:spPr>
              <a:solidFill>
                <a:srgbClr val="F7BE85"/>
              </a:solidFill>
            </cx:spPr>
          </cx:dataPt>
          <cx:dataPt idx="5">
            <cx:spPr>
              <a:solidFill>
                <a:srgbClr val="5F4AFF">
                  <a:lumMod val="40000"/>
                  <a:lumOff val="60000"/>
                </a:srgbClr>
              </a:solidFill>
            </cx:spPr>
          </cx:dataPt>
          <cx:dataPt idx="6">
            <cx:spPr>
              <a:solidFill>
                <a:srgbClr val="F7BE85"/>
              </a:solidFill>
            </cx:spPr>
          </cx:dataPt>
          <cx:dataLabels pos="outEnd">
            <cx:numFmt formatCode="$#,##0,,&quot;M&quot;;-$#,##0,, &quot;M&quot;" sourceLinked="0"/>
            <cx:txPr>
              <a:bodyPr vertOverflow="overflow" horzOverflow="overflow" wrap="square" lIns="0" tIns="0" rIns="0" bIns="0"/>
              <a:lstStyle/>
              <a:p>
                <a:pPr algn="ctr" rtl="0">
                  <a:defRPr sz="10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1000"/>
              </a:p>
            </cx:txPr>
            <cx:visibility seriesName="0" categoryName="0" value="1"/>
            <cx:separator>, </cx:separator>
          </cx:dataLabels>
          <cx:dataId val="0"/>
          <cx:layoutPr>
            <cx:visibility connectorLines="1"/>
            <cx:subtotals>
              <cx:idx val="4"/>
              <cx:idx val="6"/>
            </cx:subtotals>
          </cx:layoutPr>
        </cx:series>
      </cx:plotAreaRegion>
      <cx:axis id="0">
        <cx:catScaling gapWidth="0.5"/>
        <cx:tickLabels/>
        <cx:txPr>
          <a:bodyPr vertOverflow="overflow" horzOverflow="overflow" wrap="square" lIns="0" tIns="0" rIns="0" bIns="0"/>
          <a:lstStyle/>
          <a:p>
            <a:pPr algn="ctr" rtl="0">
              <a:defRPr sz="8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sz="800"/>
          </a:p>
        </cx:txPr>
      </cx:axis>
      <cx:axis id="1">
        <cx:valScaling/>
        <cx:majorGridlines/>
        <cx:tickLabels/>
        <cx:numFmt formatCode="$#,##0,,&quot;M&quot;;-$#,##0,, &quot;M&quot;" sourceLinked="0"/>
        <cx:txPr>
          <a:bodyPr spcFirstLastPara="1" vertOverflow="ellipsis" horzOverflow="overflow" wrap="square" lIns="0" tIns="0" rIns="0" bIns="0" anchor="ctr" anchorCtr="1"/>
          <a:lstStyle/>
          <a:p>
            <a:pPr algn="ctr" rtl="0">
              <a:defRPr sz="1000"/>
            </a:pPr>
            <a:endParaRPr lang="en-US" sz="1000" b="0" i="0" u="none" strike="noStrike" baseline="0">
              <a:solidFill>
                <a:sysClr val="windowText" lastClr="000000">
                  <a:lumMod val="65000"/>
                  <a:lumOff val="35000"/>
                </a:sysClr>
              </a:solidFill>
              <a:latin typeface="Avenir Next LT Pro"/>
            </a:endParaRPr>
          </a:p>
        </cx:txPr>
      </cx:axis>
    </cx:plotArea>
  </cx:chart>
  <cx:clrMapOvr bg1="lt1" tx1="dk1" bg2="lt2" tx2="dk2" accent1="accent1" accent2="accent2" accent3="accent3" accent4="accent4" accent5="accent5" accent6="accent6" hlink="hlink" folHlink="folHlink"/>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'SA SAHLN'!$C$2:$C$9</cx:f>
        <cx:lvl ptCount="8">
          <cx:pt idx="0">SALHN GL</cx:pt>
          <cx:pt idx="1">Inclusions</cx:pt>
          <cx:pt idx="2">Restated GL</cx:pt>
          <cx:pt idx="3">Non-ABF</cx:pt>
          <cx:pt idx="4">Jurisdiction exclusions</cx:pt>
          <cx:pt idx="5">Transfers / costed elsewhere</cx:pt>
          <cx:pt idx="6">Other Exclusions</cx:pt>
          <cx:pt idx="7">Submitted to IHACPA</cx:pt>
        </cx:lvl>
      </cx:strDim>
      <cx:numDim type="val">
        <cx:f>'SA SAHLN'!$D$2:$D$9</cx:f>
        <cx:lvl ptCount="8" formatCode="_-* #,##0_-;\-* #,##0_-;_-* &quot;-&quot;??_-;_-@_-">
          <cx:pt idx="0">1602729035</cx:pt>
          <cx:pt idx="1">71059317</cx:pt>
          <cx:pt idx="2">1673788352</cx:pt>
          <cx:pt idx="3">-25932621</cx:pt>
          <cx:pt idx="4">-45418975</cx:pt>
          <cx:pt idx="5">-25328762</cx:pt>
          <cx:pt idx="6">-136642828</cx:pt>
          <cx:pt idx="7">1440465166</cx:pt>
        </cx:lvl>
      </cx:numDim>
    </cx:data>
  </cx:chartData>
  <cx:chart>
    <cx:plotArea>
      <cx:plotAreaRegion>
        <cx:series layoutId="waterfall" uniqueId="{999F973A-F856-4B42-B2CD-567FB9421E6B}">
          <cx:dataPt idx="1">
            <cx:spPr>
              <a:solidFill>
                <a:srgbClr val="464E7E"/>
              </a:solidFill>
            </cx:spPr>
          </cx:dataPt>
          <cx:dataPt idx="2">
            <cx:spPr>
              <a:solidFill>
                <a:srgbClr val="464E7E"/>
              </a:solidFill>
            </cx:spPr>
          </cx:dataPt>
          <cx:dataPt idx="3">
            <cx:spPr>
              <a:solidFill>
                <a:srgbClr val="5F4AFF">
                  <a:lumMod val="40000"/>
                  <a:lumOff val="60000"/>
                </a:srgbClr>
              </a:solidFill>
            </cx:spPr>
          </cx:dataPt>
          <cx:dataPt idx="4">
            <cx:spPr>
              <a:solidFill>
                <a:srgbClr val="5F4AFF">
                  <a:lumMod val="40000"/>
                  <a:lumOff val="60000"/>
                </a:srgbClr>
              </a:solidFill>
            </cx:spPr>
          </cx:dataPt>
          <cx:dataPt idx="5">
            <cx:spPr>
              <a:solidFill>
                <a:srgbClr val="5F4AFF">
                  <a:lumMod val="40000"/>
                  <a:lumOff val="60000"/>
                </a:srgbClr>
              </a:solidFill>
            </cx:spPr>
          </cx:dataPt>
          <cx:dataPt idx="6">
            <cx:spPr>
              <a:solidFill>
                <a:srgbClr val="5F4AFF">
                  <a:lumMod val="40000"/>
                  <a:lumOff val="60000"/>
                </a:srgbClr>
              </a:solidFill>
            </cx:spPr>
          </cx:dataPt>
          <cx:dataPt idx="7">
            <cx:spPr>
              <a:solidFill>
                <a:srgbClr val="F7BE85"/>
              </a:solidFill>
            </cx:spPr>
          </cx:dataPt>
          <cx:dataLabels pos="outEnd">
            <cx:numFmt formatCode="$#,##0,,&quot;M&quot;;-$#,##0,, &quot;M&quot;" sourceLinked="0"/>
            <cx:txPr>
              <a:bodyPr vertOverflow="overflow" horzOverflow="overflow" wrap="square" lIns="0" tIns="0" rIns="0" bIns="0"/>
              <a:lstStyle/>
              <a:p>
                <a:pPr algn="ctr" rtl="0">
                  <a:defRPr sz="1000" b="0" i="0">
                    <a:solidFill>
                      <a:srgbClr val="000000"/>
                    </a:solidFill>
                    <a:latin typeface="Avenir Next LT Pro" panose="020B0504020202020204" pitchFamily="34" charset="0"/>
                    <a:ea typeface="Avenir Next LT Pro" panose="020B0504020202020204" pitchFamily="34" charset="0"/>
                    <a:cs typeface="Avenir Next LT Pro" panose="020B0504020202020204" pitchFamily="34" charset="0"/>
                  </a:defRPr>
                </a:pPr>
                <a:endParaRPr sz="1000">
                  <a:latin typeface="Avenir Next LT Pro" panose="020B0504020202020204" pitchFamily="34" charset="0"/>
                </a:endParaRPr>
              </a:p>
            </cx:txPr>
            <cx:visibility seriesName="0" categoryName="0" value="1"/>
            <cx:separator>, </cx:separator>
          </cx:dataLabels>
          <cx:dataId val="0"/>
          <cx:layoutPr>
            <cx:visibility connectorLines="1"/>
            <cx:subtotals>
              <cx:idx val="2"/>
              <cx:idx val="7"/>
            </cx:subtotals>
          </cx:layoutPr>
        </cx:series>
      </cx:plotAreaRegion>
      <cx:axis id="0" hidden="1">
        <cx:catScaling gapWidth="0.5"/>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axis id="1">
        <cx:valScaling/>
        <cx:majorGridlines/>
        <cx:tickLabels/>
        <cx:numFmt formatCode="$#,##0,,&quot;M&quot;;-$#,##0,, &quot;M&quot;" sourceLinked="0"/>
        <cx:txPr>
          <a:bodyPr spcFirstLastPara="1" vertOverflow="ellipsis" horzOverflow="overflow" wrap="square" lIns="0" tIns="0" rIns="0" bIns="0" anchor="ctr" anchorCtr="1"/>
          <a:lstStyle/>
          <a:p>
            <a:pPr algn="ctr" rtl="0">
              <a:defRPr sz="1000"/>
            </a:pPr>
            <a:endParaRPr lang="en-US" sz="1000" b="0" i="0" u="none" strike="noStrike" baseline="0">
              <a:solidFill>
                <a:sysClr val="windowText" lastClr="000000">
                  <a:lumMod val="65000"/>
                  <a:lumOff val="35000"/>
                </a:sysClr>
              </a:solidFill>
              <a:latin typeface="Avenir Next LT Pro"/>
            </a:endParaRPr>
          </a:p>
        </cx:txPr>
      </cx:axis>
    </cx:plotArea>
  </cx:chart>
  <cx:spPr>
    <a:noFill/>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cyne">
    <a:dk1>
      <a:sysClr val="windowText" lastClr="000000"/>
    </a:dk1>
    <a:lt1>
      <a:sysClr val="window" lastClr="FFFFFF"/>
    </a:lt1>
    <a:dk2>
      <a:srgbClr val="44546A"/>
    </a:dk2>
    <a:lt2>
      <a:srgbClr val="F2EFED"/>
    </a:lt2>
    <a:accent1>
      <a:srgbClr val="220054"/>
    </a:accent1>
    <a:accent2>
      <a:srgbClr val="464E7E"/>
    </a:accent2>
    <a:accent3>
      <a:srgbClr val="484B5D"/>
    </a:accent3>
    <a:accent4>
      <a:srgbClr val="B4B5DB"/>
    </a:accent4>
    <a:accent5>
      <a:srgbClr val="F7BE85"/>
    </a:accent5>
    <a:accent6>
      <a:srgbClr val="5F4AFF"/>
    </a:accent6>
    <a:hlink>
      <a:srgbClr val="4F28B7"/>
    </a:hlink>
    <a:folHlink>
      <a:srgbClr val="F2EFED"/>
    </a:folHlink>
  </a:clrScheme>
  <a:fontScheme name="Scyne">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74BF09F01B7D4D9914218A761FE526" ma:contentTypeVersion="10" ma:contentTypeDescription="Create a new document." ma:contentTypeScope="" ma:versionID="3da3bf2a25762eb692b5e3800de74f75">
  <xsd:schema xmlns:xsd="http://www.w3.org/2001/XMLSchema" xmlns:xs="http://www.w3.org/2001/XMLSchema" xmlns:p="http://schemas.microsoft.com/office/2006/metadata/properties" xmlns:ns2="05918cd7-5424-460a-9bba-f99f0e0d2ce9" xmlns:ns3="8cb406d7-402b-4368-a4bd-5fd8248c1dd8" targetNamespace="http://schemas.microsoft.com/office/2006/metadata/properties" ma:root="true" ma:fieldsID="b36f1431755b0ea83490f73166f2c2c2" ns2:_="" ns3:_="">
    <xsd:import namespace="05918cd7-5424-460a-9bba-f99f0e0d2ce9"/>
    <xsd:import namespace="8cb406d7-402b-4368-a4bd-5fd8248c1d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18cd7-5424-460a-9bba-f99f0e0d2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ce55f3d-5125-47d9-9734-e572943c040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b406d7-402b-4368-a4bd-5fd8248c1dd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fe27af-4b3a-4d95-85e4-41650b080a20}" ma:internalName="TaxCatchAll" ma:showField="CatchAllData" ma:web="8cb406d7-402b-4368-a4bd-5fd8248c1d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cb406d7-402b-4368-a4bd-5fd8248c1dd8" xsi:nil="true"/>
    <lcf76f155ced4ddcb4097134ff3c332f xmlns="05918cd7-5424-460a-9bba-f99f0e0d2c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28FAE-1715-401C-A061-357C0EBA79B4}">
  <ds:schemaRefs>
    <ds:schemaRef ds:uri="http://schemas.microsoft.com/sharepoint/v3/contenttype/forms"/>
  </ds:schemaRefs>
</ds:datastoreItem>
</file>

<file path=customXml/itemProps2.xml><?xml version="1.0" encoding="utf-8"?>
<ds:datastoreItem xmlns:ds="http://schemas.openxmlformats.org/officeDocument/2006/customXml" ds:itemID="{F9611584-6F78-44CC-8673-CA6704D0C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18cd7-5424-460a-9bba-f99f0e0d2ce9"/>
    <ds:schemaRef ds:uri="8cb406d7-402b-4368-a4bd-5fd8248c1d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AA475-339E-41B0-8D26-FFE0567A8469}">
  <ds:schemaRefs>
    <ds:schemaRef ds:uri="http://schemas.microsoft.com/office/2006/metadata/properties"/>
    <ds:schemaRef ds:uri="http://schemas.microsoft.com/office/infopath/2007/PartnerControls"/>
    <ds:schemaRef ds:uri="8cb406d7-402b-4368-a4bd-5fd8248c1dd8"/>
    <ds:schemaRef ds:uri="05918cd7-5424-460a-9bba-f99f0e0d2ce9"/>
  </ds:schemaRefs>
</ds:datastoreItem>
</file>

<file path=customXml/itemProps4.xml><?xml version="1.0" encoding="utf-8"?>
<ds:datastoreItem xmlns:ds="http://schemas.openxmlformats.org/officeDocument/2006/customXml" ds:itemID="{5ADE6005-EA88-4E0D-8D76-65FD06CCE457}">
  <ds:schemaRefs>
    <ds:schemaRef ds:uri="http://schemas.openxmlformats.org/officeDocument/2006/bibliography"/>
  </ds:schemaRefs>
</ds:datastoreItem>
</file>

<file path=docMetadata/LabelInfo.xml><?xml version="1.0" encoding="utf-8"?>
<clbl:labelList xmlns:clbl="http://schemas.microsoft.com/office/2020/mipLabelMetadata">
  <clbl:label id="{4bac7c5e-89c0-4b60-a121-3160473e484a}" enabled="1" method="Privileged" siteId="{fcbce1cd-2ec5-4340-9e8b-7e3a7bbf755f}" removed="0"/>
</clbl:labelList>
</file>

<file path=docProps/app.xml><?xml version="1.0" encoding="utf-8"?>
<Properties xmlns="http://schemas.openxmlformats.org/officeDocument/2006/extended-properties" xmlns:vt="http://schemas.openxmlformats.org/officeDocument/2006/docPropsVTypes">
  <Template>Normal.dotm</Template>
  <TotalTime>19</TotalTime>
  <Pages>157</Pages>
  <Words>41315</Words>
  <Characters>223103</Characters>
  <Application>Microsoft Office Word</Application>
  <DocSecurity>0</DocSecurity>
  <Lines>5441</Lines>
  <Paragraphs>3185</Paragraphs>
  <ScaleCrop>false</ScaleCrop>
  <HeadingPairs>
    <vt:vector size="2" baseType="variant">
      <vt:variant>
        <vt:lpstr>Title</vt:lpstr>
      </vt:variant>
      <vt:variant>
        <vt:i4>1</vt:i4>
      </vt:variant>
    </vt:vector>
  </HeadingPairs>
  <TitlesOfParts>
    <vt:vector size="1" baseType="lpstr">
      <vt:lpstr>Independent Financial Review of the National Hospital Cost Data Collection - DRAFT</vt:lpstr>
    </vt:vector>
  </TitlesOfParts>
  <Company/>
  <LinksUpToDate>false</LinksUpToDate>
  <CharactersWithSpaces>261233</CharactersWithSpaces>
  <SharedDoc>false</SharedDoc>
  <HLinks>
    <vt:vector size="90" baseType="variant">
      <vt:variant>
        <vt:i4>4653057</vt:i4>
      </vt:variant>
      <vt:variant>
        <vt:i4>288</vt:i4>
      </vt:variant>
      <vt:variant>
        <vt:i4>0</vt:i4>
      </vt:variant>
      <vt:variant>
        <vt:i4>5</vt:i4>
      </vt:variant>
      <vt:variant>
        <vt:lpwstr>https://www.ihacpa.gov.au/resources/three-year-data-plan</vt:lpwstr>
      </vt:variant>
      <vt:variant>
        <vt:lpwstr/>
      </vt:variant>
      <vt:variant>
        <vt:i4>458805</vt:i4>
      </vt:variant>
      <vt:variant>
        <vt:i4>60</vt:i4>
      </vt:variant>
      <vt:variant>
        <vt:i4>0</vt:i4>
      </vt:variant>
      <vt:variant>
        <vt:i4>5</vt:i4>
      </vt:variant>
      <vt:variant>
        <vt:lpwstr>https://www.ihacpa.gov.au/sites/default/files/2025-03/nhcdc_public_sector_review_report_2022-23.pdf</vt:lpwstr>
      </vt:variant>
      <vt:variant>
        <vt:lpwstr/>
      </vt:variant>
      <vt:variant>
        <vt:i4>6225995</vt:i4>
      </vt:variant>
      <vt:variant>
        <vt:i4>57</vt:i4>
      </vt:variant>
      <vt:variant>
        <vt:i4>0</vt:i4>
      </vt:variant>
      <vt:variant>
        <vt:i4>5</vt:i4>
      </vt:variant>
      <vt:variant>
        <vt:lpwstr>https://www.ihacpa.gov.au/sites/default/files/2024-05/nhcdc_public_sector_report_2021-22.pdf</vt:lpwstr>
      </vt:variant>
      <vt:variant>
        <vt:lpwstr/>
      </vt:variant>
      <vt:variant>
        <vt:i4>1507378</vt:i4>
      </vt:variant>
      <vt:variant>
        <vt:i4>50</vt:i4>
      </vt:variant>
      <vt:variant>
        <vt:i4>0</vt:i4>
      </vt:variant>
      <vt:variant>
        <vt:i4>5</vt:i4>
      </vt:variant>
      <vt:variant>
        <vt:lpwstr/>
      </vt:variant>
      <vt:variant>
        <vt:lpwstr>_Toc209517824</vt:lpwstr>
      </vt:variant>
      <vt:variant>
        <vt:i4>1507378</vt:i4>
      </vt:variant>
      <vt:variant>
        <vt:i4>44</vt:i4>
      </vt:variant>
      <vt:variant>
        <vt:i4>0</vt:i4>
      </vt:variant>
      <vt:variant>
        <vt:i4>5</vt:i4>
      </vt:variant>
      <vt:variant>
        <vt:lpwstr/>
      </vt:variant>
      <vt:variant>
        <vt:lpwstr>_Toc209517823</vt:lpwstr>
      </vt:variant>
      <vt:variant>
        <vt:i4>1507378</vt:i4>
      </vt:variant>
      <vt:variant>
        <vt:i4>38</vt:i4>
      </vt:variant>
      <vt:variant>
        <vt:i4>0</vt:i4>
      </vt:variant>
      <vt:variant>
        <vt:i4>5</vt:i4>
      </vt:variant>
      <vt:variant>
        <vt:lpwstr/>
      </vt:variant>
      <vt:variant>
        <vt:lpwstr>_Toc209517822</vt:lpwstr>
      </vt:variant>
      <vt:variant>
        <vt:i4>1507378</vt:i4>
      </vt:variant>
      <vt:variant>
        <vt:i4>32</vt:i4>
      </vt:variant>
      <vt:variant>
        <vt:i4>0</vt:i4>
      </vt:variant>
      <vt:variant>
        <vt:i4>5</vt:i4>
      </vt:variant>
      <vt:variant>
        <vt:lpwstr/>
      </vt:variant>
      <vt:variant>
        <vt:lpwstr>_Toc209517821</vt:lpwstr>
      </vt:variant>
      <vt:variant>
        <vt:i4>1507378</vt:i4>
      </vt:variant>
      <vt:variant>
        <vt:i4>26</vt:i4>
      </vt:variant>
      <vt:variant>
        <vt:i4>0</vt:i4>
      </vt:variant>
      <vt:variant>
        <vt:i4>5</vt:i4>
      </vt:variant>
      <vt:variant>
        <vt:lpwstr/>
      </vt:variant>
      <vt:variant>
        <vt:lpwstr>_Toc209517820</vt:lpwstr>
      </vt:variant>
      <vt:variant>
        <vt:i4>1310770</vt:i4>
      </vt:variant>
      <vt:variant>
        <vt:i4>20</vt:i4>
      </vt:variant>
      <vt:variant>
        <vt:i4>0</vt:i4>
      </vt:variant>
      <vt:variant>
        <vt:i4>5</vt:i4>
      </vt:variant>
      <vt:variant>
        <vt:lpwstr/>
      </vt:variant>
      <vt:variant>
        <vt:lpwstr>_Toc209517819</vt:lpwstr>
      </vt:variant>
      <vt:variant>
        <vt:i4>1310770</vt:i4>
      </vt:variant>
      <vt:variant>
        <vt:i4>14</vt:i4>
      </vt:variant>
      <vt:variant>
        <vt:i4>0</vt:i4>
      </vt:variant>
      <vt:variant>
        <vt:i4>5</vt:i4>
      </vt:variant>
      <vt:variant>
        <vt:lpwstr/>
      </vt:variant>
      <vt:variant>
        <vt:lpwstr>_Toc209517818</vt:lpwstr>
      </vt:variant>
      <vt:variant>
        <vt:i4>1310770</vt:i4>
      </vt:variant>
      <vt:variant>
        <vt:i4>8</vt:i4>
      </vt:variant>
      <vt:variant>
        <vt:i4>0</vt:i4>
      </vt:variant>
      <vt:variant>
        <vt:i4>5</vt:i4>
      </vt:variant>
      <vt:variant>
        <vt:lpwstr/>
      </vt:variant>
      <vt:variant>
        <vt:lpwstr>_Toc209517817</vt:lpwstr>
      </vt:variant>
      <vt:variant>
        <vt:i4>1310770</vt:i4>
      </vt:variant>
      <vt:variant>
        <vt:i4>2</vt:i4>
      </vt:variant>
      <vt:variant>
        <vt:i4>0</vt:i4>
      </vt:variant>
      <vt:variant>
        <vt:i4>5</vt:i4>
      </vt:variant>
      <vt:variant>
        <vt:lpwstr/>
      </vt:variant>
      <vt:variant>
        <vt:lpwstr>_Toc209517816</vt:lpwstr>
      </vt:variant>
      <vt:variant>
        <vt:i4>6029336</vt:i4>
      </vt:variant>
      <vt:variant>
        <vt:i4>0</vt:i4>
      </vt:variant>
      <vt:variant>
        <vt:i4>0</vt:i4>
      </vt:variant>
      <vt:variant>
        <vt:i4>5</vt:i4>
      </vt:variant>
      <vt:variant>
        <vt:lpwstr>https://www.health.wa.gov.au/~/media/Corp/Documents/Reports-and-publications/Independent-Inquiry-into-Perth-Childrens-Hospital/Independent-Inquiry-into-Perth-Childrens-Hospital.pdf</vt:lpwstr>
      </vt:variant>
      <vt:variant>
        <vt:lpwstr/>
      </vt:variant>
      <vt:variant>
        <vt:i4>3276813</vt:i4>
      </vt:variant>
      <vt:variant>
        <vt:i4>3</vt:i4>
      </vt:variant>
      <vt:variant>
        <vt:i4>0</vt:i4>
      </vt:variant>
      <vt:variant>
        <vt:i4>5</vt:i4>
      </vt:variant>
      <vt:variant>
        <vt:lpwstr>mailto:emma.skehin@scyneadvisory.com.au</vt:lpwstr>
      </vt:variant>
      <vt:variant>
        <vt:lpwstr/>
      </vt:variant>
      <vt:variant>
        <vt:i4>1835059</vt:i4>
      </vt:variant>
      <vt:variant>
        <vt:i4>0</vt:i4>
      </vt:variant>
      <vt:variant>
        <vt:i4>0</vt:i4>
      </vt:variant>
      <vt:variant>
        <vt:i4>5</vt:i4>
      </vt:variant>
      <vt:variant>
        <vt:lpwstr>mailto:roland.fan@scyneadvisory.com.au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Financial Review of the National Hospital Cost Data Collection</dc:title>
  <dc:subject>2023-24</dc:subject>
  <dc:creator>Grace Hirte | Lenox Hill</dc:creator>
  <cp:keywords/>
  <dc:description/>
  <cp:lastModifiedBy>SPALLEK, Alexandra</cp:lastModifiedBy>
  <cp:revision>22</cp:revision>
  <cp:lastPrinted>2026-01-22T02:12:00Z</cp:lastPrinted>
  <dcterms:created xsi:type="dcterms:W3CDTF">2025-11-11T21:59:00Z</dcterms:created>
  <dcterms:modified xsi:type="dcterms:W3CDTF">2026-01-22T02:15:00Z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0x0101008C74BF09F01B7D4D9914218A761FE526</vt:lpwstr>
  </property>
  <property fmtid="{D5CDD505-2E9C-101B-9397-08002B2CF9AE}" pid="3" name="MediaServiceImageTags">
    <vt:lpwstr/>
  </property>
  <property fmtid="{D5CDD505-2E9C-101B-9397-08002B2CF9AE}" pid="4" name="docLang">
    <vt:lpwstr>en</vt:lpwstr>
  </property>
  <property fmtid="{D5CDD505-2E9C-101B-9397-08002B2CF9AE}" pid="5" name="ClassificationContentMarkingHeaderShapeIds">
    <vt:lpwstr>1bacdcfa,69425cfe,57815e3d,369397b9,52f6152f,2bddc822,2a2801fd,3348e3a7,1fa8c7af,529bebc2,45665402,3e04cc3d,793b1dd8,33e2e7d3,4c328366,3d01bc3c,42e3cb3,2f72f94b</vt:lpwstr>
  </property>
  <property fmtid="{D5CDD505-2E9C-101B-9397-08002B2CF9AE}" pid="6" name="ClassificationContentMarkingHeaderFontProps">
    <vt:lpwstr>#ff0000,12,Calibri</vt:lpwstr>
  </property>
  <property fmtid="{D5CDD505-2E9C-101B-9397-08002B2CF9AE}" pid="7" name="ClassificationContentMarkingHeaderText">
    <vt:lpwstr>OFFICIAL</vt:lpwstr>
  </property>
  <property fmtid="{D5CDD505-2E9C-101B-9397-08002B2CF9AE}" pid="8" name="ClassificationContentMarkingFooterShapeIds">
    <vt:lpwstr>6ff73a30,6dbf8aee,2dbd7953,5f55e916,2959b48e,3267ca33</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7cd3e8b9-ffed-43a8-b7f4-cc2fa0382d36_Enabled">
    <vt:lpwstr>true</vt:lpwstr>
  </property>
  <property fmtid="{D5CDD505-2E9C-101B-9397-08002B2CF9AE}" pid="12" name="MSIP_Label_7cd3e8b9-ffed-43a8-b7f4-cc2fa0382d36_SetDate">
    <vt:lpwstr>2025-11-06T03:45:19Z</vt:lpwstr>
  </property>
  <property fmtid="{D5CDD505-2E9C-101B-9397-08002B2CF9AE}" pid="13" name="MSIP_Label_7cd3e8b9-ffed-43a8-b7f4-cc2fa0382d36_Method">
    <vt:lpwstr>Privileged</vt:lpwstr>
  </property>
  <property fmtid="{D5CDD505-2E9C-101B-9397-08002B2CF9AE}" pid="14" name="MSIP_Label_7cd3e8b9-ffed-43a8-b7f4-cc2fa0382d36_Name">
    <vt:lpwstr>O</vt:lpwstr>
  </property>
  <property fmtid="{D5CDD505-2E9C-101B-9397-08002B2CF9AE}" pid="15" name="MSIP_Label_7cd3e8b9-ffed-43a8-b7f4-cc2fa0382d36_SiteId">
    <vt:lpwstr>34a3929c-73cf-4954-abfe-147dc3517892</vt:lpwstr>
  </property>
  <property fmtid="{D5CDD505-2E9C-101B-9397-08002B2CF9AE}" pid="16" name="MSIP_Label_7cd3e8b9-ffed-43a8-b7f4-cc2fa0382d36_ActionId">
    <vt:lpwstr>b5670a31-c896-4b52-be06-55bddd7e4d74</vt:lpwstr>
  </property>
  <property fmtid="{D5CDD505-2E9C-101B-9397-08002B2CF9AE}" pid="17" name="MSIP_Label_7cd3e8b9-ffed-43a8-b7f4-cc2fa0382d36_ContentBits">
    <vt:lpwstr>3</vt:lpwstr>
  </property>
  <property fmtid="{D5CDD505-2E9C-101B-9397-08002B2CF9AE}" pid="18" name="MSIP_Label_7cd3e8b9-ffed-43a8-b7f4-cc2fa0382d36_Tag">
    <vt:lpwstr>10, 0, 1, 1</vt:lpwstr>
  </property>
</Properties>
</file>