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footer19.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header28.xml" ContentType="application/vnd.openxmlformats-officedocument.wordprocessingml.header+xml"/>
  <Override PartName="/word/footer2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9C09" w14:textId="77777777" w:rsidR="00707A91" w:rsidRDefault="00707A91" w:rsidP="00703939">
      <w:pPr>
        <w:spacing w:after="6240"/>
      </w:pPr>
      <w:r>
        <w:rPr>
          <w:noProof/>
        </w:rPr>
        <w:drawing>
          <wp:inline distT="0" distB="0" distL="0" distR="0" wp14:anchorId="099AAD2F" wp14:editId="0DF2A677">
            <wp:extent cx="1779400" cy="111442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bwMode="auto">
                    <a:xfrm>
                      <a:off x="0" y="0"/>
                      <a:ext cx="1779400" cy="1114425"/>
                    </a:xfrm>
                    <a:prstGeom prst="rect">
                      <a:avLst/>
                    </a:prstGeom>
                  </pic:spPr>
                </pic:pic>
              </a:graphicData>
            </a:graphic>
          </wp:inline>
        </w:drawing>
      </w:r>
    </w:p>
    <w:p w14:paraId="56947020" w14:textId="460E7292" w:rsidR="003E6C72" w:rsidRPr="00B923C0" w:rsidRDefault="008B0980" w:rsidP="003E6C72">
      <w:pPr>
        <w:pStyle w:val="CoverTitle"/>
        <w:ind w:right="3367"/>
        <w:rPr>
          <w:sz w:val="72"/>
          <w:szCs w:val="72"/>
        </w:rPr>
      </w:pPr>
      <w:r>
        <w:rPr>
          <w:sz w:val="72"/>
          <w:szCs w:val="72"/>
        </w:rPr>
        <w:t xml:space="preserve">Pricing Framework for Australian Public </w:t>
      </w:r>
      <w:r w:rsidR="004C17BD">
        <w:rPr>
          <w:sz w:val="72"/>
          <w:szCs w:val="72"/>
        </w:rPr>
        <w:t xml:space="preserve">Hospital Services </w:t>
      </w:r>
      <w:r w:rsidR="003E6C72" w:rsidRPr="00B923C0">
        <w:rPr>
          <w:sz w:val="72"/>
          <w:szCs w:val="72"/>
        </w:rPr>
        <w:t>202</w:t>
      </w:r>
      <w:r w:rsidR="003E6C72">
        <w:rPr>
          <w:sz w:val="72"/>
          <w:szCs w:val="72"/>
        </w:rPr>
        <w:t>6–</w:t>
      </w:r>
      <w:r w:rsidR="003E6C72" w:rsidRPr="00B923C0">
        <w:rPr>
          <w:sz w:val="72"/>
          <w:szCs w:val="72"/>
        </w:rPr>
        <w:t>2</w:t>
      </w:r>
      <w:r w:rsidR="003E6C72">
        <w:rPr>
          <w:sz w:val="72"/>
          <w:szCs w:val="72"/>
        </w:rPr>
        <w:t>7</w:t>
      </w:r>
    </w:p>
    <w:p w14:paraId="3303763B" w14:textId="77777777" w:rsidR="005F67F0" w:rsidRPr="005F67F0" w:rsidRDefault="005F67F0" w:rsidP="005F67F0">
      <w:pPr>
        <w:sectPr w:rsidR="005F67F0" w:rsidRPr="005F67F0" w:rsidSect="00493FE8">
          <w:headerReference w:type="even" r:id="rId14"/>
          <w:headerReference w:type="default" r:id="rId15"/>
          <w:footerReference w:type="even" r:id="rId16"/>
          <w:footerReference w:type="default" r:id="rId17"/>
          <w:headerReference w:type="first" r:id="rId18"/>
          <w:footerReference w:type="first" r:id="rId19"/>
          <w:pgSz w:w="11906" w:h="16838" w:code="9"/>
          <w:pgMar w:top="1440" w:right="1080" w:bottom="1440" w:left="1080" w:header="708" w:footer="708" w:gutter="0"/>
          <w:cols w:space="720"/>
          <w:docGrid w:linePitch="360"/>
        </w:sectPr>
      </w:pPr>
    </w:p>
    <w:p w14:paraId="18FA6A17" w14:textId="7CF33628" w:rsidR="00E27D71" w:rsidRPr="007372C2" w:rsidRDefault="00E27D71" w:rsidP="00E27D71">
      <w:pPr>
        <w:pStyle w:val="Copyrightheading"/>
        <w:ind w:right="2522"/>
      </w:pPr>
      <w:r w:rsidRPr="00E81EFB">
        <w:lastRenderedPageBreak/>
        <w:t xml:space="preserve">Pricing Framework for Australian </w:t>
      </w:r>
      <w:r>
        <w:t>Public Hospital</w:t>
      </w:r>
      <w:r w:rsidRPr="00E81EFB">
        <w:t xml:space="preserve"> Services 202</w:t>
      </w:r>
      <w:r>
        <w:t>6–</w:t>
      </w:r>
      <w:r w:rsidRPr="00E81EFB">
        <w:t>2</w:t>
      </w:r>
      <w:r>
        <w:t xml:space="preserve">7 </w:t>
      </w:r>
      <w:r w:rsidRPr="007372C2">
        <w:rPr>
          <w:rFonts w:hint="cs"/>
        </w:rPr>
        <w:t>—</w:t>
      </w:r>
      <w:r w:rsidR="00AA36FE">
        <w:t xml:space="preserve"> December </w:t>
      </w:r>
      <w:r>
        <w:t>2025</w:t>
      </w:r>
    </w:p>
    <w:p w14:paraId="59C4C0EE" w14:textId="77777777" w:rsidR="00E27D71" w:rsidRPr="007372C2" w:rsidRDefault="00E27D71" w:rsidP="00E27D71">
      <w:pPr>
        <w:pStyle w:val="Copyrightcopy"/>
      </w:pPr>
      <w:r w:rsidRPr="007372C2">
        <w:rPr>
          <w:rFonts w:hint="cs"/>
        </w:rPr>
        <w:t>©</w:t>
      </w:r>
      <w:r w:rsidRPr="007372C2">
        <w:t xml:space="preserve"> Independent Health and Aged Care Pricing Authority 202</w:t>
      </w:r>
      <w:r>
        <w:t>5</w:t>
      </w:r>
    </w:p>
    <w:p w14:paraId="6C2A5CB9" w14:textId="77777777" w:rsidR="00E27D71" w:rsidRPr="007372C2" w:rsidRDefault="00E27D71" w:rsidP="00E27D71">
      <w:pPr>
        <w:pStyle w:val="Copyrightcopy"/>
      </w:pPr>
      <w:r w:rsidRPr="007372C2">
        <w:t xml:space="preserve">This publication is available for your use under a </w:t>
      </w:r>
      <w:r w:rsidRPr="003970EC">
        <w:t xml:space="preserve">Creative Commons Attribution 4.0 International </w:t>
      </w:r>
      <w:r>
        <w:t>l</w:t>
      </w:r>
      <w:r w:rsidRPr="003970EC">
        <w:t>icen</w:t>
      </w:r>
      <w:r>
        <w:t>c</w:t>
      </w:r>
      <w:r w:rsidRPr="003970EC">
        <w:t>e</w:t>
      </w:r>
      <w:r w:rsidRPr="007372C2">
        <w:t>, with the exception of the Independent Health and Aged Care Pricing Authority logo, photographs, images, signatures and where otherwise stated. The full licence terms are available from the Creative Commons website.</w:t>
      </w:r>
    </w:p>
    <w:p w14:paraId="3034257C" w14:textId="77777777" w:rsidR="00E27D71" w:rsidRPr="007372C2" w:rsidRDefault="00E27D71" w:rsidP="00E27D71">
      <w:pPr>
        <w:pStyle w:val="Copyrightcopy"/>
      </w:pPr>
      <w:r w:rsidRPr="007372C2">
        <w:rPr>
          <w:noProof/>
        </w:rPr>
        <w:drawing>
          <wp:inline distT="0" distB="0" distL="0" distR="0" wp14:anchorId="27DFF61F" wp14:editId="55F1BFA7">
            <wp:extent cx="1175004" cy="411480"/>
            <wp:effectExtent l="0" t="0" r="6350" b="7620"/>
            <wp:docPr id="54" name="Picture 54" descr="Creative Commons Attribution 3.0 Australia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3.0 Australia licence"/>
                    <pic:cNvPicPr/>
                  </pic:nvPicPr>
                  <pic:blipFill>
                    <a:blip r:embed="rId20">
                      <a:extLst>
                        <a:ext uri="{28A0092B-C50C-407E-A947-70E740481C1C}">
                          <a14:useLocalDpi xmlns:a14="http://schemas.microsoft.com/office/drawing/2010/main" val="0"/>
                        </a:ext>
                      </a:extLst>
                    </a:blip>
                    <a:stretch>
                      <a:fillRect/>
                    </a:stretch>
                  </pic:blipFill>
                  <pic:spPr>
                    <a:xfrm>
                      <a:off x="0" y="0"/>
                      <a:ext cx="1175004" cy="411480"/>
                    </a:xfrm>
                    <a:prstGeom prst="rect">
                      <a:avLst/>
                    </a:prstGeom>
                  </pic:spPr>
                </pic:pic>
              </a:graphicData>
            </a:graphic>
          </wp:inline>
        </w:drawing>
      </w:r>
      <w:r w:rsidRPr="007372C2">
        <w:t xml:space="preserve"> </w:t>
      </w:r>
    </w:p>
    <w:p w14:paraId="5B8EDEB0" w14:textId="77777777" w:rsidR="00E27D71" w:rsidRPr="007372C2" w:rsidRDefault="00E27D71" w:rsidP="00E27D71">
      <w:pPr>
        <w:pStyle w:val="Copyrightcopy"/>
      </w:pPr>
      <w:r w:rsidRPr="007372C2">
        <w:t xml:space="preserve">Use of Independent Health and Aged Care Pricing Authority material under a </w:t>
      </w:r>
      <w:r w:rsidRPr="003970EC">
        <w:t xml:space="preserve">Creative Commons Attribution 4.0 International </w:t>
      </w:r>
      <w:r>
        <w:t>l</w:t>
      </w:r>
      <w:r w:rsidRPr="003970EC">
        <w:t>icen</w:t>
      </w:r>
      <w:r>
        <w:t>c</w:t>
      </w:r>
      <w:r w:rsidRPr="003970EC">
        <w:t>e</w:t>
      </w:r>
      <w:r>
        <w:t xml:space="preserve"> </w:t>
      </w:r>
      <w:r w:rsidRPr="007372C2">
        <w:t>requires you to attribute the work (but not in any way that suggests that the Independent Health and Aged Care Pricing Authority endorses you or your use of the</w:t>
      </w:r>
      <w:r w:rsidRPr="007372C2">
        <w:rPr>
          <w:rFonts w:hint="cs"/>
        </w:rPr>
        <w:t> </w:t>
      </w:r>
      <w:r w:rsidRPr="007372C2">
        <w:t>work).</w:t>
      </w:r>
    </w:p>
    <w:p w14:paraId="1301DB35" w14:textId="77777777" w:rsidR="00E27D71" w:rsidRPr="007372C2" w:rsidRDefault="00E27D71" w:rsidP="00E27D71">
      <w:pPr>
        <w:pStyle w:val="Copyrightcopy"/>
      </w:pPr>
      <w:r w:rsidRPr="007372C2">
        <w:t>Independent Health and Aged Care Pricing Authority material used 'as supplied'.</w:t>
      </w:r>
    </w:p>
    <w:p w14:paraId="49434EDA" w14:textId="77777777" w:rsidR="00E27D71" w:rsidRPr="007372C2" w:rsidRDefault="00E27D71" w:rsidP="00E27D71">
      <w:pPr>
        <w:pStyle w:val="Copyrightcopy"/>
      </w:pPr>
      <w:r w:rsidRPr="007372C2">
        <w:t xml:space="preserve">Provided you have not modified or transformed Independent Health and Aged Care Pricing Authority material in any way including, for example, by changing Independent Health and Aged Care Pricing Authority text </w:t>
      </w:r>
      <w:r w:rsidRPr="007372C2">
        <w:rPr>
          <w:rFonts w:hint="cs"/>
        </w:rPr>
        <w:t>–</w:t>
      </w:r>
      <w:r w:rsidRPr="007372C2">
        <w:t xml:space="preserve"> then the Independent Health and Aged Care Pricing Authority prefers the following attribution:</w:t>
      </w:r>
    </w:p>
    <w:p w14:paraId="3634EFCA" w14:textId="77777777" w:rsidR="00E27D71" w:rsidRPr="007372C2" w:rsidRDefault="00E27D71" w:rsidP="00E27D71">
      <w:pPr>
        <w:pStyle w:val="Copyrightcopy"/>
      </w:pPr>
      <w:r w:rsidRPr="007372C2">
        <w:t>Source: The Independent Health and Aged Care Pricing</w:t>
      </w:r>
      <w:r w:rsidRPr="007372C2">
        <w:rPr>
          <w:rFonts w:hint="cs"/>
        </w:rPr>
        <w:t> </w:t>
      </w:r>
      <w:r w:rsidRPr="007372C2">
        <w:t>Authority</w:t>
      </w:r>
    </w:p>
    <w:p w14:paraId="607D5B9F" w14:textId="77777777" w:rsidR="00D41A80" w:rsidRDefault="00D41A80" w:rsidP="009721F9">
      <w:pPr>
        <w:pStyle w:val="Heading1"/>
        <w:sectPr w:rsidR="00D41A80" w:rsidSect="00C00F48">
          <w:headerReference w:type="default" r:id="rId21"/>
          <w:footerReference w:type="default" r:id="rId22"/>
          <w:pgSz w:w="11906" w:h="16838" w:code="9"/>
          <w:pgMar w:top="7371" w:right="1077" w:bottom="1440" w:left="1077" w:header="709" w:footer="709" w:gutter="0"/>
          <w:cols w:space="720"/>
          <w:docGrid w:linePitch="360"/>
        </w:sectPr>
      </w:pPr>
    </w:p>
    <w:p w14:paraId="10406175" w14:textId="2CA3CC80" w:rsidR="00D41A80" w:rsidRDefault="00D41A80" w:rsidP="00D41A80">
      <w:pPr>
        <w:pStyle w:val="Heading1"/>
      </w:pPr>
      <w:bookmarkStart w:id="1" w:name="_Toc165454553"/>
      <w:bookmarkStart w:id="2" w:name="_Toc166853054"/>
      <w:bookmarkStart w:id="3" w:name="_Toc196745024"/>
      <w:bookmarkStart w:id="4" w:name="_Toc206096194"/>
      <w:bookmarkStart w:id="5" w:name="_Toc214971799"/>
      <w:r w:rsidRPr="00E13358">
        <w:lastRenderedPageBreak/>
        <w:t>Contents</w:t>
      </w:r>
      <w:bookmarkEnd w:id="1"/>
      <w:bookmarkEnd w:id="2"/>
      <w:bookmarkEnd w:id="3"/>
      <w:bookmarkEnd w:id="4"/>
      <w:bookmarkEnd w:id="5"/>
    </w:p>
    <w:sdt>
      <w:sdtPr>
        <w:rPr>
          <w:b w:val="0"/>
          <w:sz w:val="22"/>
          <w:szCs w:val="22"/>
        </w:rPr>
        <w:id w:val="-486096984"/>
        <w:docPartObj>
          <w:docPartGallery w:val="Table of Contents"/>
          <w:docPartUnique/>
        </w:docPartObj>
      </w:sdtPr>
      <w:sdtEndPr>
        <w:rPr>
          <w:bCs/>
          <w:noProof/>
        </w:rPr>
      </w:sdtEndPr>
      <w:sdtContent>
        <w:p w14:paraId="0902ED2A" w14:textId="594CCE91" w:rsidR="00BF140A" w:rsidRPr="00BF140A" w:rsidRDefault="00D41A80" w:rsidP="00B846AA">
          <w:pPr>
            <w:pStyle w:val="TOC1"/>
            <w:rPr>
              <w:rFonts w:asciiTheme="minorHAnsi" w:eastAsiaTheme="minorEastAsia" w:hAnsiTheme="minorHAnsi"/>
              <w:noProof/>
              <w:color w:val="auto"/>
              <w:kern w:val="2"/>
              <w:sz w:val="22"/>
              <w:lang w:eastAsia="en-AU"/>
              <w14:ligatures w14:val="standardContextual"/>
            </w:rPr>
          </w:pPr>
          <w:r>
            <w:fldChar w:fldCharType="begin"/>
          </w:r>
          <w:r>
            <w:instrText xml:space="preserve"> TOC \o "1-1" \h \z \u </w:instrText>
          </w:r>
          <w:r>
            <w:fldChar w:fldCharType="separate"/>
          </w:r>
          <w:hyperlink w:anchor="_Toc214971799" w:history="1">
            <w:r w:rsidR="00BF140A" w:rsidRPr="00BF140A">
              <w:rPr>
                <w:rStyle w:val="Hyperlink"/>
                <w:noProof/>
                <w:szCs w:val="20"/>
              </w:rPr>
              <w:t>Contents</w:t>
            </w:r>
            <w:r w:rsidR="00BF140A" w:rsidRPr="00BF140A">
              <w:rPr>
                <w:noProof/>
                <w:webHidden/>
                <w:szCs w:val="20"/>
              </w:rPr>
              <w:tab/>
            </w:r>
            <w:r w:rsidR="00BF140A" w:rsidRPr="00BF140A">
              <w:rPr>
                <w:noProof/>
                <w:webHidden/>
                <w:szCs w:val="20"/>
              </w:rPr>
              <w:fldChar w:fldCharType="begin"/>
            </w:r>
            <w:r w:rsidR="00BF140A" w:rsidRPr="00BF140A">
              <w:rPr>
                <w:noProof/>
                <w:webHidden/>
                <w:szCs w:val="20"/>
              </w:rPr>
              <w:instrText xml:space="preserve"> PAGEREF _Toc214971799 \h </w:instrText>
            </w:r>
            <w:r w:rsidR="00BF140A" w:rsidRPr="00BF140A">
              <w:rPr>
                <w:noProof/>
                <w:webHidden/>
                <w:szCs w:val="20"/>
              </w:rPr>
            </w:r>
            <w:r w:rsidR="00BF140A" w:rsidRPr="00BF140A">
              <w:rPr>
                <w:noProof/>
                <w:webHidden/>
                <w:szCs w:val="20"/>
              </w:rPr>
              <w:fldChar w:fldCharType="separate"/>
            </w:r>
            <w:r w:rsidR="00BF140A" w:rsidRPr="00BF140A">
              <w:rPr>
                <w:noProof/>
                <w:webHidden/>
                <w:szCs w:val="20"/>
              </w:rPr>
              <w:t>3</w:t>
            </w:r>
            <w:r w:rsidR="00BF140A" w:rsidRPr="00BF140A">
              <w:rPr>
                <w:noProof/>
                <w:webHidden/>
                <w:szCs w:val="20"/>
              </w:rPr>
              <w:fldChar w:fldCharType="end"/>
            </w:r>
          </w:hyperlink>
        </w:p>
        <w:p w14:paraId="50511470" w14:textId="1B514409" w:rsidR="00BF140A" w:rsidRPr="00BF140A" w:rsidRDefault="00BF140A" w:rsidP="00B846AA">
          <w:pPr>
            <w:pStyle w:val="TOC1"/>
            <w:rPr>
              <w:rFonts w:asciiTheme="minorHAnsi" w:eastAsiaTheme="minorEastAsia" w:hAnsiTheme="minorHAnsi"/>
              <w:noProof/>
              <w:color w:val="auto"/>
              <w:kern w:val="2"/>
              <w:sz w:val="22"/>
              <w:lang w:eastAsia="en-AU"/>
              <w14:ligatures w14:val="standardContextual"/>
            </w:rPr>
          </w:pPr>
          <w:hyperlink w:anchor="_Toc214971800" w:history="1">
            <w:r w:rsidRPr="00BF140A">
              <w:rPr>
                <w:rStyle w:val="Hyperlink"/>
                <w:noProof/>
                <w:szCs w:val="20"/>
              </w:rPr>
              <w:t>Abbreviations</w:t>
            </w:r>
            <w:r w:rsidRPr="00BF140A">
              <w:rPr>
                <w:noProof/>
                <w:webHidden/>
              </w:rPr>
              <w:tab/>
            </w:r>
            <w:r w:rsidRPr="00BF140A">
              <w:rPr>
                <w:noProof/>
                <w:webHidden/>
              </w:rPr>
              <w:fldChar w:fldCharType="begin"/>
            </w:r>
            <w:r w:rsidRPr="00BF140A">
              <w:rPr>
                <w:noProof/>
                <w:webHidden/>
              </w:rPr>
              <w:instrText xml:space="preserve"> PAGEREF _Toc214971800 \h </w:instrText>
            </w:r>
            <w:r w:rsidRPr="00BF140A">
              <w:rPr>
                <w:noProof/>
                <w:webHidden/>
              </w:rPr>
            </w:r>
            <w:r w:rsidRPr="00BF140A">
              <w:rPr>
                <w:noProof/>
                <w:webHidden/>
              </w:rPr>
              <w:fldChar w:fldCharType="separate"/>
            </w:r>
            <w:r w:rsidRPr="00BF140A">
              <w:rPr>
                <w:noProof/>
                <w:webHidden/>
              </w:rPr>
              <w:t>4</w:t>
            </w:r>
            <w:r w:rsidRPr="00BF140A">
              <w:rPr>
                <w:noProof/>
                <w:webHidden/>
              </w:rPr>
              <w:fldChar w:fldCharType="end"/>
            </w:r>
          </w:hyperlink>
        </w:p>
        <w:p w14:paraId="5189DEA9" w14:textId="391930A6" w:rsidR="00BF140A" w:rsidRPr="00B846AA" w:rsidRDefault="00B846AA" w:rsidP="00B846AA">
          <w:pPr>
            <w:pStyle w:val="TOC1"/>
            <w:rPr>
              <w:rFonts w:asciiTheme="minorHAnsi" w:eastAsiaTheme="minorEastAsia" w:hAnsiTheme="minorHAnsi"/>
              <w:noProof/>
              <w:color w:val="auto"/>
              <w:kern w:val="2"/>
              <w:lang w:eastAsia="en-AU"/>
              <w14:ligatures w14:val="standardContextual"/>
            </w:rPr>
          </w:pPr>
          <w:r w:rsidRPr="00B846AA">
            <w:t xml:space="preserve">1. </w:t>
          </w:r>
          <w:hyperlink w:anchor="_Toc214971801" w:history="1">
            <w:r w:rsidR="00BF140A" w:rsidRPr="00B846AA">
              <w:rPr>
                <w:rStyle w:val="Hyperlink"/>
                <w:noProof/>
              </w:rPr>
              <w:t>Introduction</w:t>
            </w:r>
            <w:r w:rsidR="00BF140A" w:rsidRPr="00B846AA">
              <w:rPr>
                <w:noProof/>
                <w:webHidden/>
              </w:rPr>
              <w:tab/>
            </w:r>
            <w:r w:rsidR="00BF140A" w:rsidRPr="00B846AA">
              <w:rPr>
                <w:noProof/>
                <w:webHidden/>
              </w:rPr>
              <w:fldChar w:fldCharType="begin"/>
            </w:r>
            <w:r w:rsidR="00BF140A" w:rsidRPr="00B846AA">
              <w:rPr>
                <w:noProof/>
                <w:webHidden/>
              </w:rPr>
              <w:instrText xml:space="preserve"> PAGEREF _Toc214971801 \h </w:instrText>
            </w:r>
            <w:r w:rsidR="00BF140A" w:rsidRPr="00B846AA">
              <w:rPr>
                <w:noProof/>
                <w:webHidden/>
              </w:rPr>
            </w:r>
            <w:r w:rsidR="00BF140A" w:rsidRPr="00B846AA">
              <w:rPr>
                <w:noProof/>
                <w:webHidden/>
              </w:rPr>
              <w:fldChar w:fldCharType="separate"/>
            </w:r>
            <w:r w:rsidR="00BF140A" w:rsidRPr="00B846AA">
              <w:rPr>
                <w:noProof/>
                <w:webHidden/>
              </w:rPr>
              <w:t>6</w:t>
            </w:r>
            <w:r w:rsidR="00BF140A" w:rsidRPr="00B846AA">
              <w:rPr>
                <w:noProof/>
                <w:webHidden/>
              </w:rPr>
              <w:fldChar w:fldCharType="end"/>
            </w:r>
          </w:hyperlink>
        </w:p>
        <w:p w14:paraId="312FC84C" w14:textId="7E050A25" w:rsidR="00BF140A" w:rsidRPr="00BF140A" w:rsidRDefault="00B846AA" w:rsidP="00B846AA">
          <w:pPr>
            <w:pStyle w:val="TOC1"/>
            <w:rPr>
              <w:rFonts w:asciiTheme="minorHAnsi" w:eastAsiaTheme="minorEastAsia" w:hAnsiTheme="minorHAnsi"/>
              <w:noProof/>
              <w:color w:val="auto"/>
              <w:kern w:val="2"/>
              <w:sz w:val="22"/>
              <w:lang w:eastAsia="en-AU"/>
              <w14:ligatures w14:val="standardContextual"/>
            </w:rPr>
          </w:pPr>
          <w:r>
            <w:t xml:space="preserve">2. </w:t>
          </w:r>
          <w:hyperlink w:anchor="_Toc214971802" w:history="1">
            <w:r w:rsidR="00BF140A" w:rsidRPr="00BF140A">
              <w:rPr>
                <w:rStyle w:val="Hyperlink"/>
                <w:noProof/>
                <w:szCs w:val="20"/>
              </w:rPr>
              <w:t>Pricing Guidelines</w:t>
            </w:r>
            <w:r w:rsidR="00BF140A" w:rsidRPr="00BF140A">
              <w:rPr>
                <w:noProof/>
                <w:webHidden/>
              </w:rPr>
              <w:tab/>
            </w:r>
            <w:r w:rsidR="00BF140A" w:rsidRPr="00BF140A">
              <w:rPr>
                <w:noProof/>
                <w:webHidden/>
              </w:rPr>
              <w:fldChar w:fldCharType="begin"/>
            </w:r>
            <w:r w:rsidR="00BF140A" w:rsidRPr="00BF140A">
              <w:rPr>
                <w:noProof/>
                <w:webHidden/>
              </w:rPr>
              <w:instrText xml:space="preserve"> PAGEREF _Toc214971802 \h </w:instrText>
            </w:r>
            <w:r w:rsidR="00BF140A" w:rsidRPr="00BF140A">
              <w:rPr>
                <w:noProof/>
                <w:webHidden/>
              </w:rPr>
            </w:r>
            <w:r w:rsidR="00BF140A" w:rsidRPr="00BF140A">
              <w:rPr>
                <w:noProof/>
                <w:webHidden/>
              </w:rPr>
              <w:fldChar w:fldCharType="separate"/>
            </w:r>
            <w:r w:rsidR="00BF140A" w:rsidRPr="00BF140A">
              <w:rPr>
                <w:noProof/>
                <w:webHidden/>
              </w:rPr>
              <w:t>9</w:t>
            </w:r>
            <w:r w:rsidR="00BF140A" w:rsidRPr="00BF140A">
              <w:rPr>
                <w:noProof/>
                <w:webHidden/>
              </w:rPr>
              <w:fldChar w:fldCharType="end"/>
            </w:r>
          </w:hyperlink>
        </w:p>
        <w:p w14:paraId="1123C95A" w14:textId="7B3E5BC4" w:rsidR="00BF140A" w:rsidRPr="00BF140A" w:rsidRDefault="00B846AA" w:rsidP="00B846AA">
          <w:pPr>
            <w:pStyle w:val="TOC1"/>
            <w:rPr>
              <w:rFonts w:asciiTheme="minorHAnsi" w:eastAsiaTheme="minorEastAsia" w:hAnsiTheme="minorHAnsi"/>
              <w:noProof/>
              <w:color w:val="auto"/>
              <w:kern w:val="2"/>
              <w:sz w:val="22"/>
              <w:lang w:eastAsia="en-AU"/>
              <w14:ligatures w14:val="standardContextual"/>
            </w:rPr>
          </w:pPr>
          <w:r>
            <w:t xml:space="preserve">3. </w:t>
          </w:r>
          <w:hyperlink w:anchor="_Toc214971803" w:history="1">
            <w:r w:rsidR="00BF140A" w:rsidRPr="00BF140A">
              <w:rPr>
                <w:rStyle w:val="Hyperlink"/>
                <w:noProof/>
                <w:szCs w:val="20"/>
              </w:rPr>
              <w:t>Classifications used to describe and price public hospital services</w:t>
            </w:r>
            <w:r w:rsidR="00BF140A" w:rsidRPr="00BF140A">
              <w:rPr>
                <w:noProof/>
                <w:webHidden/>
              </w:rPr>
              <w:tab/>
            </w:r>
            <w:r w:rsidR="00BF140A" w:rsidRPr="00BF140A">
              <w:rPr>
                <w:noProof/>
                <w:webHidden/>
              </w:rPr>
              <w:fldChar w:fldCharType="begin"/>
            </w:r>
            <w:r w:rsidR="00BF140A" w:rsidRPr="00BF140A">
              <w:rPr>
                <w:noProof/>
                <w:webHidden/>
              </w:rPr>
              <w:instrText xml:space="preserve"> PAGEREF _Toc214971803 \h </w:instrText>
            </w:r>
            <w:r w:rsidR="00BF140A" w:rsidRPr="00BF140A">
              <w:rPr>
                <w:noProof/>
                <w:webHidden/>
              </w:rPr>
            </w:r>
            <w:r w:rsidR="00BF140A" w:rsidRPr="00BF140A">
              <w:rPr>
                <w:noProof/>
                <w:webHidden/>
              </w:rPr>
              <w:fldChar w:fldCharType="separate"/>
            </w:r>
            <w:r w:rsidR="00BF140A" w:rsidRPr="00BF140A">
              <w:rPr>
                <w:noProof/>
                <w:webHidden/>
              </w:rPr>
              <w:t>12</w:t>
            </w:r>
            <w:r w:rsidR="00BF140A" w:rsidRPr="00BF140A">
              <w:rPr>
                <w:noProof/>
                <w:webHidden/>
              </w:rPr>
              <w:fldChar w:fldCharType="end"/>
            </w:r>
          </w:hyperlink>
        </w:p>
        <w:p w14:paraId="24F04EF3" w14:textId="78CCDD6D" w:rsidR="00BF140A" w:rsidRPr="00BF140A" w:rsidRDefault="00B846AA" w:rsidP="00B846AA">
          <w:pPr>
            <w:pStyle w:val="TOC1"/>
            <w:rPr>
              <w:rFonts w:asciiTheme="minorHAnsi" w:eastAsiaTheme="minorEastAsia" w:hAnsiTheme="minorHAnsi"/>
              <w:noProof/>
              <w:color w:val="auto"/>
              <w:kern w:val="2"/>
              <w:sz w:val="22"/>
              <w:lang w:eastAsia="en-AU"/>
              <w14:ligatures w14:val="standardContextual"/>
            </w:rPr>
          </w:pPr>
          <w:r>
            <w:t xml:space="preserve">4. </w:t>
          </w:r>
          <w:hyperlink w:anchor="_Toc214971804" w:history="1">
            <w:r w:rsidR="00BF140A" w:rsidRPr="00BF140A">
              <w:rPr>
                <w:rStyle w:val="Hyperlink"/>
                <w:noProof/>
                <w:szCs w:val="20"/>
              </w:rPr>
              <w:t>Setting the national efficient price</w:t>
            </w:r>
            <w:r w:rsidR="00BF140A" w:rsidRPr="00BF140A">
              <w:rPr>
                <w:noProof/>
                <w:webHidden/>
              </w:rPr>
              <w:tab/>
            </w:r>
            <w:r w:rsidR="00BF140A" w:rsidRPr="00BF140A">
              <w:rPr>
                <w:noProof/>
                <w:webHidden/>
              </w:rPr>
              <w:fldChar w:fldCharType="begin"/>
            </w:r>
            <w:r w:rsidR="00BF140A" w:rsidRPr="00BF140A">
              <w:rPr>
                <w:noProof/>
                <w:webHidden/>
              </w:rPr>
              <w:instrText xml:space="preserve"> PAGEREF _Toc214971804 \h </w:instrText>
            </w:r>
            <w:r w:rsidR="00BF140A" w:rsidRPr="00BF140A">
              <w:rPr>
                <w:noProof/>
                <w:webHidden/>
              </w:rPr>
            </w:r>
            <w:r w:rsidR="00BF140A" w:rsidRPr="00BF140A">
              <w:rPr>
                <w:noProof/>
                <w:webHidden/>
              </w:rPr>
              <w:fldChar w:fldCharType="separate"/>
            </w:r>
            <w:r w:rsidR="00BF140A" w:rsidRPr="00BF140A">
              <w:rPr>
                <w:noProof/>
                <w:webHidden/>
              </w:rPr>
              <w:t>18</w:t>
            </w:r>
            <w:r w:rsidR="00BF140A" w:rsidRPr="00BF140A">
              <w:rPr>
                <w:noProof/>
                <w:webHidden/>
              </w:rPr>
              <w:fldChar w:fldCharType="end"/>
            </w:r>
          </w:hyperlink>
        </w:p>
        <w:p w14:paraId="32117E2B" w14:textId="60A13CD4" w:rsidR="00BF140A" w:rsidRPr="00BF140A" w:rsidRDefault="00B846AA" w:rsidP="00B846AA">
          <w:pPr>
            <w:pStyle w:val="TOC1"/>
            <w:rPr>
              <w:rFonts w:asciiTheme="minorHAnsi" w:eastAsiaTheme="minorEastAsia" w:hAnsiTheme="minorHAnsi"/>
              <w:noProof/>
              <w:color w:val="auto"/>
              <w:kern w:val="2"/>
              <w:sz w:val="22"/>
              <w:lang w:eastAsia="en-AU"/>
              <w14:ligatures w14:val="standardContextual"/>
            </w:rPr>
          </w:pPr>
          <w:r>
            <w:t xml:space="preserve">5. </w:t>
          </w:r>
          <w:hyperlink w:anchor="_Toc214971805" w:history="1">
            <w:r w:rsidR="00BF140A" w:rsidRPr="00BF140A">
              <w:rPr>
                <w:rStyle w:val="Hyperlink"/>
                <w:noProof/>
                <w:szCs w:val="20"/>
              </w:rPr>
              <w:t>Setting the national efficient cost</w:t>
            </w:r>
            <w:r w:rsidR="00BF140A" w:rsidRPr="00BF140A">
              <w:rPr>
                <w:noProof/>
                <w:webHidden/>
              </w:rPr>
              <w:tab/>
            </w:r>
            <w:r w:rsidR="00BF140A" w:rsidRPr="00BF140A">
              <w:rPr>
                <w:noProof/>
                <w:webHidden/>
              </w:rPr>
              <w:fldChar w:fldCharType="begin"/>
            </w:r>
            <w:r w:rsidR="00BF140A" w:rsidRPr="00BF140A">
              <w:rPr>
                <w:noProof/>
                <w:webHidden/>
              </w:rPr>
              <w:instrText xml:space="preserve"> PAGEREF _Toc214971805 \h </w:instrText>
            </w:r>
            <w:r w:rsidR="00BF140A" w:rsidRPr="00BF140A">
              <w:rPr>
                <w:noProof/>
                <w:webHidden/>
              </w:rPr>
            </w:r>
            <w:r w:rsidR="00BF140A" w:rsidRPr="00BF140A">
              <w:rPr>
                <w:noProof/>
                <w:webHidden/>
              </w:rPr>
              <w:fldChar w:fldCharType="separate"/>
            </w:r>
            <w:r w:rsidR="00BF140A" w:rsidRPr="00BF140A">
              <w:rPr>
                <w:noProof/>
                <w:webHidden/>
              </w:rPr>
              <w:t>27</w:t>
            </w:r>
            <w:r w:rsidR="00BF140A" w:rsidRPr="00BF140A">
              <w:rPr>
                <w:noProof/>
                <w:webHidden/>
              </w:rPr>
              <w:fldChar w:fldCharType="end"/>
            </w:r>
          </w:hyperlink>
        </w:p>
        <w:p w14:paraId="642212CF" w14:textId="54D22D6C" w:rsidR="00BF140A" w:rsidRPr="00BF140A" w:rsidRDefault="00B846AA" w:rsidP="00B846AA">
          <w:pPr>
            <w:pStyle w:val="TOC1"/>
            <w:rPr>
              <w:rFonts w:asciiTheme="minorHAnsi" w:eastAsiaTheme="minorEastAsia" w:hAnsiTheme="minorHAnsi"/>
              <w:noProof/>
              <w:color w:val="auto"/>
              <w:kern w:val="2"/>
              <w:sz w:val="22"/>
              <w:lang w:eastAsia="en-AU"/>
              <w14:ligatures w14:val="standardContextual"/>
            </w:rPr>
          </w:pPr>
          <w:r>
            <w:t xml:space="preserve">6. </w:t>
          </w:r>
          <w:hyperlink w:anchor="_Toc214971806" w:history="1">
            <w:r w:rsidR="00BF140A" w:rsidRPr="00BF140A">
              <w:rPr>
                <w:rStyle w:val="Hyperlink"/>
                <w:noProof/>
                <w:szCs w:val="20"/>
              </w:rPr>
              <w:t>Data collection</w:t>
            </w:r>
            <w:r w:rsidR="00BF140A" w:rsidRPr="00BF140A">
              <w:rPr>
                <w:noProof/>
                <w:webHidden/>
              </w:rPr>
              <w:tab/>
            </w:r>
            <w:r w:rsidR="00BF140A" w:rsidRPr="00BF140A">
              <w:rPr>
                <w:noProof/>
                <w:webHidden/>
              </w:rPr>
              <w:fldChar w:fldCharType="begin"/>
            </w:r>
            <w:r w:rsidR="00BF140A" w:rsidRPr="00BF140A">
              <w:rPr>
                <w:noProof/>
                <w:webHidden/>
              </w:rPr>
              <w:instrText xml:space="preserve"> PAGEREF _Toc214971806 \h </w:instrText>
            </w:r>
            <w:r w:rsidR="00BF140A" w:rsidRPr="00BF140A">
              <w:rPr>
                <w:noProof/>
                <w:webHidden/>
              </w:rPr>
            </w:r>
            <w:r w:rsidR="00BF140A" w:rsidRPr="00BF140A">
              <w:rPr>
                <w:noProof/>
                <w:webHidden/>
              </w:rPr>
              <w:fldChar w:fldCharType="separate"/>
            </w:r>
            <w:r w:rsidR="00BF140A" w:rsidRPr="00BF140A">
              <w:rPr>
                <w:noProof/>
                <w:webHidden/>
              </w:rPr>
              <w:t>31</w:t>
            </w:r>
            <w:r w:rsidR="00BF140A" w:rsidRPr="00BF140A">
              <w:rPr>
                <w:noProof/>
                <w:webHidden/>
              </w:rPr>
              <w:fldChar w:fldCharType="end"/>
            </w:r>
          </w:hyperlink>
        </w:p>
        <w:p w14:paraId="0A386B37" w14:textId="6697E9B7" w:rsidR="00BF140A" w:rsidRPr="00BF140A" w:rsidRDefault="00B846AA" w:rsidP="00B846AA">
          <w:pPr>
            <w:pStyle w:val="TOC1"/>
            <w:rPr>
              <w:rFonts w:asciiTheme="minorHAnsi" w:eastAsiaTheme="minorEastAsia" w:hAnsiTheme="minorHAnsi"/>
              <w:noProof/>
              <w:color w:val="auto"/>
              <w:kern w:val="2"/>
              <w:sz w:val="22"/>
              <w:lang w:eastAsia="en-AU"/>
              <w14:ligatures w14:val="standardContextual"/>
            </w:rPr>
          </w:pPr>
          <w:r>
            <w:t xml:space="preserve">7. </w:t>
          </w:r>
          <w:hyperlink w:anchor="_Toc214971807" w:history="1">
            <w:r w:rsidR="00BF140A" w:rsidRPr="00BF140A">
              <w:rPr>
                <w:rStyle w:val="Hyperlink"/>
                <w:noProof/>
                <w:szCs w:val="20"/>
              </w:rPr>
              <w:t>Treatment of other Commonwealth programs</w:t>
            </w:r>
            <w:r w:rsidR="00BF140A" w:rsidRPr="00BF140A">
              <w:rPr>
                <w:noProof/>
                <w:webHidden/>
              </w:rPr>
              <w:tab/>
            </w:r>
            <w:r w:rsidR="00BF140A" w:rsidRPr="00BF140A">
              <w:rPr>
                <w:noProof/>
                <w:webHidden/>
              </w:rPr>
              <w:fldChar w:fldCharType="begin"/>
            </w:r>
            <w:r w:rsidR="00BF140A" w:rsidRPr="00BF140A">
              <w:rPr>
                <w:noProof/>
                <w:webHidden/>
              </w:rPr>
              <w:instrText xml:space="preserve"> PAGEREF _Toc214971807 \h </w:instrText>
            </w:r>
            <w:r w:rsidR="00BF140A" w:rsidRPr="00BF140A">
              <w:rPr>
                <w:noProof/>
                <w:webHidden/>
              </w:rPr>
            </w:r>
            <w:r w:rsidR="00BF140A" w:rsidRPr="00BF140A">
              <w:rPr>
                <w:noProof/>
                <w:webHidden/>
              </w:rPr>
              <w:fldChar w:fldCharType="separate"/>
            </w:r>
            <w:r w:rsidR="00BF140A" w:rsidRPr="00BF140A">
              <w:rPr>
                <w:noProof/>
                <w:webHidden/>
              </w:rPr>
              <w:t>37</w:t>
            </w:r>
            <w:r w:rsidR="00BF140A" w:rsidRPr="00BF140A">
              <w:rPr>
                <w:noProof/>
                <w:webHidden/>
              </w:rPr>
              <w:fldChar w:fldCharType="end"/>
            </w:r>
          </w:hyperlink>
        </w:p>
        <w:p w14:paraId="3175D28E" w14:textId="2F0F65FB" w:rsidR="00BF140A" w:rsidRPr="00BF140A" w:rsidRDefault="00B846AA" w:rsidP="00B846AA">
          <w:pPr>
            <w:pStyle w:val="TOC1"/>
            <w:rPr>
              <w:rFonts w:asciiTheme="minorHAnsi" w:eastAsiaTheme="minorEastAsia" w:hAnsiTheme="minorHAnsi"/>
              <w:noProof/>
              <w:color w:val="auto"/>
              <w:kern w:val="2"/>
              <w:sz w:val="22"/>
              <w:lang w:eastAsia="en-AU"/>
              <w14:ligatures w14:val="standardContextual"/>
            </w:rPr>
          </w:pPr>
          <w:r>
            <w:t xml:space="preserve">8. </w:t>
          </w:r>
          <w:hyperlink w:anchor="_Toc214971808" w:history="1">
            <w:r w:rsidR="00BF140A" w:rsidRPr="00BF140A">
              <w:rPr>
                <w:rStyle w:val="Hyperlink"/>
                <w:noProof/>
                <w:szCs w:val="20"/>
              </w:rPr>
              <w:t>Future funding models</w:t>
            </w:r>
            <w:r w:rsidR="00BF140A" w:rsidRPr="00BF140A">
              <w:rPr>
                <w:noProof/>
                <w:webHidden/>
              </w:rPr>
              <w:tab/>
            </w:r>
            <w:r w:rsidR="00BF140A" w:rsidRPr="00BF140A">
              <w:rPr>
                <w:noProof/>
                <w:webHidden/>
              </w:rPr>
              <w:fldChar w:fldCharType="begin"/>
            </w:r>
            <w:r w:rsidR="00BF140A" w:rsidRPr="00BF140A">
              <w:rPr>
                <w:noProof/>
                <w:webHidden/>
              </w:rPr>
              <w:instrText xml:space="preserve"> PAGEREF _Toc214971808 \h </w:instrText>
            </w:r>
            <w:r w:rsidR="00BF140A" w:rsidRPr="00BF140A">
              <w:rPr>
                <w:noProof/>
                <w:webHidden/>
              </w:rPr>
            </w:r>
            <w:r w:rsidR="00BF140A" w:rsidRPr="00BF140A">
              <w:rPr>
                <w:noProof/>
                <w:webHidden/>
              </w:rPr>
              <w:fldChar w:fldCharType="separate"/>
            </w:r>
            <w:r w:rsidR="00BF140A" w:rsidRPr="00BF140A">
              <w:rPr>
                <w:noProof/>
                <w:webHidden/>
              </w:rPr>
              <w:t>39</w:t>
            </w:r>
            <w:r w:rsidR="00BF140A" w:rsidRPr="00BF140A">
              <w:rPr>
                <w:noProof/>
                <w:webHidden/>
              </w:rPr>
              <w:fldChar w:fldCharType="end"/>
            </w:r>
          </w:hyperlink>
        </w:p>
        <w:p w14:paraId="101B668F" w14:textId="4258D843" w:rsidR="00BF140A" w:rsidRPr="00BF140A" w:rsidRDefault="00B846AA" w:rsidP="00B846AA">
          <w:pPr>
            <w:pStyle w:val="TOC1"/>
            <w:rPr>
              <w:rFonts w:asciiTheme="minorHAnsi" w:eastAsiaTheme="minorEastAsia" w:hAnsiTheme="minorHAnsi"/>
              <w:noProof/>
              <w:color w:val="auto"/>
              <w:kern w:val="2"/>
              <w:sz w:val="22"/>
              <w:lang w:eastAsia="en-AU"/>
              <w14:ligatures w14:val="standardContextual"/>
            </w:rPr>
          </w:pPr>
          <w:r>
            <w:t xml:space="preserve">9. </w:t>
          </w:r>
          <w:hyperlink w:anchor="_Toc214971809" w:history="1">
            <w:r w:rsidR="00BF140A" w:rsidRPr="00BF140A">
              <w:rPr>
                <w:rStyle w:val="Hyperlink"/>
                <w:noProof/>
                <w:szCs w:val="20"/>
              </w:rPr>
              <w:t>Pricing and funding for safety and quality</w:t>
            </w:r>
            <w:r w:rsidR="00BF140A" w:rsidRPr="00BF140A">
              <w:rPr>
                <w:noProof/>
                <w:webHidden/>
              </w:rPr>
              <w:tab/>
            </w:r>
            <w:r w:rsidR="00BF140A" w:rsidRPr="00BF140A">
              <w:rPr>
                <w:noProof/>
                <w:webHidden/>
              </w:rPr>
              <w:fldChar w:fldCharType="begin"/>
            </w:r>
            <w:r w:rsidR="00BF140A" w:rsidRPr="00BF140A">
              <w:rPr>
                <w:noProof/>
                <w:webHidden/>
              </w:rPr>
              <w:instrText xml:space="preserve"> PAGEREF _Toc214971809 \h </w:instrText>
            </w:r>
            <w:r w:rsidR="00BF140A" w:rsidRPr="00BF140A">
              <w:rPr>
                <w:noProof/>
                <w:webHidden/>
              </w:rPr>
            </w:r>
            <w:r w:rsidR="00BF140A" w:rsidRPr="00BF140A">
              <w:rPr>
                <w:noProof/>
                <w:webHidden/>
              </w:rPr>
              <w:fldChar w:fldCharType="separate"/>
            </w:r>
            <w:r w:rsidR="00BF140A" w:rsidRPr="00BF140A">
              <w:rPr>
                <w:noProof/>
                <w:webHidden/>
              </w:rPr>
              <w:t>41</w:t>
            </w:r>
            <w:r w:rsidR="00BF140A" w:rsidRPr="00BF140A">
              <w:rPr>
                <w:noProof/>
                <w:webHidden/>
              </w:rPr>
              <w:fldChar w:fldCharType="end"/>
            </w:r>
          </w:hyperlink>
        </w:p>
        <w:p w14:paraId="74DADB4A" w14:textId="063A2EAE" w:rsidR="00D41A80" w:rsidRDefault="00D41A80" w:rsidP="00D41A80">
          <w:pPr>
            <w:spacing w:after="240"/>
          </w:pPr>
          <w:r>
            <w:rPr>
              <w:sz w:val="24"/>
              <w:szCs w:val="24"/>
            </w:rPr>
            <w:fldChar w:fldCharType="end"/>
          </w:r>
        </w:p>
      </w:sdtContent>
    </w:sdt>
    <w:p w14:paraId="4E1F2A7F" w14:textId="77777777" w:rsidR="00BE47B6" w:rsidRDefault="00BE47B6" w:rsidP="009721F9">
      <w:pPr>
        <w:pStyle w:val="Heading1"/>
        <w:sectPr w:rsidR="00BE47B6" w:rsidSect="0093507D">
          <w:pgSz w:w="11906" w:h="16838" w:code="9"/>
          <w:pgMar w:top="1440" w:right="1080" w:bottom="1440" w:left="1080" w:header="709" w:footer="709" w:gutter="0"/>
          <w:cols w:space="720"/>
          <w:docGrid w:linePitch="360"/>
        </w:sectPr>
      </w:pPr>
    </w:p>
    <w:p w14:paraId="1CAE2FD1" w14:textId="77777777" w:rsidR="00BE47B6" w:rsidRPr="00446516" w:rsidRDefault="00146068" w:rsidP="009E35B8">
      <w:pPr>
        <w:pStyle w:val="Heading1"/>
        <w:spacing w:after="360"/>
      </w:pPr>
      <w:bookmarkStart w:id="6" w:name="_Toc206096195"/>
      <w:bookmarkStart w:id="7" w:name="_Toc214971800"/>
      <w:r>
        <w:lastRenderedPageBreak/>
        <w:t>Abbreviations</w:t>
      </w:r>
      <w:bookmarkEnd w:id="6"/>
      <w:bookmarkEnd w:id="7"/>
    </w:p>
    <w:tbl>
      <w:tblPr>
        <w:tblStyle w:val="IHACPATable"/>
        <w:tblW w:w="9072" w:type="dxa"/>
        <w:tblLayout w:type="fixed"/>
        <w:tblLook w:val="0020" w:firstRow="1" w:lastRow="0" w:firstColumn="0" w:lastColumn="0" w:noHBand="0" w:noVBand="0"/>
        <w:tblCaption w:val="Table 8"/>
        <w:tblDescription w:val="Summary of Performance for Activity 6: Independent and transparent decision-making and engagement with stakeholders"/>
      </w:tblPr>
      <w:tblGrid>
        <w:gridCol w:w="2835"/>
        <w:gridCol w:w="6237"/>
      </w:tblGrid>
      <w:tr w:rsidR="00146068" w:rsidRPr="004E67F4" w14:paraId="59D6BF85" w14:textId="77777777" w:rsidTr="0019067A">
        <w:trPr>
          <w:cnfStyle w:val="100000000000" w:firstRow="1" w:lastRow="0" w:firstColumn="0" w:lastColumn="0" w:oddVBand="0" w:evenVBand="0" w:oddHBand="0" w:evenHBand="0" w:firstRowFirstColumn="0" w:firstRowLastColumn="0" w:lastRowFirstColumn="0" w:lastRowLastColumn="0"/>
          <w:trHeight w:val="20"/>
        </w:trPr>
        <w:tc>
          <w:tcPr>
            <w:tcW w:w="2835" w:type="dxa"/>
            <w:shd w:val="clear" w:color="auto" w:fill="104F99" w:themeFill="accent2"/>
          </w:tcPr>
          <w:p w14:paraId="616D2B0F" w14:textId="77777777" w:rsidR="00146068" w:rsidRPr="004E67F4" w:rsidRDefault="00146068" w:rsidP="0019067A">
            <w:pPr>
              <w:spacing w:before="120" w:after="120"/>
              <w:rPr>
                <w:b/>
                <w:color w:val="1C1C1C"/>
                <w:szCs w:val="18"/>
              </w:rPr>
            </w:pPr>
            <w:r>
              <w:rPr>
                <w:b/>
                <w:bCs/>
                <w:color w:val="FFFFFF" w:themeColor="background2"/>
                <w:szCs w:val="18"/>
                <w:lang w:val="en-US"/>
              </w:rPr>
              <w:t>Abbreviation</w:t>
            </w:r>
          </w:p>
        </w:tc>
        <w:tc>
          <w:tcPr>
            <w:tcW w:w="6237" w:type="dxa"/>
            <w:shd w:val="clear" w:color="auto" w:fill="104F99" w:themeFill="accent2"/>
          </w:tcPr>
          <w:p w14:paraId="3419B8E4" w14:textId="77777777" w:rsidR="00146068" w:rsidRPr="00446516" w:rsidRDefault="00146068" w:rsidP="0019067A">
            <w:pPr>
              <w:spacing w:before="120" w:after="120"/>
              <w:jc w:val="right"/>
              <w:rPr>
                <w:b/>
                <w:bCs/>
                <w:color w:val="FFFFFF" w:themeColor="background2"/>
                <w:szCs w:val="18"/>
                <w:lang w:val="en-US"/>
              </w:rPr>
            </w:pPr>
          </w:p>
        </w:tc>
      </w:tr>
      <w:tr w:rsidR="00146068" w:rsidRPr="004E67F4" w14:paraId="55C04410"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1E7E301A" w14:textId="77777777" w:rsidR="00146068" w:rsidRPr="0039566E" w:rsidRDefault="00146068" w:rsidP="00146068">
            <w:pPr>
              <w:spacing w:before="120" w:after="120"/>
              <w:rPr>
                <w:color w:val="1C1C1C"/>
                <w:sz w:val="20"/>
                <w:szCs w:val="20"/>
              </w:rPr>
            </w:pPr>
            <w:r w:rsidRPr="0039566E">
              <w:rPr>
                <w:b/>
                <w:bCs/>
                <w:sz w:val="20"/>
                <w:szCs w:val="20"/>
              </w:rPr>
              <w:t>ABF</w:t>
            </w:r>
          </w:p>
        </w:tc>
        <w:tc>
          <w:tcPr>
            <w:tcW w:w="6237" w:type="dxa"/>
            <w:tcBorders>
              <w:top w:val="single" w:sz="4" w:space="0" w:color="DFEBF1" w:themeColor="accent1" w:themeTint="1A"/>
              <w:bottom w:val="single" w:sz="4" w:space="0" w:color="DFEBF1" w:themeColor="accent1" w:themeTint="1A"/>
            </w:tcBorders>
          </w:tcPr>
          <w:p w14:paraId="6A0826AA" w14:textId="77777777" w:rsidR="00146068" w:rsidRPr="0039566E" w:rsidRDefault="00146068" w:rsidP="00146068">
            <w:pPr>
              <w:spacing w:before="120" w:after="120"/>
              <w:rPr>
                <w:color w:val="1C1C1C"/>
                <w:sz w:val="20"/>
                <w:szCs w:val="20"/>
              </w:rPr>
            </w:pPr>
            <w:r w:rsidRPr="0039566E">
              <w:rPr>
                <w:sz w:val="20"/>
                <w:szCs w:val="20"/>
              </w:rPr>
              <w:t>Activity based funding</w:t>
            </w:r>
          </w:p>
        </w:tc>
      </w:tr>
      <w:tr w:rsidR="00146068" w:rsidRPr="004E67F4" w14:paraId="676888DC"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4C0000C3" w14:textId="77777777" w:rsidR="00146068" w:rsidRPr="0039566E" w:rsidRDefault="00146068" w:rsidP="00146068">
            <w:pPr>
              <w:spacing w:before="120" w:after="120"/>
              <w:rPr>
                <w:color w:val="1C1C1C"/>
                <w:sz w:val="20"/>
                <w:szCs w:val="20"/>
              </w:rPr>
            </w:pPr>
            <w:r w:rsidRPr="0039566E">
              <w:rPr>
                <w:b/>
                <w:bCs/>
                <w:sz w:val="20"/>
                <w:szCs w:val="20"/>
              </w:rPr>
              <w:t>ACHI</w:t>
            </w:r>
          </w:p>
        </w:tc>
        <w:tc>
          <w:tcPr>
            <w:tcW w:w="6237" w:type="dxa"/>
            <w:tcBorders>
              <w:top w:val="single" w:sz="4" w:space="0" w:color="DFEBF1" w:themeColor="accent1" w:themeTint="1A"/>
              <w:bottom w:val="single" w:sz="4" w:space="0" w:color="DFEBF1" w:themeColor="accent1" w:themeTint="1A"/>
            </w:tcBorders>
          </w:tcPr>
          <w:p w14:paraId="372A28B5" w14:textId="77777777" w:rsidR="00146068" w:rsidRPr="0039566E" w:rsidRDefault="00146068" w:rsidP="00146068">
            <w:pPr>
              <w:spacing w:before="120" w:after="120"/>
              <w:rPr>
                <w:color w:val="1C1C1C"/>
                <w:sz w:val="20"/>
                <w:szCs w:val="20"/>
              </w:rPr>
            </w:pPr>
            <w:r w:rsidRPr="0039566E">
              <w:rPr>
                <w:sz w:val="20"/>
                <w:szCs w:val="20"/>
              </w:rPr>
              <w:t>Australian Classification of Health Interventions</w:t>
            </w:r>
          </w:p>
        </w:tc>
      </w:tr>
      <w:tr w:rsidR="00146068" w:rsidRPr="004E67F4" w14:paraId="30A8E73D"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30574959" w14:textId="77777777" w:rsidR="00146068" w:rsidRPr="0039566E" w:rsidRDefault="00146068" w:rsidP="00146068">
            <w:pPr>
              <w:spacing w:before="120" w:after="120"/>
              <w:rPr>
                <w:color w:val="1C1C1C"/>
                <w:sz w:val="20"/>
                <w:szCs w:val="20"/>
              </w:rPr>
            </w:pPr>
            <w:r w:rsidRPr="0039566E">
              <w:rPr>
                <w:b/>
                <w:bCs/>
                <w:sz w:val="20"/>
                <w:szCs w:val="20"/>
              </w:rPr>
              <w:t>ACS</w:t>
            </w:r>
          </w:p>
        </w:tc>
        <w:tc>
          <w:tcPr>
            <w:tcW w:w="6237" w:type="dxa"/>
            <w:tcBorders>
              <w:top w:val="single" w:sz="4" w:space="0" w:color="DFEBF1" w:themeColor="accent1" w:themeTint="1A"/>
              <w:bottom w:val="single" w:sz="4" w:space="0" w:color="DFEBF1" w:themeColor="accent1" w:themeTint="1A"/>
            </w:tcBorders>
          </w:tcPr>
          <w:p w14:paraId="1FA5A49D" w14:textId="77777777" w:rsidR="00146068" w:rsidRPr="0039566E" w:rsidRDefault="00146068" w:rsidP="00146068">
            <w:pPr>
              <w:spacing w:before="120" w:after="120"/>
              <w:rPr>
                <w:color w:val="1C1C1C"/>
                <w:sz w:val="20"/>
                <w:szCs w:val="20"/>
              </w:rPr>
            </w:pPr>
            <w:r w:rsidRPr="0039566E">
              <w:rPr>
                <w:sz w:val="20"/>
                <w:szCs w:val="20"/>
              </w:rPr>
              <w:t>Australian Coding Standards</w:t>
            </w:r>
          </w:p>
        </w:tc>
      </w:tr>
      <w:tr w:rsidR="002B335C" w:rsidRPr="004E67F4" w14:paraId="2C756DDF"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41067B90" w14:textId="1B70C2B2" w:rsidR="002B335C" w:rsidRPr="0039566E" w:rsidRDefault="002B335C" w:rsidP="00146068">
            <w:pPr>
              <w:spacing w:before="120" w:after="120"/>
              <w:rPr>
                <w:b/>
                <w:bCs/>
                <w:sz w:val="20"/>
                <w:szCs w:val="20"/>
              </w:rPr>
            </w:pPr>
            <w:r w:rsidRPr="0039566E">
              <w:rPr>
                <w:b/>
                <w:bCs/>
                <w:sz w:val="20"/>
                <w:szCs w:val="20"/>
              </w:rPr>
              <w:t>ADRG</w:t>
            </w:r>
          </w:p>
        </w:tc>
        <w:tc>
          <w:tcPr>
            <w:tcW w:w="6237" w:type="dxa"/>
            <w:tcBorders>
              <w:top w:val="single" w:sz="4" w:space="0" w:color="DFEBF1" w:themeColor="accent1" w:themeTint="1A"/>
              <w:bottom w:val="single" w:sz="4" w:space="0" w:color="DFEBF1" w:themeColor="accent1" w:themeTint="1A"/>
            </w:tcBorders>
          </w:tcPr>
          <w:p w14:paraId="30BF0D7E" w14:textId="3C4D1661" w:rsidR="002B335C" w:rsidRPr="0039566E" w:rsidRDefault="002B335C" w:rsidP="00146068">
            <w:pPr>
              <w:spacing w:before="120" w:after="120"/>
              <w:rPr>
                <w:sz w:val="20"/>
                <w:szCs w:val="20"/>
              </w:rPr>
            </w:pPr>
            <w:r w:rsidRPr="0039566E">
              <w:rPr>
                <w:sz w:val="20"/>
                <w:szCs w:val="20"/>
              </w:rPr>
              <w:t>Adjacent Diagnosis Related Group</w:t>
            </w:r>
          </w:p>
        </w:tc>
      </w:tr>
      <w:tr w:rsidR="00146068" w:rsidRPr="004E67F4" w14:paraId="4527FF12"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5ABBDE95" w14:textId="77777777" w:rsidR="00146068" w:rsidRPr="0039566E" w:rsidRDefault="00146068" w:rsidP="00146068">
            <w:pPr>
              <w:spacing w:before="120" w:after="120"/>
              <w:rPr>
                <w:color w:val="1C1C1C"/>
                <w:sz w:val="20"/>
                <w:szCs w:val="20"/>
              </w:rPr>
            </w:pPr>
            <w:r w:rsidRPr="0039566E">
              <w:rPr>
                <w:b/>
                <w:bCs/>
                <w:sz w:val="20"/>
                <w:szCs w:val="20"/>
              </w:rPr>
              <w:t>AECC</w:t>
            </w:r>
          </w:p>
        </w:tc>
        <w:tc>
          <w:tcPr>
            <w:tcW w:w="6237" w:type="dxa"/>
            <w:tcBorders>
              <w:top w:val="single" w:sz="4" w:space="0" w:color="DFEBF1" w:themeColor="accent1" w:themeTint="1A"/>
              <w:bottom w:val="single" w:sz="4" w:space="0" w:color="DFEBF1" w:themeColor="accent1" w:themeTint="1A"/>
            </w:tcBorders>
          </w:tcPr>
          <w:p w14:paraId="7456E8A5" w14:textId="77777777" w:rsidR="00146068" w:rsidRPr="0039566E" w:rsidRDefault="00146068" w:rsidP="00146068">
            <w:pPr>
              <w:spacing w:before="120" w:after="120"/>
              <w:rPr>
                <w:color w:val="1C1C1C"/>
                <w:sz w:val="20"/>
                <w:szCs w:val="20"/>
              </w:rPr>
            </w:pPr>
            <w:r w:rsidRPr="0039566E">
              <w:rPr>
                <w:sz w:val="20"/>
                <w:szCs w:val="20"/>
              </w:rPr>
              <w:t>Australian Emergency Care Classification</w:t>
            </w:r>
          </w:p>
        </w:tc>
      </w:tr>
      <w:tr w:rsidR="00146068" w:rsidRPr="004E67F4" w14:paraId="477529CA"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2A713C91" w14:textId="77777777" w:rsidR="00146068" w:rsidRPr="0039566E" w:rsidRDefault="00146068" w:rsidP="00146068">
            <w:pPr>
              <w:spacing w:before="120" w:after="120"/>
              <w:rPr>
                <w:color w:val="1C1C1C"/>
                <w:sz w:val="20"/>
                <w:szCs w:val="20"/>
              </w:rPr>
            </w:pPr>
            <w:r w:rsidRPr="0039566E">
              <w:rPr>
                <w:b/>
                <w:bCs/>
                <w:sz w:val="20"/>
                <w:szCs w:val="20"/>
              </w:rPr>
              <w:t>AHR</w:t>
            </w:r>
          </w:p>
        </w:tc>
        <w:tc>
          <w:tcPr>
            <w:tcW w:w="6237" w:type="dxa"/>
            <w:tcBorders>
              <w:top w:val="single" w:sz="4" w:space="0" w:color="DFEBF1" w:themeColor="accent1" w:themeTint="1A"/>
              <w:bottom w:val="single" w:sz="4" w:space="0" w:color="DFEBF1" w:themeColor="accent1" w:themeTint="1A"/>
            </w:tcBorders>
          </w:tcPr>
          <w:p w14:paraId="552D5726" w14:textId="77777777" w:rsidR="00146068" w:rsidRPr="0039566E" w:rsidRDefault="00146068" w:rsidP="00146068">
            <w:pPr>
              <w:spacing w:before="120" w:after="120"/>
              <w:rPr>
                <w:color w:val="1C1C1C"/>
                <w:sz w:val="20"/>
                <w:szCs w:val="20"/>
              </w:rPr>
            </w:pPr>
            <w:r w:rsidRPr="0039566E">
              <w:rPr>
                <w:sz w:val="20"/>
                <w:szCs w:val="20"/>
              </w:rPr>
              <w:t>Avoidable hospital readmission</w:t>
            </w:r>
          </w:p>
        </w:tc>
      </w:tr>
      <w:tr w:rsidR="00146068" w:rsidRPr="004E67F4" w14:paraId="622C0D6A"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74D1142E" w14:textId="77777777" w:rsidR="00146068" w:rsidRPr="0039566E" w:rsidRDefault="00146068" w:rsidP="00146068">
            <w:pPr>
              <w:spacing w:before="120" w:after="120"/>
              <w:rPr>
                <w:color w:val="1C1C1C"/>
                <w:sz w:val="20"/>
                <w:szCs w:val="20"/>
              </w:rPr>
            </w:pPr>
            <w:r w:rsidRPr="0039566E">
              <w:rPr>
                <w:b/>
                <w:bCs/>
                <w:sz w:val="20"/>
                <w:szCs w:val="20"/>
              </w:rPr>
              <w:t>AMHCC</w:t>
            </w:r>
          </w:p>
        </w:tc>
        <w:tc>
          <w:tcPr>
            <w:tcW w:w="6237" w:type="dxa"/>
            <w:tcBorders>
              <w:top w:val="single" w:sz="4" w:space="0" w:color="DFEBF1" w:themeColor="accent1" w:themeTint="1A"/>
              <w:bottom w:val="single" w:sz="4" w:space="0" w:color="DFEBF1" w:themeColor="accent1" w:themeTint="1A"/>
            </w:tcBorders>
          </w:tcPr>
          <w:p w14:paraId="140014D6" w14:textId="77777777" w:rsidR="00146068" w:rsidRPr="0039566E" w:rsidRDefault="00146068" w:rsidP="00146068">
            <w:pPr>
              <w:spacing w:before="120" w:after="120"/>
              <w:rPr>
                <w:color w:val="1C1C1C"/>
                <w:sz w:val="20"/>
                <w:szCs w:val="20"/>
              </w:rPr>
            </w:pPr>
            <w:r w:rsidRPr="0039566E">
              <w:rPr>
                <w:sz w:val="20"/>
                <w:szCs w:val="20"/>
              </w:rPr>
              <w:t>Australian Mental Health Care Classification</w:t>
            </w:r>
          </w:p>
        </w:tc>
      </w:tr>
      <w:tr w:rsidR="00146068" w:rsidRPr="004E67F4" w14:paraId="1A16B50D"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4F0B73C6" w14:textId="77777777" w:rsidR="00146068" w:rsidRPr="0039566E" w:rsidRDefault="00146068" w:rsidP="00146068">
            <w:pPr>
              <w:spacing w:before="120" w:after="120"/>
              <w:rPr>
                <w:color w:val="1C1C1C"/>
                <w:sz w:val="20"/>
                <w:szCs w:val="20"/>
              </w:rPr>
            </w:pPr>
            <w:r w:rsidRPr="0039566E">
              <w:rPr>
                <w:b/>
                <w:bCs/>
                <w:sz w:val="20"/>
                <w:szCs w:val="20"/>
              </w:rPr>
              <w:t>ANAPP</w:t>
            </w:r>
          </w:p>
        </w:tc>
        <w:tc>
          <w:tcPr>
            <w:tcW w:w="6237" w:type="dxa"/>
            <w:tcBorders>
              <w:top w:val="single" w:sz="4" w:space="0" w:color="DFEBF1" w:themeColor="accent1" w:themeTint="1A"/>
              <w:bottom w:val="single" w:sz="4" w:space="0" w:color="DFEBF1" w:themeColor="accent1" w:themeTint="1A"/>
            </w:tcBorders>
          </w:tcPr>
          <w:p w14:paraId="05654BB9" w14:textId="77777777" w:rsidR="00146068" w:rsidRPr="0039566E" w:rsidRDefault="00146068" w:rsidP="00146068">
            <w:pPr>
              <w:spacing w:before="120" w:after="120"/>
              <w:rPr>
                <w:color w:val="1C1C1C"/>
                <w:sz w:val="20"/>
                <w:szCs w:val="20"/>
              </w:rPr>
            </w:pPr>
            <w:r w:rsidRPr="0039566E">
              <w:rPr>
                <w:sz w:val="20"/>
                <w:szCs w:val="20"/>
              </w:rPr>
              <w:t>Australian Non-Admitted Patient Classification Project</w:t>
            </w:r>
          </w:p>
        </w:tc>
      </w:tr>
      <w:tr w:rsidR="00146068" w:rsidRPr="004E67F4" w14:paraId="603F7783"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742C7A14" w14:textId="77777777" w:rsidR="00146068" w:rsidRPr="0039566E" w:rsidRDefault="00146068" w:rsidP="00146068">
            <w:pPr>
              <w:spacing w:before="120" w:after="120"/>
              <w:rPr>
                <w:color w:val="1C1C1C"/>
                <w:sz w:val="20"/>
                <w:szCs w:val="20"/>
              </w:rPr>
            </w:pPr>
            <w:r w:rsidRPr="0039566E">
              <w:rPr>
                <w:b/>
                <w:bCs/>
                <w:sz w:val="20"/>
                <w:szCs w:val="20"/>
              </w:rPr>
              <w:t>AN-SNAP</w:t>
            </w:r>
          </w:p>
        </w:tc>
        <w:tc>
          <w:tcPr>
            <w:tcW w:w="6237" w:type="dxa"/>
            <w:tcBorders>
              <w:top w:val="single" w:sz="4" w:space="0" w:color="DFEBF1" w:themeColor="accent1" w:themeTint="1A"/>
              <w:bottom w:val="single" w:sz="4" w:space="0" w:color="DFEBF1" w:themeColor="accent1" w:themeTint="1A"/>
            </w:tcBorders>
          </w:tcPr>
          <w:p w14:paraId="6954409B" w14:textId="77777777" w:rsidR="00146068" w:rsidRPr="0039566E" w:rsidRDefault="00146068" w:rsidP="00146068">
            <w:pPr>
              <w:spacing w:before="120" w:after="120"/>
              <w:rPr>
                <w:color w:val="1C1C1C"/>
                <w:sz w:val="20"/>
                <w:szCs w:val="20"/>
              </w:rPr>
            </w:pPr>
            <w:r w:rsidRPr="0039566E">
              <w:rPr>
                <w:sz w:val="20"/>
                <w:szCs w:val="20"/>
              </w:rPr>
              <w:t>Australian National Subacute and Non-Acute Patient Classification</w:t>
            </w:r>
          </w:p>
        </w:tc>
      </w:tr>
      <w:tr w:rsidR="00146068" w:rsidRPr="004E67F4" w14:paraId="692D701F"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7DD8CA6E" w14:textId="77777777" w:rsidR="00146068" w:rsidRPr="0039566E" w:rsidRDefault="00146068" w:rsidP="00146068">
            <w:pPr>
              <w:spacing w:before="120" w:after="120"/>
              <w:rPr>
                <w:color w:val="1C1C1C"/>
                <w:sz w:val="20"/>
                <w:szCs w:val="20"/>
              </w:rPr>
            </w:pPr>
            <w:r w:rsidRPr="0039566E">
              <w:rPr>
                <w:b/>
                <w:bCs/>
                <w:sz w:val="20"/>
                <w:szCs w:val="20"/>
              </w:rPr>
              <w:t>AR-DRG</w:t>
            </w:r>
          </w:p>
        </w:tc>
        <w:tc>
          <w:tcPr>
            <w:tcW w:w="6237" w:type="dxa"/>
            <w:tcBorders>
              <w:top w:val="single" w:sz="4" w:space="0" w:color="DFEBF1" w:themeColor="accent1" w:themeTint="1A"/>
              <w:bottom w:val="single" w:sz="4" w:space="0" w:color="DFEBF1" w:themeColor="accent1" w:themeTint="1A"/>
            </w:tcBorders>
          </w:tcPr>
          <w:p w14:paraId="00DAE91B" w14:textId="77777777" w:rsidR="00146068" w:rsidRPr="0039566E" w:rsidRDefault="00146068" w:rsidP="00146068">
            <w:pPr>
              <w:spacing w:before="120" w:after="120"/>
              <w:rPr>
                <w:color w:val="1C1C1C"/>
                <w:sz w:val="20"/>
                <w:szCs w:val="20"/>
              </w:rPr>
            </w:pPr>
            <w:r w:rsidRPr="0039566E">
              <w:rPr>
                <w:sz w:val="20"/>
                <w:szCs w:val="20"/>
              </w:rPr>
              <w:t>Australian Refined Diagnosis Related Group</w:t>
            </w:r>
          </w:p>
        </w:tc>
      </w:tr>
      <w:tr w:rsidR="00A05010" w:rsidRPr="004E67F4" w14:paraId="66AC33AE"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2E65F19F" w14:textId="3A01FDAC" w:rsidR="00A05010" w:rsidRPr="0039566E" w:rsidRDefault="00A05010" w:rsidP="00146068">
            <w:pPr>
              <w:spacing w:before="120" w:after="120"/>
              <w:rPr>
                <w:b/>
                <w:bCs/>
                <w:sz w:val="20"/>
                <w:szCs w:val="20"/>
              </w:rPr>
            </w:pPr>
            <w:r>
              <w:rPr>
                <w:b/>
                <w:bCs/>
                <w:sz w:val="20"/>
                <w:szCs w:val="20"/>
              </w:rPr>
              <w:t>AIHW</w:t>
            </w:r>
          </w:p>
        </w:tc>
        <w:tc>
          <w:tcPr>
            <w:tcW w:w="6237" w:type="dxa"/>
            <w:tcBorders>
              <w:top w:val="single" w:sz="4" w:space="0" w:color="DFEBF1" w:themeColor="accent1" w:themeTint="1A"/>
              <w:bottom w:val="single" w:sz="4" w:space="0" w:color="DFEBF1" w:themeColor="accent1" w:themeTint="1A"/>
            </w:tcBorders>
          </w:tcPr>
          <w:p w14:paraId="17F32A58" w14:textId="7ABD9744" w:rsidR="00A05010" w:rsidRPr="0039566E" w:rsidRDefault="00A05010" w:rsidP="00146068">
            <w:pPr>
              <w:spacing w:before="120" w:after="120"/>
              <w:rPr>
                <w:sz w:val="20"/>
                <w:szCs w:val="20"/>
              </w:rPr>
            </w:pPr>
            <w:r>
              <w:rPr>
                <w:sz w:val="20"/>
                <w:szCs w:val="20"/>
              </w:rPr>
              <w:t>Australian Institute of Health and Welfare</w:t>
            </w:r>
          </w:p>
        </w:tc>
      </w:tr>
      <w:tr w:rsidR="0080486D" w:rsidRPr="004E67F4" w14:paraId="74D1EA26"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191F1793" w14:textId="689E77B9" w:rsidR="0080486D" w:rsidRPr="0039566E" w:rsidRDefault="0080486D" w:rsidP="00146068">
            <w:pPr>
              <w:spacing w:before="120" w:after="120"/>
              <w:rPr>
                <w:b/>
                <w:bCs/>
                <w:sz w:val="20"/>
                <w:szCs w:val="20"/>
              </w:rPr>
            </w:pPr>
            <w:r>
              <w:rPr>
                <w:b/>
                <w:bCs/>
                <w:sz w:val="20"/>
                <w:szCs w:val="20"/>
              </w:rPr>
              <w:t>ACSQHC</w:t>
            </w:r>
          </w:p>
        </w:tc>
        <w:tc>
          <w:tcPr>
            <w:tcW w:w="6237" w:type="dxa"/>
            <w:tcBorders>
              <w:top w:val="single" w:sz="4" w:space="0" w:color="DFEBF1" w:themeColor="accent1" w:themeTint="1A"/>
              <w:bottom w:val="single" w:sz="4" w:space="0" w:color="DFEBF1" w:themeColor="accent1" w:themeTint="1A"/>
            </w:tcBorders>
          </w:tcPr>
          <w:p w14:paraId="58D81607" w14:textId="3410AB51" w:rsidR="0080486D" w:rsidRPr="0039566E" w:rsidRDefault="0080486D" w:rsidP="00146068">
            <w:pPr>
              <w:spacing w:before="120" w:after="120"/>
              <w:rPr>
                <w:sz w:val="20"/>
                <w:szCs w:val="20"/>
              </w:rPr>
            </w:pPr>
            <w:r w:rsidRPr="00081875">
              <w:rPr>
                <w:sz w:val="20"/>
                <w:szCs w:val="20"/>
              </w:rPr>
              <w:t>Australian Commission on Safety and Quality in Health Care</w:t>
            </w:r>
          </w:p>
        </w:tc>
      </w:tr>
      <w:tr w:rsidR="00146068" w:rsidRPr="004E67F4" w14:paraId="059F32FB"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46B6C2DE" w14:textId="77777777" w:rsidR="00146068" w:rsidRPr="0039566E" w:rsidRDefault="00146068" w:rsidP="00146068">
            <w:pPr>
              <w:spacing w:before="120" w:after="120"/>
              <w:rPr>
                <w:color w:val="1C1C1C"/>
                <w:sz w:val="20"/>
                <w:szCs w:val="20"/>
              </w:rPr>
            </w:pPr>
            <w:r w:rsidRPr="0039566E">
              <w:rPr>
                <w:b/>
                <w:bCs/>
                <w:sz w:val="20"/>
                <w:szCs w:val="20"/>
              </w:rPr>
              <w:t>COVID-19</w:t>
            </w:r>
          </w:p>
        </w:tc>
        <w:tc>
          <w:tcPr>
            <w:tcW w:w="6237" w:type="dxa"/>
            <w:tcBorders>
              <w:top w:val="single" w:sz="4" w:space="0" w:color="DFEBF1" w:themeColor="accent1" w:themeTint="1A"/>
              <w:bottom w:val="single" w:sz="4" w:space="0" w:color="DFEBF1" w:themeColor="accent1" w:themeTint="1A"/>
            </w:tcBorders>
          </w:tcPr>
          <w:p w14:paraId="6C5EA2FA" w14:textId="77777777" w:rsidR="00146068" w:rsidRPr="0039566E" w:rsidRDefault="00146068" w:rsidP="00146068">
            <w:pPr>
              <w:spacing w:before="120" w:after="120"/>
              <w:rPr>
                <w:color w:val="1C1C1C"/>
                <w:sz w:val="20"/>
                <w:szCs w:val="20"/>
              </w:rPr>
            </w:pPr>
            <w:r w:rsidRPr="0039566E">
              <w:rPr>
                <w:sz w:val="20"/>
                <w:szCs w:val="20"/>
              </w:rPr>
              <w:t>Coronavirus disease 2019</w:t>
            </w:r>
          </w:p>
        </w:tc>
      </w:tr>
      <w:tr w:rsidR="00B31741" w:rsidRPr="004E67F4" w14:paraId="42A64A20" w14:textId="77777777" w:rsidTr="00B31741">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7B705BFB" w14:textId="0546F887" w:rsidR="00B31741" w:rsidRDefault="00B31741" w:rsidP="00146068">
            <w:pPr>
              <w:spacing w:before="120" w:after="120"/>
              <w:rPr>
                <w:b/>
                <w:bCs/>
                <w:sz w:val="20"/>
                <w:szCs w:val="20"/>
              </w:rPr>
            </w:pPr>
            <w:r>
              <w:rPr>
                <w:b/>
                <w:bCs/>
                <w:sz w:val="20"/>
                <w:szCs w:val="20"/>
              </w:rPr>
              <w:t>CALD</w:t>
            </w:r>
          </w:p>
        </w:tc>
        <w:tc>
          <w:tcPr>
            <w:tcW w:w="6237" w:type="dxa"/>
            <w:tcBorders>
              <w:top w:val="single" w:sz="4" w:space="0" w:color="DFEBF1" w:themeColor="accent1" w:themeTint="1A"/>
              <w:bottom w:val="single" w:sz="4" w:space="0" w:color="DFEBF1" w:themeColor="accent1" w:themeTint="1A"/>
            </w:tcBorders>
          </w:tcPr>
          <w:p w14:paraId="2085A8B7" w14:textId="1E2514DD" w:rsidR="00B31741" w:rsidRDefault="00B31741" w:rsidP="00146068">
            <w:pPr>
              <w:spacing w:before="120" w:after="120"/>
              <w:rPr>
                <w:sz w:val="20"/>
                <w:szCs w:val="20"/>
              </w:rPr>
            </w:pPr>
            <w:r>
              <w:rPr>
                <w:sz w:val="20"/>
                <w:szCs w:val="20"/>
              </w:rPr>
              <w:t>Culturally and linguistically diverse</w:t>
            </w:r>
          </w:p>
        </w:tc>
      </w:tr>
      <w:tr w:rsidR="00D51D1D" w:rsidRPr="004E67F4" w14:paraId="0C161A04" w14:textId="77777777" w:rsidTr="00B31741">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547B5128" w14:textId="79ED18C7" w:rsidR="00D51D1D" w:rsidRDefault="00D51D1D" w:rsidP="00146068">
            <w:pPr>
              <w:spacing w:before="120" w:after="120"/>
              <w:rPr>
                <w:b/>
                <w:bCs/>
                <w:sz w:val="20"/>
                <w:szCs w:val="20"/>
              </w:rPr>
            </w:pPr>
            <w:r>
              <w:rPr>
                <w:b/>
                <w:bCs/>
                <w:sz w:val="20"/>
                <w:szCs w:val="20"/>
              </w:rPr>
              <w:t>DRS</w:t>
            </w:r>
          </w:p>
        </w:tc>
        <w:tc>
          <w:tcPr>
            <w:tcW w:w="6237" w:type="dxa"/>
            <w:tcBorders>
              <w:top w:val="single" w:sz="4" w:space="0" w:color="DFEBF1" w:themeColor="accent1" w:themeTint="1A"/>
              <w:bottom w:val="single" w:sz="4" w:space="0" w:color="DFEBF1" w:themeColor="accent1" w:themeTint="1A"/>
            </w:tcBorders>
          </w:tcPr>
          <w:p w14:paraId="19E5485F" w14:textId="36F0A604" w:rsidR="00D51D1D" w:rsidRDefault="00D51D1D" w:rsidP="00146068">
            <w:pPr>
              <w:spacing w:before="120" w:after="120"/>
              <w:rPr>
                <w:sz w:val="20"/>
                <w:szCs w:val="20"/>
              </w:rPr>
            </w:pPr>
            <w:r>
              <w:rPr>
                <w:sz w:val="20"/>
                <w:szCs w:val="20"/>
              </w:rPr>
              <w:t>Data request specifications</w:t>
            </w:r>
          </w:p>
        </w:tc>
      </w:tr>
      <w:tr w:rsidR="00985040" w:rsidRPr="004E67F4" w14:paraId="325CCA7B"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57B4D8C0" w14:textId="40238371" w:rsidR="00985040" w:rsidRPr="0039566E" w:rsidRDefault="00985040" w:rsidP="00146068">
            <w:pPr>
              <w:spacing w:before="120" w:after="120"/>
              <w:rPr>
                <w:b/>
                <w:bCs/>
                <w:sz w:val="20"/>
                <w:szCs w:val="20"/>
              </w:rPr>
            </w:pPr>
            <w:r>
              <w:rPr>
                <w:b/>
                <w:bCs/>
                <w:sz w:val="20"/>
                <w:szCs w:val="20"/>
              </w:rPr>
              <w:t>ED</w:t>
            </w:r>
          </w:p>
        </w:tc>
        <w:tc>
          <w:tcPr>
            <w:tcW w:w="6237" w:type="dxa"/>
            <w:tcBorders>
              <w:top w:val="single" w:sz="4" w:space="0" w:color="DFEBF1" w:themeColor="accent1" w:themeTint="1A"/>
              <w:bottom w:val="single" w:sz="4" w:space="0" w:color="DFEBF1" w:themeColor="accent1" w:themeTint="1A"/>
            </w:tcBorders>
          </w:tcPr>
          <w:p w14:paraId="4FEC2BE5" w14:textId="094BEAE0" w:rsidR="00985040" w:rsidRPr="0039566E" w:rsidRDefault="00985040" w:rsidP="00146068">
            <w:pPr>
              <w:spacing w:before="120" w:after="120"/>
              <w:rPr>
                <w:sz w:val="20"/>
                <w:szCs w:val="20"/>
              </w:rPr>
            </w:pPr>
            <w:r>
              <w:rPr>
                <w:sz w:val="20"/>
                <w:szCs w:val="20"/>
              </w:rPr>
              <w:t xml:space="preserve">Emergency </w:t>
            </w:r>
            <w:r w:rsidR="00D51D1D">
              <w:rPr>
                <w:sz w:val="20"/>
                <w:szCs w:val="20"/>
              </w:rPr>
              <w:t>d</w:t>
            </w:r>
            <w:r>
              <w:rPr>
                <w:sz w:val="20"/>
                <w:szCs w:val="20"/>
              </w:rPr>
              <w:t>epartment</w:t>
            </w:r>
          </w:p>
        </w:tc>
      </w:tr>
      <w:tr w:rsidR="00146068" w:rsidRPr="004E67F4" w14:paraId="4FA059B5"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29662409" w14:textId="77777777" w:rsidR="00146068" w:rsidRPr="0039566E" w:rsidRDefault="00146068" w:rsidP="00146068">
            <w:pPr>
              <w:spacing w:before="120" w:after="120"/>
              <w:rPr>
                <w:color w:val="1C1C1C"/>
                <w:sz w:val="20"/>
                <w:szCs w:val="20"/>
              </w:rPr>
            </w:pPr>
            <w:r w:rsidRPr="0039566E">
              <w:rPr>
                <w:b/>
                <w:bCs/>
                <w:sz w:val="20"/>
                <w:szCs w:val="20"/>
              </w:rPr>
              <w:t>eMR</w:t>
            </w:r>
          </w:p>
        </w:tc>
        <w:tc>
          <w:tcPr>
            <w:tcW w:w="6237" w:type="dxa"/>
            <w:tcBorders>
              <w:top w:val="single" w:sz="4" w:space="0" w:color="DFEBF1" w:themeColor="accent1" w:themeTint="1A"/>
              <w:bottom w:val="single" w:sz="4" w:space="0" w:color="DFEBF1" w:themeColor="accent1" w:themeTint="1A"/>
            </w:tcBorders>
          </w:tcPr>
          <w:p w14:paraId="4E8140D0" w14:textId="77777777" w:rsidR="00146068" w:rsidRPr="0039566E" w:rsidRDefault="00146068" w:rsidP="00146068">
            <w:pPr>
              <w:spacing w:before="120" w:after="120"/>
              <w:rPr>
                <w:color w:val="1C1C1C"/>
                <w:sz w:val="20"/>
                <w:szCs w:val="20"/>
              </w:rPr>
            </w:pPr>
            <w:r w:rsidRPr="0039566E">
              <w:rPr>
                <w:sz w:val="20"/>
                <w:szCs w:val="20"/>
              </w:rPr>
              <w:t>Electronic medical record</w:t>
            </w:r>
          </w:p>
        </w:tc>
      </w:tr>
      <w:tr w:rsidR="005A70E8" w:rsidRPr="004E67F4" w14:paraId="51764176" w14:textId="77777777" w:rsidTr="003334F5">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43DCF844" w14:textId="3264A25D" w:rsidR="005A70E8" w:rsidRPr="0039566E" w:rsidRDefault="005A70E8" w:rsidP="00146068">
            <w:pPr>
              <w:spacing w:before="120" w:after="120"/>
              <w:rPr>
                <w:b/>
                <w:bCs/>
                <w:sz w:val="20"/>
                <w:szCs w:val="20"/>
              </w:rPr>
            </w:pPr>
            <w:r>
              <w:rPr>
                <w:b/>
                <w:bCs/>
                <w:sz w:val="20"/>
                <w:szCs w:val="20"/>
              </w:rPr>
              <w:t>EVC</w:t>
            </w:r>
          </w:p>
        </w:tc>
        <w:tc>
          <w:tcPr>
            <w:tcW w:w="6237" w:type="dxa"/>
            <w:tcBorders>
              <w:top w:val="single" w:sz="4" w:space="0" w:color="DFEBF1" w:themeColor="accent1" w:themeTint="1A"/>
              <w:bottom w:val="single" w:sz="4" w:space="0" w:color="DFEBF1" w:themeColor="accent1" w:themeTint="1A"/>
            </w:tcBorders>
          </w:tcPr>
          <w:p w14:paraId="0F2D21CC" w14:textId="3AC4469F" w:rsidR="005A70E8" w:rsidRPr="0039566E" w:rsidRDefault="005A70E8" w:rsidP="00146068">
            <w:pPr>
              <w:spacing w:before="120" w:after="120"/>
              <w:rPr>
                <w:sz w:val="20"/>
                <w:szCs w:val="20"/>
              </w:rPr>
            </w:pPr>
            <w:r>
              <w:rPr>
                <w:sz w:val="20"/>
                <w:szCs w:val="20"/>
              </w:rPr>
              <w:t xml:space="preserve">Emergency </w:t>
            </w:r>
            <w:r w:rsidR="00F82C0E">
              <w:rPr>
                <w:sz w:val="20"/>
                <w:szCs w:val="20"/>
              </w:rPr>
              <w:t>v</w:t>
            </w:r>
            <w:r>
              <w:rPr>
                <w:sz w:val="20"/>
                <w:szCs w:val="20"/>
              </w:rPr>
              <w:t xml:space="preserve">irtual </w:t>
            </w:r>
            <w:r w:rsidR="00F82C0E">
              <w:rPr>
                <w:sz w:val="20"/>
                <w:szCs w:val="20"/>
              </w:rPr>
              <w:t>c</w:t>
            </w:r>
            <w:r>
              <w:rPr>
                <w:sz w:val="20"/>
                <w:szCs w:val="20"/>
              </w:rPr>
              <w:t>are</w:t>
            </w:r>
          </w:p>
        </w:tc>
      </w:tr>
      <w:tr w:rsidR="00146068" w:rsidRPr="004E67F4" w14:paraId="2034F590"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559E4F0B" w14:textId="77777777" w:rsidR="00146068" w:rsidRPr="0039566E" w:rsidRDefault="00146068" w:rsidP="00146068">
            <w:pPr>
              <w:spacing w:before="120" w:after="120"/>
              <w:rPr>
                <w:color w:val="1C1C1C"/>
                <w:sz w:val="20"/>
                <w:szCs w:val="20"/>
              </w:rPr>
            </w:pPr>
            <w:r w:rsidRPr="0039566E">
              <w:rPr>
                <w:b/>
                <w:bCs/>
                <w:sz w:val="20"/>
                <w:szCs w:val="20"/>
              </w:rPr>
              <w:t>HAC</w:t>
            </w:r>
          </w:p>
        </w:tc>
        <w:tc>
          <w:tcPr>
            <w:tcW w:w="6237" w:type="dxa"/>
            <w:tcBorders>
              <w:top w:val="single" w:sz="4" w:space="0" w:color="DFEBF1" w:themeColor="accent1" w:themeTint="1A"/>
              <w:bottom w:val="single" w:sz="4" w:space="0" w:color="DFEBF1" w:themeColor="accent1" w:themeTint="1A"/>
            </w:tcBorders>
          </w:tcPr>
          <w:p w14:paraId="354B2E1E" w14:textId="77777777" w:rsidR="00146068" w:rsidRPr="0039566E" w:rsidRDefault="00146068" w:rsidP="00146068">
            <w:pPr>
              <w:spacing w:before="120" w:after="120"/>
              <w:rPr>
                <w:color w:val="1C1C1C"/>
                <w:sz w:val="20"/>
                <w:szCs w:val="20"/>
              </w:rPr>
            </w:pPr>
            <w:r w:rsidRPr="0039566E">
              <w:rPr>
                <w:sz w:val="20"/>
                <w:szCs w:val="20"/>
              </w:rPr>
              <w:t>Hospital acquired complication</w:t>
            </w:r>
          </w:p>
        </w:tc>
      </w:tr>
      <w:tr w:rsidR="008E7932" w:rsidRPr="004E67F4" w14:paraId="5F751629" w14:textId="77777777" w:rsidTr="003334F5">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5203665A" w14:textId="120C1A82" w:rsidR="008E7932" w:rsidRPr="0039566E" w:rsidRDefault="008E7932" w:rsidP="00146068">
            <w:pPr>
              <w:spacing w:before="120" w:after="120"/>
              <w:rPr>
                <w:b/>
                <w:bCs/>
                <w:sz w:val="20"/>
                <w:szCs w:val="20"/>
              </w:rPr>
            </w:pPr>
            <w:r>
              <w:rPr>
                <w:b/>
                <w:bCs/>
                <w:sz w:val="20"/>
                <w:szCs w:val="20"/>
              </w:rPr>
              <w:t xml:space="preserve">HDU </w:t>
            </w:r>
          </w:p>
        </w:tc>
        <w:tc>
          <w:tcPr>
            <w:tcW w:w="6237" w:type="dxa"/>
            <w:tcBorders>
              <w:top w:val="single" w:sz="4" w:space="0" w:color="DFEBF1" w:themeColor="accent1" w:themeTint="1A"/>
              <w:bottom w:val="single" w:sz="4" w:space="0" w:color="DFEBF1" w:themeColor="accent1" w:themeTint="1A"/>
            </w:tcBorders>
          </w:tcPr>
          <w:p w14:paraId="677A7205" w14:textId="4448C9EB" w:rsidR="008E7932" w:rsidRPr="0039566E" w:rsidRDefault="008E7932" w:rsidP="00146068">
            <w:pPr>
              <w:spacing w:before="120" w:after="120"/>
              <w:rPr>
                <w:sz w:val="20"/>
                <w:szCs w:val="20"/>
              </w:rPr>
            </w:pPr>
            <w:r>
              <w:rPr>
                <w:sz w:val="20"/>
                <w:szCs w:val="20"/>
              </w:rPr>
              <w:t>High</w:t>
            </w:r>
            <w:r w:rsidR="00BC3965">
              <w:rPr>
                <w:sz w:val="20"/>
                <w:szCs w:val="20"/>
              </w:rPr>
              <w:t>-d</w:t>
            </w:r>
            <w:r>
              <w:rPr>
                <w:sz w:val="20"/>
                <w:szCs w:val="20"/>
              </w:rPr>
              <w:t xml:space="preserve">ependency </w:t>
            </w:r>
            <w:r w:rsidR="00BC3965">
              <w:rPr>
                <w:sz w:val="20"/>
                <w:szCs w:val="20"/>
              </w:rPr>
              <w:t>u</w:t>
            </w:r>
            <w:r>
              <w:rPr>
                <w:sz w:val="20"/>
                <w:szCs w:val="20"/>
              </w:rPr>
              <w:t xml:space="preserve">nits </w:t>
            </w:r>
          </w:p>
        </w:tc>
      </w:tr>
      <w:tr w:rsidR="00146068" w:rsidRPr="004E67F4" w14:paraId="1857E92A"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2ABD65CA" w14:textId="77777777" w:rsidR="00146068" w:rsidRPr="0039566E" w:rsidRDefault="00146068" w:rsidP="00146068">
            <w:pPr>
              <w:spacing w:before="120" w:after="120"/>
              <w:rPr>
                <w:color w:val="1C1C1C"/>
                <w:sz w:val="20"/>
                <w:szCs w:val="20"/>
              </w:rPr>
            </w:pPr>
            <w:proofErr w:type="spellStart"/>
            <w:r w:rsidRPr="0039566E">
              <w:rPr>
                <w:b/>
                <w:bCs/>
                <w:sz w:val="20"/>
                <w:szCs w:val="20"/>
              </w:rPr>
              <w:t>HoNOS</w:t>
            </w:r>
            <w:proofErr w:type="spellEnd"/>
          </w:p>
        </w:tc>
        <w:tc>
          <w:tcPr>
            <w:tcW w:w="6237" w:type="dxa"/>
            <w:tcBorders>
              <w:top w:val="single" w:sz="4" w:space="0" w:color="DFEBF1" w:themeColor="accent1" w:themeTint="1A"/>
              <w:bottom w:val="single" w:sz="4" w:space="0" w:color="DFEBF1" w:themeColor="accent1" w:themeTint="1A"/>
            </w:tcBorders>
          </w:tcPr>
          <w:p w14:paraId="3EF6AD02" w14:textId="77777777" w:rsidR="00146068" w:rsidRPr="0039566E" w:rsidRDefault="00146068" w:rsidP="00146068">
            <w:pPr>
              <w:spacing w:before="120" w:after="120"/>
              <w:rPr>
                <w:color w:val="1C1C1C"/>
                <w:sz w:val="20"/>
                <w:szCs w:val="20"/>
              </w:rPr>
            </w:pPr>
            <w:r w:rsidRPr="0039566E">
              <w:rPr>
                <w:sz w:val="20"/>
                <w:szCs w:val="20"/>
              </w:rPr>
              <w:t>Health of the Nation Outcome Scales</w:t>
            </w:r>
          </w:p>
        </w:tc>
      </w:tr>
      <w:tr w:rsidR="00E75C7D" w:rsidRPr="004E67F4" w14:paraId="2A3610B2"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66C70B2B" w14:textId="1D0F10F0" w:rsidR="00E75C7D" w:rsidRPr="0039566E" w:rsidRDefault="00E75C7D" w:rsidP="00146068">
            <w:pPr>
              <w:spacing w:before="120" w:after="120"/>
              <w:rPr>
                <w:b/>
                <w:bCs/>
                <w:sz w:val="20"/>
                <w:szCs w:val="20"/>
              </w:rPr>
            </w:pPr>
            <w:r>
              <w:rPr>
                <w:b/>
                <w:bCs/>
                <w:sz w:val="20"/>
                <w:szCs w:val="20"/>
              </w:rPr>
              <w:t>HST</w:t>
            </w:r>
          </w:p>
        </w:tc>
        <w:tc>
          <w:tcPr>
            <w:tcW w:w="6237" w:type="dxa"/>
            <w:tcBorders>
              <w:top w:val="single" w:sz="4" w:space="0" w:color="DFEBF1" w:themeColor="accent1" w:themeTint="1A"/>
              <w:bottom w:val="single" w:sz="4" w:space="0" w:color="DFEBF1" w:themeColor="accent1" w:themeTint="1A"/>
            </w:tcBorders>
          </w:tcPr>
          <w:p w14:paraId="7D0454CC" w14:textId="55FD487A" w:rsidR="00E75C7D" w:rsidRPr="0039566E" w:rsidRDefault="00C07738" w:rsidP="00146068">
            <w:pPr>
              <w:spacing w:before="120" w:after="120"/>
              <w:rPr>
                <w:sz w:val="20"/>
                <w:szCs w:val="20"/>
              </w:rPr>
            </w:pPr>
            <w:r>
              <w:rPr>
                <w:sz w:val="20"/>
                <w:szCs w:val="20"/>
              </w:rPr>
              <w:t>H</w:t>
            </w:r>
            <w:r w:rsidR="00E75C7D">
              <w:rPr>
                <w:sz w:val="20"/>
                <w:szCs w:val="20"/>
              </w:rPr>
              <w:t>ighly specialised therap</w:t>
            </w:r>
            <w:r>
              <w:rPr>
                <w:sz w:val="20"/>
                <w:szCs w:val="20"/>
              </w:rPr>
              <w:t>y</w:t>
            </w:r>
          </w:p>
        </w:tc>
      </w:tr>
      <w:tr w:rsidR="00146068" w:rsidRPr="004E67F4" w14:paraId="23C1FFB5"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7CC97F7C" w14:textId="77777777" w:rsidR="00146068" w:rsidRPr="0039566E" w:rsidRDefault="00146068" w:rsidP="00146068">
            <w:pPr>
              <w:spacing w:before="120" w:after="120"/>
              <w:rPr>
                <w:color w:val="1C1C1C"/>
                <w:sz w:val="20"/>
                <w:szCs w:val="20"/>
              </w:rPr>
            </w:pPr>
            <w:r w:rsidRPr="0039566E">
              <w:rPr>
                <w:b/>
                <w:bCs/>
                <w:sz w:val="20"/>
                <w:szCs w:val="20"/>
              </w:rPr>
              <w:lastRenderedPageBreak/>
              <w:t>ICD-10-AM</w:t>
            </w:r>
          </w:p>
        </w:tc>
        <w:tc>
          <w:tcPr>
            <w:tcW w:w="6237" w:type="dxa"/>
            <w:tcBorders>
              <w:top w:val="single" w:sz="4" w:space="0" w:color="DFEBF1" w:themeColor="accent1" w:themeTint="1A"/>
              <w:bottom w:val="single" w:sz="4" w:space="0" w:color="DFEBF1" w:themeColor="accent1" w:themeTint="1A"/>
            </w:tcBorders>
          </w:tcPr>
          <w:p w14:paraId="592CB8FF" w14:textId="77777777" w:rsidR="00146068" w:rsidRPr="0039566E" w:rsidRDefault="00146068" w:rsidP="00146068">
            <w:pPr>
              <w:spacing w:before="120" w:after="120"/>
              <w:rPr>
                <w:color w:val="1C1C1C"/>
                <w:sz w:val="20"/>
                <w:szCs w:val="20"/>
              </w:rPr>
            </w:pPr>
            <w:r w:rsidRPr="0039566E">
              <w:rPr>
                <w:sz w:val="20"/>
                <w:szCs w:val="20"/>
              </w:rPr>
              <w:t>International Statistical Classification of Diseases and Related Health Problems, Tenth Revision, Australian Modification</w:t>
            </w:r>
          </w:p>
        </w:tc>
      </w:tr>
      <w:tr w:rsidR="00146068" w:rsidRPr="004E67F4" w14:paraId="598D34D7"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647B79E6" w14:textId="77777777" w:rsidR="00146068" w:rsidRPr="0039566E" w:rsidRDefault="00146068" w:rsidP="00146068">
            <w:pPr>
              <w:spacing w:before="120" w:after="120"/>
              <w:rPr>
                <w:color w:val="1C1C1C"/>
                <w:sz w:val="20"/>
                <w:szCs w:val="20"/>
              </w:rPr>
            </w:pPr>
            <w:r w:rsidRPr="0039566E">
              <w:rPr>
                <w:b/>
                <w:bCs/>
                <w:sz w:val="20"/>
                <w:szCs w:val="20"/>
              </w:rPr>
              <w:t>ICU</w:t>
            </w:r>
          </w:p>
        </w:tc>
        <w:tc>
          <w:tcPr>
            <w:tcW w:w="6237" w:type="dxa"/>
            <w:tcBorders>
              <w:top w:val="single" w:sz="4" w:space="0" w:color="DFEBF1" w:themeColor="accent1" w:themeTint="1A"/>
              <w:bottom w:val="single" w:sz="4" w:space="0" w:color="DFEBF1" w:themeColor="accent1" w:themeTint="1A"/>
            </w:tcBorders>
          </w:tcPr>
          <w:p w14:paraId="700060C4" w14:textId="77777777" w:rsidR="00146068" w:rsidRPr="0039566E" w:rsidRDefault="00146068" w:rsidP="00146068">
            <w:pPr>
              <w:spacing w:before="120" w:after="120"/>
              <w:rPr>
                <w:color w:val="1C1C1C"/>
                <w:sz w:val="20"/>
                <w:szCs w:val="20"/>
              </w:rPr>
            </w:pPr>
            <w:r w:rsidRPr="0039566E">
              <w:rPr>
                <w:sz w:val="20"/>
                <w:szCs w:val="20"/>
              </w:rPr>
              <w:t>Intensive care unit</w:t>
            </w:r>
          </w:p>
        </w:tc>
      </w:tr>
      <w:tr w:rsidR="00146068" w:rsidRPr="004E67F4" w14:paraId="1DB55FD3"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1930FCD7" w14:textId="77777777" w:rsidR="00146068" w:rsidRPr="0039566E" w:rsidRDefault="00146068" w:rsidP="00146068">
            <w:pPr>
              <w:spacing w:before="120" w:after="120"/>
              <w:rPr>
                <w:color w:val="1C1C1C"/>
                <w:sz w:val="20"/>
                <w:szCs w:val="20"/>
              </w:rPr>
            </w:pPr>
            <w:r w:rsidRPr="0039566E">
              <w:rPr>
                <w:b/>
                <w:bCs/>
                <w:sz w:val="20"/>
                <w:szCs w:val="20"/>
              </w:rPr>
              <w:t>IHACPA</w:t>
            </w:r>
          </w:p>
        </w:tc>
        <w:tc>
          <w:tcPr>
            <w:tcW w:w="6237" w:type="dxa"/>
            <w:tcBorders>
              <w:top w:val="single" w:sz="4" w:space="0" w:color="DFEBF1" w:themeColor="accent1" w:themeTint="1A"/>
              <w:bottom w:val="single" w:sz="4" w:space="0" w:color="DFEBF1" w:themeColor="accent1" w:themeTint="1A"/>
            </w:tcBorders>
          </w:tcPr>
          <w:p w14:paraId="07608AB1" w14:textId="77777777" w:rsidR="00146068" w:rsidRPr="0039566E" w:rsidRDefault="00146068" w:rsidP="00146068">
            <w:pPr>
              <w:spacing w:before="120" w:after="120"/>
              <w:rPr>
                <w:color w:val="1C1C1C"/>
                <w:sz w:val="20"/>
                <w:szCs w:val="20"/>
              </w:rPr>
            </w:pPr>
            <w:r w:rsidRPr="0039566E">
              <w:rPr>
                <w:sz w:val="20"/>
                <w:szCs w:val="20"/>
              </w:rPr>
              <w:t>Independent Health and Aged Care Pricing Authority</w:t>
            </w:r>
          </w:p>
        </w:tc>
      </w:tr>
      <w:tr w:rsidR="00146068" w:rsidRPr="004E67F4" w14:paraId="45896970"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5229EBFB" w14:textId="77777777" w:rsidR="00146068" w:rsidRPr="0039566E" w:rsidRDefault="00146068" w:rsidP="00146068">
            <w:pPr>
              <w:spacing w:before="120" w:after="120"/>
              <w:rPr>
                <w:color w:val="1C1C1C"/>
                <w:sz w:val="20"/>
                <w:szCs w:val="20"/>
              </w:rPr>
            </w:pPr>
            <w:r w:rsidRPr="0039566E">
              <w:rPr>
                <w:b/>
                <w:bCs/>
                <w:sz w:val="20"/>
                <w:szCs w:val="20"/>
              </w:rPr>
              <w:t>LHN</w:t>
            </w:r>
          </w:p>
        </w:tc>
        <w:tc>
          <w:tcPr>
            <w:tcW w:w="6237" w:type="dxa"/>
            <w:tcBorders>
              <w:top w:val="single" w:sz="4" w:space="0" w:color="DFEBF1" w:themeColor="accent1" w:themeTint="1A"/>
              <w:bottom w:val="single" w:sz="4" w:space="0" w:color="DFEBF1" w:themeColor="accent1" w:themeTint="1A"/>
            </w:tcBorders>
          </w:tcPr>
          <w:p w14:paraId="2D4EDD38" w14:textId="77777777" w:rsidR="00146068" w:rsidRPr="0039566E" w:rsidRDefault="00146068" w:rsidP="00146068">
            <w:pPr>
              <w:spacing w:before="120" w:after="120"/>
              <w:rPr>
                <w:color w:val="1C1C1C"/>
                <w:sz w:val="20"/>
                <w:szCs w:val="20"/>
              </w:rPr>
            </w:pPr>
            <w:r w:rsidRPr="0039566E">
              <w:rPr>
                <w:sz w:val="20"/>
                <w:szCs w:val="20"/>
              </w:rPr>
              <w:t>Local hospital network</w:t>
            </w:r>
          </w:p>
        </w:tc>
      </w:tr>
      <w:tr w:rsidR="007C7959" w:rsidRPr="004E67F4" w14:paraId="4F9C1541" w14:textId="77777777" w:rsidTr="003334F5">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558D0836" w14:textId="7AD39266" w:rsidR="007C7959" w:rsidRDefault="007C7959" w:rsidP="007C7959">
            <w:pPr>
              <w:spacing w:before="120" w:after="120"/>
              <w:rPr>
                <w:b/>
                <w:bCs/>
                <w:sz w:val="20"/>
                <w:szCs w:val="20"/>
              </w:rPr>
            </w:pPr>
            <w:r>
              <w:rPr>
                <w:b/>
                <w:bCs/>
                <w:sz w:val="20"/>
                <w:szCs w:val="20"/>
              </w:rPr>
              <w:t>MDC</w:t>
            </w:r>
          </w:p>
        </w:tc>
        <w:tc>
          <w:tcPr>
            <w:tcW w:w="6237" w:type="dxa"/>
            <w:tcBorders>
              <w:top w:val="single" w:sz="4" w:space="0" w:color="DFEBF1" w:themeColor="accent1" w:themeTint="1A"/>
              <w:bottom w:val="single" w:sz="4" w:space="0" w:color="DFEBF1" w:themeColor="accent1" w:themeTint="1A"/>
            </w:tcBorders>
          </w:tcPr>
          <w:p w14:paraId="1E80D5F0" w14:textId="005E7E86" w:rsidR="007C7959" w:rsidRDefault="007C7959" w:rsidP="007C7959">
            <w:pPr>
              <w:spacing w:before="120" w:after="120"/>
              <w:rPr>
                <w:sz w:val="20"/>
                <w:szCs w:val="20"/>
              </w:rPr>
            </w:pPr>
            <w:r>
              <w:rPr>
                <w:sz w:val="20"/>
                <w:szCs w:val="20"/>
              </w:rPr>
              <w:t xml:space="preserve">Major Diagnostic Category </w:t>
            </w:r>
          </w:p>
        </w:tc>
      </w:tr>
      <w:tr w:rsidR="00A205E7" w:rsidRPr="004E67F4" w14:paraId="3E6D32F1"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5E13FF2D" w14:textId="344B59C2" w:rsidR="00A205E7" w:rsidRPr="0039566E" w:rsidRDefault="00A205E7" w:rsidP="007C7959">
            <w:pPr>
              <w:spacing w:before="120" w:after="120"/>
              <w:rPr>
                <w:b/>
                <w:bCs/>
                <w:sz w:val="20"/>
                <w:szCs w:val="20"/>
              </w:rPr>
            </w:pPr>
            <w:r>
              <w:rPr>
                <w:b/>
                <w:bCs/>
                <w:sz w:val="20"/>
                <w:szCs w:val="20"/>
              </w:rPr>
              <w:t>NDIS</w:t>
            </w:r>
          </w:p>
        </w:tc>
        <w:tc>
          <w:tcPr>
            <w:tcW w:w="6237" w:type="dxa"/>
            <w:tcBorders>
              <w:top w:val="single" w:sz="4" w:space="0" w:color="DFEBF1" w:themeColor="accent1" w:themeTint="1A"/>
              <w:bottom w:val="single" w:sz="4" w:space="0" w:color="DFEBF1" w:themeColor="accent1" w:themeTint="1A"/>
            </w:tcBorders>
          </w:tcPr>
          <w:p w14:paraId="40314D3F" w14:textId="7D674259" w:rsidR="00A205E7" w:rsidRPr="0039566E" w:rsidRDefault="00A205E7" w:rsidP="007C7959">
            <w:pPr>
              <w:spacing w:before="120" w:after="120"/>
              <w:rPr>
                <w:sz w:val="20"/>
                <w:szCs w:val="20"/>
              </w:rPr>
            </w:pPr>
            <w:r>
              <w:rPr>
                <w:sz w:val="20"/>
                <w:szCs w:val="20"/>
              </w:rPr>
              <w:t>National Disability Insurance Scheme</w:t>
            </w:r>
          </w:p>
        </w:tc>
      </w:tr>
      <w:tr w:rsidR="007C7959" w:rsidRPr="004E67F4" w14:paraId="488A0422"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20059701" w14:textId="005D8BA7" w:rsidR="007C7959" w:rsidRPr="0039566E" w:rsidRDefault="007C7959" w:rsidP="007C7959">
            <w:pPr>
              <w:spacing w:before="120" w:after="120"/>
              <w:rPr>
                <w:b/>
                <w:bCs/>
                <w:sz w:val="20"/>
                <w:szCs w:val="20"/>
              </w:rPr>
            </w:pPr>
            <w:r>
              <w:rPr>
                <w:b/>
                <w:bCs/>
                <w:sz w:val="20"/>
                <w:szCs w:val="20"/>
              </w:rPr>
              <w:t>NMDS</w:t>
            </w:r>
          </w:p>
        </w:tc>
        <w:tc>
          <w:tcPr>
            <w:tcW w:w="6237" w:type="dxa"/>
            <w:tcBorders>
              <w:top w:val="single" w:sz="4" w:space="0" w:color="DFEBF1" w:themeColor="accent1" w:themeTint="1A"/>
              <w:bottom w:val="single" w:sz="4" w:space="0" w:color="DFEBF1" w:themeColor="accent1" w:themeTint="1A"/>
            </w:tcBorders>
          </w:tcPr>
          <w:p w14:paraId="117ECCF8" w14:textId="72C53CB3" w:rsidR="007C7959" w:rsidRPr="0039566E" w:rsidRDefault="007C7959" w:rsidP="007C7959">
            <w:pPr>
              <w:spacing w:before="120" w:after="120"/>
              <w:rPr>
                <w:sz w:val="20"/>
                <w:szCs w:val="20"/>
              </w:rPr>
            </w:pPr>
            <w:r>
              <w:rPr>
                <w:sz w:val="20"/>
                <w:szCs w:val="20"/>
              </w:rPr>
              <w:t>National Minimum Data Set</w:t>
            </w:r>
          </w:p>
        </w:tc>
      </w:tr>
      <w:tr w:rsidR="007C7959" w:rsidRPr="004E67F4" w14:paraId="04546E85"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58F19794" w14:textId="77777777" w:rsidR="007C7959" w:rsidRPr="0039566E" w:rsidRDefault="007C7959" w:rsidP="007C7959">
            <w:pPr>
              <w:spacing w:before="120" w:after="120"/>
              <w:rPr>
                <w:color w:val="1C1C1C"/>
                <w:sz w:val="20"/>
                <w:szCs w:val="20"/>
              </w:rPr>
            </w:pPr>
            <w:r w:rsidRPr="0039566E">
              <w:rPr>
                <w:b/>
                <w:bCs/>
                <w:sz w:val="20"/>
                <w:szCs w:val="20"/>
              </w:rPr>
              <w:t>NEC</w:t>
            </w:r>
          </w:p>
        </w:tc>
        <w:tc>
          <w:tcPr>
            <w:tcW w:w="6237" w:type="dxa"/>
            <w:tcBorders>
              <w:top w:val="single" w:sz="4" w:space="0" w:color="DFEBF1" w:themeColor="accent1" w:themeTint="1A"/>
              <w:bottom w:val="single" w:sz="4" w:space="0" w:color="DFEBF1" w:themeColor="accent1" w:themeTint="1A"/>
            </w:tcBorders>
          </w:tcPr>
          <w:p w14:paraId="4750DDA9" w14:textId="77777777" w:rsidR="007C7959" w:rsidRPr="0039566E" w:rsidRDefault="007C7959" w:rsidP="007C7959">
            <w:pPr>
              <w:spacing w:before="120" w:after="120"/>
              <w:rPr>
                <w:color w:val="1C1C1C"/>
                <w:sz w:val="20"/>
                <w:szCs w:val="20"/>
              </w:rPr>
            </w:pPr>
            <w:r w:rsidRPr="0039566E">
              <w:rPr>
                <w:sz w:val="20"/>
                <w:szCs w:val="20"/>
              </w:rPr>
              <w:t>National efficient cost</w:t>
            </w:r>
          </w:p>
        </w:tc>
      </w:tr>
      <w:tr w:rsidR="007C7959" w:rsidRPr="004E67F4" w14:paraId="57F225E3"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36209ACA" w14:textId="77777777" w:rsidR="007C7959" w:rsidRPr="0039566E" w:rsidRDefault="007C7959" w:rsidP="007C7959">
            <w:pPr>
              <w:spacing w:before="120" w:after="120"/>
              <w:rPr>
                <w:color w:val="1C1C1C"/>
                <w:sz w:val="20"/>
                <w:szCs w:val="20"/>
              </w:rPr>
            </w:pPr>
            <w:r w:rsidRPr="0039566E">
              <w:rPr>
                <w:b/>
                <w:bCs/>
                <w:sz w:val="20"/>
                <w:szCs w:val="20"/>
              </w:rPr>
              <w:t>NEP</w:t>
            </w:r>
          </w:p>
        </w:tc>
        <w:tc>
          <w:tcPr>
            <w:tcW w:w="6237" w:type="dxa"/>
            <w:tcBorders>
              <w:top w:val="single" w:sz="4" w:space="0" w:color="DFEBF1" w:themeColor="accent1" w:themeTint="1A"/>
              <w:bottom w:val="single" w:sz="4" w:space="0" w:color="DFEBF1" w:themeColor="accent1" w:themeTint="1A"/>
            </w:tcBorders>
          </w:tcPr>
          <w:p w14:paraId="1BDF133F" w14:textId="77777777" w:rsidR="007C7959" w:rsidRPr="0039566E" w:rsidRDefault="007C7959" w:rsidP="007C7959">
            <w:pPr>
              <w:spacing w:before="120" w:after="120"/>
              <w:rPr>
                <w:color w:val="1C1C1C"/>
                <w:sz w:val="20"/>
                <w:szCs w:val="20"/>
              </w:rPr>
            </w:pPr>
            <w:r w:rsidRPr="0039566E">
              <w:rPr>
                <w:sz w:val="20"/>
                <w:szCs w:val="20"/>
              </w:rPr>
              <w:t>National efficient price</w:t>
            </w:r>
          </w:p>
        </w:tc>
      </w:tr>
      <w:tr w:rsidR="007C7959" w:rsidRPr="004E67F4" w14:paraId="6FF60445"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7FA452AC" w14:textId="77777777" w:rsidR="007C7959" w:rsidRPr="0039566E" w:rsidRDefault="007C7959" w:rsidP="007C7959">
            <w:pPr>
              <w:spacing w:before="120" w:after="120"/>
              <w:rPr>
                <w:color w:val="1C1C1C"/>
                <w:sz w:val="20"/>
                <w:szCs w:val="20"/>
              </w:rPr>
            </w:pPr>
            <w:r w:rsidRPr="0039566E">
              <w:rPr>
                <w:b/>
                <w:bCs/>
                <w:sz w:val="20"/>
                <w:szCs w:val="20"/>
              </w:rPr>
              <w:t>NHCDC</w:t>
            </w:r>
          </w:p>
        </w:tc>
        <w:tc>
          <w:tcPr>
            <w:tcW w:w="6237" w:type="dxa"/>
            <w:tcBorders>
              <w:top w:val="single" w:sz="4" w:space="0" w:color="DFEBF1" w:themeColor="accent1" w:themeTint="1A"/>
              <w:bottom w:val="single" w:sz="4" w:space="0" w:color="DFEBF1" w:themeColor="accent1" w:themeTint="1A"/>
            </w:tcBorders>
          </w:tcPr>
          <w:p w14:paraId="5E048F30" w14:textId="77777777" w:rsidR="007C7959" w:rsidRPr="0039566E" w:rsidRDefault="007C7959" w:rsidP="007C7959">
            <w:pPr>
              <w:spacing w:before="120" w:after="120"/>
              <w:rPr>
                <w:sz w:val="20"/>
                <w:szCs w:val="20"/>
              </w:rPr>
            </w:pPr>
            <w:r w:rsidRPr="0039566E">
              <w:rPr>
                <w:sz w:val="20"/>
                <w:szCs w:val="20"/>
              </w:rPr>
              <w:t>National Hospital Cost Data Collection</w:t>
            </w:r>
            <w:r w:rsidRPr="0039566E">
              <w:rPr>
                <w:sz w:val="20"/>
                <w:szCs w:val="20"/>
              </w:rPr>
              <w:tab/>
            </w:r>
          </w:p>
        </w:tc>
      </w:tr>
      <w:tr w:rsidR="007C7959" w:rsidRPr="004E67F4" w14:paraId="25067AF4"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4C0EB11E" w14:textId="77777777" w:rsidR="007C7959" w:rsidRPr="0039566E" w:rsidRDefault="007C7959" w:rsidP="007C7959">
            <w:pPr>
              <w:spacing w:before="120" w:after="120"/>
              <w:rPr>
                <w:color w:val="1C1C1C"/>
                <w:sz w:val="20"/>
                <w:szCs w:val="20"/>
              </w:rPr>
            </w:pPr>
            <w:r w:rsidRPr="0039566E">
              <w:rPr>
                <w:b/>
                <w:bCs/>
                <w:sz w:val="20"/>
                <w:szCs w:val="20"/>
              </w:rPr>
              <w:t>NHRA</w:t>
            </w:r>
          </w:p>
        </w:tc>
        <w:tc>
          <w:tcPr>
            <w:tcW w:w="6237" w:type="dxa"/>
            <w:tcBorders>
              <w:top w:val="single" w:sz="4" w:space="0" w:color="DFEBF1" w:themeColor="accent1" w:themeTint="1A"/>
              <w:bottom w:val="single" w:sz="4" w:space="0" w:color="DFEBF1" w:themeColor="accent1" w:themeTint="1A"/>
            </w:tcBorders>
          </w:tcPr>
          <w:p w14:paraId="6AADB505" w14:textId="77777777" w:rsidR="007C7959" w:rsidRPr="0039566E" w:rsidRDefault="007C7959" w:rsidP="007C7959">
            <w:pPr>
              <w:spacing w:before="120" w:after="120"/>
              <w:rPr>
                <w:color w:val="1C1C1C"/>
                <w:sz w:val="20"/>
                <w:szCs w:val="20"/>
              </w:rPr>
            </w:pPr>
            <w:r w:rsidRPr="0039566E">
              <w:rPr>
                <w:sz w:val="20"/>
                <w:szCs w:val="20"/>
              </w:rPr>
              <w:t>National Health Reform Agreement</w:t>
            </w:r>
          </w:p>
        </w:tc>
      </w:tr>
      <w:tr w:rsidR="007C7959" w:rsidRPr="004E67F4" w14:paraId="2C134846"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04A798F8" w14:textId="77777777" w:rsidR="007C7959" w:rsidRPr="0039566E" w:rsidRDefault="007C7959" w:rsidP="007C7959">
            <w:pPr>
              <w:spacing w:before="120" w:after="120"/>
              <w:rPr>
                <w:color w:val="1C1C1C"/>
                <w:sz w:val="20"/>
                <w:szCs w:val="20"/>
              </w:rPr>
            </w:pPr>
            <w:r w:rsidRPr="0039566E">
              <w:rPr>
                <w:b/>
                <w:bCs/>
                <w:sz w:val="20"/>
                <w:szCs w:val="20"/>
              </w:rPr>
              <w:t>NWAU</w:t>
            </w:r>
          </w:p>
        </w:tc>
        <w:tc>
          <w:tcPr>
            <w:tcW w:w="6237" w:type="dxa"/>
            <w:tcBorders>
              <w:top w:val="single" w:sz="4" w:space="0" w:color="DFEBF1" w:themeColor="accent1" w:themeTint="1A"/>
              <w:bottom w:val="single" w:sz="4" w:space="0" w:color="DFEBF1" w:themeColor="accent1" w:themeTint="1A"/>
            </w:tcBorders>
          </w:tcPr>
          <w:p w14:paraId="2CA409A8" w14:textId="77777777" w:rsidR="007C7959" w:rsidRPr="0039566E" w:rsidRDefault="007C7959" w:rsidP="007C7959">
            <w:pPr>
              <w:spacing w:before="120" w:after="120"/>
              <w:rPr>
                <w:color w:val="1C1C1C"/>
                <w:sz w:val="20"/>
                <w:szCs w:val="20"/>
              </w:rPr>
            </w:pPr>
            <w:r w:rsidRPr="0039566E">
              <w:rPr>
                <w:sz w:val="20"/>
                <w:szCs w:val="20"/>
              </w:rPr>
              <w:t>National weighted activity unit</w:t>
            </w:r>
          </w:p>
        </w:tc>
      </w:tr>
      <w:tr w:rsidR="007C7959" w:rsidRPr="004E67F4" w14:paraId="2451E54D"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7AC881E3" w14:textId="77777777" w:rsidR="007C7959" w:rsidRPr="0039566E" w:rsidRDefault="007C7959" w:rsidP="007C7959">
            <w:pPr>
              <w:spacing w:before="120" w:after="120"/>
              <w:rPr>
                <w:color w:val="1C1C1C"/>
                <w:sz w:val="20"/>
                <w:szCs w:val="20"/>
              </w:rPr>
            </w:pPr>
            <w:r w:rsidRPr="0039566E">
              <w:rPr>
                <w:b/>
                <w:bCs/>
                <w:sz w:val="20"/>
                <w:szCs w:val="20"/>
              </w:rPr>
              <w:t>PBS</w:t>
            </w:r>
          </w:p>
        </w:tc>
        <w:tc>
          <w:tcPr>
            <w:tcW w:w="6237" w:type="dxa"/>
            <w:tcBorders>
              <w:top w:val="single" w:sz="4" w:space="0" w:color="DFEBF1" w:themeColor="accent1" w:themeTint="1A"/>
              <w:bottom w:val="single" w:sz="4" w:space="0" w:color="DFEBF1" w:themeColor="accent1" w:themeTint="1A"/>
            </w:tcBorders>
          </w:tcPr>
          <w:p w14:paraId="792BE735" w14:textId="77777777" w:rsidR="007C7959" w:rsidRPr="0039566E" w:rsidRDefault="007C7959" w:rsidP="007C7959">
            <w:pPr>
              <w:spacing w:before="120" w:after="120"/>
              <w:rPr>
                <w:color w:val="1C1C1C"/>
                <w:sz w:val="20"/>
                <w:szCs w:val="20"/>
              </w:rPr>
            </w:pPr>
            <w:r w:rsidRPr="0039566E">
              <w:rPr>
                <w:sz w:val="20"/>
                <w:szCs w:val="20"/>
              </w:rPr>
              <w:t>Pharmaceutical Benefits Scheme</w:t>
            </w:r>
          </w:p>
        </w:tc>
      </w:tr>
      <w:tr w:rsidR="007C7959" w:rsidRPr="004E67F4" w14:paraId="23E453B4"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74D676FD" w14:textId="77777777" w:rsidR="007C7959" w:rsidRPr="0039566E" w:rsidRDefault="007C7959" w:rsidP="007C7959">
            <w:pPr>
              <w:spacing w:before="120" w:after="120"/>
              <w:rPr>
                <w:color w:val="1C1C1C"/>
                <w:sz w:val="20"/>
                <w:szCs w:val="20"/>
              </w:rPr>
            </w:pPr>
            <w:r w:rsidRPr="0039566E">
              <w:rPr>
                <w:b/>
                <w:bCs/>
                <w:sz w:val="20"/>
                <w:szCs w:val="20"/>
              </w:rPr>
              <w:t>The addendum</w:t>
            </w:r>
          </w:p>
        </w:tc>
        <w:tc>
          <w:tcPr>
            <w:tcW w:w="6237" w:type="dxa"/>
            <w:tcBorders>
              <w:top w:val="single" w:sz="4" w:space="0" w:color="DFEBF1" w:themeColor="accent1" w:themeTint="1A"/>
              <w:bottom w:val="single" w:sz="4" w:space="0" w:color="DFEBF1" w:themeColor="accent1" w:themeTint="1A"/>
            </w:tcBorders>
          </w:tcPr>
          <w:p w14:paraId="629FB4B4" w14:textId="5A45F317" w:rsidR="007C7959" w:rsidRPr="0039566E" w:rsidRDefault="007C7959" w:rsidP="007C7959">
            <w:pPr>
              <w:spacing w:before="120" w:after="120"/>
              <w:rPr>
                <w:color w:val="1C1C1C"/>
                <w:sz w:val="20"/>
                <w:szCs w:val="20"/>
              </w:rPr>
            </w:pPr>
            <w:r w:rsidRPr="0039566E">
              <w:rPr>
                <w:sz w:val="20"/>
                <w:szCs w:val="20"/>
              </w:rPr>
              <w:t>Addendum to the National Health Reform Agreement 2020–26</w:t>
            </w:r>
          </w:p>
        </w:tc>
      </w:tr>
      <w:tr w:rsidR="007C7959" w:rsidRPr="004E67F4" w14:paraId="03B074CF" w14:textId="77777777" w:rsidTr="00A8630C">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096BF2F7" w14:textId="70D32B8A" w:rsidR="007C7959" w:rsidRPr="0039566E" w:rsidRDefault="007C7959" w:rsidP="007C7959">
            <w:pPr>
              <w:spacing w:before="120" w:after="120"/>
              <w:rPr>
                <w:color w:val="1C1C1C"/>
                <w:sz w:val="20"/>
                <w:szCs w:val="20"/>
              </w:rPr>
            </w:pPr>
            <w:r w:rsidRPr="0039566E">
              <w:rPr>
                <w:b/>
                <w:bCs/>
                <w:sz w:val="20"/>
                <w:szCs w:val="20"/>
              </w:rPr>
              <w:t xml:space="preserve">The </w:t>
            </w:r>
            <w:r>
              <w:rPr>
                <w:b/>
                <w:bCs/>
                <w:sz w:val="20"/>
                <w:szCs w:val="20"/>
              </w:rPr>
              <w:t>C</w:t>
            </w:r>
            <w:r w:rsidRPr="0039566E">
              <w:rPr>
                <w:b/>
                <w:bCs/>
                <w:sz w:val="20"/>
                <w:szCs w:val="20"/>
              </w:rPr>
              <w:t>ommission</w:t>
            </w:r>
          </w:p>
        </w:tc>
        <w:tc>
          <w:tcPr>
            <w:tcW w:w="6237" w:type="dxa"/>
            <w:tcBorders>
              <w:top w:val="single" w:sz="4" w:space="0" w:color="DFEBF1" w:themeColor="accent1" w:themeTint="1A"/>
              <w:bottom w:val="single" w:sz="4" w:space="0" w:color="DFEBF1" w:themeColor="accent1" w:themeTint="1A"/>
            </w:tcBorders>
          </w:tcPr>
          <w:p w14:paraId="0D54A7A7" w14:textId="77777777" w:rsidR="007C7959" w:rsidRPr="0039566E" w:rsidRDefault="007C7959" w:rsidP="007C7959">
            <w:pPr>
              <w:spacing w:before="120" w:after="120"/>
              <w:rPr>
                <w:color w:val="1C1C1C"/>
                <w:sz w:val="20"/>
                <w:szCs w:val="20"/>
              </w:rPr>
            </w:pPr>
            <w:r w:rsidRPr="0039566E">
              <w:rPr>
                <w:sz w:val="20"/>
                <w:szCs w:val="20"/>
              </w:rPr>
              <w:t>Australian Commission on Safety and Quality in Health Care</w:t>
            </w:r>
          </w:p>
        </w:tc>
      </w:tr>
      <w:tr w:rsidR="007C7959" w:rsidRPr="004E67F4" w14:paraId="7702989C"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6A554C40" w14:textId="0FB3FE28" w:rsidR="007C7959" w:rsidRPr="0039566E" w:rsidRDefault="007C7959" w:rsidP="007C7959">
            <w:pPr>
              <w:spacing w:before="120" w:after="120"/>
              <w:rPr>
                <w:b/>
                <w:bCs/>
                <w:sz w:val="20"/>
                <w:szCs w:val="20"/>
              </w:rPr>
            </w:pPr>
            <w:r w:rsidRPr="0039566E">
              <w:rPr>
                <w:b/>
                <w:bCs/>
                <w:sz w:val="20"/>
                <w:szCs w:val="20"/>
              </w:rPr>
              <w:t>The mid-term review</w:t>
            </w:r>
          </w:p>
        </w:tc>
        <w:tc>
          <w:tcPr>
            <w:tcW w:w="6237" w:type="dxa"/>
            <w:tcBorders>
              <w:top w:val="single" w:sz="4" w:space="0" w:color="DFEBF1" w:themeColor="accent1" w:themeTint="1A"/>
              <w:bottom w:val="single" w:sz="4" w:space="0" w:color="DFEBF1" w:themeColor="accent1" w:themeTint="1A"/>
            </w:tcBorders>
          </w:tcPr>
          <w:p w14:paraId="655B34B9" w14:textId="34E75898" w:rsidR="007C7959" w:rsidRPr="0039566E" w:rsidRDefault="007C7959" w:rsidP="007C7959">
            <w:pPr>
              <w:spacing w:before="120" w:after="120"/>
              <w:rPr>
                <w:sz w:val="20"/>
                <w:szCs w:val="20"/>
              </w:rPr>
            </w:pPr>
            <w:r w:rsidRPr="0039566E">
              <w:rPr>
                <w:sz w:val="20"/>
                <w:szCs w:val="20"/>
              </w:rPr>
              <w:t>Mid-Term Review of the NHRA Addendum 2020–2025 – Final Report</w:t>
            </w:r>
          </w:p>
        </w:tc>
      </w:tr>
      <w:tr w:rsidR="001402D3" w:rsidRPr="004E67F4" w14:paraId="1AC0BC3D" w14:textId="77777777" w:rsidTr="003334F5">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55BEC331" w14:textId="60500B80" w:rsidR="001402D3" w:rsidRPr="0039566E" w:rsidRDefault="001402D3" w:rsidP="007C7959">
            <w:pPr>
              <w:spacing w:before="120" w:after="120"/>
              <w:rPr>
                <w:b/>
                <w:bCs/>
                <w:sz w:val="20"/>
                <w:szCs w:val="20"/>
              </w:rPr>
            </w:pPr>
            <w:r>
              <w:rPr>
                <w:b/>
                <w:bCs/>
                <w:sz w:val="20"/>
                <w:szCs w:val="20"/>
              </w:rPr>
              <w:t>Tier 2</w:t>
            </w:r>
          </w:p>
        </w:tc>
        <w:tc>
          <w:tcPr>
            <w:tcW w:w="6237" w:type="dxa"/>
            <w:tcBorders>
              <w:top w:val="single" w:sz="4" w:space="0" w:color="DFEBF1" w:themeColor="accent1" w:themeTint="1A"/>
              <w:bottom w:val="single" w:sz="4" w:space="0" w:color="DFEBF1" w:themeColor="accent1" w:themeTint="1A"/>
            </w:tcBorders>
          </w:tcPr>
          <w:p w14:paraId="1253250A" w14:textId="34A3267A" w:rsidR="001402D3" w:rsidRPr="0039566E" w:rsidRDefault="001402D3" w:rsidP="007C7959">
            <w:pPr>
              <w:spacing w:before="120" w:after="120"/>
              <w:rPr>
                <w:sz w:val="20"/>
                <w:szCs w:val="20"/>
              </w:rPr>
            </w:pPr>
            <w:r>
              <w:rPr>
                <w:sz w:val="20"/>
                <w:szCs w:val="20"/>
              </w:rPr>
              <w:t xml:space="preserve">Tier 2 Non-Admitted Services Classification </w:t>
            </w:r>
          </w:p>
        </w:tc>
      </w:tr>
      <w:tr w:rsidR="007C7959" w:rsidRPr="004E67F4" w14:paraId="5E64F024" w14:textId="77777777" w:rsidTr="00A8630C">
        <w:trPr>
          <w:cnfStyle w:val="000000010000" w:firstRow="0" w:lastRow="0" w:firstColumn="0" w:lastColumn="0" w:oddVBand="0" w:evenVBand="0" w:oddHBand="0" w:evenHBand="1"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34789907" w14:textId="77777777" w:rsidR="007C7959" w:rsidRPr="0039566E" w:rsidRDefault="007C7959" w:rsidP="007C7959">
            <w:pPr>
              <w:spacing w:before="120" w:after="120"/>
              <w:rPr>
                <w:color w:val="1C1C1C"/>
                <w:sz w:val="20"/>
                <w:szCs w:val="20"/>
              </w:rPr>
            </w:pPr>
            <w:r w:rsidRPr="0039566E">
              <w:rPr>
                <w:b/>
                <w:bCs/>
                <w:sz w:val="20"/>
                <w:szCs w:val="20"/>
              </w:rPr>
              <w:t>UDG</w:t>
            </w:r>
          </w:p>
        </w:tc>
        <w:tc>
          <w:tcPr>
            <w:tcW w:w="6237" w:type="dxa"/>
            <w:tcBorders>
              <w:top w:val="single" w:sz="4" w:space="0" w:color="DFEBF1" w:themeColor="accent1" w:themeTint="1A"/>
              <w:bottom w:val="single" w:sz="4" w:space="0" w:color="DFEBF1" w:themeColor="accent1" w:themeTint="1A"/>
            </w:tcBorders>
          </w:tcPr>
          <w:p w14:paraId="119363B6" w14:textId="77777777" w:rsidR="007C7959" w:rsidRPr="0039566E" w:rsidRDefault="007C7959" w:rsidP="007C7959">
            <w:pPr>
              <w:spacing w:before="120" w:after="120"/>
              <w:rPr>
                <w:color w:val="1C1C1C"/>
                <w:sz w:val="20"/>
                <w:szCs w:val="20"/>
              </w:rPr>
            </w:pPr>
            <w:r w:rsidRPr="0039566E">
              <w:rPr>
                <w:sz w:val="20"/>
                <w:szCs w:val="20"/>
              </w:rPr>
              <w:t>Urgency Disposition Group</w:t>
            </w:r>
          </w:p>
        </w:tc>
      </w:tr>
      <w:tr w:rsidR="00AB4945" w:rsidRPr="004E67F4" w14:paraId="2656B012" w14:textId="77777777" w:rsidTr="003334F5">
        <w:trPr>
          <w:cnfStyle w:val="000000100000" w:firstRow="0" w:lastRow="0" w:firstColumn="0" w:lastColumn="0" w:oddVBand="0" w:evenVBand="0" w:oddHBand="1" w:evenHBand="0" w:firstRowFirstColumn="0" w:firstRowLastColumn="0" w:lastRowFirstColumn="0" w:lastRowLastColumn="0"/>
          <w:trHeight w:val="20"/>
        </w:trPr>
        <w:tc>
          <w:tcPr>
            <w:tcW w:w="2835" w:type="dxa"/>
            <w:tcBorders>
              <w:top w:val="single" w:sz="4" w:space="0" w:color="DFEBF1" w:themeColor="accent1" w:themeTint="1A"/>
              <w:bottom w:val="single" w:sz="4" w:space="0" w:color="DFEBF1" w:themeColor="accent1" w:themeTint="1A"/>
            </w:tcBorders>
          </w:tcPr>
          <w:p w14:paraId="6A970BDA" w14:textId="32FFA26E" w:rsidR="00AB4945" w:rsidRPr="0039566E" w:rsidRDefault="00AB4945" w:rsidP="007C7959">
            <w:pPr>
              <w:spacing w:before="120" w:after="120"/>
              <w:rPr>
                <w:b/>
                <w:bCs/>
                <w:sz w:val="20"/>
                <w:szCs w:val="20"/>
              </w:rPr>
            </w:pPr>
            <w:r>
              <w:rPr>
                <w:b/>
                <w:bCs/>
                <w:sz w:val="20"/>
                <w:szCs w:val="20"/>
              </w:rPr>
              <w:t>VAD</w:t>
            </w:r>
          </w:p>
        </w:tc>
        <w:tc>
          <w:tcPr>
            <w:tcW w:w="6237" w:type="dxa"/>
            <w:tcBorders>
              <w:top w:val="single" w:sz="4" w:space="0" w:color="DFEBF1" w:themeColor="accent1" w:themeTint="1A"/>
              <w:bottom w:val="single" w:sz="4" w:space="0" w:color="DFEBF1" w:themeColor="accent1" w:themeTint="1A"/>
            </w:tcBorders>
          </w:tcPr>
          <w:p w14:paraId="3FAE8CA7" w14:textId="753553FF" w:rsidR="00AB4945" w:rsidRPr="0039566E" w:rsidRDefault="00AB4945" w:rsidP="007C7959">
            <w:pPr>
              <w:spacing w:before="120" w:after="120"/>
              <w:rPr>
                <w:sz w:val="20"/>
                <w:szCs w:val="20"/>
              </w:rPr>
            </w:pPr>
            <w:r>
              <w:rPr>
                <w:sz w:val="20"/>
                <w:szCs w:val="20"/>
              </w:rPr>
              <w:t xml:space="preserve">Voluntary </w:t>
            </w:r>
            <w:r w:rsidR="00A65A97">
              <w:rPr>
                <w:sz w:val="20"/>
                <w:szCs w:val="20"/>
              </w:rPr>
              <w:t xml:space="preserve">assisted dying </w:t>
            </w:r>
          </w:p>
        </w:tc>
      </w:tr>
    </w:tbl>
    <w:p w14:paraId="403CD8B9" w14:textId="0729EF9E" w:rsidR="00D41A80" w:rsidRDefault="00D41A80" w:rsidP="00BE47B6">
      <w:pPr>
        <w:jc w:val="both"/>
        <w:sectPr w:rsidR="00D41A80" w:rsidSect="00AB5D1D">
          <w:headerReference w:type="default" r:id="rId23"/>
          <w:pgSz w:w="11906" w:h="16838" w:code="9"/>
          <w:pgMar w:top="1440" w:right="1080" w:bottom="1440" w:left="1080" w:header="561" w:footer="709" w:gutter="0"/>
          <w:cols w:space="720"/>
          <w:docGrid w:linePitch="360"/>
        </w:sectPr>
      </w:pPr>
    </w:p>
    <w:p w14:paraId="44C4D694" w14:textId="77777777" w:rsidR="00C00F48" w:rsidRPr="00D41A80" w:rsidRDefault="00C00F48" w:rsidP="00BE47B6">
      <w:pPr>
        <w:jc w:val="both"/>
      </w:pPr>
    </w:p>
    <w:p w14:paraId="049096CC" w14:textId="289843A1" w:rsidR="00D41A80" w:rsidRPr="00543078" w:rsidRDefault="00D41A80" w:rsidP="00D41A80">
      <w:pPr>
        <w:pStyle w:val="ChapterNumber"/>
      </w:pPr>
      <w:r>
        <w:t>1</w:t>
      </w:r>
    </w:p>
    <w:p w14:paraId="39F5C875" w14:textId="485B864D" w:rsidR="00D41A80" w:rsidRPr="00543078" w:rsidRDefault="00F36831" w:rsidP="00D41A80">
      <w:pPr>
        <w:pStyle w:val="Heading1"/>
      </w:pPr>
      <w:bookmarkStart w:id="8" w:name="_Toc206096196"/>
      <w:bookmarkStart w:id="9" w:name="_Toc214971801"/>
      <w:r>
        <w:t>Introduction</w:t>
      </w:r>
      <w:bookmarkEnd w:id="8"/>
      <w:bookmarkEnd w:id="9"/>
    </w:p>
    <w:p w14:paraId="5EC0E4E7" w14:textId="77777777" w:rsidR="00D41A80" w:rsidRDefault="00D41A80" w:rsidP="00BE47B6">
      <w:pPr>
        <w:sectPr w:rsidR="00D41A80" w:rsidSect="00575F15">
          <w:headerReference w:type="default" r:id="rId24"/>
          <w:footerReference w:type="default" r:id="rId25"/>
          <w:pgSz w:w="11906" w:h="16838" w:code="9"/>
          <w:pgMar w:top="567" w:right="1440" w:bottom="1440" w:left="1440" w:header="561" w:footer="709" w:gutter="0"/>
          <w:cols w:space="720"/>
          <w:docGrid w:linePitch="360"/>
        </w:sectPr>
      </w:pPr>
    </w:p>
    <w:p w14:paraId="1D31AFC9" w14:textId="77777777" w:rsidR="00214B79" w:rsidRDefault="00214B79" w:rsidP="00C900A5">
      <w:pPr>
        <w:pStyle w:val="BodyText"/>
      </w:pPr>
    </w:p>
    <w:p w14:paraId="216E2DE1" w14:textId="695FD9C1" w:rsidR="00466A67" w:rsidRDefault="00A522EC" w:rsidP="00C900A5">
      <w:pPr>
        <w:pStyle w:val="Heading2"/>
        <w:spacing w:before="240"/>
      </w:pPr>
      <w:r>
        <w:t xml:space="preserve">1.1 About </w:t>
      </w:r>
      <w:r w:rsidRPr="00CD4CA6">
        <w:t>IHACPA</w:t>
      </w:r>
    </w:p>
    <w:p w14:paraId="510D4182" w14:textId="351A5222" w:rsidR="00DE5FEE" w:rsidRPr="0039566E" w:rsidRDefault="00DE5FEE" w:rsidP="00DE5FEE">
      <w:pPr>
        <w:rPr>
          <w:sz w:val="20"/>
          <w:szCs w:val="20"/>
        </w:rPr>
      </w:pPr>
      <w:r w:rsidRPr="0039566E">
        <w:rPr>
          <w:sz w:val="20"/>
          <w:szCs w:val="20"/>
        </w:rPr>
        <w:t xml:space="preserve">The Independent Health and Aged Care Pricing Authority (IHACPA) was established under the </w:t>
      </w:r>
      <w:r w:rsidRPr="0039566E">
        <w:rPr>
          <w:i/>
          <w:iCs/>
          <w:sz w:val="20"/>
          <w:szCs w:val="20"/>
        </w:rPr>
        <w:t>National Health Reform Act 2011</w:t>
      </w:r>
      <w:r w:rsidR="009E35B8">
        <w:rPr>
          <w:i/>
          <w:iCs/>
          <w:sz w:val="20"/>
          <w:szCs w:val="20"/>
        </w:rPr>
        <w:t xml:space="preserve"> </w:t>
      </w:r>
      <w:r w:rsidRPr="0039566E">
        <w:rPr>
          <w:sz w:val="20"/>
          <w:szCs w:val="20"/>
        </w:rPr>
        <w:t xml:space="preserve">to improve health outcomes for all Australians. </w:t>
      </w:r>
    </w:p>
    <w:p w14:paraId="0496EC73" w14:textId="17CE2AFD" w:rsidR="00DE5FEE" w:rsidRPr="0039566E" w:rsidRDefault="00DE5FEE" w:rsidP="00DE5FEE">
      <w:pPr>
        <w:rPr>
          <w:sz w:val="20"/>
          <w:szCs w:val="20"/>
        </w:rPr>
      </w:pPr>
      <w:r w:rsidRPr="0039566E">
        <w:rPr>
          <w:sz w:val="20"/>
          <w:szCs w:val="20"/>
        </w:rPr>
        <w:t xml:space="preserve">IHACPA enables the implementation of national activity based funding (ABF) of public hospital services through the annual determination of the national efficient price (NEP) and national efficient cost (NEC). These determinations play a crucial role in calculating the Commonwealth funding contribution to Australian public hospital services and offer a benchmark for the efficient cost of providing those services as outlined in the National Health Reform Agreement (NHRA). </w:t>
      </w:r>
    </w:p>
    <w:p w14:paraId="7AB27A47" w14:textId="5DA8D2C8" w:rsidR="001D1817" w:rsidRDefault="001D1817" w:rsidP="001D1817">
      <w:pPr>
        <w:pStyle w:val="Heading2"/>
      </w:pPr>
      <w:r>
        <w:t>1.</w:t>
      </w:r>
      <w:r w:rsidR="00F33BB6">
        <w:t>2</w:t>
      </w:r>
      <w:r>
        <w:t xml:space="preserve"> About this </w:t>
      </w:r>
      <w:r w:rsidR="004F2C21">
        <w:t>pricing framework</w:t>
      </w:r>
    </w:p>
    <w:p w14:paraId="10073EB1" w14:textId="77777777" w:rsidR="003A5788" w:rsidRPr="0039566E" w:rsidRDefault="003A5788" w:rsidP="00BB0766">
      <w:pPr>
        <w:rPr>
          <w:b/>
          <w:sz w:val="20"/>
          <w:szCs w:val="20"/>
        </w:rPr>
      </w:pPr>
      <w:r w:rsidRPr="0039566E">
        <w:rPr>
          <w:sz w:val="20"/>
          <w:szCs w:val="20"/>
        </w:rPr>
        <w:t xml:space="preserve">The Pricing Framework for Australian Public Hospital Services is one of IHACPA’s key policy documents and underpins the approach adopted by IHACPA to determine the NEP and NEC for Australian public hospital services. </w:t>
      </w:r>
    </w:p>
    <w:p w14:paraId="00FCBCEF" w14:textId="77777777" w:rsidR="003A5788" w:rsidRPr="003732A7" w:rsidRDefault="003A5788" w:rsidP="003732A7">
      <w:pPr>
        <w:rPr>
          <w:b/>
          <w:sz w:val="20"/>
          <w:szCs w:val="20"/>
        </w:rPr>
      </w:pPr>
      <w:r w:rsidRPr="003732A7">
        <w:rPr>
          <w:sz w:val="20"/>
          <w:szCs w:val="20"/>
        </w:rPr>
        <w:t>The pricing framework is published prior to the release of the NEP and NEC determinations in early March each year. This provides an additional layer of transparency and accountability by making available the principles, decisions and approach used by IHACPA to inform the determinations.</w:t>
      </w:r>
    </w:p>
    <w:p w14:paraId="7AE8CBE0" w14:textId="0E8548EF" w:rsidR="003A5788" w:rsidRPr="003732A7" w:rsidRDefault="003A5788" w:rsidP="003732A7">
      <w:pPr>
        <w:rPr>
          <w:b/>
          <w:sz w:val="20"/>
          <w:szCs w:val="20"/>
        </w:rPr>
      </w:pPr>
      <w:r w:rsidRPr="003732A7">
        <w:rPr>
          <w:sz w:val="20"/>
          <w:szCs w:val="20"/>
        </w:rPr>
        <w:t xml:space="preserve">IHACPA </w:t>
      </w:r>
      <w:r w:rsidRPr="00997569">
        <w:rPr>
          <w:sz w:val="20"/>
          <w:szCs w:val="20"/>
        </w:rPr>
        <w:t xml:space="preserve">released the </w:t>
      </w:r>
      <w:hyperlink r:id="rId26" w:history="1">
        <w:r w:rsidRPr="00997569">
          <w:rPr>
            <w:rStyle w:val="Hyperlink"/>
            <w:sz w:val="20"/>
            <w:szCs w:val="20"/>
          </w:rPr>
          <w:t>Consultation Paper on the Pricing Framework for Australian Public Hospital Services 2026–27</w:t>
        </w:r>
      </w:hyperlink>
      <w:r w:rsidRPr="00997569">
        <w:rPr>
          <w:sz w:val="20"/>
          <w:szCs w:val="20"/>
        </w:rPr>
        <w:t xml:space="preserve"> for a 30</w:t>
      </w:r>
      <w:r w:rsidRPr="003732A7">
        <w:rPr>
          <w:sz w:val="20"/>
          <w:szCs w:val="20"/>
        </w:rPr>
        <w:t xml:space="preserve">-day public consultation period on </w:t>
      </w:r>
      <w:r w:rsidR="00F91F4F" w:rsidRPr="003732A7">
        <w:rPr>
          <w:sz w:val="20"/>
          <w:szCs w:val="20"/>
        </w:rPr>
        <w:t>14</w:t>
      </w:r>
      <w:r w:rsidRPr="003732A7">
        <w:rPr>
          <w:sz w:val="20"/>
          <w:szCs w:val="20"/>
        </w:rPr>
        <w:t xml:space="preserve"> May 202</w:t>
      </w:r>
      <w:r w:rsidR="00F91F4F" w:rsidRPr="003732A7">
        <w:rPr>
          <w:sz w:val="20"/>
          <w:szCs w:val="20"/>
        </w:rPr>
        <w:t>5</w:t>
      </w:r>
      <w:r w:rsidRPr="003732A7">
        <w:rPr>
          <w:sz w:val="20"/>
          <w:szCs w:val="20"/>
        </w:rPr>
        <w:t>. The consultation paper set out the major policy issues for the development and refinement of the national ABF system, including policy decisions, classification systems and data collection. The pricing framework benefits immensely from the contributions of jurisdictions, academic institutions and other stakeholders to the consultation paper.</w:t>
      </w:r>
    </w:p>
    <w:p w14:paraId="1A3E1461" w14:textId="7DEA8F2C" w:rsidR="003A5788" w:rsidRPr="0039566E" w:rsidRDefault="003A5788" w:rsidP="0000353B">
      <w:pPr>
        <w:rPr>
          <w:b/>
          <w:sz w:val="20"/>
          <w:szCs w:val="20"/>
        </w:rPr>
      </w:pPr>
      <w:r w:rsidRPr="0039566E">
        <w:rPr>
          <w:sz w:val="20"/>
          <w:szCs w:val="20"/>
        </w:rPr>
        <w:t xml:space="preserve">This year, IHACPA received </w:t>
      </w:r>
      <w:r w:rsidR="001D4ACE" w:rsidRPr="0039566E">
        <w:rPr>
          <w:sz w:val="20"/>
          <w:szCs w:val="20"/>
        </w:rPr>
        <w:t>30</w:t>
      </w:r>
      <w:r w:rsidR="00057C50" w:rsidRPr="0039566E">
        <w:rPr>
          <w:sz w:val="20"/>
          <w:szCs w:val="20"/>
        </w:rPr>
        <w:t xml:space="preserve"> </w:t>
      </w:r>
      <w:r w:rsidRPr="0039566E">
        <w:rPr>
          <w:sz w:val="20"/>
          <w:szCs w:val="20"/>
        </w:rPr>
        <w:t>submissions to the consultation paper. The submissions</w:t>
      </w:r>
      <w:r w:rsidR="008A2822" w:rsidRPr="004E6CE2">
        <w:rPr>
          <w:rFonts w:ascii="Lato" w:hAnsi="Lato"/>
          <w:color w:val="000000"/>
          <w:sz w:val="30"/>
          <w:shd w:val="clear" w:color="auto" w:fill="FFFFFF"/>
        </w:rPr>
        <w:t xml:space="preserve"> </w:t>
      </w:r>
      <w:r w:rsidR="008A2822" w:rsidRPr="008A2822">
        <w:rPr>
          <w:sz w:val="20"/>
          <w:szCs w:val="20"/>
        </w:rPr>
        <w:t xml:space="preserve">from respondents who gave permission </w:t>
      </w:r>
      <w:r w:rsidR="009E35B8">
        <w:rPr>
          <w:sz w:val="20"/>
          <w:szCs w:val="20"/>
        </w:rPr>
        <w:t>for publication</w:t>
      </w:r>
      <w:r w:rsidRPr="0039566E">
        <w:rPr>
          <w:sz w:val="20"/>
          <w:szCs w:val="20"/>
        </w:rPr>
        <w:t xml:space="preserve"> are available on </w:t>
      </w:r>
      <w:r w:rsidRPr="004D29D7">
        <w:rPr>
          <w:sz w:val="20"/>
          <w:szCs w:val="20"/>
        </w:rPr>
        <w:t>the</w:t>
      </w:r>
      <w:r w:rsidRPr="00166534">
        <w:rPr>
          <w:sz w:val="20"/>
          <w:szCs w:val="20"/>
        </w:rPr>
        <w:t xml:space="preserve"> </w:t>
      </w:r>
      <w:hyperlink r:id="rId27" w:history="1">
        <w:r w:rsidRPr="00B60FC7">
          <w:rPr>
            <w:rStyle w:val="Hyperlink"/>
            <w:sz w:val="20"/>
            <w:szCs w:val="20"/>
          </w:rPr>
          <w:t xml:space="preserve">IHACPA </w:t>
        </w:r>
        <w:r w:rsidR="00997569" w:rsidRPr="00B60FC7">
          <w:rPr>
            <w:rStyle w:val="Hyperlink"/>
            <w:sz w:val="20"/>
            <w:szCs w:val="20"/>
          </w:rPr>
          <w:t>Engagement Hub</w:t>
        </w:r>
        <w:r w:rsidRPr="00B60FC7">
          <w:rPr>
            <w:rStyle w:val="Hyperlink"/>
            <w:sz w:val="20"/>
            <w:szCs w:val="20"/>
          </w:rPr>
          <w:t>.</w:t>
        </w:r>
      </w:hyperlink>
      <w:r w:rsidRPr="0039566E">
        <w:rPr>
          <w:sz w:val="20"/>
          <w:szCs w:val="20"/>
        </w:rPr>
        <w:t xml:space="preserve"> A </w:t>
      </w:r>
      <w:hyperlink r:id="rId28" w:history="1">
        <w:r w:rsidRPr="00642639">
          <w:rPr>
            <w:rStyle w:val="Hyperlink"/>
            <w:sz w:val="20"/>
            <w:szCs w:val="20"/>
          </w:rPr>
          <w:t>consultation report</w:t>
        </w:r>
      </w:hyperlink>
      <w:r w:rsidRPr="0039566E">
        <w:rPr>
          <w:sz w:val="20"/>
          <w:szCs w:val="20"/>
        </w:rPr>
        <w:t xml:space="preserve"> that includes commentary on how IHACPA reached its decisions for 2026–27 is also available.</w:t>
      </w:r>
    </w:p>
    <w:p w14:paraId="21824760" w14:textId="7C4C67FB" w:rsidR="00F4066F" w:rsidRDefault="00F4066F" w:rsidP="003A5788">
      <w:pPr>
        <w:pStyle w:val="Heading2"/>
      </w:pPr>
      <w:r>
        <w:t>1.3 IHACPA’s broader work program</w:t>
      </w:r>
    </w:p>
    <w:p w14:paraId="40E2B18D" w14:textId="77777777" w:rsidR="00551C63" w:rsidRPr="0039566E" w:rsidRDefault="00551C63" w:rsidP="0038083F">
      <w:pPr>
        <w:rPr>
          <w:sz w:val="20"/>
          <w:szCs w:val="20"/>
        </w:rPr>
      </w:pPr>
      <w:r w:rsidRPr="0039566E">
        <w:rPr>
          <w:sz w:val="20"/>
          <w:szCs w:val="20"/>
        </w:rPr>
        <w:t xml:space="preserve">IHACPA undertakes an extensive and complex program of work to refine its classification systems and the national pricing model to ensure they remain fit for purpose. This includes reviewing its classification systems and data collections, as well as undertaking data and trend analysis and stakeholder consultation across all its functions. </w:t>
      </w:r>
    </w:p>
    <w:p w14:paraId="5999648F" w14:textId="4A60CD65" w:rsidR="00551C63" w:rsidRDefault="00551C63" w:rsidP="0038083F">
      <w:pPr>
        <w:rPr>
          <w:sz w:val="20"/>
          <w:szCs w:val="20"/>
        </w:rPr>
      </w:pPr>
      <w:r w:rsidRPr="0039566E">
        <w:rPr>
          <w:sz w:val="20"/>
          <w:szCs w:val="20"/>
        </w:rPr>
        <w:t xml:space="preserve">Given the volume and complexity of this work, along with the lead time to implement changes, this work often takes multiple years to complete, thus impacting the development of future determinations. Consequently, not all multi-year projects currently within IHACPA’s broader work program are included in this pricing framework. Further information on IHACPA’s key deliverables and activities is available in the </w:t>
      </w:r>
      <w:hyperlink r:id="rId29" w:history="1">
        <w:r w:rsidRPr="0039566E">
          <w:rPr>
            <w:rStyle w:val="Hyperlink"/>
            <w:sz w:val="20"/>
            <w:szCs w:val="20"/>
          </w:rPr>
          <w:t>IHACPA Work Program and Corporate Plan 2025–26</w:t>
        </w:r>
      </w:hyperlink>
      <w:r w:rsidR="00AF0BC3">
        <w:rPr>
          <w:sz w:val="20"/>
          <w:szCs w:val="20"/>
        </w:rPr>
        <w:t xml:space="preserve">, and </w:t>
      </w:r>
      <w:r w:rsidR="00AF0BC3" w:rsidRPr="003E5A47">
        <w:rPr>
          <w:sz w:val="20"/>
          <w:szCs w:val="20"/>
        </w:rPr>
        <w:t>IHACPA’s</w:t>
      </w:r>
      <w:r w:rsidR="00AF0BC3">
        <w:rPr>
          <w:sz w:val="20"/>
          <w:szCs w:val="20"/>
        </w:rPr>
        <w:t xml:space="preserve"> broader </w:t>
      </w:r>
      <w:r w:rsidR="00AF0BC3" w:rsidRPr="003E5A47">
        <w:rPr>
          <w:sz w:val="20"/>
          <w:szCs w:val="20"/>
        </w:rPr>
        <w:t>vision for the future and the steps that will be taken to achieve its goals and objectives</w:t>
      </w:r>
      <w:r w:rsidR="00AF0BC3">
        <w:rPr>
          <w:sz w:val="20"/>
          <w:szCs w:val="20"/>
        </w:rPr>
        <w:t xml:space="preserve"> are outlined in the </w:t>
      </w:r>
      <w:hyperlink r:id="rId30" w:history="1">
        <w:r w:rsidR="003E5A47" w:rsidRPr="00210A62">
          <w:rPr>
            <w:rStyle w:val="Hyperlink"/>
            <w:sz w:val="20"/>
            <w:szCs w:val="20"/>
          </w:rPr>
          <w:t>IHACPA Strategic Plan 2025–30</w:t>
        </w:r>
      </w:hyperlink>
      <w:r w:rsidR="003E5A47" w:rsidRPr="003E5A47">
        <w:rPr>
          <w:sz w:val="20"/>
          <w:szCs w:val="20"/>
        </w:rPr>
        <w:t xml:space="preserve">. </w:t>
      </w:r>
    </w:p>
    <w:p w14:paraId="7E704506" w14:textId="77777777" w:rsidR="00600845" w:rsidRPr="0039566E" w:rsidRDefault="00600845" w:rsidP="0038083F">
      <w:pPr>
        <w:rPr>
          <w:b/>
          <w:iCs/>
          <w:sz w:val="20"/>
          <w:szCs w:val="20"/>
        </w:rPr>
      </w:pPr>
    </w:p>
    <w:p w14:paraId="63E5C810" w14:textId="49FB635D" w:rsidR="00A25047" w:rsidRPr="0038083F" w:rsidRDefault="00A25047" w:rsidP="006B2881">
      <w:pPr>
        <w:pStyle w:val="Heading4"/>
      </w:pPr>
      <w:r w:rsidRPr="0038083F">
        <w:lastRenderedPageBreak/>
        <w:t xml:space="preserve">Addendum to </w:t>
      </w:r>
      <w:r w:rsidRPr="006B2881">
        <w:t>NHRA</w:t>
      </w:r>
      <w:r w:rsidRPr="0038083F">
        <w:t xml:space="preserve"> 2020–</w:t>
      </w:r>
      <w:r w:rsidR="00AD2AAC" w:rsidRPr="0038083F">
        <w:t>2</w:t>
      </w:r>
      <w:r w:rsidR="00AD2AAC">
        <w:t>6</w:t>
      </w:r>
    </w:p>
    <w:p w14:paraId="3B1900B4" w14:textId="418E45C0" w:rsidR="00E30E28" w:rsidRPr="0039566E" w:rsidRDefault="00EF0671" w:rsidP="00EF0671">
      <w:pPr>
        <w:rPr>
          <w:sz w:val="20"/>
          <w:szCs w:val="20"/>
        </w:rPr>
      </w:pPr>
      <w:r w:rsidRPr="0039566E">
        <w:rPr>
          <w:sz w:val="20"/>
          <w:szCs w:val="20"/>
        </w:rPr>
        <w:t xml:space="preserve">IHACPA notes that the current Addendum to the </w:t>
      </w:r>
      <w:r w:rsidR="0059035A" w:rsidRPr="0039566E">
        <w:rPr>
          <w:sz w:val="20"/>
          <w:szCs w:val="20"/>
        </w:rPr>
        <w:t>NHRA</w:t>
      </w:r>
      <w:r w:rsidRPr="0039566E">
        <w:rPr>
          <w:sz w:val="20"/>
          <w:szCs w:val="20"/>
        </w:rPr>
        <w:t xml:space="preserve"> 2020–25 has been amended and extended by Schedule K</w:t>
      </w:r>
      <w:r w:rsidR="0043084F" w:rsidRPr="0039566E">
        <w:rPr>
          <w:sz w:val="20"/>
          <w:szCs w:val="20"/>
        </w:rPr>
        <w:t>.</w:t>
      </w:r>
      <w:r w:rsidRPr="0039566E">
        <w:rPr>
          <w:sz w:val="20"/>
          <w:szCs w:val="20"/>
        </w:rPr>
        <w:t xml:space="preserve"> </w:t>
      </w:r>
      <w:r w:rsidR="0043084F" w:rsidRPr="0039566E">
        <w:rPr>
          <w:sz w:val="20"/>
          <w:szCs w:val="20"/>
        </w:rPr>
        <w:t xml:space="preserve">The </w:t>
      </w:r>
      <w:r w:rsidR="006870EB" w:rsidRPr="0039566E">
        <w:rPr>
          <w:sz w:val="20"/>
          <w:szCs w:val="20"/>
        </w:rPr>
        <w:t>a</w:t>
      </w:r>
      <w:r w:rsidR="0043084F" w:rsidRPr="0039566E">
        <w:rPr>
          <w:sz w:val="20"/>
          <w:szCs w:val="20"/>
        </w:rPr>
        <w:t xml:space="preserve">ddendum </w:t>
      </w:r>
      <w:r w:rsidR="00600845">
        <w:rPr>
          <w:sz w:val="20"/>
          <w:szCs w:val="20"/>
        </w:rPr>
        <w:t>was</w:t>
      </w:r>
      <w:r w:rsidRPr="0039566E">
        <w:rPr>
          <w:sz w:val="20"/>
          <w:szCs w:val="20"/>
        </w:rPr>
        <w:t xml:space="preserve"> signed by Australian governments in February 2025 for the period 1</w:t>
      </w:r>
      <w:r w:rsidR="00742DED">
        <w:rPr>
          <w:sz w:val="20"/>
          <w:szCs w:val="20"/>
        </w:rPr>
        <w:t> </w:t>
      </w:r>
      <w:r w:rsidRPr="0039566E">
        <w:rPr>
          <w:sz w:val="20"/>
          <w:szCs w:val="20"/>
        </w:rPr>
        <w:t>July</w:t>
      </w:r>
      <w:r w:rsidR="00742DED">
        <w:rPr>
          <w:sz w:val="20"/>
          <w:szCs w:val="20"/>
        </w:rPr>
        <w:t> </w:t>
      </w:r>
      <w:r w:rsidRPr="0039566E">
        <w:rPr>
          <w:sz w:val="20"/>
          <w:szCs w:val="20"/>
        </w:rPr>
        <w:t xml:space="preserve">2025 to 30 June 2026. </w:t>
      </w:r>
      <w:r w:rsidR="00AD2AAC">
        <w:rPr>
          <w:sz w:val="20"/>
          <w:szCs w:val="20"/>
        </w:rPr>
        <w:t>T</w:t>
      </w:r>
      <w:r w:rsidR="00815860" w:rsidRPr="0039566E">
        <w:rPr>
          <w:sz w:val="20"/>
          <w:szCs w:val="20"/>
        </w:rPr>
        <w:t xml:space="preserve">his </w:t>
      </w:r>
      <w:r w:rsidR="000335F8" w:rsidRPr="0039566E">
        <w:rPr>
          <w:sz w:val="20"/>
          <w:szCs w:val="20"/>
        </w:rPr>
        <w:t>pricing framework</w:t>
      </w:r>
      <w:r w:rsidR="00815860" w:rsidRPr="0039566E">
        <w:rPr>
          <w:sz w:val="20"/>
          <w:szCs w:val="20"/>
        </w:rPr>
        <w:t xml:space="preserve"> refers to the addendum and subsequent Schedule K extension as the Addendum to the NHRA 2020–26. </w:t>
      </w:r>
    </w:p>
    <w:p w14:paraId="0E1EFFFF" w14:textId="33331869" w:rsidR="00466A67" w:rsidRPr="0039566E" w:rsidRDefault="00AC10F7" w:rsidP="00575F15">
      <w:pPr>
        <w:rPr>
          <w:sz w:val="20"/>
          <w:szCs w:val="20"/>
        </w:rPr>
      </w:pPr>
      <w:r w:rsidRPr="0039566E">
        <w:rPr>
          <w:sz w:val="20"/>
          <w:szCs w:val="20"/>
        </w:rPr>
        <w:t>T</w:t>
      </w:r>
      <w:r w:rsidR="00D775BA" w:rsidRPr="0039566E">
        <w:rPr>
          <w:sz w:val="20"/>
          <w:szCs w:val="20"/>
        </w:rPr>
        <w:t xml:space="preserve">his </w:t>
      </w:r>
      <w:r w:rsidR="000335F8" w:rsidRPr="0039566E">
        <w:rPr>
          <w:sz w:val="20"/>
          <w:szCs w:val="20"/>
        </w:rPr>
        <w:t>pricing framework</w:t>
      </w:r>
      <w:r w:rsidR="00005EFC" w:rsidRPr="0039566E">
        <w:rPr>
          <w:sz w:val="20"/>
          <w:szCs w:val="20"/>
        </w:rPr>
        <w:t xml:space="preserve"> has been developed within this </w:t>
      </w:r>
      <w:r w:rsidR="00E43BB8" w:rsidRPr="0039566E">
        <w:rPr>
          <w:sz w:val="20"/>
          <w:szCs w:val="20"/>
        </w:rPr>
        <w:t xml:space="preserve">legislated </w:t>
      </w:r>
      <w:r w:rsidR="00005EFC" w:rsidRPr="0039566E">
        <w:rPr>
          <w:sz w:val="20"/>
          <w:szCs w:val="20"/>
        </w:rPr>
        <w:t>context and</w:t>
      </w:r>
      <w:r w:rsidR="007C38BC" w:rsidRPr="0039566E">
        <w:rPr>
          <w:sz w:val="20"/>
          <w:szCs w:val="20"/>
        </w:rPr>
        <w:t xml:space="preserve"> will focus on the </w:t>
      </w:r>
      <w:r w:rsidR="00D775BA" w:rsidRPr="0039566E">
        <w:rPr>
          <w:sz w:val="20"/>
          <w:szCs w:val="20"/>
        </w:rPr>
        <w:t xml:space="preserve">issues pertinent to the development of </w:t>
      </w:r>
      <w:r w:rsidR="00C23236">
        <w:rPr>
          <w:sz w:val="20"/>
          <w:szCs w:val="20"/>
        </w:rPr>
        <w:t>the NEP Determination 2026</w:t>
      </w:r>
      <w:r w:rsidR="00C23236" w:rsidRPr="0039566E">
        <w:rPr>
          <w:sz w:val="20"/>
          <w:szCs w:val="20"/>
        </w:rPr>
        <w:t>–</w:t>
      </w:r>
      <w:r w:rsidR="00C23236">
        <w:rPr>
          <w:sz w:val="20"/>
          <w:szCs w:val="20"/>
        </w:rPr>
        <w:t>27 (</w:t>
      </w:r>
      <w:r w:rsidR="00D775BA" w:rsidRPr="0039566E">
        <w:rPr>
          <w:sz w:val="20"/>
          <w:szCs w:val="20"/>
        </w:rPr>
        <w:t>NEP26</w:t>
      </w:r>
      <w:r w:rsidR="00C23236">
        <w:rPr>
          <w:sz w:val="20"/>
          <w:szCs w:val="20"/>
        </w:rPr>
        <w:t>)</w:t>
      </w:r>
      <w:r w:rsidR="00D775BA" w:rsidRPr="0039566E">
        <w:rPr>
          <w:sz w:val="20"/>
          <w:szCs w:val="20"/>
        </w:rPr>
        <w:t xml:space="preserve"> and </w:t>
      </w:r>
      <w:r w:rsidR="00C23236">
        <w:rPr>
          <w:sz w:val="20"/>
          <w:szCs w:val="20"/>
        </w:rPr>
        <w:t>NEC Determination 2026</w:t>
      </w:r>
      <w:r w:rsidR="00C23236" w:rsidRPr="0039566E">
        <w:rPr>
          <w:sz w:val="20"/>
          <w:szCs w:val="20"/>
        </w:rPr>
        <w:t>–</w:t>
      </w:r>
      <w:r w:rsidR="00C23236">
        <w:rPr>
          <w:sz w:val="20"/>
          <w:szCs w:val="20"/>
        </w:rPr>
        <w:t>27 (</w:t>
      </w:r>
      <w:r w:rsidR="00D775BA" w:rsidRPr="0039566E">
        <w:rPr>
          <w:sz w:val="20"/>
          <w:szCs w:val="20"/>
        </w:rPr>
        <w:t>NEC26</w:t>
      </w:r>
      <w:r w:rsidR="00B16DF8">
        <w:rPr>
          <w:sz w:val="20"/>
          <w:szCs w:val="20"/>
        </w:rPr>
        <w:t>)</w:t>
      </w:r>
      <w:r w:rsidR="008155D6" w:rsidRPr="0039566E">
        <w:rPr>
          <w:sz w:val="20"/>
          <w:szCs w:val="20"/>
        </w:rPr>
        <w:t xml:space="preserve"> </w:t>
      </w:r>
      <w:r w:rsidR="00A82C6D" w:rsidRPr="0039566E">
        <w:rPr>
          <w:sz w:val="20"/>
          <w:szCs w:val="20"/>
        </w:rPr>
        <w:t xml:space="preserve">that </w:t>
      </w:r>
      <w:r w:rsidR="00B85035" w:rsidRPr="0039566E">
        <w:rPr>
          <w:sz w:val="20"/>
          <w:szCs w:val="20"/>
        </w:rPr>
        <w:t xml:space="preserve">are </w:t>
      </w:r>
      <w:r w:rsidR="008155D6" w:rsidRPr="0039566E">
        <w:rPr>
          <w:sz w:val="20"/>
          <w:szCs w:val="20"/>
        </w:rPr>
        <w:t xml:space="preserve">within </w:t>
      </w:r>
      <w:r w:rsidR="00B85035" w:rsidRPr="0039566E">
        <w:rPr>
          <w:sz w:val="20"/>
          <w:szCs w:val="20"/>
        </w:rPr>
        <w:t xml:space="preserve">IHACPA’s </w:t>
      </w:r>
      <w:r w:rsidR="008155D6" w:rsidRPr="0039566E">
        <w:rPr>
          <w:sz w:val="20"/>
          <w:szCs w:val="20"/>
        </w:rPr>
        <w:t xml:space="preserve">current </w:t>
      </w:r>
      <w:r w:rsidR="00E43BB8" w:rsidRPr="0039566E">
        <w:rPr>
          <w:sz w:val="20"/>
          <w:szCs w:val="20"/>
        </w:rPr>
        <w:t xml:space="preserve">legislated </w:t>
      </w:r>
      <w:r w:rsidR="008155D6" w:rsidRPr="0039566E">
        <w:rPr>
          <w:sz w:val="20"/>
          <w:szCs w:val="20"/>
        </w:rPr>
        <w:t>and policy remit</w:t>
      </w:r>
      <w:r w:rsidR="00B45DF1" w:rsidRPr="0039566E">
        <w:rPr>
          <w:sz w:val="20"/>
          <w:szCs w:val="20"/>
        </w:rPr>
        <w:t xml:space="preserve">. </w:t>
      </w:r>
      <w:r w:rsidR="00EF0671" w:rsidRPr="0039566E">
        <w:rPr>
          <w:sz w:val="20"/>
          <w:szCs w:val="20"/>
        </w:rPr>
        <w:t>Once agreed, the implications of a new addendum for</w:t>
      </w:r>
      <w:r w:rsidR="00CF0212" w:rsidRPr="0039566E">
        <w:rPr>
          <w:sz w:val="20"/>
          <w:szCs w:val="20"/>
        </w:rPr>
        <w:t xml:space="preserve"> future determinations</w:t>
      </w:r>
      <w:r w:rsidR="00EF0671" w:rsidRPr="0039566E">
        <w:rPr>
          <w:sz w:val="20"/>
          <w:szCs w:val="20"/>
        </w:rPr>
        <w:t xml:space="preserve"> will be considered in consultation with stakeholders.</w:t>
      </w:r>
    </w:p>
    <w:p w14:paraId="0A714BAE" w14:textId="77777777" w:rsidR="00F33BB6" w:rsidRDefault="00F33BB6" w:rsidP="00575F15"/>
    <w:p w14:paraId="08B722CD" w14:textId="77777777" w:rsidR="00F33BB6" w:rsidRDefault="00F33BB6" w:rsidP="00575F15"/>
    <w:p w14:paraId="78200AF0" w14:textId="55C6F677" w:rsidR="00993B60" w:rsidRDefault="00993B60" w:rsidP="0047693C">
      <w:pPr>
        <w:jc w:val="both"/>
        <w:sectPr w:rsidR="00993B60" w:rsidSect="008825C5">
          <w:headerReference w:type="default" r:id="rId31"/>
          <w:footerReference w:type="default" r:id="rId32"/>
          <w:pgSz w:w="11906" w:h="16838" w:code="9"/>
          <w:pgMar w:top="1440" w:right="1080" w:bottom="1440" w:left="1080" w:header="561" w:footer="709" w:gutter="0"/>
          <w:cols w:space="720"/>
          <w:titlePg/>
          <w:docGrid w:linePitch="360"/>
        </w:sectPr>
      </w:pPr>
      <w:r>
        <w:br w:type="page"/>
      </w:r>
    </w:p>
    <w:p w14:paraId="00507FFE" w14:textId="77777777" w:rsidR="00993B60" w:rsidRPr="00D41A80" w:rsidRDefault="00993B60" w:rsidP="00993B60">
      <w:pPr>
        <w:jc w:val="both"/>
      </w:pPr>
    </w:p>
    <w:p w14:paraId="2B4AEED8" w14:textId="49D8ECEC" w:rsidR="00993B60" w:rsidRPr="00543078" w:rsidRDefault="0036606E" w:rsidP="00993B60">
      <w:pPr>
        <w:pStyle w:val="ChapterNumber"/>
      </w:pPr>
      <w:r>
        <w:t>2</w:t>
      </w:r>
    </w:p>
    <w:p w14:paraId="74B99774" w14:textId="6B968C01" w:rsidR="00993B60" w:rsidRPr="00543078" w:rsidRDefault="00107D9E" w:rsidP="00993B60">
      <w:pPr>
        <w:pStyle w:val="Heading1"/>
      </w:pPr>
      <w:bookmarkStart w:id="10" w:name="_Toc206096197"/>
      <w:bookmarkStart w:id="11" w:name="_Toc214971802"/>
      <w:r>
        <w:t>Pricing Guidelines</w:t>
      </w:r>
      <w:bookmarkEnd w:id="10"/>
      <w:bookmarkEnd w:id="11"/>
    </w:p>
    <w:p w14:paraId="0EF43434" w14:textId="77777777" w:rsidR="00993B60" w:rsidRDefault="00993B60" w:rsidP="00993B60">
      <w:pPr>
        <w:sectPr w:rsidR="00993B60" w:rsidSect="00993B60">
          <w:headerReference w:type="default" r:id="rId33"/>
          <w:footerReference w:type="default" r:id="rId34"/>
          <w:pgSz w:w="11906" w:h="16838" w:code="9"/>
          <w:pgMar w:top="567" w:right="1440" w:bottom="1440" w:left="1440" w:header="561" w:footer="709" w:gutter="0"/>
          <w:cols w:space="720"/>
          <w:docGrid w:linePitch="360"/>
        </w:sectPr>
      </w:pPr>
    </w:p>
    <w:p w14:paraId="34C18D68" w14:textId="77777777" w:rsidR="00D13E77" w:rsidRDefault="00D13E77" w:rsidP="00C900A5">
      <w:pPr>
        <w:pStyle w:val="BodyText"/>
      </w:pPr>
    </w:p>
    <w:p w14:paraId="49837A7E" w14:textId="54E6C933" w:rsidR="00993B60" w:rsidRDefault="00720F5E" w:rsidP="00993B60">
      <w:pPr>
        <w:pStyle w:val="Heading2"/>
      </w:pPr>
      <w:r>
        <w:t>2</w:t>
      </w:r>
      <w:r w:rsidR="00993B60">
        <w:t xml:space="preserve">.1 </w:t>
      </w:r>
      <w:r w:rsidR="00B9356D">
        <w:t xml:space="preserve">The Pricing Guidelines </w:t>
      </w:r>
    </w:p>
    <w:p w14:paraId="7A9B7DF8" w14:textId="464C1754" w:rsidR="00951FCD" w:rsidRPr="00951FCD" w:rsidRDefault="00951FCD" w:rsidP="00951FCD">
      <w:pPr>
        <w:rPr>
          <w:sz w:val="20"/>
          <w:szCs w:val="20"/>
        </w:rPr>
      </w:pPr>
      <w:r w:rsidRPr="00951FCD">
        <w:rPr>
          <w:sz w:val="20"/>
          <w:szCs w:val="20"/>
        </w:rPr>
        <w:t xml:space="preserve">The Independent Health and Aged Care Pricing Authority (IHACPA) </w:t>
      </w:r>
      <w:r w:rsidR="009B71F6">
        <w:rPr>
          <w:sz w:val="20"/>
          <w:szCs w:val="20"/>
        </w:rPr>
        <w:t xml:space="preserve">makes </w:t>
      </w:r>
      <w:r w:rsidR="0091589D">
        <w:rPr>
          <w:sz w:val="20"/>
          <w:szCs w:val="20"/>
        </w:rPr>
        <w:t>evidence-based</w:t>
      </w:r>
      <w:r w:rsidR="009B71F6">
        <w:rPr>
          <w:sz w:val="20"/>
          <w:szCs w:val="20"/>
        </w:rPr>
        <w:t xml:space="preserve"> decisions for</w:t>
      </w:r>
      <w:r w:rsidRPr="00951FCD">
        <w:rPr>
          <w:sz w:val="20"/>
          <w:szCs w:val="20"/>
        </w:rPr>
        <w:t xml:space="preserve"> pricing in</w:t>
      </w:r>
      <w:r w:rsidR="009B71F6">
        <w:rPr>
          <w:sz w:val="20"/>
          <w:szCs w:val="20"/>
        </w:rPr>
        <w:noBreakHyphen/>
      </w:r>
      <w:r w:rsidRPr="00951FCD">
        <w:rPr>
          <w:sz w:val="20"/>
          <w:szCs w:val="20"/>
        </w:rPr>
        <w:t>scope public hospital services</w:t>
      </w:r>
      <w:r w:rsidR="009B71F6">
        <w:rPr>
          <w:sz w:val="20"/>
          <w:szCs w:val="20"/>
        </w:rPr>
        <w:t xml:space="preserve">, using </w:t>
      </w:r>
      <w:r w:rsidRPr="00951FCD">
        <w:rPr>
          <w:sz w:val="20"/>
          <w:szCs w:val="20"/>
        </w:rPr>
        <w:t xml:space="preserve">the latest activity and cost data supplied by state and territory governments. In making these decisions, IHACPA balances a range of policy objectives provided by the </w:t>
      </w:r>
      <w:r w:rsidRPr="00275972">
        <w:rPr>
          <w:i/>
          <w:iCs/>
          <w:sz w:val="20"/>
          <w:szCs w:val="20"/>
        </w:rPr>
        <w:t>National Health Reform Act 2011</w:t>
      </w:r>
      <w:r w:rsidRPr="00491A46">
        <w:rPr>
          <w:sz w:val="20"/>
          <w:szCs w:val="20"/>
        </w:rPr>
        <w:t xml:space="preserve"> and</w:t>
      </w:r>
      <w:r w:rsidRPr="00951FCD">
        <w:rPr>
          <w:sz w:val="20"/>
          <w:szCs w:val="20"/>
        </w:rPr>
        <w:t xml:space="preserve"> the Addendum to the National Health Reform Agreement</w:t>
      </w:r>
      <w:r w:rsidR="00FA31D4">
        <w:rPr>
          <w:sz w:val="20"/>
          <w:szCs w:val="20"/>
        </w:rPr>
        <w:t xml:space="preserve"> (NHRA)</w:t>
      </w:r>
      <w:r w:rsidRPr="00951FCD">
        <w:rPr>
          <w:sz w:val="20"/>
          <w:szCs w:val="20"/>
        </w:rPr>
        <w:t xml:space="preserve"> 2020–2</w:t>
      </w:r>
      <w:r w:rsidR="00C4766C">
        <w:rPr>
          <w:sz w:val="20"/>
          <w:szCs w:val="20"/>
        </w:rPr>
        <w:t>6</w:t>
      </w:r>
      <w:r w:rsidRPr="00951FCD">
        <w:rPr>
          <w:sz w:val="20"/>
          <w:szCs w:val="20"/>
        </w:rPr>
        <w:t>. These objectives include, but are not limited to, improving the efficiency and accessibility of public hospital services.</w:t>
      </w:r>
    </w:p>
    <w:p w14:paraId="66F40792" w14:textId="3C1EE0B4" w:rsidR="00951FCD" w:rsidRDefault="00951FCD" w:rsidP="00951FCD">
      <w:pPr>
        <w:rPr>
          <w:sz w:val="20"/>
          <w:szCs w:val="20"/>
        </w:rPr>
      </w:pPr>
      <w:r w:rsidRPr="00951FCD">
        <w:rPr>
          <w:sz w:val="20"/>
          <w:szCs w:val="20"/>
        </w:rPr>
        <w:t xml:space="preserve">The Pricing Guidelines outlined in </w:t>
      </w:r>
      <w:r w:rsidRPr="00951FCD">
        <w:rPr>
          <w:b/>
          <w:bCs/>
          <w:sz w:val="20"/>
          <w:szCs w:val="20"/>
        </w:rPr>
        <w:t>Figure 1</w:t>
      </w:r>
      <w:r w:rsidRPr="00951FCD">
        <w:rPr>
          <w:sz w:val="20"/>
          <w:szCs w:val="20"/>
        </w:rPr>
        <w:t xml:space="preserve"> signal IHACPA’s commitment to transparency and accountability as it undertakes its work. They</w:t>
      </w:r>
      <w:r w:rsidR="0086176D">
        <w:rPr>
          <w:sz w:val="20"/>
          <w:szCs w:val="20"/>
        </w:rPr>
        <w:t xml:space="preserve"> </w:t>
      </w:r>
      <w:r w:rsidRPr="00951FCD">
        <w:rPr>
          <w:sz w:val="20"/>
          <w:szCs w:val="20"/>
        </w:rPr>
        <w:t>comprise</w:t>
      </w:r>
      <w:r w:rsidR="009A45F2">
        <w:rPr>
          <w:sz w:val="20"/>
          <w:szCs w:val="20"/>
        </w:rPr>
        <w:t xml:space="preserve"> </w:t>
      </w:r>
      <w:r w:rsidRPr="00951FCD">
        <w:rPr>
          <w:sz w:val="20"/>
          <w:szCs w:val="20"/>
        </w:rPr>
        <w:t>the overarching process and system design guidelines within which IHACPA makes its policy decisions.</w:t>
      </w:r>
    </w:p>
    <w:p w14:paraId="6AF94272" w14:textId="6EF671E8" w:rsidR="00B570F0" w:rsidRDefault="003A64D9" w:rsidP="00951FCD">
      <w:pPr>
        <w:rPr>
          <w:sz w:val="20"/>
          <w:szCs w:val="20"/>
        </w:rPr>
      </w:pPr>
      <w:r>
        <w:rPr>
          <w:sz w:val="20"/>
          <w:szCs w:val="20"/>
        </w:rPr>
        <w:t xml:space="preserve">In 2025, IHACPA </w:t>
      </w:r>
      <w:r w:rsidRPr="00AF527B">
        <w:rPr>
          <w:sz w:val="20"/>
          <w:szCs w:val="20"/>
        </w:rPr>
        <w:t xml:space="preserve">published the </w:t>
      </w:r>
      <w:hyperlink r:id="rId35" w:history="1">
        <w:r w:rsidRPr="00AF527B">
          <w:rPr>
            <w:rStyle w:val="Hyperlink"/>
            <w:sz w:val="20"/>
            <w:szCs w:val="20"/>
          </w:rPr>
          <w:t>Virtual Care Project – Final Report</w:t>
        </w:r>
      </w:hyperlink>
      <w:r w:rsidRPr="00AF527B">
        <w:rPr>
          <w:sz w:val="20"/>
          <w:szCs w:val="20"/>
        </w:rPr>
        <w:t>, with stakeholders</w:t>
      </w:r>
      <w:r w:rsidRPr="00BD4C29">
        <w:rPr>
          <w:sz w:val="20"/>
          <w:szCs w:val="20"/>
        </w:rPr>
        <w:t xml:space="preserve"> </w:t>
      </w:r>
      <w:r w:rsidR="004E6CE2">
        <w:rPr>
          <w:sz w:val="20"/>
          <w:szCs w:val="20"/>
        </w:rPr>
        <w:t>co</w:t>
      </w:r>
      <w:r w:rsidR="004E6CE2" w:rsidRPr="00BD4C29">
        <w:rPr>
          <w:sz w:val="20"/>
          <w:szCs w:val="20"/>
        </w:rPr>
        <w:t>nsulte</w:t>
      </w:r>
      <w:r w:rsidR="004E6CE2">
        <w:rPr>
          <w:sz w:val="20"/>
          <w:szCs w:val="20"/>
        </w:rPr>
        <w:t>d</w:t>
      </w:r>
      <w:r>
        <w:rPr>
          <w:sz w:val="20"/>
          <w:szCs w:val="20"/>
        </w:rPr>
        <w:t xml:space="preserve"> throughout the project. </w:t>
      </w:r>
      <w:r w:rsidR="00D415CE">
        <w:rPr>
          <w:sz w:val="20"/>
          <w:szCs w:val="20"/>
        </w:rPr>
        <w:t>Chapter 6</w:t>
      </w:r>
      <w:r w:rsidR="00F736A9">
        <w:rPr>
          <w:sz w:val="20"/>
          <w:szCs w:val="20"/>
        </w:rPr>
        <w:t xml:space="preserve"> of this </w:t>
      </w:r>
      <w:r w:rsidR="009B6914">
        <w:rPr>
          <w:sz w:val="20"/>
          <w:szCs w:val="20"/>
        </w:rPr>
        <w:t>p</w:t>
      </w:r>
      <w:r w:rsidR="001D6342">
        <w:rPr>
          <w:sz w:val="20"/>
          <w:szCs w:val="20"/>
        </w:rPr>
        <w:t xml:space="preserve">ricing </w:t>
      </w:r>
      <w:r w:rsidR="009B6914">
        <w:rPr>
          <w:sz w:val="20"/>
          <w:szCs w:val="20"/>
        </w:rPr>
        <w:t>f</w:t>
      </w:r>
      <w:r w:rsidR="001D6342">
        <w:rPr>
          <w:sz w:val="20"/>
          <w:szCs w:val="20"/>
        </w:rPr>
        <w:t xml:space="preserve">ramework </w:t>
      </w:r>
      <w:r w:rsidR="00D415CE">
        <w:rPr>
          <w:sz w:val="20"/>
          <w:szCs w:val="20"/>
        </w:rPr>
        <w:t xml:space="preserve">provides further detail regarding </w:t>
      </w:r>
      <w:r w:rsidR="0072755A">
        <w:rPr>
          <w:sz w:val="20"/>
          <w:szCs w:val="20"/>
        </w:rPr>
        <w:t xml:space="preserve">its </w:t>
      </w:r>
      <w:r w:rsidR="00D415CE">
        <w:rPr>
          <w:sz w:val="20"/>
          <w:szCs w:val="20"/>
        </w:rPr>
        <w:t>key findings and recommendations.</w:t>
      </w:r>
    </w:p>
    <w:p w14:paraId="442B0B36" w14:textId="3803BBBB" w:rsidR="00651122" w:rsidRPr="00CA4AAC" w:rsidRDefault="0072755A" w:rsidP="00951FCD">
      <w:pPr>
        <w:rPr>
          <w:sz w:val="20"/>
          <w:szCs w:val="20"/>
        </w:rPr>
      </w:pPr>
      <w:r>
        <w:rPr>
          <w:sz w:val="20"/>
          <w:szCs w:val="20"/>
        </w:rPr>
        <w:t>While several existing Pricing Guidelines are particularly relevant to pricing virtual care, r</w:t>
      </w:r>
      <w:r w:rsidR="003A7FC9">
        <w:rPr>
          <w:sz w:val="20"/>
          <w:szCs w:val="20"/>
        </w:rPr>
        <w:t>ecommendation 5.1 of the report</w:t>
      </w:r>
      <w:r w:rsidR="00061E49">
        <w:rPr>
          <w:sz w:val="20"/>
          <w:szCs w:val="20"/>
        </w:rPr>
        <w:t xml:space="preserve"> suggest</w:t>
      </w:r>
      <w:r w:rsidR="006A57FE">
        <w:rPr>
          <w:sz w:val="20"/>
          <w:szCs w:val="20"/>
        </w:rPr>
        <w:t>ed</w:t>
      </w:r>
      <w:r w:rsidR="00061E49">
        <w:rPr>
          <w:sz w:val="20"/>
          <w:szCs w:val="20"/>
        </w:rPr>
        <w:t xml:space="preserve"> that IHACPA strengthen the Pricing Guidelines to support clinically appropriate care across </w:t>
      </w:r>
      <w:r w:rsidR="00F94BCB">
        <w:rPr>
          <w:sz w:val="20"/>
          <w:szCs w:val="20"/>
        </w:rPr>
        <w:t>all modalities</w:t>
      </w:r>
      <w:r w:rsidR="006A57FE">
        <w:rPr>
          <w:sz w:val="20"/>
          <w:szCs w:val="20"/>
        </w:rPr>
        <w:t xml:space="preserve">, with stakeholders noting </w:t>
      </w:r>
      <w:r w:rsidR="00946439">
        <w:rPr>
          <w:sz w:val="20"/>
          <w:szCs w:val="20"/>
        </w:rPr>
        <w:t>that pricing should be modality agnostic for equivalent care.</w:t>
      </w:r>
      <w:r w:rsidR="009E62F3">
        <w:rPr>
          <w:sz w:val="20"/>
          <w:szCs w:val="20"/>
        </w:rPr>
        <w:t xml:space="preserve"> </w:t>
      </w:r>
      <w:r w:rsidR="00F667E3">
        <w:rPr>
          <w:sz w:val="20"/>
          <w:szCs w:val="20"/>
        </w:rPr>
        <w:t>To strengthen the Pricing Guidelines, IHACPA propose</w:t>
      </w:r>
      <w:r w:rsidR="000B4206">
        <w:rPr>
          <w:sz w:val="20"/>
          <w:szCs w:val="20"/>
        </w:rPr>
        <w:t>d</w:t>
      </w:r>
      <w:r w:rsidR="00F667E3">
        <w:rPr>
          <w:sz w:val="20"/>
          <w:szCs w:val="20"/>
        </w:rPr>
        <w:t xml:space="preserve"> to</w:t>
      </w:r>
      <w:r w:rsidR="006B3FD6">
        <w:rPr>
          <w:sz w:val="20"/>
          <w:szCs w:val="20"/>
        </w:rPr>
        <w:t xml:space="preserve"> explicitly state</w:t>
      </w:r>
      <w:r w:rsidR="005D53D2">
        <w:rPr>
          <w:sz w:val="20"/>
          <w:szCs w:val="20"/>
        </w:rPr>
        <w:t xml:space="preserve"> within the </w:t>
      </w:r>
      <w:r w:rsidR="00135098">
        <w:rPr>
          <w:sz w:val="20"/>
          <w:szCs w:val="20"/>
        </w:rPr>
        <w:t>promoting harmonisation guideline</w:t>
      </w:r>
      <w:r w:rsidR="006B3FD6">
        <w:rPr>
          <w:sz w:val="20"/>
          <w:szCs w:val="20"/>
        </w:rPr>
        <w:t xml:space="preserve"> that</w:t>
      </w:r>
      <w:r w:rsidR="00D342EC">
        <w:rPr>
          <w:sz w:val="20"/>
          <w:szCs w:val="20"/>
        </w:rPr>
        <w:t xml:space="preserve"> pricing</w:t>
      </w:r>
      <w:r w:rsidR="00E8015F">
        <w:rPr>
          <w:sz w:val="20"/>
          <w:szCs w:val="20"/>
        </w:rPr>
        <w:t xml:space="preserve"> should</w:t>
      </w:r>
      <w:r w:rsidR="00D57DA6">
        <w:rPr>
          <w:sz w:val="20"/>
          <w:szCs w:val="20"/>
        </w:rPr>
        <w:t xml:space="preserve"> facilitate best practice provision of equivalent care across appropriate settings, sites and modalities</w:t>
      </w:r>
      <w:r w:rsidR="00141044">
        <w:rPr>
          <w:sz w:val="20"/>
          <w:szCs w:val="20"/>
        </w:rPr>
        <w:t>.</w:t>
      </w:r>
    </w:p>
    <w:p w14:paraId="782A187F" w14:textId="7128202E" w:rsidR="000B4206" w:rsidRPr="007620E3" w:rsidRDefault="007620E3" w:rsidP="00951FCD">
      <w:pPr>
        <w:rPr>
          <w:rFonts w:cs="Arial"/>
          <w:sz w:val="20"/>
          <w:szCs w:val="20"/>
        </w:rPr>
      </w:pPr>
      <w:r w:rsidRPr="007620E3">
        <w:rPr>
          <w:rFonts w:cs="Arial"/>
          <w:sz w:val="20"/>
          <w:szCs w:val="20"/>
        </w:rPr>
        <w:t xml:space="preserve">In response to the Consultation Paper on the Pricing Framework for Australian Public Hospital Services </w:t>
      </w:r>
      <w:r w:rsidR="004737FD">
        <w:rPr>
          <w:rFonts w:cs="Arial"/>
          <w:sz w:val="20"/>
          <w:szCs w:val="20"/>
        </w:rPr>
        <w:br/>
      </w:r>
      <w:r w:rsidRPr="007620E3">
        <w:rPr>
          <w:rFonts w:cs="Arial"/>
          <w:sz w:val="20"/>
          <w:szCs w:val="20"/>
        </w:rPr>
        <w:t xml:space="preserve">2026–27, </w:t>
      </w:r>
      <w:r>
        <w:rPr>
          <w:rFonts w:cs="Arial"/>
          <w:sz w:val="20"/>
          <w:szCs w:val="20"/>
        </w:rPr>
        <w:t>s</w:t>
      </w:r>
      <w:r w:rsidR="00747BF6" w:rsidRPr="007620E3">
        <w:rPr>
          <w:rFonts w:cs="Arial"/>
          <w:sz w:val="20"/>
          <w:szCs w:val="20"/>
        </w:rPr>
        <w:t>takeholders broadly supported the proposed revision to the promoting harmonisation Pricing Guideline</w:t>
      </w:r>
      <w:r w:rsidR="004737FD">
        <w:rPr>
          <w:rFonts w:cs="Arial"/>
          <w:sz w:val="20"/>
          <w:szCs w:val="20"/>
        </w:rPr>
        <w:t xml:space="preserve">, noting </w:t>
      </w:r>
      <w:r>
        <w:rPr>
          <w:rFonts w:cs="Arial"/>
          <w:sz w:val="20"/>
          <w:szCs w:val="20"/>
        </w:rPr>
        <w:t xml:space="preserve">this change would </w:t>
      </w:r>
      <w:r w:rsidR="0072755A">
        <w:rPr>
          <w:rFonts w:cs="Arial"/>
          <w:sz w:val="20"/>
          <w:szCs w:val="20"/>
        </w:rPr>
        <w:t>reflect</w:t>
      </w:r>
      <w:r w:rsidR="0072755A" w:rsidRPr="007620E3">
        <w:rPr>
          <w:rFonts w:cs="Arial"/>
          <w:sz w:val="20"/>
          <w:szCs w:val="20"/>
        </w:rPr>
        <w:t xml:space="preserve"> </w:t>
      </w:r>
      <w:r w:rsidR="00747BF6" w:rsidRPr="007620E3">
        <w:rPr>
          <w:rFonts w:cs="Arial"/>
          <w:sz w:val="20"/>
          <w:szCs w:val="20"/>
        </w:rPr>
        <w:t>the benefits of enabling virtual care provision across appropriate settings, support innovation and promote equity. </w:t>
      </w:r>
      <w:r w:rsidR="001C415E" w:rsidRPr="007620E3">
        <w:rPr>
          <w:rFonts w:cs="Arial"/>
          <w:sz w:val="20"/>
          <w:szCs w:val="20"/>
        </w:rPr>
        <w:t xml:space="preserve">Further detail on this feedback is provided in the </w:t>
      </w:r>
      <w:r w:rsidR="00FC35B3">
        <w:rPr>
          <w:rFonts w:cs="Arial"/>
          <w:sz w:val="20"/>
          <w:szCs w:val="20"/>
        </w:rPr>
        <w:t>consultation report.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651122" w:rsidRPr="007C7991" w14:paraId="446982A0" w14:textId="77777777" w:rsidTr="0019067A">
        <w:tc>
          <w:tcPr>
            <w:tcW w:w="851" w:type="dxa"/>
            <w:shd w:val="clear" w:color="auto" w:fill="B5FFE0" w:themeFill="accent4" w:themeFillTint="33"/>
          </w:tcPr>
          <w:p w14:paraId="26538D77" w14:textId="77777777" w:rsidR="00651122" w:rsidRPr="007C7991" w:rsidRDefault="00651122" w:rsidP="0019067A">
            <w:pPr>
              <w:jc w:val="center"/>
              <w:rPr>
                <w:sz w:val="20"/>
                <w:szCs w:val="20"/>
              </w:rPr>
            </w:pPr>
            <w:r w:rsidRPr="007C7991">
              <w:rPr>
                <w:noProof/>
                <w:sz w:val="20"/>
                <w:szCs w:val="20"/>
              </w:rPr>
              <w:drawing>
                <wp:inline distT="0" distB="0" distL="0" distR="0" wp14:anchorId="3F44FAC1" wp14:editId="146F3D80">
                  <wp:extent cx="266700" cy="266700"/>
                  <wp:effectExtent l="0" t="0" r="0" b="0"/>
                  <wp:docPr id="9" name="Picture 9"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637A0AEA" w14:textId="77777777" w:rsidR="00CD44E2" w:rsidRPr="007C7991" w:rsidRDefault="00651122" w:rsidP="00CD44E2">
            <w:pPr>
              <w:pStyle w:val="Heading4"/>
              <w:rPr>
                <w:sz w:val="20"/>
                <w:szCs w:val="20"/>
              </w:rPr>
            </w:pPr>
            <w:r w:rsidRPr="007C7991">
              <w:rPr>
                <w:sz w:val="20"/>
                <w:szCs w:val="20"/>
              </w:rPr>
              <w:t>IHACPA’s decision</w:t>
            </w:r>
          </w:p>
          <w:p w14:paraId="7C1B7522" w14:textId="00606DE9" w:rsidR="00651122" w:rsidRPr="007C7991" w:rsidRDefault="00CD44E2" w:rsidP="009E35B8">
            <w:pPr>
              <w:pStyle w:val="Heading4"/>
              <w:spacing w:after="120"/>
              <w:ind w:right="177"/>
              <w:rPr>
                <w:b w:val="0"/>
                <w:bCs/>
                <w:sz w:val="20"/>
                <w:szCs w:val="20"/>
              </w:rPr>
            </w:pPr>
            <w:r w:rsidRPr="007C7991">
              <w:rPr>
                <w:b w:val="0"/>
                <w:bCs/>
                <w:sz w:val="20"/>
                <w:szCs w:val="20"/>
              </w:rPr>
              <w:t xml:space="preserve">IHACPA </w:t>
            </w:r>
            <w:r w:rsidR="00EA3EAB">
              <w:rPr>
                <w:b w:val="0"/>
                <w:bCs/>
                <w:sz w:val="20"/>
                <w:szCs w:val="20"/>
              </w:rPr>
              <w:t>has</w:t>
            </w:r>
            <w:r w:rsidR="00EA3EAB" w:rsidRPr="007C7991">
              <w:rPr>
                <w:b w:val="0"/>
                <w:bCs/>
                <w:sz w:val="20"/>
                <w:szCs w:val="20"/>
              </w:rPr>
              <w:t xml:space="preserve"> </w:t>
            </w:r>
            <w:r w:rsidRPr="007C7991">
              <w:rPr>
                <w:b w:val="0"/>
                <w:bCs/>
                <w:sz w:val="20"/>
                <w:szCs w:val="20"/>
              </w:rPr>
              <w:t>revis</w:t>
            </w:r>
            <w:r w:rsidR="00BD4CAA" w:rsidRPr="007C7991">
              <w:rPr>
                <w:b w:val="0"/>
                <w:bCs/>
                <w:sz w:val="20"/>
                <w:szCs w:val="20"/>
              </w:rPr>
              <w:t>e</w:t>
            </w:r>
            <w:r w:rsidR="00EA3EAB">
              <w:rPr>
                <w:b w:val="0"/>
                <w:bCs/>
                <w:sz w:val="20"/>
                <w:szCs w:val="20"/>
              </w:rPr>
              <w:t>d</w:t>
            </w:r>
            <w:r w:rsidRPr="007C7991">
              <w:rPr>
                <w:b w:val="0"/>
                <w:bCs/>
                <w:sz w:val="20"/>
                <w:szCs w:val="20"/>
              </w:rPr>
              <w:t xml:space="preserve"> the promoting harmonisation Pricing Guideline to: “Promoting harmonisation: Pricing should facilitate best practice provision of equivalent care across appropriate settings, sites and modalities</w:t>
            </w:r>
            <w:r w:rsidR="00B44FED" w:rsidRPr="007C7991">
              <w:rPr>
                <w:b w:val="0"/>
                <w:bCs/>
                <w:sz w:val="20"/>
                <w:szCs w:val="20"/>
              </w:rPr>
              <w:t>”.</w:t>
            </w:r>
          </w:p>
        </w:tc>
      </w:tr>
    </w:tbl>
    <w:p w14:paraId="34EA78B5" w14:textId="77777777" w:rsidR="009B6914" w:rsidRDefault="009B6914" w:rsidP="00651122">
      <w:pPr>
        <w:spacing w:line="259" w:lineRule="auto"/>
        <w:rPr>
          <w:b/>
          <w:bCs/>
          <w:sz w:val="20"/>
          <w:szCs w:val="20"/>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9B6914" w:rsidRPr="007C7991" w14:paraId="24E6F75E" w14:textId="77777777" w:rsidTr="00D8625D">
        <w:tc>
          <w:tcPr>
            <w:tcW w:w="851" w:type="dxa"/>
            <w:shd w:val="clear" w:color="auto" w:fill="C1DAF8" w:themeFill="accent2" w:themeFillTint="33"/>
          </w:tcPr>
          <w:p w14:paraId="3420F1AD" w14:textId="77777777" w:rsidR="009B6914" w:rsidRPr="007C7991" w:rsidRDefault="009B6914" w:rsidP="00BE53FE">
            <w:pPr>
              <w:jc w:val="center"/>
              <w:rPr>
                <w:sz w:val="20"/>
                <w:szCs w:val="20"/>
              </w:rPr>
            </w:pPr>
            <w:r w:rsidRPr="007C7991">
              <w:rPr>
                <w:noProof/>
                <w:sz w:val="20"/>
                <w:szCs w:val="20"/>
              </w:rPr>
              <w:drawing>
                <wp:inline distT="0" distB="0" distL="0" distR="0" wp14:anchorId="4BAC8D04" wp14:editId="35AAB150">
                  <wp:extent cx="266700" cy="266700"/>
                  <wp:effectExtent l="0" t="0" r="0" b="0"/>
                  <wp:docPr id="1764956355" name="Picture 17649563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66F7EF0F" w14:textId="77777777" w:rsidR="009B6914" w:rsidRPr="007C7991" w:rsidRDefault="009B6914" w:rsidP="009B6914">
            <w:pPr>
              <w:pStyle w:val="Heading4"/>
              <w:rPr>
                <w:sz w:val="20"/>
                <w:szCs w:val="20"/>
              </w:rPr>
            </w:pPr>
            <w:r w:rsidRPr="007C7991">
              <w:rPr>
                <w:sz w:val="20"/>
                <w:szCs w:val="20"/>
              </w:rPr>
              <w:t>Next steps and future work</w:t>
            </w:r>
          </w:p>
          <w:p w14:paraId="7935ED8B" w14:textId="509B0A1C" w:rsidR="009B6914" w:rsidRPr="007C7991" w:rsidRDefault="009B6914" w:rsidP="001C0961">
            <w:pPr>
              <w:rPr>
                <w:sz w:val="20"/>
                <w:szCs w:val="20"/>
              </w:rPr>
            </w:pPr>
            <w:r w:rsidRPr="00027846">
              <w:rPr>
                <w:color w:val="15272F" w:themeColor="text2"/>
                <w:sz w:val="20"/>
                <w:szCs w:val="20"/>
              </w:rPr>
              <w:t>Once the next addendum to the NHRA is finalised, IHACPA will undertake a comprehensive review of its Pricing Guidelines. </w:t>
            </w:r>
          </w:p>
        </w:tc>
      </w:tr>
    </w:tbl>
    <w:p w14:paraId="32BD4C4E" w14:textId="77777777" w:rsidR="005A234A" w:rsidRDefault="005A234A" w:rsidP="00951FCD">
      <w:pPr>
        <w:rPr>
          <w:sz w:val="20"/>
          <w:szCs w:val="20"/>
        </w:rPr>
      </w:pPr>
    </w:p>
    <w:p w14:paraId="103D313C" w14:textId="77777777" w:rsidR="009B6914" w:rsidRDefault="009B6914" w:rsidP="00951FCD">
      <w:pPr>
        <w:rPr>
          <w:sz w:val="20"/>
          <w:szCs w:val="20"/>
        </w:rPr>
      </w:pPr>
    </w:p>
    <w:p w14:paraId="67E0D937" w14:textId="77777777" w:rsidR="00B570F0" w:rsidRDefault="00B570F0" w:rsidP="009E35B8">
      <w:pPr>
        <w:pStyle w:val="FigureTableHeading"/>
        <w:keepNext/>
        <w:spacing w:after="160"/>
        <w:rPr>
          <w:color w:val="auto"/>
        </w:rPr>
      </w:pPr>
      <w:r w:rsidRPr="00057E51">
        <w:rPr>
          <w:color w:val="auto"/>
        </w:rPr>
        <w:lastRenderedPageBreak/>
        <w:t xml:space="preserve">Figure 1: The Pricing </w:t>
      </w:r>
      <w:r>
        <w:rPr>
          <w:color w:val="auto"/>
        </w:rPr>
        <w:t>Guidelines</w:t>
      </w:r>
    </w:p>
    <w:tbl>
      <w:tblPr>
        <w:tblStyle w:val="TableGrid"/>
        <w:tblW w:w="4993" w:type="pct"/>
        <w:tblInd w:w="-5" w:type="dxa"/>
        <w:tblLook w:val="04A0" w:firstRow="1" w:lastRow="0" w:firstColumn="1" w:lastColumn="0" w:noHBand="0" w:noVBand="1"/>
        <w:tblCaption w:val="Figure 1: The Pricing Guidelines"/>
        <w:tblDescription w:val="Overarching Guidelines that articulate the policy intent behind the introduction of funding reform for public hospital services comprising ABF and block grant funding:&#10;Timely-quality care: Funding should support timely access to quality health services.&#10;Efficiency: ABF should improve the value of the public investment in hospital care and ensure a sustainable and efficient network of public hospital services.&#10;Fairness: ABF payments should be fair and equitable, including being based on the same price for the same service across public, private or not-for-profit providers of public hospital services and recognise the legitimate and unavoidable costs faced by some providers of public hospital services.&#10;Maintaining agreed roles and responsibilities of governments determined by the National Health Reform Agreement: Funding design should recognise the complementary responsibilities of each level of government in funding health services.&#10;Process Guidelines to guide the implementation of ABF and block grant funding arrangements:&#10;Transparency: All steps in the determination of ABF and block grant funding should be clear and transparent.&#10;Administrative ease: Funding arrangements should not unduly increase the administrative burden on hospitals and system managers.&#10;Stability: The payment relativities for ABF are consistent over time.&#10;Evidence-based: Funding should be based on best available information.&#10;System Design Guidelines to inform the options for design of ABF and block grant funding arrangements:&#10;Fostering clinical innovation: Pricing of public hospital services should respond in a timely way to introduction of evidence-based, effective new technology and innovations in the models of care that improve patient outcomes.&#10;Promoting value: Pricing supports innovative and alternative funding solutions that deliver efficient, high quality, patient centred care.&#10;Promoting harmonisation: Pricing should facilitate best practice provision of appropriate site of care.&#10;Minimising undesirable and inadvertent consequences: Funding design should minimise susceptibility to gaming, inappropriate rewards and perverse incentives.&#10;ABF pre-eminence: ABF should be used for funding public hospital services wherever practicable and compatible with delivering value in both outcomes and cost.&#10;Single unit of measure and price equivalence: ABF pricing should support dynamic efficiency and changes to models of care with the ready transferability of funding between different care types and service streams through a single unit of measure and relative weights.&#10;Patient-based: Adjustments to the standard price should be based on patient-related rather than provider-related characteristics wherever practicable.&#10;Public-private neutrality: ABF pricing should ensure that payments a local hospital network (LHN) receives for a public patient should be equal to payments made for a LHN service for a private patient."/>
      </w:tblPr>
      <w:tblGrid>
        <w:gridCol w:w="4861"/>
        <w:gridCol w:w="4861"/>
      </w:tblGrid>
      <w:tr w:rsidR="00B570F0" w:rsidRPr="00A078F0" w14:paraId="6087F2F0" w14:textId="77777777" w:rsidTr="0019067A">
        <w:trPr>
          <w:trHeight w:val="10582"/>
        </w:trPr>
        <w:tc>
          <w:tcPr>
            <w:tcW w:w="2500" w:type="pct"/>
          </w:tcPr>
          <w:p w14:paraId="37F9F344" w14:textId="45C426EE" w:rsidR="00B570F0" w:rsidRPr="00A078F0" w:rsidRDefault="00B570F0" w:rsidP="0019067A">
            <w:pPr>
              <w:pStyle w:val="BodyText"/>
              <w:keepLines/>
              <w:spacing w:after="120"/>
              <w:rPr>
                <w:rFonts w:ascii="Arial" w:hAnsi="Arial" w:cs="Arial"/>
                <w:b/>
                <w:bCs/>
              </w:rPr>
            </w:pPr>
            <w:r w:rsidRPr="00A078F0">
              <w:rPr>
                <w:rFonts w:ascii="Arial" w:hAnsi="Arial" w:cs="Arial"/>
                <w:b/>
                <w:bCs/>
                <w:noProof/>
                <w:lang w:eastAsia="en-AU" w:bidi="ar-SA"/>
              </w:rPr>
              <mc:AlternateContent>
                <mc:Choice Requires="wps">
                  <w:drawing>
                    <wp:anchor distT="0" distB="0" distL="114300" distR="114300" simplePos="0" relativeHeight="251660288" behindDoc="0" locked="0" layoutInCell="1" allowOverlap="1" wp14:anchorId="4EB7FB6E" wp14:editId="03359523">
                      <wp:simplePos x="0" y="0"/>
                      <wp:positionH relativeFrom="column">
                        <wp:posOffset>14604</wp:posOffset>
                      </wp:positionH>
                      <wp:positionV relativeFrom="paragraph">
                        <wp:posOffset>205105</wp:posOffset>
                      </wp:positionV>
                      <wp:extent cx="2543175" cy="0"/>
                      <wp:effectExtent l="0" t="0" r="0" b="0"/>
                      <wp:wrapNone/>
                      <wp:docPr id="310301159" name="Straight Connector 3103011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431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C30097" id="Straight Connector 310301159"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5pt,16.15pt" to="201.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" strokecolor="#104f99 [3205]" strokeweight=".5pt">
                      <v:stroke joinstyle="miter"/>
                    </v:line>
                  </w:pict>
                </mc:Fallback>
              </mc:AlternateContent>
            </w:r>
          </w:p>
          <w:p w14:paraId="0AF63AD8" w14:textId="77777777" w:rsidR="00B570F0" w:rsidRPr="00A078F0" w:rsidRDefault="00B570F0" w:rsidP="009E35B8">
            <w:pPr>
              <w:spacing w:after="160"/>
              <w:rPr>
                <w:rFonts w:cs="Arial"/>
              </w:rPr>
            </w:pPr>
            <w:r w:rsidRPr="00A078F0">
              <w:rPr>
                <w:rFonts w:cs="Arial"/>
                <w:b/>
                <w:bCs/>
              </w:rPr>
              <w:t>Overarching Guidelines</w:t>
            </w:r>
            <w:r w:rsidRPr="00A078F0">
              <w:rPr>
                <w:rFonts w:cs="Arial"/>
              </w:rPr>
              <w:t xml:space="preserve"> that articulate the policy intent behind the introduction of funding reform for public hospital services comprising </w:t>
            </w:r>
            <w:r>
              <w:rPr>
                <w:rFonts w:cs="Arial"/>
              </w:rPr>
              <w:t>activity based funding (</w:t>
            </w:r>
            <w:r w:rsidRPr="00A078F0">
              <w:rPr>
                <w:rFonts w:cs="Arial"/>
              </w:rPr>
              <w:t>ABF</w:t>
            </w:r>
            <w:r>
              <w:rPr>
                <w:rFonts w:cs="Arial"/>
              </w:rPr>
              <w:t>)</w:t>
            </w:r>
            <w:r w:rsidRPr="00A078F0">
              <w:rPr>
                <w:rFonts w:cs="Arial"/>
              </w:rPr>
              <w:t xml:space="preserve"> and block grant funding:</w:t>
            </w:r>
          </w:p>
          <w:p w14:paraId="233C1A5B" w14:textId="77777777" w:rsidR="00B570F0" w:rsidRPr="00A078F0" w:rsidRDefault="00B570F0" w:rsidP="009E35B8">
            <w:pPr>
              <w:pStyle w:val="Bullets"/>
              <w:spacing w:before="0" w:after="160" w:line="240" w:lineRule="auto"/>
              <w:ind w:left="257" w:hanging="257"/>
              <w:rPr>
                <w:rFonts w:cs="Arial"/>
              </w:rPr>
            </w:pPr>
            <w:r w:rsidRPr="00A078F0">
              <w:rPr>
                <w:rFonts w:cs="Arial"/>
                <w:b/>
              </w:rPr>
              <w:t>Timely-quality care</w:t>
            </w:r>
            <w:r w:rsidRPr="00E4566C">
              <w:rPr>
                <w:b/>
              </w:rPr>
              <w:t>:</w:t>
            </w:r>
            <w:r w:rsidRPr="00A078F0">
              <w:rPr>
                <w:rFonts w:cs="Arial"/>
              </w:rPr>
              <w:t> Funding should support timely</w:t>
            </w:r>
            <w:r>
              <w:rPr>
                <w:rFonts w:cs="Arial"/>
              </w:rPr>
              <w:t xml:space="preserve"> and equitable</w:t>
            </w:r>
            <w:r w:rsidRPr="00A078F0">
              <w:rPr>
                <w:rFonts w:cs="Arial"/>
              </w:rPr>
              <w:t xml:space="preserve"> access to</w:t>
            </w:r>
            <w:r>
              <w:rPr>
                <w:rFonts w:cs="Arial"/>
              </w:rPr>
              <w:t xml:space="preserve"> high</w:t>
            </w:r>
            <w:r w:rsidRPr="00A078F0">
              <w:rPr>
                <w:rFonts w:cs="Arial"/>
              </w:rPr>
              <w:t xml:space="preserve"> quality health services</w:t>
            </w:r>
            <w:r>
              <w:rPr>
                <w:rFonts w:cs="Arial"/>
              </w:rPr>
              <w:t xml:space="preserve"> and reduce disadvantage for all Australians, especially for Aboriginal and Torres Strait Islander peoples</w:t>
            </w:r>
            <w:r w:rsidRPr="00A078F0">
              <w:rPr>
                <w:rFonts w:cs="Arial"/>
                <w:spacing w:val="2"/>
              </w:rPr>
              <w:t>.</w:t>
            </w:r>
          </w:p>
          <w:p w14:paraId="53CBDD24" w14:textId="77777777" w:rsidR="00B570F0" w:rsidRPr="00A078F0" w:rsidRDefault="00B570F0" w:rsidP="009E35B8">
            <w:pPr>
              <w:pStyle w:val="Bullets"/>
              <w:spacing w:before="0" w:after="160" w:line="240" w:lineRule="auto"/>
              <w:ind w:left="257" w:hanging="257"/>
              <w:rPr>
                <w:rFonts w:cs="Arial"/>
              </w:rPr>
            </w:pPr>
            <w:r w:rsidRPr="00A078F0">
              <w:rPr>
                <w:rFonts w:cs="Arial"/>
                <w:b/>
              </w:rPr>
              <w:t>Efficiency</w:t>
            </w:r>
            <w:r w:rsidRPr="00E4566C">
              <w:rPr>
                <w:b/>
              </w:rPr>
              <w:t>:</w:t>
            </w:r>
            <w:r w:rsidRPr="00A078F0">
              <w:rPr>
                <w:rFonts w:cs="Arial"/>
              </w:rPr>
              <w:t> ABF should improve the value of the public investment in hospital care and ensure a sustainable and efficient network of public hospital services.</w:t>
            </w:r>
          </w:p>
          <w:p w14:paraId="4EEF7DE0" w14:textId="35BBB66E" w:rsidR="00B570F0" w:rsidRPr="00A078F0" w:rsidRDefault="00B570F0" w:rsidP="009E35B8">
            <w:pPr>
              <w:pStyle w:val="Bullets"/>
              <w:spacing w:before="0" w:after="160" w:line="240" w:lineRule="auto"/>
              <w:ind w:left="257" w:hanging="257"/>
              <w:rPr>
                <w:rFonts w:cs="Arial"/>
              </w:rPr>
            </w:pPr>
            <w:r w:rsidRPr="00A078F0">
              <w:rPr>
                <w:rFonts w:cs="Arial"/>
                <w:b/>
              </w:rPr>
              <w:t xml:space="preserve">Fairness: </w:t>
            </w:r>
            <w:r w:rsidRPr="00A078F0">
              <w:rPr>
                <w:rFonts w:cs="Arial"/>
              </w:rPr>
              <w:t>ABF payments should be fair and equitable, including being based on the same price for the same service across public, private</w:t>
            </w:r>
            <w:r w:rsidR="00854D81">
              <w:rPr>
                <w:rFonts w:cs="Arial"/>
              </w:rPr>
              <w:t>,</w:t>
            </w:r>
            <w:r w:rsidRPr="00A078F0">
              <w:rPr>
                <w:rFonts w:cs="Arial"/>
              </w:rPr>
              <w:t xml:space="preserve"> or not-for-profit providers of public hospital services</w:t>
            </w:r>
            <w:r w:rsidR="00854D81">
              <w:rPr>
                <w:rFonts w:cs="Arial"/>
              </w:rPr>
              <w:t xml:space="preserve">, </w:t>
            </w:r>
            <w:r w:rsidRPr="00A078F0">
              <w:rPr>
                <w:rFonts w:cs="Arial"/>
              </w:rPr>
              <w:t>and recognise the legitimate and unavoidable costs faced by some providers of public hospital services.</w:t>
            </w:r>
          </w:p>
          <w:p w14:paraId="54BCE55F" w14:textId="58151F2E" w:rsidR="00B570F0" w:rsidRPr="00A078F0" w:rsidRDefault="00B570F0" w:rsidP="003E1F88">
            <w:pPr>
              <w:pStyle w:val="Bullets"/>
              <w:spacing w:before="0" w:after="120" w:line="240" w:lineRule="auto"/>
              <w:ind w:left="257" w:hanging="257"/>
              <w:rPr>
                <w:rFonts w:cs="Arial"/>
              </w:rPr>
            </w:pPr>
            <w:r w:rsidRPr="00A078F0">
              <w:rPr>
                <w:rFonts w:cs="Arial"/>
                <w:b/>
                <w:spacing w:val="2"/>
              </w:rPr>
              <w:t xml:space="preserve">Maintaining </w:t>
            </w:r>
            <w:r w:rsidRPr="00A078F0">
              <w:rPr>
                <w:rFonts w:cs="Arial"/>
                <w:b/>
              </w:rPr>
              <w:t xml:space="preserve">agreed roles and responsibilities of governments determined by </w:t>
            </w:r>
            <w:r w:rsidRPr="00A078F0">
              <w:rPr>
                <w:rFonts w:cs="Arial"/>
                <w:b/>
                <w:spacing w:val="2"/>
              </w:rPr>
              <w:t xml:space="preserve">the National Health </w:t>
            </w:r>
            <w:r w:rsidRPr="00A078F0">
              <w:rPr>
                <w:rFonts w:cs="Arial"/>
                <w:b/>
              </w:rPr>
              <w:t xml:space="preserve">Reform Agreement: </w:t>
            </w:r>
            <w:r w:rsidRPr="00A078F0">
              <w:rPr>
                <w:rFonts w:cs="Arial"/>
              </w:rPr>
              <w:t>Funding design should recognise the complementary responsibilities of each level of government in funding health services.</w:t>
            </w:r>
          </w:p>
          <w:p w14:paraId="6DB85609" w14:textId="1F7D3E40" w:rsidR="00B570F0" w:rsidRPr="00A078F0" w:rsidRDefault="00B570F0" w:rsidP="0019067A">
            <w:pPr>
              <w:spacing w:after="120"/>
              <w:rPr>
                <w:rFonts w:cs="Arial"/>
              </w:rPr>
            </w:pPr>
            <w:r w:rsidRPr="00A078F0">
              <w:rPr>
                <w:rFonts w:cs="Arial"/>
                <w:bCs/>
                <w:noProof/>
                <w:lang w:eastAsia="en-AU"/>
              </w:rPr>
              <mc:AlternateContent>
                <mc:Choice Requires="wps">
                  <w:drawing>
                    <wp:anchor distT="0" distB="0" distL="114300" distR="114300" simplePos="0" relativeHeight="251659264" behindDoc="0" locked="0" layoutInCell="1" allowOverlap="1" wp14:anchorId="39A721F4" wp14:editId="5BCE56FF">
                      <wp:simplePos x="0" y="0"/>
                      <wp:positionH relativeFrom="column">
                        <wp:posOffset>85725</wp:posOffset>
                      </wp:positionH>
                      <wp:positionV relativeFrom="paragraph">
                        <wp:posOffset>74930</wp:posOffset>
                      </wp:positionV>
                      <wp:extent cx="2543175"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431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975BC7" id="Straight Connector 1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5pt,5.9pt" to="20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" strokecolor="#104f99 [3205]" strokeweight=".5pt">
                      <v:stroke joinstyle="miter"/>
                    </v:line>
                  </w:pict>
                </mc:Fallback>
              </mc:AlternateContent>
            </w:r>
          </w:p>
          <w:p w14:paraId="53C98005" w14:textId="77777777" w:rsidR="00B570F0" w:rsidRPr="00A078F0" w:rsidRDefault="00B570F0" w:rsidP="00E4566C">
            <w:pPr>
              <w:spacing w:after="160"/>
              <w:rPr>
                <w:rFonts w:cs="Arial"/>
              </w:rPr>
            </w:pPr>
            <w:r w:rsidRPr="00A078F0">
              <w:rPr>
                <w:rFonts w:cs="Arial"/>
                <w:b/>
                <w:bCs/>
              </w:rPr>
              <w:t>Process Guidelines</w:t>
            </w:r>
            <w:r w:rsidRPr="00A078F0">
              <w:rPr>
                <w:rFonts w:cs="Arial"/>
              </w:rPr>
              <w:t xml:space="preserve"> to guide the implementation of ABF and block grant funding arrangements:</w:t>
            </w:r>
          </w:p>
          <w:p w14:paraId="74411741" w14:textId="77777777" w:rsidR="00B570F0" w:rsidRPr="00A078F0" w:rsidRDefault="00B570F0" w:rsidP="00E4566C">
            <w:pPr>
              <w:pStyle w:val="Bullets"/>
              <w:spacing w:before="0" w:after="160" w:line="240" w:lineRule="auto"/>
              <w:ind w:left="257" w:hanging="257"/>
              <w:rPr>
                <w:rFonts w:cs="Arial"/>
              </w:rPr>
            </w:pPr>
            <w:r w:rsidRPr="00A078F0">
              <w:rPr>
                <w:rFonts w:cs="Arial"/>
                <w:b/>
              </w:rPr>
              <w:t xml:space="preserve">Transparency: </w:t>
            </w:r>
            <w:r w:rsidRPr="00A078F0">
              <w:rPr>
                <w:rFonts w:cs="Arial"/>
              </w:rPr>
              <w:t>All steps in the determination of ABF and block grant funding should be clear and transparent.</w:t>
            </w:r>
          </w:p>
          <w:p w14:paraId="002617D9" w14:textId="77777777" w:rsidR="00B570F0" w:rsidRPr="00A078F0" w:rsidRDefault="00B570F0" w:rsidP="00E4566C">
            <w:pPr>
              <w:pStyle w:val="Bullets"/>
              <w:spacing w:before="0" w:after="160" w:line="240" w:lineRule="auto"/>
              <w:ind w:left="257" w:hanging="257"/>
              <w:rPr>
                <w:rFonts w:cs="Arial"/>
              </w:rPr>
            </w:pPr>
            <w:r w:rsidRPr="00A078F0">
              <w:rPr>
                <w:rFonts w:cs="Arial"/>
                <w:b/>
                <w:spacing w:val="2"/>
              </w:rPr>
              <w:t xml:space="preserve">Administrative </w:t>
            </w:r>
            <w:r w:rsidRPr="00A078F0">
              <w:rPr>
                <w:rFonts w:cs="Arial"/>
                <w:b/>
              </w:rPr>
              <w:t xml:space="preserve">ease: </w:t>
            </w:r>
            <w:r w:rsidRPr="00A078F0">
              <w:rPr>
                <w:rFonts w:cs="Arial"/>
              </w:rPr>
              <w:t>Funding arrangements should not unduly increase the administrative burden on hospitals and system managers.</w:t>
            </w:r>
          </w:p>
          <w:p w14:paraId="506D7D6E" w14:textId="77777777" w:rsidR="00B570F0" w:rsidRPr="00A078F0" w:rsidRDefault="00B570F0" w:rsidP="00E4566C">
            <w:pPr>
              <w:pStyle w:val="Bullets"/>
              <w:spacing w:before="0" w:after="160" w:line="240" w:lineRule="auto"/>
              <w:ind w:left="257" w:hanging="257"/>
              <w:rPr>
                <w:rFonts w:cs="Arial"/>
              </w:rPr>
            </w:pPr>
            <w:r w:rsidRPr="00A078F0">
              <w:rPr>
                <w:rFonts w:cs="Arial"/>
                <w:b/>
                <w:spacing w:val="2"/>
              </w:rPr>
              <w:t xml:space="preserve">Stability: </w:t>
            </w:r>
            <w:r w:rsidRPr="00A078F0">
              <w:rPr>
                <w:rFonts w:cs="Arial"/>
              </w:rPr>
              <w:t>The payment relativities for ABF are consistent over time.</w:t>
            </w:r>
          </w:p>
          <w:p w14:paraId="0C3ECF38" w14:textId="47CF2CC3" w:rsidR="00B570F0" w:rsidRPr="003156FF" w:rsidRDefault="00B570F0" w:rsidP="00E4566C">
            <w:pPr>
              <w:pStyle w:val="Bullets"/>
              <w:spacing w:before="0" w:after="160" w:line="240" w:lineRule="auto"/>
              <w:ind w:left="257" w:hanging="257"/>
            </w:pPr>
            <w:r w:rsidRPr="00A078F0">
              <w:rPr>
                <w:rFonts w:cs="Arial"/>
                <w:b/>
                <w:spacing w:val="2"/>
              </w:rPr>
              <w:t xml:space="preserve">Evidence-based: </w:t>
            </w:r>
            <w:r w:rsidRPr="00A078F0">
              <w:rPr>
                <w:rFonts w:cs="Arial"/>
              </w:rPr>
              <w:t>Funding should be based on the best available information, that is both nationally applicable and consistently reported.</w:t>
            </w:r>
          </w:p>
        </w:tc>
        <w:tc>
          <w:tcPr>
            <w:tcW w:w="2500" w:type="pct"/>
          </w:tcPr>
          <w:p w14:paraId="60A0401A" w14:textId="681E4706" w:rsidR="00B570F0" w:rsidRPr="00A078F0" w:rsidRDefault="00B570F0" w:rsidP="0019067A">
            <w:pPr>
              <w:pStyle w:val="BodyText"/>
              <w:keepLines/>
              <w:spacing w:after="120"/>
              <w:ind w:right="106"/>
              <w:rPr>
                <w:rFonts w:ascii="Arial" w:hAnsi="Arial" w:cs="Arial"/>
                <w:b/>
              </w:rPr>
            </w:pPr>
            <w:r w:rsidRPr="00A078F0">
              <w:rPr>
                <w:rFonts w:ascii="Arial" w:hAnsi="Arial" w:cs="Arial"/>
                <w:b/>
                <w:bCs/>
                <w:noProof/>
                <w:lang w:eastAsia="en-AU" w:bidi="ar-SA"/>
              </w:rPr>
              <mc:AlternateContent>
                <mc:Choice Requires="wps">
                  <w:drawing>
                    <wp:anchor distT="0" distB="0" distL="114300" distR="114300" simplePos="0" relativeHeight="251661312" behindDoc="0" locked="0" layoutInCell="1" allowOverlap="1" wp14:anchorId="15EC5ED0" wp14:editId="27FE13CD">
                      <wp:simplePos x="0" y="0"/>
                      <wp:positionH relativeFrom="column">
                        <wp:posOffset>-1270</wp:posOffset>
                      </wp:positionH>
                      <wp:positionV relativeFrom="paragraph">
                        <wp:posOffset>204470</wp:posOffset>
                      </wp:positionV>
                      <wp:extent cx="2543175"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431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DAF7FE" id="Straight Connector 35"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16.1pt" to="200.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" strokecolor="#104f99 [3205]" strokeweight=".5pt">
                      <v:stroke joinstyle="miter"/>
                    </v:line>
                  </w:pict>
                </mc:Fallback>
              </mc:AlternateContent>
            </w:r>
          </w:p>
          <w:p w14:paraId="7EC81E73" w14:textId="77777777" w:rsidR="00B570F0" w:rsidRPr="00A078F0" w:rsidRDefault="00B570F0" w:rsidP="00E4566C">
            <w:pPr>
              <w:spacing w:after="160"/>
              <w:rPr>
                <w:rFonts w:cs="Arial"/>
              </w:rPr>
            </w:pPr>
            <w:r w:rsidRPr="00A078F0">
              <w:rPr>
                <w:rFonts w:cs="Arial"/>
                <w:b/>
              </w:rPr>
              <w:t xml:space="preserve">System Design Guidelines </w:t>
            </w:r>
            <w:r w:rsidRPr="00A078F0">
              <w:rPr>
                <w:rFonts w:cs="Arial"/>
              </w:rPr>
              <w:t>to inform the options for design of ABF and block grant funding arrangements:</w:t>
            </w:r>
          </w:p>
          <w:p w14:paraId="5E452F64" w14:textId="77777777" w:rsidR="00B570F0" w:rsidRPr="00A078F0" w:rsidRDefault="00B570F0" w:rsidP="00E4566C">
            <w:pPr>
              <w:pStyle w:val="Bullets"/>
              <w:spacing w:before="0" w:after="160" w:line="240" w:lineRule="auto"/>
              <w:ind w:left="285" w:hanging="284"/>
              <w:rPr>
                <w:rFonts w:cs="Arial"/>
              </w:rPr>
            </w:pPr>
            <w:r w:rsidRPr="00A078F0">
              <w:rPr>
                <w:rFonts w:cs="Arial"/>
                <w:b/>
                <w:bCs/>
              </w:rPr>
              <w:t>Fostering clinical innovation:</w:t>
            </w:r>
            <w:r w:rsidRPr="00A078F0">
              <w:rPr>
                <w:rFonts w:cs="Arial"/>
              </w:rPr>
              <w:t xml:space="preserve"> Pricing of public hospital services should respond in a timely way to the introduction of evidence-based, effective new technology and innovations in the models of care that improve patient outcomes.</w:t>
            </w:r>
          </w:p>
          <w:p w14:paraId="1F37F4DC" w14:textId="77777777" w:rsidR="00B570F0" w:rsidRPr="00A078F0" w:rsidRDefault="00B570F0" w:rsidP="00E4566C">
            <w:pPr>
              <w:pStyle w:val="Bullets"/>
              <w:spacing w:before="0" w:after="160" w:line="240" w:lineRule="auto"/>
              <w:ind w:left="285" w:hanging="284"/>
              <w:rPr>
                <w:rFonts w:cs="Arial"/>
              </w:rPr>
            </w:pPr>
            <w:r w:rsidRPr="00A078F0">
              <w:rPr>
                <w:rFonts w:cs="Arial"/>
                <w:b/>
              </w:rPr>
              <w:t>Promoting value</w:t>
            </w:r>
            <w:r w:rsidRPr="00767C53">
              <w:rPr>
                <w:b/>
                <w:bCs/>
              </w:rPr>
              <w:t>:</w:t>
            </w:r>
            <w:r w:rsidRPr="00A078F0">
              <w:rPr>
                <w:rFonts w:cs="Arial"/>
              </w:rPr>
              <w:t> Pricing supports innovative and alternative funding solutions that deliver efficient, high quality, patient</w:t>
            </w:r>
            <w:r w:rsidRPr="00A078F0">
              <w:rPr>
                <w:rFonts w:cs="Arial"/>
              </w:rPr>
              <w:noBreakHyphen/>
              <w:t>centred care.</w:t>
            </w:r>
          </w:p>
          <w:p w14:paraId="40B9541E" w14:textId="2CC95286" w:rsidR="00B570F0" w:rsidRPr="00A078F0" w:rsidRDefault="00B570F0" w:rsidP="00E4566C">
            <w:pPr>
              <w:pStyle w:val="Bullets"/>
              <w:spacing w:before="0" w:after="160" w:line="240" w:lineRule="auto"/>
              <w:ind w:left="285" w:hanging="284"/>
              <w:rPr>
                <w:rFonts w:cs="Arial"/>
              </w:rPr>
            </w:pPr>
            <w:r w:rsidRPr="00A078F0">
              <w:rPr>
                <w:rFonts w:cs="Arial"/>
                <w:b/>
              </w:rPr>
              <w:t xml:space="preserve">Promoting </w:t>
            </w:r>
            <w:r w:rsidRPr="00A078F0">
              <w:rPr>
                <w:rFonts w:cs="Arial"/>
                <w:b/>
                <w:spacing w:val="2"/>
              </w:rPr>
              <w:t xml:space="preserve">harmonisation: </w:t>
            </w:r>
            <w:r w:rsidR="0075518A" w:rsidRPr="0075518A">
              <w:rPr>
                <w:rFonts w:cs="Arial"/>
              </w:rPr>
              <w:t>Pricing should facilitate best practice provision of equivalent care across appropriate settings, sites and modalities</w:t>
            </w:r>
            <w:r w:rsidRPr="00A078F0">
              <w:rPr>
                <w:rFonts w:cs="Arial"/>
              </w:rPr>
              <w:t>.</w:t>
            </w:r>
          </w:p>
          <w:p w14:paraId="20DCE595" w14:textId="77777777" w:rsidR="00B570F0" w:rsidRPr="00A078F0" w:rsidRDefault="00B570F0" w:rsidP="00E4566C">
            <w:pPr>
              <w:pStyle w:val="Bullets"/>
              <w:spacing w:before="0" w:after="160" w:line="240" w:lineRule="auto"/>
              <w:ind w:left="285" w:hanging="284"/>
              <w:rPr>
                <w:rFonts w:cs="Arial"/>
              </w:rPr>
            </w:pPr>
            <w:r w:rsidRPr="00A078F0">
              <w:rPr>
                <w:rFonts w:cs="Arial"/>
                <w:b/>
                <w:spacing w:val="2"/>
              </w:rPr>
              <w:t xml:space="preserve">Minimising undesirable </w:t>
            </w:r>
            <w:r w:rsidRPr="00A078F0">
              <w:rPr>
                <w:rFonts w:cs="Arial"/>
                <w:b/>
              </w:rPr>
              <w:t xml:space="preserve">and </w:t>
            </w:r>
            <w:r w:rsidRPr="00A078F0">
              <w:rPr>
                <w:rFonts w:cs="Arial"/>
                <w:b/>
                <w:spacing w:val="2"/>
              </w:rPr>
              <w:t xml:space="preserve">inadvertent </w:t>
            </w:r>
            <w:r w:rsidRPr="00A078F0">
              <w:rPr>
                <w:rFonts w:cs="Arial"/>
                <w:b/>
              </w:rPr>
              <w:t xml:space="preserve">consequences: </w:t>
            </w:r>
            <w:r w:rsidRPr="00A078F0">
              <w:rPr>
                <w:rFonts w:cs="Arial"/>
              </w:rPr>
              <w:t>Funding design should minimise susceptibility to gaming, inappropriate rewards and perverse incentives.</w:t>
            </w:r>
          </w:p>
          <w:p w14:paraId="55604112" w14:textId="77777777" w:rsidR="00B570F0" w:rsidRPr="00A078F0" w:rsidRDefault="00B570F0" w:rsidP="00E4566C">
            <w:pPr>
              <w:pStyle w:val="Bullets"/>
              <w:spacing w:before="0" w:after="160" w:line="240" w:lineRule="auto"/>
              <w:ind w:left="285" w:hanging="284"/>
              <w:rPr>
                <w:rFonts w:cs="Arial"/>
              </w:rPr>
            </w:pPr>
            <w:r w:rsidRPr="00A078F0">
              <w:rPr>
                <w:rFonts w:cs="Arial"/>
                <w:b/>
              </w:rPr>
              <w:t>Using ABF where practicable and appropriate</w:t>
            </w:r>
            <w:r w:rsidRPr="00A078F0">
              <w:rPr>
                <w:rFonts w:cs="Arial"/>
                <w:b/>
                <w:spacing w:val="2"/>
              </w:rPr>
              <w:t xml:space="preserve">: </w:t>
            </w:r>
            <w:r w:rsidRPr="00A078F0">
              <w:rPr>
                <w:rFonts w:cs="Arial"/>
              </w:rPr>
              <w:t>ABF should be used for funding public hospital services wherever practicable and compatible with delivering value in both outcomes and cost.</w:t>
            </w:r>
          </w:p>
          <w:p w14:paraId="68AD355D" w14:textId="77777777" w:rsidR="00B570F0" w:rsidRPr="00A078F0" w:rsidRDefault="00B570F0" w:rsidP="00E4566C">
            <w:pPr>
              <w:pStyle w:val="Bullets"/>
              <w:spacing w:before="0" w:after="160" w:line="240" w:lineRule="auto"/>
              <w:ind w:left="285" w:hanging="284"/>
              <w:rPr>
                <w:rFonts w:cs="Arial"/>
              </w:rPr>
            </w:pPr>
            <w:r w:rsidRPr="00A078F0">
              <w:rPr>
                <w:rFonts w:cs="Arial"/>
                <w:b/>
              </w:rPr>
              <w:t>Single unit of measure and price equivalence</w:t>
            </w:r>
            <w:r w:rsidRPr="00E4566C">
              <w:rPr>
                <w:b/>
              </w:rPr>
              <w:t>:</w:t>
            </w:r>
            <w:r w:rsidRPr="00A078F0">
              <w:rPr>
                <w:rFonts w:cs="Arial"/>
              </w:rPr>
              <w:t> ABF pricing should support dynamic efficiency and changes to models of care with the ready transferability of funding between different care types and service streams through a single unit of measure and relative weights.</w:t>
            </w:r>
          </w:p>
          <w:p w14:paraId="57E52B38" w14:textId="77777777" w:rsidR="00B570F0" w:rsidRPr="00A078F0" w:rsidRDefault="00B570F0" w:rsidP="00E4566C">
            <w:pPr>
              <w:pStyle w:val="Bullets"/>
              <w:spacing w:before="0" w:after="160" w:line="240" w:lineRule="auto"/>
              <w:ind w:left="285" w:hanging="284"/>
              <w:rPr>
                <w:rFonts w:cs="Arial"/>
                <w:szCs w:val="19"/>
              </w:rPr>
            </w:pPr>
            <w:r w:rsidRPr="00A078F0">
              <w:rPr>
                <w:rFonts w:cs="Arial"/>
                <w:b/>
              </w:rPr>
              <w:t>Patient-based</w:t>
            </w:r>
            <w:r w:rsidRPr="00E4566C">
              <w:rPr>
                <w:b/>
              </w:rPr>
              <w:t>:</w:t>
            </w:r>
            <w:r w:rsidRPr="00A078F0">
              <w:rPr>
                <w:rFonts w:cs="Arial"/>
              </w:rPr>
              <w:t> Adjustments to the standard price should be based on patient-related rather than provider-related characteristics wherever practicable.</w:t>
            </w:r>
          </w:p>
          <w:p w14:paraId="0DB7D58B" w14:textId="5E6D7361" w:rsidR="00B570F0" w:rsidRPr="00A078F0" w:rsidRDefault="00B570F0" w:rsidP="00E4566C">
            <w:pPr>
              <w:pStyle w:val="Bullets"/>
              <w:spacing w:before="0" w:after="160" w:line="240" w:lineRule="auto"/>
              <w:ind w:left="285" w:hanging="284"/>
              <w:rPr>
                <w:rFonts w:cs="Arial"/>
              </w:rPr>
            </w:pPr>
            <w:r w:rsidRPr="00A078F0">
              <w:rPr>
                <w:rFonts w:cs="Arial"/>
                <w:b/>
              </w:rPr>
              <w:t>Public-private neutrality</w:t>
            </w:r>
            <w:r w:rsidRPr="00E4566C">
              <w:rPr>
                <w:b/>
              </w:rPr>
              <w:t>:</w:t>
            </w:r>
            <w:r w:rsidRPr="00A078F0">
              <w:rPr>
                <w:rFonts w:cs="Arial"/>
              </w:rPr>
              <w:t xml:space="preserve"> ABF pricing should ensure that payments a local hospital network (LHN) receives for a public patient should be equal to payments made for a LHN service for a private patient.</w:t>
            </w:r>
          </w:p>
        </w:tc>
      </w:tr>
    </w:tbl>
    <w:p w14:paraId="61618241" w14:textId="77777777" w:rsidR="00B570F0" w:rsidRDefault="00B570F0" w:rsidP="00B570F0"/>
    <w:p w14:paraId="3DB63BC5" w14:textId="77777777" w:rsidR="00416618" w:rsidRDefault="00416618" w:rsidP="00B570F0"/>
    <w:p w14:paraId="57CD9520" w14:textId="77777777" w:rsidR="00823A1D" w:rsidRDefault="00823A1D" w:rsidP="00823A1D">
      <w:pPr>
        <w:rPr>
          <w:sz w:val="16"/>
          <w:szCs w:val="15"/>
        </w:rPr>
        <w:sectPr w:rsidR="00823A1D" w:rsidSect="00D13E77">
          <w:headerReference w:type="default" r:id="rId38"/>
          <w:footerReference w:type="default" r:id="rId39"/>
          <w:headerReference w:type="first" r:id="rId40"/>
          <w:pgSz w:w="11906" w:h="16838" w:code="9"/>
          <w:pgMar w:top="1440" w:right="1080" w:bottom="1440" w:left="1080" w:header="708" w:footer="708" w:gutter="0"/>
          <w:cols w:space="720"/>
          <w:titlePg/>
          <w:docGrid w:linePitch="360"/>
        </w:sectPr>
      </w:pPr>
    </w:p>
    <w:p w14:paraId="04DEDEAB" w14:textId="6F0D2055" w:rsidR="00823A1D" w:rsidRPr="00543078" w:rsidRDefault="00DD1D1B" w:rsidP="00823A1D">
      <w:pPr>
        <w:pStyle w:val="ChapterNumber"/>
      </w:pPr>
      <w:r>
        <w:lastRenderedPageBreak/>
        <w:t>3</w:t>
      </w:r>
    </w:p>
    <w:p w14:paraId="75110B21" w14:textId="458674A7" w:rsidR="00823A1D" w:rsidRPr="00543078" w:rsidRDefault="009836B6" w:rsidP="00823A1D">
      <w:pPr>
        <w:pStyle w:val="Heading1"/>
      </w:pPr>
      <w:bookmarkStart w:id="12" w:name="_Toc206096198"/>
      <w:bookmarkStart w:id="13" w:name="_Toc214971803"/>
      <w:r>
        <w:t>Classifications used to describe and price public hospital services</w:t>
      </w:r>
      <w:bookmarkEnd w:id="12"/>
      <w:bookmarkEnd w:id="13"/>
      <w:r>
        <w:t xml:space="preserve"> </w:t>
      </w:r>
    </w:p>
    <w:p w14:paraId="29E4D5FE" w14:textId="77777777" w:rsidR="00823A1D" w:rsidRDefault="00823A1D" w:rsidP="00823A1D">
      <w:pPr>
        <w:rPr>
          <w:sz w:val="16"/>
          <w:szCs w:val="15"/>
        </w:rPr>
      </w:pPr>
    </w:p>
    <w:p w14:paraId="4AF2456B" w14:textId="77777777" w:rsidR="00823A1D" w:rsidRDefault="00823A1D" w:rsidP="00823A1D">
      <w:pPr>
        <w:rPr>
          <w:sz w:val="16"/>
          <w:szCs w:val="15"/>
        </w:rPr>
      </w:pPr>
    </w:p>
    <w:p w14:paraId="4B5DF309" w14:textId="77777777" w:rsidR="00823A1D" w:rsidRDefault="00823A1D" w:rsidP="00823A1D">
      <w:pPr>
        <w:sectPr w:rsidR="00823A1D" w:rsidSect="00823A1D">
          <w:headerReference w:type="default" r:id="rId41"/>
          <w:footerReference w:type="default" r:id="rId42"/>
          <w:pgSz w:w="11906" w:h="16838" w:code="9"/>
          <w:pgMar w:top="567" w:right="1440" w:bottom="1440" w:left="1440" w:header="709" w:footer="709" w:gutter="0"/>
          <w:cols w:space="720"/>
          <w:docGrid w:linePitch="360"/>
        </w:sectPr>
      </w:pPr>
    </w:p>
    <w:p w14:paraId="0A9F4976" w14:textId="77777777" w:rsidR="004F1B76" w:rsidRDefault="004F1B76" w:rsidP="00E22758">
      <w:pPr>
        <w:spacing w:before="180"/>
        <w:rPr>
          <w:sz w:val="20"/>
          <w:szCs w:val="20"/>
        </w:rPr>
      </w:pPr>
    </w:p>
    <w:p w14:paraId="70485740" w14:textId="77777777" w:rsidR="00DA5713" w:rsidRDefault="00DA5713" w:rsidP="003E1F88">
      <w:pPr>
        <w:pStyle w:val="Heading2"/>
      </w:pPr>
      <w:r>
        <w:t xml:space="preserve">3.1 Overview </w:t>
      </w:r>
    </w:p>
    <w:p w14:paraId="12EC448F" w14:textId="20F7790C" w:rsidR="00E22758" w:rsidRPr="00E22758" w:rsidRDefault="00E22758" w:rsidP="003E1F88">
      <w:pPr>
        <w:spacing w:before="180"/>
        <w:rPr>
          <w:sz w:val="20"/>
          <w:szCs w:val="20"/>
        </w:rPr>
      </w:pPr>
      <w:r w:rsidRPr="00E22758">
        <w:rPr>
          <w:sz w:val="20"/>
          <w:szCs w:val="20"/>
        </w:rPr>
        <w:t xml:space="preserve">Classifications aim to facilitate a nationally consistent method of classifying patients, their treatments and associated costs to provide better management and funding of high quality and efficient health care services. </w:t>
      </w:r>
    </w:p>
    <w:p w14:paraId="0D0EF041" w14:textId="37246970" w:rsidR="00E22758" w:rsidRDefault="00E22758" w:rsidP="00E22758">
      <w:pPr>
        <w:rPr>
          <w:sz w:val="20"/>
          <w:szCs w:val="20"/>
        </w:rPr>
      </w:pPr>
      <w:r w:rsidRPr="00E22758">
        <w:rPr>
          <w:sz w:val="20"/>
          <w:szCs w:val="20"/>
        </w:rPr>
        <w:t>Effective classifications ensure that hospital data is grouped into appropriate classes, which contributes to the determination of a national efficient price (NEP) for public hospital services and allows</w:t>
      </w:r>
      <w:r w:rsidR="00DC32F9">
        <w:rPr>
          <w:sz w:val="20"/>
          <w:szCs w:val="20"/>
        </w:rPr>
        <w:t xml:space="preserve"> Australian governments </w:t>
      </w:r>
      <w:r w:rsidRPr="00E22758">
        <w:rPr>
          <w:sz w:val="20"/>
          <w:szCs w:val="20"/>
        </w:rPr>
        <w:t xml:space="preserve">to provide funding to public hospitals based on the activity based funding (ABF) mechanism. </w:t>
      </w:r>
    </w:p>
    <w:p w14:paraId="4D5F2734" w14:textId="1EC589DD" w:rsidR="00E27446" w:rsidRPr="00E22758" w:rsidRDefault="00E27446" w:rsidP="00E22758">
      <w:pPr>
        <w:rPr>
          <w:sz w:val="20"/>
          <w:szCs w:val="20"/>
        </w:rPr>
      </w:pPr>
      <w:r>
        <w:rPr>
          <w:sz w:val="20"/>
          <w:szCs w:val="20"/>
        </w:rPr>
        <w:t xml:space="preserve">Classifications are also used for </w:t>
      </w:r>
      <w:r w:rsidR="00C13A18">
        <w:rPr>
          <w:sz w:val="20"/>
          <w:szCs w:val="20"/>
        </w:rPr>
        <w:t>purposes other than</w:t>
      </w:r>
      <w:r w:rsidR="00976285">
        <w:rPr>
          <w:sz w:val="20"/>
          <w:szCs w:val="20"/>
        </w:rPr>
        <w:t xml:space="preserve"> ABF including health service planning, benchmarking, epidemiology and research, funding agreements between private hospitals and insurers and monitoring the quality of healthcare and patient safety. </w:t>
      </w:r>
    </w:p>
    <w:p w14:paraId="112399F9" w14:textId="4E7792FB" w:rsidR="00E22758" w:rsidRDefault="00D07683" w:rsidP="00E22758">
      <w:pPr>
        <w:rPr>
          <w:sz w:val="20"/>
          <w:szCs w:val="20"/>
        </w:rPr>
      </w:pPr>
      <w:r>
        <w:rPr>
          <w:sz w:val="20"/>
          <w:szCs w:val="20"/>
        </w:rPr>
        <w:t xml:space="preserve">Under the </w:t>
      </w:r>
      <w:r w:rsidR="00AF0AE9" w:rsidRPr="00275972">
        <w:rPr>
          <w:i/>
          <w:iCs/>
          <w:sz w:val="20"/>
          <w:szCs w:val="20"/>
        </w:rPr>
        <w:t>National Health Reform Act 2011</w:t>
      </w:r>
      <w:r>
        <w:rPr>
          <w:sz w:val="20"/>
          <w:szCs w:val="20"/>
        </w:rPr>
        <w:t xml:space="preserve"> </w:t>
      </w:r>
      <w:r w:rsidR="00FF464F" w:rsidRPr="00491A46">
        <w:rPr>
          <w:sz w:val="20"/>
          <w:szCs w:val="20"/>
        </w:rPr>
        <w:t>and</w:t>
      </w:r>
      <w:r w:rsidR="00FF464F" w:rsidRPr="00951FCD">
        <w:rPr>
          <w:sz w:val="20"/>
          <w:szCs w:val="20"/>
        </w:rPr>
        <w:t xml:space="preserve"> the Addendum to the National Health Reform Agreement</w:t>
      </w:r>
      <w:r w:rsidR="00FF464F">
        <w:rPr>
          <w:sz w:val="20"/>
          <w:szCs w:val="20"/>
        </w:rPr>
        <w:t xml:space="preserve"> (NHRA)</w:t>
      </w:r>
      <w:r w:rsidR="00FF464F" w:rsidRPr="00951FCD">
        <w:rPr>
          <w:sz w:val="20"/>
          <w:szCs w:val="20"/>
        </w:rPr>
        <w:t xml:space="preserve"> 2020–2</w:t>
      </w:r>
      <w:r w:rsidR="00FF464F">
        <w:rPr>
          <w:sz w:val="20"/>
          <w:szCs w:val="20"/>
        </w:rPr>
        <w:t>6</w:t>
      </w:r>
      <w:r w:rsidR="00F332E5">
        <w:rPr>
          <w:sz w:val="20"/>
          <w:szCs w:val="20"/>
        </w:rPr>
        <w:t>,</w:t>
      </w:r>
      <w:r w:rsidR="00FF464F">
        <w:rPr>
          <w:sz w:val="20"/>
          <w:szCs w:val="20"/>
        </w:rPr>
        <w:t xml:space="preserve"> </w:t>
      </w:r>
      <w:r>
        <w:rPr>
          <w:sz w:val="20"/>
          <w:szCs w:val="20"/>
        </w:rPr>
        <w:t>t</w:t>
      </w:r>
      <w:r w:rsidRPr="00E22758">
        <w:rPr>
          <w:sz w:val="20"/>
          <w:szCs w:val="20"/>
        </w:rPr>
        <w:t>he</w:t>
      </w:r>
      <w:r w:rsidR="00E22758" w:rsidRPr="00E22758">
        <w:rPr>
          <w:sz w:val="20"/>
          <w:szCs w:val="20"/>
        </w:rPr>
        <w:t xml:space="preserve"> Independent Health and Aged Care Pricing Authority (IHACPA) is responsible for reviewing and updating existing classifications, as well as introducing new classifications. </w:t>
      </w:r>
    </w:p>
    <w:p w14:paraId="327B6399" w14:textId="32C48A67" w:rsidR="00B519D0" w:rsidRDefault="009E0BB0" w:rsidP="00E22758">
      <w:pPr>
        <w:rPr>
          <w:sz w:val="20"/>
          <w:szCs w:val="20"/>
        </w:rPr>
      </w:pPr>
      <w:r w:rsidRPr="009E0BB0">
        <w:rPr>
          <w:sz w:val="20"/>
          <w:szCs w:val="20"/>
        </w:rPr>
        <w:t xml:space="preserve">There are currently 6 public hospital service categories in Australia </w:t>
      </w:r>
      <w:r w:rsidR="00467468">
        <w:rPr>
          <w:sz w:val="20"/>
          <w:szCs w:val="20"/>
        </w:rPr>
        <w:t>that</w:t>
      </w:r>
      <w:r w:rsidRPr="009E0BB0">
        <w:rPr>
          <w:sz w:val="20"/>
          <w:szCs w:val="20"/>
        </w:rPr>
        <w:t xml:space="preserve"> have classifications in use or in development: </w:t>
      </w:r>
    </w:p>
    <w:p w14:paraId="64EC81E8" w14:textId="53560667" w:rsidR="009E0BB0" w:rsidRDefault="009E0BB0" w:rsidP="00C876F9">
      <w:pPr>
        <w:pStyle w:val="ListParagraph"/>
        <w:numPr>
          <w:ilvl w:val="0"/>
          <w:numId w:val="4"/>
        </w:numPr>
        <w:rPr>
          <w:sz w:val="20"/>
          <w:szCs w:val="20"/>
        </w:rPr>
      </w:pPr>
      <w:r>
        <w:rPr>
          <w:sz w:val="20"/>
          <w:szCs w:val="20"/>
        </w:rPr>
        <w:t>admitted acute care</w:t>
      </w:r>
    </w:p>
    <w:p w14:paraId="145F574E" w14:textId="7278826E" w:rsidR="009E0BB0" w:rsidRDefault="009E0BB0" w:rsidP="00C876F9">
      <w:pPr>
        <w:pStyle w:val="ListParagraph"/>
        <w:numPr>
          <w:ilvl w:val="0"/>
          <w:numId w:val="4"/>
        </w:numPr>
        <w:rPr>
          <w:sz w:val="20"/>
          <w:szCs w:val="20"/>
        </w:rPr>
      </w:pPr>
      <w:r>
        <w:rPr>
          <w:sz w:val="20"/>
          <w:szCs w:val="20"/>
        </w:rPr>
        <w:t>subacute and non-acute care</w:t>
      </w:r>
    </w:p>
    <w:p w14:paraId="28344430" w14:textId="0F14D449" w:rsidR="009E0BB0" w:rsidRDefault="009E0BB0" w:rsidP="00C876F9">
      <w:pPr>
        <w:pStyle w:val="ListParagraph"/>
        <w:numPr>
          <w:ilvl w:val="0"/>
          <w:numId w:val="4"/>
        </w:numPr>
        <w:rPr>
          <w:sz w:val="20"/>
          <w:szCs w:val="20"/>
        </w:rPr>
      </w:pPr>
      <w:r>
        <w:rPr>
          <w:sz w:val="20"/>
          <w:szCs w:val="20"/>
        </w:rPr>
        <w:t>emergency care</w:t>
      </w:r>
    </w:p>
    <w:p w14:paraId="5C23ED6A" w14:textId="2E6D7930" w:rsidR="009E0BB0" w:rsidRDefault="009E0BB0" w:rsidP="00C876F9">
      <w:pPr>
        <w:pStyle w:val="ListParagraph"/>
        <w:numPr>
          <w:ilvl w:val="0"/>
          <w:numId w:val="4"/>
        </w:numPr>
        <w:rPr>
          <w:sz w:val="20"/>
          <w:szCs w:val="20"/>
        </w:rPr>
      </w:pPr>
      <w:r>
        <w:rPr>
          <w:sz w:val="20"/>
          <w:szCs w:val="20"/>
        </w:rPr>
        <w:t>non-admitted care</w:t>
      </w:r>
    </w:p>
    <w:p w14:paraId="739EAB43" w14:textId="2B9185B2" w:rsidR="009E0BB0" w:rsidRDefault="009E0BB0" w:rsidP="00C876F9">
      <w:pPr>
        <w:pStyle w:val="ListParagraph"/>
        <w:numPr>
          <w:ilvl w:val="0"/>
          <w:numId w:val="4"/>
        </w:numPr>
        <w:rPr>
          <w:sz w:val="20"/>
          <w:szCs w:val="20"/>
        </w:rPr>
      </w:pPr>
      <w:r>
        <w:rPr>
          <w:sz w:val="20"/>
          <w:szCs w:val="20"/>
        </w:rPr>
        <w:t>mental health care</w:t>
      </w:r>
    </w:p>
    <w:p w14:paraId="18A26E5F" w14:textId="2F7E297D" w:rsidR="004C3A4A" w:rsidRPr="008872B3" w:rsidRDefault="009E0BB0" w:rsidP="00C876F9">
      <w:pPr>
        <w:pStyle w:val="ListParagraph"/>
        <w:numPr>
          <w:ilvl w:val="0"/>
          <w:numId w:val="4"/>
        </w:numPr>
        <w:rPr>
          <w:sz w:val="20"/>
          <w:szCs w:val="20"/>
        </w:rPr>
      </w:pPr>
      <w:r>
        <w:rPr>
          <w:sz w:val="20"/>
          <w:szCs w:val="20"/>
        </w:rPr>
        <w:t>teaching and training.</w:t>
      </w:r>
    </w:p>
    <w:p w14:paraId="355275F4" w14:textId="228BCA4D" w:rsidR="001959D6" w:rsidRDefault="001959D6" w:rsidP="001959D6">
      <w:pPr>
        <w:pStyle w:val="Heading2"/>
      </w:pPr>
      <w:r>
        <w:t>3.</w:t>
      </w:r>
      <w:r w:rsidR="00DA5713">
        <w:t>2</w:t>
      </w:r>
      <w:r>
        <w:t xml:space="preserve"> </w:t>
      </w:r>
      <w:r w:rsidR="00055E75">
        <w:t>Admitted acute care</w:t>
      </w:r>
    </w:p>
    <w:p w14:paraId="1EE4CBD1" w14:textId="5303D438" w:rsidR="001959D6" w:rsidRDefault="00957E9C" w:rsidP="00823A1D">
      <w:pPr>
        <w:rPr>
          <w:sz w:val="20"/>
          <w:szCs w:val="20"/>
        </w:rPr>
      </w:pPr>
      <w:r w:rsidRPr="00957E9C">
        <w:rPr>
          <w:sz w:val="20"/>
          <w:szCs w:val="20"/>
        </w:rPr>
        <w:t>The Australian Refined Diagnosis Related Group</w:t>
      </w:r>
      <w:r w:rsidR="005D4036">
        <w:rPr>
          <w:sz w:val="20"/>
          <w:szCs w:val="20"/>
        </w:rPr>
        <w:t>s</w:t>
      </w:r>
      <w:r w:rsidRPr="00957E9C">
        <w:rPr>
          <w:sz w:val="20"/>
          <w:szCs w:val="20"/>
        </w:rPr>
        <w:t xml:space="preserve"> (AR-DRG) classification is used to price admitted acute patient services. AR-DRGs are underpinned by a set of classifications and standards used to collect activity data for admitted care, which include the:</w:t>
      </w:r>
    </w:p>
    <w:p w14:paraId="2CA5ECDA" w14:textId="483915F5" w:rsidR="00423E87" w:rsidRPr="00262F5B" w:rsidRDefault="00423E87" w:rsidP="00C876F9">
      <w:pPr>
        <w:pStyle w:val="ListParagraph"/>
        <w:numPr>
          <w:ilvl w:val="0"/>
          <w:numId w:val="5"/>
        </w:numPr>
        <w:rPr>
          <w:sz w:val="20"/>
          <w:szCs w:val="20"/>
        </w:rPr>
      </w:pPr>
      <w:r w:rsidRPr="00262F5B">
        <w:rPr>
          <w:sz w:val="20"/>
          <w:szCs w:val="20"/>
        </w:rPr>
        <w:t xml:space="preserve">International Statistical Classification of Diseases and Related Health Problems, Tenth Revision, Australian Modification (ICD-10-AM) </w:t>
      </w:r>
    </w:p>
    <w:p w14:paraId="3DA391C3" w14:textId="6FDDE012" w:rsidR="001959D6" w:rsidRPr="00262F5B" w:rsidRDefault="00423E87" w:rsidP="00C876F9">
      <w:pPr>
        <w:pStyle w:val="ListParagraph"/>
        <w:numPr>
          <w:ilvl w:val="0"/>
          <w:numId w:val="5"/>
        </w:numPr>
        <w:rPr>
          <w:sz w:val="20"/>
          <w:szCs w:val="20"/>
        </w:rPr>
      </w:pPr>
      <w:r w:rsidRPr="00262F5B">
        <w:rPr>
          <w:sz w:val="20"/>
          <w:szCs w:val="20"/>
        </w:rPr>
        <w:t>Australian Classification of Health Interventions (ACHI); and</w:t>
      </w:r>
    </w:p>
    <w:p w14:paraId="0716416E" w14:textId="4265F06F" w:rsidR="00262F5B" w:rsidRPr="00262F5B" w:rsidRDefault="00262F5B" w:rsidP="00C876F9">
      <w:pPr>
        <w:pStyle w:val="ListParagraph"/>
        <w:numPr>
          <w:ilvl w:val="0"/>
          <w:numId w:val="5"/>
        </w:numPr>
        <w:rPr>
          <w:sz w:val="20"/>
          <w:szCs w:val="20"/>
        </w:rPr>
      </w:pPr>
      <w:r w:rsidRPr="00262F5B">
        <w:rPr>
          <w:sz w:val="20"/>
          <w:szCs w:val="20"/>
        </w:rPr>
        <w:t>Australian Coding Standards (ACS).</w:t>
      </w:r>
    </w:p>
    <w:p w14:paraId="6985131A" w14:textId="67DC9E06" w:rsidR="00DA27ED" w:rsidRDefault="00262F5B" w:rsidP="00DA27ED">
      <w:pPr>
        <w:rPr>
          <w:sz w:val="20"/>
          <w:szCs w:val="20"/>
        </w:rPr>
      </w:pPr>
      <w:r w:rsidRPr="007835FD">
        <w:rPr>
          <w:sz w:val="20"/>
          <w:szCs w:val="20"/>
        </w:rPr>
        <w:t xml:space="preserve">These are collectively known as </w:t>
      </w:r>
      <w:r w:rsidR="00A82C6D" w:rsidRPr="007835FD">
        <w:rPr>
          <w:sz w:val="20"/>
          <w:szCs w:val="20"/>
        </w:rPr>
        <w:t>ICD</w:t>
      </w:r>
      <w:r w:rsidR="00A82C6D">
        <w:rPr>
          <w:sz w:val="20"/>
          <w:szCs w:val="20"/>
        </w:rPr>
        <w:t>-</w:t>
      </w:r>
      <w:r w:rsidR="00A82C6D" w:rsidRPr="007835FD">
        <w:rPr>
          <w:sz w:val="20"/>
          <w:szCs w:val="20"/>
        </w:rPr>
        <w:t>10</w:t>
      </w:r>
      <w:r w:rsidR="00A82C6D">
        <w:rPr>
          <w:sz w:val="20"/>
          <w:szCs w:val="20"/>
        </w:rPr>
        <w:t>-</w:t>
      </w:r>
      <w:r w:rsidRPr="007835FD">
        <w:rPr>
          <w:sz w:val="20"/>
          <w:szCs w:val="20"/>
        </w:rPr>
        <w:t xml:space="preserve">AM/ACHI/ACS. </w:t>
      </w:r>
      <w:r w:rsidR="00DA27ED" w:rsidRPr="00262F5B">
        <w:rPr>
          <w:sz w:val="20"/>
          <w:szCs w:val="20"/>
        </w:rPr>
        <w:t xml:space="preserve">These classifications have been developed in accordance with the </w:t>
      </w:r>
      <w:hyperlink r:id="rId43" w:history="1">
        <w:r w:rsidR="00DA27ED" w:rsidRPr="00F07C9E">
          <w:rPr>
            <w:rStyle w:val="Hyperlink"/>
            <w:sz w:val="20"/>
            <w:szCs w:val="20"/>
          </w:rPr>
          <w:t>Governance Framework for the Development of the Admitted Care Classifications</w:t>
        </w:r>
      </w:hyperlink>
      <w:r w:rsidR="00DA27ED" w:rsidRPr="00262F5B">
        <w:rPr>
          <w:sz w:val="20"/>
          <w:szCs w:val="20"/>
        </w:rPr>
        <w:t xml:space="preserve"> with relevant input from clinicians and other health sector stakeholders represented on IHACPA’s advisory committees.</w:t>
      </w:r>
      <w:r w:rsidR="008743AA">
        <w:rPr>
          <w:sz w:val="20"/>
          <w:szCs w:val="20"/>
        </w:rPr>
        <w:t xml:space="preserve"> </w:t>
      </w:r>
      <w:r w:rsidR="002F4B7D" w:rsidRPr="00EF68F2">
        <w:rPr>
          <w:sz w:val="20"/>
          <w:szCs w:val="20"/>
        </w:rPr>
        <w:t>ICD-10-AM/ACHI/ACS</w:t>
      </w:r>
      <w:r w:rsidR="002F4B7D">
        <w:rPr>
          <w:sz w:val="20"/>
          <w:szCs w:val="20"/>
        </w:rPr>
        <w:t xml:space="preserve"> Thirteenth Edition was implemented on 1 July 2025, with education available through </w:t>
      </w:r>
      <w:hyperlink r:id="rId44" w:history="1">
        <w:r w:rsidR="002F4B7D" w:rsidRPr="0087370F">
          <w:rPr>
            <w:rStyle w:val="Hyperlink"/>
            <w:sz w:val="20"/>
            <w:szCs w:val="20"/>
          </w:rPr>
          <w:t>IHACPA Learn</w:t>
        </w:r>
      </w:hyperlink>
      <w:r w:rsidR="002F4B7D">
        <w:rPr>
          <w:sz w:val="20"/>
          <w:szCs w:val="20"/>
        </w:rPr>
        <w:t>.</w:t>
      </w:r>
      <w:r w:rsidR="000A33DC">
        <w:rPr>
          <w:sz w:val="20"/>
          <w:szCs w:val="20"/>
        </w:rPr>
        <w:t xml:space="preserve"> </w:t>
      </w:r>
    </w:p>
    <w:p w14:paraId="6D649347" w14:textId="50E4DFEF" w:rsidR="00680F55" w:rsidRPr="00C900A5" w:rsidRDefault="000F3DB4" w:rsidP="00C900A5">
      <w:pPr>
        <w:pStyle w:val="Heading3"/>
        <w:rPr>
          <w:b w:val="0"/>
          <w:iCs/>
          <w:lang w:val="en-PH"/>
        </w:rPr>
      </w:pPr>
      <w:r w:rsidRPr="00C900A5">
        <w:rPr>
          <w:iCs/>
          <w:color w:val="15272F" w:themeColor="text1"/>
          <w:sz w:val="22"/>
          <w:szCs w:val="22"/>
          <w:lang w:val="en-PH"/>
        </w:rPr>
        <w:lastRenderedPageBreak/>
        <w:t>AR-DRG Version 12.0</w:t>
      </w:r>
    </w:p>
    <w:p w14:paraId="184F7847" w14:textId="7BD2E89E" w:rsidR="00F301A1" w:rsidRDefault="0079376C" w:rsidP="00E4566C">
      <w:pPr>
        <w:keepLines/>
        <w:rPr>
          <w:sz w:val="20"/>
          <w:szCs w:val="20"/>
        </w:rPr>
      </w:pPr>
      <w:r>
        <w:rPr>
          <w:sz w:val="20"/>
          <w:szCs w:val="20"/>
        </w:rPr>
        <w:t>AR-DRG Version 12.0</w:t>
      </w:r>
      <w:r w:rsidR="00962CA0">
        <w:rPr>
          <w:sz w:val="20"/>
          <w:szCs w:val="20"/>
        </w:rPr>
        <w:t xml:space="preserve"> </w:t>
      </w:r>
      <w:r>
        <w:rPr>
          <w:sz w:val="20"/>
          <w:szCs w:val="20"/>
        </w:rPr>
        <w:t xml:space="preserve">was released in July 2025. </w:t>
      </w:r>
      <w:r w:rsidR="00A31D4F" w:rsidRPr="00A31D4F">
        <w:rPr>
          <w:sz w:val="20"/>
          <w:szCs w:val="20"/>
        </w:rPr>
        <w:t>AR-DRG V</w:t>
      </w:r>
      <w:r w:rsidR="00D61BB5">
        <w:rPr>
          <w:sz w:val="20"/>
          <w:szCs w:val="20"/>
        </w:rPr>
        <w:t xml:space="preserve">ersion </w:t>
      </w:r>
      <w:r w:rsidR="00A31D4F" w:rsidRPr="00A31D4F">
        <w:rPr>
          <w:sz w:val="20"/>
          <w:szCs w:val="20"/>
        </w:rPr>
        <w:t xml:space="preserve">12.0 </w:t>
      </w:r>
      <w:r>
        <w:rPr>
          <w:sz w:val="20"/>
          <w:szCs w:val="20"/>
        </w:rPr>
        <w:t>was</w:t>
      </w:r>
      <w:r w:rsidR="00A31D4F" w:rsidRPr="00A31D4F">
        <w:rPr>
          <w:sz w:val="20"/>
          <w:szCs w:val="20"/>
        </w:rPr>
        <w:t xml:space="preserve"> finalised in accordance with </w:t>
      </w:r>
      <w:r w:rsidR="008E7133">
        <w:rPr>
          <w:sz w:val="20"/>
          <w:szCs w:val="20"/>
        </w:rPr>
        <w:t>the</w:t>
      </w:r>
      <w:r w:rsidR="00A31D4F" w:rsidRPr="00A31D4F">
        <w:rPr>
          <w:sz w:val="20"/>
          <w:szCs w:val="20"/>
        </w:rPr>
        <w:t xml:space="preserve"> governance framework</w:t>
      </w:r>
      <w:r w:rsidR="00B16E23">
        <w:rPr>
          <w:sz w:val="20"/>
          <w:szCs w:val="20"/>
        </w:rPr>
        <w:t>,</w:t>
      </w:r>
      <w:r w:rsidR="00A31D4F" w:rsidRPr="00A31D4F">
        <w:rPr>
          <w:sz w:val="20"/>
          <w:szCs w:val="20"/>
        </w:rPr>
        <w:t xml:space="preserve"> </w:t>
      </w:r>
      <w:r w:rsidR="008E7133">
        <w:rPr>
          <w:sz w:val="20"/>
          <w:szCs w:val="20"/>
        </w:rPr>
        <w:t>which</w:t>
      </w:r>
      <w:r w:rsidR="00A31D4F" w:rsidRPr="00A31D4F">
        <w:rPr>
          <w:sz w:val="20"/>
          <w:szCs w:val="20"/>
        </w:rPr>
        <w:t xml:space="preserve"> sets out policies and principles for the development of the</w:t>
      </w:r>
      <w:r w:rsidR="008803F6">
        <w:rPr>
          <w:sz w:val="20"/>
          <w:szCs w:val="20"/>
        </w:rPr>
        <w:t xml:space="preserve"> admitted care</w:t>
      </w:r>
      <w:r w:rsidR="00A31D4F" w:rsidRPr="00A31D4F">
        <w:rPr>
          <w:sz w:val="20"/>
          <w:szCs w:val="20"/>
        </w:rPr>
        <w:t xml:space="preserve"> classifications. IHACPA sought relevant input from clinicians and other health sector stakeholders represented on its </w:t>
      </w:r>
      <w:r w:rsidR="00BD7593">
        <w:rPr>
          <w:sz w:val="20"/>
          <w:szCs w:val="20"/>
        </w:rPr>
        <w:t>working groups</w:t>
      </w:r>
      <w:r w:rsidR="00BD7593" w:rsidRPr="00A31D4F">
        <w:rPr>
          <w:sz w:val="20"/>
          <w:szCs w:val="20"/>
        </w:rPr>
        <w:t xml:space="preserve"> </w:t>
      </w:r>
      <w:r w:rsidR="00A31D4F" w:rsidRPr="00A31D4F">
        <w:rPr>
          <w:sz w:val="20"/>
          <w:szCs w:val="20"/>
        </w:rPr>
        <w:t>and advisory committees in its development</w:t>
      </w:r>
      <w:r w:rsidR="00A31D4F">
        <w:rPr>
          <w:sz w:val="20"/>
          <w:szCs w:val="20"/>
        </w:rPr>
        <w:t>.</w:t>
      </w:r>
      <w:r w:rsidR="00A31D4F" w:rsidRPr="00A31D4F">
        <w:rPr>
          <w:sz w:val="20"/>
          <w:szCs w:val="20"/>
        </w:rPr>
        <w:t xml:space="preserve"> </w:t>
      </w:r>
    </w:p>
    <w:p w14:paraId="471149AA" w14:textId="64087139" w:rsidR="00A31D4F" w:rsidRPr="00A31D4F" w:rsidRDefault="00A31D4F" w:rsidP="00A31D4F">
      <w:pPr>
        <w:rPr>
          <w:sz w:val="20"/>
          <w:szCs w:val="20"/>
        </w:rPr>
      </w:pPr>
      <w:r w:rsidRPr="00A31D4F">
        <w:rPr>
          <w:sz w:val="20"/>
          <w:szCs w:val="20"/>
        </w:rPr>
        <w:t>Significant changes for AR-DRG V</w:t>
      </w:r>
      <w:r w:rsidR="00D61BB5">
        <w:rPr>
          <w:sz w:val="20"/>
          <w:szCs w:val="20"/>
        </w:rPr>
        <w:t xml:space="preserve">ersion </w:t>
      </w:r>
      <w:r w:rsidRPr="00A31D4F">
        <w:rPr>
          <w:sz w:val="20"/>
          <w:szCs w:val="20"/>
        </w:rPr>
        <w:t xml:space="preserve">12.0 followed a review of Major Diagnostic Category (MDC) 14 </w:t>
      </w:r>
      <w:r w:rsidRPr="00A31D4F">
        <w:rPr>
          <w:i/>
          <w:iCs/>
          <w:sz w:val="20"/>
          <w:szCs w:val="20"/>
        </w:rPr>
        <w:t xml:space="preserve">Pregnancy, childbirth and the puerperium </w:t>
      </w:r>
      <w:r w:rsidRPr="00A31D4F">
        <w:rPr>
          <w:sz w:val="20"/>
          <w:szCs w:val="20"/>
        </w:rPr>
        <w:t>to improve the clinical meaningfulness and resource homogeneity within this MDC.</w:t>
      </w:r>
      <w:r w:rsidR="008E7133">
        <w:rPr>
          <w:sz w:val="20"/>
          <w:szCs w:val="20"/>
        </w:rPr>
        <w:t xml:space="preserve"> This review found that there was significant heterogeneity among episodes grouped to A</w:t>
      </w:r>
      <w:r w:rsidR="00765C82">
        <w:rPr>
          <w:sz w:val="20"/>
          <w:szCs w:val="20"/>
        </w:rPr>
        <w:t xml:space="preserve">djacent </w:t>
      </w:r>
      <w:r w:rsidR="008E7133">
        <w:rPr>
          <w:sz w:val="20"/>
          <w:szCs w:val="20"/>
        </w:rPr>
        <w:t>D</w:t>
      </w:r>
      <w:r w:rsidR="00765C82">
        <w:rPr>
          <w:sz w:val="20"/>
          <w:szCs w:val="20"/>
        </w:rPr>
        <w:t xml:space="preserve">iagnosis </w:t>
      </w:r>
      <w:r w:rsidR="008E7133">
        <w:rPr>
          <w:sz w:val="20"/>
          <w:szCs w:val="20"/>
        </w:rPr>
        <w:t>R</w:t>
      </w:r>
      <w:r w:rsidR="00765C82">
        <w:rPr>
          <w:sz w:val="20"/>
          <w:szCs w:val="20"/>
        </w:rPr>
        <w:t xml:space="preserve">elated </w:t>
      </w:r>
      <w:r w:rsidR="008E7133">
        <w:rPr>
          <w:sz w:val="20"/>
          <w:szCs w:val="20"/>
        </w:rPr>
        <w:t>G</w:t>
      </w:r>
      <w:r w:rsidR="00765C82">
        <w:rPr>
          <w:sz w:val="20"/>
          <w:szCs w:val="20"/>
        </w:rPr>
        <w:t>roup (ADRG)</w:t>
      </w:r>
      <w:r w:rsidR="008E7133">
        <w:rPr>
          <w:sz w:val="20"/>
          <w:szCs w:val="20"/>
        </w:rPr>
        <w:t xml:space="preserve"> O66 </w:t>
      </w:r>
      <w:r w:rsidR="004F671E">
        <w:rPr>
          <w:i/>
          <w:iCs/>
          <w:sz w:val="20"/>
          <w:szCs w:val="20"/>
        </w:rPr>
        <w:t>Antenatal and other admissions related to pregnancy, childbirth and the puerperium</w:t>
      </w:r>
      <w:r w:rsidR="004F671E">
        <w:rPr>
          <w:sz w:val="20"/>
          <w:szCs w:val="20"/>
        </w:rPr>
        <w:t>.</w:t>
      </w:r>
      <w:r w:rsidRPr="00A31D4F">
        <w:rPr>
          <w:sz w:val="20"/>
          <w:szCs w:val="20"/>
        </w:rPr>
        <w:t xml:space="preserve"> Consequently, this</w:t>
      </w:r>
      <w:r w:rsidR="002F33D6">
        <w:rPr>
          <w:sz w:val="20"/>
          <w:szCs w:val="20"/>
        </w:rPr>
        <w:t xml:space="preserve"> </w:t>
      </w:r>
      <w:r w:rsidRPr="00A31D4F">
        <w:rPr>
          <w:sz w:val="20"/>
          <w:szCs w:val="20"/>
        </w:rPr>
        <w:t xml:space="preserve">ADRG was disaggregated into 4 new medical ADRGs in MDC 14 </w:t>
      </w:r>
      <w:r w:rsidRPr="00A31D4F">
        <w:rPr>
          <w:i/>
          <w:iCs/>
          <w:sz w:val="20"/>
          <w:szCs w:val="20"/>
        </w:rPr>
        <w:t xml:space="preserve">Pregnancy, childbirth and the puerperium </w:t>
      </w:r>
      <w:r w:rsidRPr="00A31D4F">
        <w:rPr>
          <w:sz w:val="20"/>
          <w:szCs w:val="20"/>
        </w:rPr>
        <w:t xml:space="preserve">and one in MDC 19 </w:t>
      </w:r>
      <w:r w:rsidRPr="00A31D4F">
        <w:rPr>
          <w:i/>
          <w:iCs/>
          <w:sz w:val="20"/>
          <w:szCs w:val="20"/>
        </w:rPr>
        <w:t>Mental</w:t>
      </w:r>
      <w:r w:rsidR="00E62188">
        <w:rPr>
          <w:i/>
          <w:iCs/>
          <w:sz w:val="20"/>
          <w:szCs w:val="20"/>
        </w:rPr>
        <w:t xml:space="preserve"> health conditions and behavioural and neurodevelopmental disorders</w:t>
      </w:r>
      <w:r w:rsidRPr="00A31D4F">
        <w:rPr>
          <w:i/>
          <w:iCs/>
          <w:sz w:val="20"/>
          <w:szCs w:val="20"/>
        </w:rPr>
        <w:t xml:space="preserve"> </w:t>
      </w:r>
      <w:r w:rsidRPr="00A31D4F">
        <w:rPr>
          <w:sz w:val="20"/>
          <w:szCs w:val="20"/>
        </w:rPr>
        <w:t xml:space="preserve">to better capture postnatal depressive episodes. </w:t>
      </w:r>
    </w:p>
    <w:p w14:paraId="53A1C375" w14:textId="3D0897B8" w:rsidR="009D5429" w:rsidRDefault="002959B7" w:rsidP="009150CE">
      <w:pPr>
        <w:rPr>
          <w:sz w:val="20"/>
          <w:szCs w:val="20"/>
        </w:rPr>
      </w:pPr>
      <w:r w:rsidRPr="002959B7">
        <w:rPr>
          <w:sz w:val="20"/>
          <w:szCs w:val="20"/>
        </w:rPr>
        <w:t xml:space="preserve">AR-DRG Version 12.0 also includes a </w:t>
      </w:r>
      <w:bookmarkStart w:id="14" w:name="_Hlk204542074"/>
      <w:r w:rsidRPr="002959B7">
        <w:rPr>
          <w:sz w:val="20"/>
          <w:szCs w:val="20"/>
        </w:rPr>
        <w:t xml:space="preserve">new ADRG, A16 </w:t>
      </w:r>
      <w:r w:rsidRPr="009150CE">
        <w:rPr>
          <w:i/>
          <w:iCs/>
          <w:sz w:val="20"/>
          <w:szCs w:val="20"/>
        </w:rPr>
        <w:t>Posthumous organ procurement</w:t>
      </w:r>
      <w:bookmarkEnd w:id="14"/>
      <w:r w:rsidRPr="002959B7">
        <w:rPr>
          <w:sz w:val="20"/>
          <w:szCs w:val="20"/>
        </w:rPr>
        <w:t>, to facilitate more accurate capture of posthumous organ procurement activity.</w:t>
      </w:r>
      <w:r w:rsidR="004A0DF1">
        <w:rPr>
          <w:sz w:val="20"/>
          <w:szCs w:val="20"/>
        </w:rPr>
        <w:t xml:space="preserve"> </w:t>
      </w:r>
    </w:p>
    <w:p w14:paraId="3F84403C" w14:textId="20C25E5C" w:rsidR="004953FE" w:rsidRPr="004873C5" w:rsidRDefault="007B4F61" w:rsidP="00704B76">
      <w:pPr>
        <w:rPr>
          <w:rFonts w:cs="Arial"/>
          <w:sz w:val="20"/>
          <w:szCs w:val="20"/>
        </w:rPr>
      </w:pPr>
      <w:r>
        <w:rPr>
          <w:sz w:val="20"/>
          <w:szCs w:val="20"/>
        </w:rPr>
        <w:t xml:space="preserve">In response to the </w:t>
      </w:r>
      <w:r w:rsidR="001D6342">
        <w:rPr>
          <w:sz w:val="20"/>
          <w:szCs w:val="20"/>
        </w:rPr>
        <w:t>consultation paper</w:t>
      </w:r>
      <w:r>
        <w:rPr>
          <w:sz w:val="20"/>
          <w:szCs w:val="20"/>
        </w:rPr>
        <w:t xml:space="preserve">, </w:t>
      </w:r>
      <w:r w:rsidR="000C0F0F">
        <w:rPr>
          <w:sz w:val="20"/>
          <w:szCs w:val="20"/>
        </w:rPr>
        <w:t>most stakeholders did</w:t>
      </w:r>
      <w:r w:rsidRPr="007B4F61">
        <w:rPr>
          <w:sz w:val="20"/>
          <w:szCs w:val="20"/>
        </w:rPr>
        <w:t xml:space="preserve"> not identify any barriers to the implementation of AR-DRG V</w:t>
      </w:r>
      <w:r w:rsidR="00D61BB5">
        <w:rPr>
          <w:sz w:val="20"/>
          <w:szCs w:val="20"/>
        </w:rPr>
        <w:t xml:space="preserve">ersion </w:t>
      </w:r>
      <w:r w:rsidRPr="007B4F61">
        <w:rPr>
          <w:sz w:val="20"/>
          <w:szCs w:val="20"/>
        </w:rPr>
        <w:t>12.0 without a shadow pricing period based on minimal structural changes and alignment with past practices.</w:t>
      </w:r>
      <w:r w:rsidR="004844BD">
        <w:rPr>
          <w:sz w:val="20"/>
          <w:szCs w:val="20"/>
        </w:rPr>
        <w:t xml:space="preserve"> Some stakeholders recommended</w:t>
      </w:r>
      <w:r w:rsidR="004844BD" w:rsidRPr="004844BD">
        <w:rPr>
          <w:sz w:val="20"/>
          <w:szCs w:val="20"/>
        </w:rPr>
        <w:t xml:space="preserve"> shadow pricing to mitigate risks that come from changes in clinical coding practices, ensure data stability and minimise variances that may impact NEP</w:t>
      </w:r>
      <w:r w:rsidR="009B1761">
        <w:rPr>
          <w:sz w:val="20"/>
          <w:szCs w:val="20"/>
        </w:rPr>
        <w:t xml:space="preserve"> Determination </w:t>
      </w:r>
      <w:r w:rsidR="004844BD" w:rsidRPr="004844BD">
        <w:rPr>
          <w:sz w:val="20"/>
          <w:szCs w:val="20"/>
        </w:rPr>
        <w:t>2</w:t>
      </w:r>
      <w:r w:rsidR="009B1761">
        <w:rPr>
          <w:sz w:val="20"/>
          <w:szCs w:val="20"/>
        </w:rPr>
        <w:t>02</w:t>
      </w:r>
      <w:r w:rsidR="004844BD" w:rsidRPr="004844BD">
        <w:rPr>
          <w:sz w:val="20"/>
          <w:szCs w:val="20"/>
        </w:rPr>
        <w:t>6</w:t>
      </w:r>
      <w:r w:rsidR="009B1761">
        <w:rPr>
          <w:sz w:val="20"/>
          <w:szCs w:val="20"/>
        </w:rPr>
        <w:t>–27 (NEP26)</w:t>
      </w:r>
      <w:r w:rsidR="004844BD" w:rsidRPr="004844BD">
        <w:rPr>
          <w:sz w:val="20"/>
          <w:szCs w:val="20"/>
        </w:rPr>
        <w:t>. </w:t>
      </w:r>
      <w:r w:rsidR="004873C5" w:rsidRPr="007620E3">
        <w:rPr>
          <w:rFonts w:cs="Arial"/>
          <w:sz w:val="20"/>
          <w:szCs w:val="20"/>
        </w:rPr>
        <w:t xml:space="preserve">Further detail on this feedback is provided in the </w:t>
      </w:r>
      <w:r w:rsidR="00FC35B3">
        <w:rPr>
          <w:rFonts w:cs="Arial"/>
          <w:sz w:val="20"/>
          <w:szCs w:val="20"/>
        </w:rPr>
        <w:t>consultation report.</w:t>
      </w:r>
    </w:p>
    <w:p w14:paraId="50B053E2" w14:textId="468799C5" w:rsidR="004873C5" w:rsidRDefault="004873C5" w:rsidP="00AC3F22">
      <w:pPr>
        <w:rPr>
          <w:sz w:val="20"/>
          <w:szCs w:val="20"/>
        </w:rPr>
      </w:pPr>
      <w:r w:rsidRPr="0092212C">
        <w:rPr>
          <w:sz w:val="20"/>
          <w:szCs w:val="20"/>
        </w:rPr>
        <w:t xml:space="preserve">IHACPA notes the </w:t>
      </w:r>
      <w:r w:rsidR="0040091B">
        <w:rPr>
          <w:sz w:val="20"/>
          <w:szCs w:val="20"/>
        </w:rPr>
        <w:t xml:space="preserve">classification does not contain major structural changes </w:t>
      </w:r>
      <w:r w:rsidR="0040091B" w:rsidRPr="00964407">
        <w:rPr>
          <w:sz w:val="20"/>
          <w:szCs w:val="20"/>
        </w:rPr>
        <w:t>or the introduction of new data element</w:t>
      </w:r>
      <w:r w:rsidR="0040091B">
        <w:rPr>
          <w:sz w:val="20"/>
          <w:szCs w:val="20"/>
        </w:rPr>
        <w:t xml:space="preserve">s. </w:t>
      </w:r>
      <w:r w:rsidR="00A97FB2" w:rsidRPr="00964407">
        <w:rPr>
          <w:sz w:val="20"/>
          <w:szCs w:val="20"/>
        </w:rPr>
        <w:t>Th</w:t>
      </w:r>
      <w:r w:rsidR="005B51AE">
        <w:rPr>
          <w:sz w:val="20"/>
          <w:szCs w:val="20"/>
        </w:rPr>
        <w:t>e</w:t>
      </w:r>
      <w:r w:rsidR="00A97FB2" w:rsidRPr="00964407">
        <w:rPr>
          <w:sz w:val="20"/>
          <w:szCs w:val="20"/>
        </w:rPr>
        <w:t xml:space="preserve"> approach </w:t>
      </w:r>
      <w:r w:rsidR="005B51AE">
        <w:rPr>
          <w:sz w:val="20"/>
          <w:szCs w:val="20"/>
        </w:rPr>
        <w:t xml:space="preserve">to not shadow price </w:t>
      </w:r>
      <w:r w:rsidR="00A97FB2" w:rsidRPr="00964407">
        <w:rPr>
          <w:sz w:val="20"/>
          <w:szCs w:val="20"/>
        </w:rPr>
        <w:t xml:space="preserve">aligns with IHACPA’s </w:t>
      </w:r>
      <w:hyperlink r:id="rId45" w:history="1">
        <w:r w:rsidR="00A97FB2" w:rsidRPr="00964407">
          <w:rPr>
            <w:rStyle w:val="Hyperlink"/>
            <w:sz w:val="20"/>
            <w:szCs w:val="20"/>
          </w:rPr>
          <w:t>National Pricing Model Consultation Policy</w:t>
        </w:r>
      </w:hyperlink>
      <w:r w:rsidR="002E4A32" w:rsidRPr="00964407">
        <w:rPr>
          <w:sz w:val="20"/>
          <w:szCs w:val="20"/>
        </w:rPr>
        <w:t xml:space="preserve"> </w:t>
      </w:r>
      <w:r w:rsidR="00A97FB2" w:rsidRPr="00964407">
        <w:rPr>
          <w:sz w:val="20"/>
          <w:szCs w:val="20"/>
        </w:rPr>
        <w:t xml:space="preserve">and </w:t>
      </w:r>
      <w:hyperlink r:id="rId46" w:history="1">
        <w:r w:rsidR="00A97FB2" w:rsidRPr="00964407">
          <w:rPr>
            <w:rStyle w:val="Hyperlink"/>
            <w:sz w:val="20"/>
            <w:szCs w:val="20"/>
          </w:rPr>
          <w:t>Shadow Pricing Guidelines</w:t>
        </w:r>
      </w:hyperlink>
      <w:r w:rsidR="00457978">
        <w:rPr>
          <w:sz w:val="20"/>
          <w:szCs w:val="20"/>
        </w:rPr>
        <w:t>,</w:t>
      </w:r>
      <w:r w:rsidR="00252B61">
        <w:rPr>
          <w:sz w:val="20"/>
          <w:szCs w:val="20"/>
        </w:rPr>
        <w:t xml:space="preserve"> and is consistent </w:t>
      </w:r>
      <w:r w:rsidR="00252B61" w:rsidRPr="00964407">
        <w:rPr>
          <w:sz w:val="20"/>
          <w:szCs w:val="20"/>
        </w:rPr>
        <w:t xml:space="preserve">with </w:t>
      </w:r>
      <w:r w:rsidR="002F4B7D">
        <w:rPr>
          <w:sz w:val="20"/>
          <w:szCs w:val="20"/>
        </w:rPr>
        <w:t xml:space="preserve">the implementation of </w:t>
      </w:r>
      <w:r w:rsidR="00252B61" w:rsidRPr="00964407">
        <w:rPr>
          <w:sz w:val="20"/>
          <w:szCs w:val="20"/>
        </w:rPr>
        <w:t>previous versions of AR-DRG</w:t>
      </w:r>
      <w:r w:rsidR="001754C5">
        <w:rPr>
          <w:sz w:val="20"/>
          <w:szCs w:val="20"/>
        </w:rPr>
        <w:t>s</w:t>
      </w:r>
      <w:r w:rsidR="00252B61" w:rsidRPr="00964407">
        <w:rPr>
          <w:sz w:val="20"/>
          <w:szCs w:val="20"/>
        </w:rPr>
        <w:t>, which have also not been shadow priced.</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B43DF7" w:rsidRPr="004C24F6" w14:paraId="266FCF05" w14:textId="77777777" w:rsidTr="0019067A">
        <w:tc>
          <w:tcPr>
            <w:tcW w:w="851" w:type="dxa"/>
            <w:shd w:val="clear" w:color="auto" w:fill="B5FFE0" w:themeFill="accent4" w:themeFillTint="33"/>
          </w:tcPr>
          <w:p w14:paraId="53C3B967" w14:textId="77777777" w:rsidR="00B43DF7" w:rsidRPr="004953FE" w:rsidRDefault="00B43DF7" w:rsidP="0019067A">
            <w:pPr>
              <w:jc w:val="center"/>
              <w:rPr>
                <w:sz w:val="20"/>
                <w:szCs w:val="20"/>
              </w:rPr>
            </w:pPr>
            <w:r w:rsidRPr="004953FE">
              <w:rPr>
                <w:noProof/>
                <w:sz w:val="20"/>
                <w:szCs w:val="20"/>
              </w:rPr>
              <w:drawing>
                <wp:inline distT="0" distB="0" distL="0" distR="0" wp14:anchorId="2A65C16B" wp14:editId="1CB9EE1B">
                  <wp:extent cx="266700" cy="266700"/>
                  <wp:effectExtent l="0" t="0" r="0" b="0"/>
                  <wp:docPr id="354831788" name="Picture 354831788"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6696D803" w14:textId="77777777" w:rsidR="00B43DF7" w:rsidRPr="004953FE" w:rsidRDefault="00B43DF7" w:rsidP="004C1093">
            <w:pPr>
              <w:pStyle w:val="Heading4"/>
              <w:rPr>
                <w:sz w:val="20"/>
                <w:szCs w:val="20"/>
              </w:rPr>
            </w:pPr>
            <w:r w:rsidRPr="004953FE">
              <w:rPr>
                <w:sz w:val="20"/>
                <w:szCs w:val="20"/>
              </w:rPr>
              <w:t>IHACPA’s decisio</w:t>
            </w:r>
            <w:r w:rsidR="004C1093" w:rsidRPr="004953FE">
              <w:rPr>
                <w:sz w:val="20"/>
                <w:szCs w:val="20"/>
              </w:rPr>
              <w:t>n</w:t>
            </w:r>
          </w:p>
          <w:p w14:paraId="75E9D3D0" w14:textId="3A17C629" w:rsidR="004C1093" w:rsidRPr="004953FE" w:rsidRDefault="004953FE" w:rsidP="00E4566C">
            <w:pPr>
              <w:spacing w:after="120"/>
              <w:rPr>
                <w:sz w:val="20"/>
                <w:szCs w:val="20"/>
              </w:rPr>
            </w:pPr>
            <w:r w:rsidRPr="004953FE">
              <w:rPr>
                <w:sz w:val="20"/>
                <w:szCs w:val="20"/>
              </w:rPr>
              <w:t>IHACPA</w:t>
            </w:r>
            <w:r w:rsidR="00CC77AB">
              <w:rPr>
                <w:sz w:val="20"/>
                <w:szCs w:val="20"/>
              </w:rPr>
              <w:t xml:space="preserve"> will</w:t>
            </w:r>
            <w:r w:rsidRPr="004953FE">
              <w:rPr>
                <w:sz w:val="20"/>
                <w:szCs w:val="20"/>
              </w:rPr>
              <w:t xml:space="preserve"> price admitted acute episodes of care using AR-DRG V</w:t>
            </w:r>
            <w:r w:rsidR="00D61BB5">
              <w:rPr>
                <w:sz w:val="20"/>
                <w:szCs w:val="20"/>
              </w:rPr>
              <w:t xml:space="preserve">ersion </w:t>
            </w:r>
            <w:r w:rsidRPr="004953FE">
              <w:rPr>
                <w:sz w:val="20"/>
                <w:szCs w:val="20"/>
              </w:rPr>
              <w:t>12.0 without a shadow pricing period for NEP26.</w:t>
            </w:r>
            <w:r w:rsidR="0080171C">
              <w:rPr>
                <w:sz w:val="20"/>
                <w:szCs w:val="20"/>
              </w:rPr>
              <w:t xml:space="preserve"> </w:t>
            </w:r>
            <w:r w:rsidR="0080171C" w:rsidRPr="00867803">
              <w:rPr>
                <w:sz w:val="20"/>
                <w:szCs w:val="20"/>
              </w:rPr>
              <w:t>IHACPA</w:t>
            </w:r>
            <w:r w:rsidR="0080171C">
              <w:rPr>
                <w:sz w:val="20"/>
                <w:szCs w:val="20"/>
              </w:rPr>
              <w:t xml:space="preserve"> </w:t>
            </w:r>
            <w:r w:rsidR="00CC77AB">
              <w:rPr>
                <w:sz w:val="20"/>
                <w:szCs w:val="20"/>
              </w:rPr>
              <w:t>will</w:t>
            </w:r>
            <w:r w:rsidR="0080171C" w:rsidRPr="00867803">
              <w:rPr>
                <w:sz w:val="20"/>
                <w:szCs w:val="20"/>
              </w:rPr>
              <w:t xml:space="preserve"> </w:t>
            </w:r>
            <w:r w:rsidR="0080171C">
              <w:rPr>
                <w:sz w:val="20"/>
                <w:szCs w:val="20"/>
              </w:rPr>
              <w:t xml:space="preserve">continue to </w:t>
            </w:r>
            <w:r w:rsidR="0080171C" w:rsidRPr="00867803">
              <w:rPr>
                <w:sz w:val="20"/>
                <w:szCs w:val="20"/>
              </w:rPr>
              <w:t xml:space="preserve">reallocate posthumous organ procurement costs to transplant episodes </w:t>
            </w:r>
            <w:r w:rsidR="000402F9">
              <w:rPr>
                <w:sz w:val="20"/>
                <w:szCs w:val="20"/>
              </w:rPr>
              <w:t>for NEP26</w:t>
            </w:r>
            <w:r w:rsidR="0080171C" w:rsidRPr="00867803">
              <w:rPr>
                <w:sz w:val="20"/>
                <w:szCs w:val="20"/>
              </w:rPr>
              <w:t>.</w:t>
            </w:r>
          </w:p>
        </w:tc>
      </w:tr>
    </w:tbl>
    <w:p w14:paraId="2DD4FA77" w14:textId="77777777" w:rsidR="00F91D26" w:rsidRDefault="00F91D26" w:rsidP="004C1093"/>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4C1093" w:rsidRPr="007C7991" w14:paraId="75045033" w14:textId="77777777" w:rsidTr="00BE53FE">
        <w:tc>
          <w:tcPr>
            <w:tcW w:w="851" w:type="dxa"/>
            <w:shd w:val="clear" w:color="auto" w:fill="C1DAF8" w:themeFill="accent2" w:themeFillTint="33"/>
          </w:tcPr>
          <w:p w14:paraId="0C03BBD3" w14:textId="77777777" w:rsidR="004C1093" w:rsidRPr="007C7991" w:rsidRDefault="004C1093" w:rsidP="00BE53FE">
            <w:pPr>
              <w:jc w:val="center"/>
              <w:rPr>
                <w:sz w:val="20"/>
                <w:szCs w:val="20"/>
              </w:rPr>
            </w:pPr>
            <w:r w:rsidRPr="007C7991">
              <w:rPr>
                <w:noProof/>
                <w:sz w:val="20"/>
                <w:szCs w:val="20"/>
              </w:rPr>
              <w:drawing>
                <wp:inline distT="0" distB="0" distL="0" distR="0" wp14:anchorId="4185A5AB" wp14:editId="3F3175C0">
                  <wp:extent cx="266700" cy="266700"/>
                  <wp:effectExtent l="0" t="0" r="0" b="0"/>
                  <wp:docPr id="702569154" name="Picture 7025691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7F7BB359" w14:textId="46F89645" w:rsidR="004C1093" w:rsidRPr="00E4566C" w:rsidRDefault="004C1093" w:rsidP="00E4566C">
            <w:pPr>
              <w:pStyle w:val="Heading4"/>
              <w:rPr>
                <w:sz w:val="20"/>
                <w:szCs w:val="20"/>
              </w:rPr>
            </w:pPr>
            <w:r w:rsidRPr="00E4566C">
              <w:rPr>
                <w:sz w:val="20"/>
                <w:szCs w:val="20"/>
              </w:rPr>
              <w:t>Next steps and future work</w:t>
            </w:r>
          </w:p>
          <w:p w14:paraId="46ACFA1F" w14:textId="61255B18" w:rsidR="004C1093" w:rsidRPr="007C7991" w:rsidRDefault="003A17C8" w:rsidP="002A72D4">
            <w:pPr>
              <w:rPr>
                <w:sz w:val="20"/>
                <w:szCs w:val="20"/>
              </w:rPr>
            </w:pPr>
            <w:r>
              <w:rPr>
                <w:sz w:val="20"/>
                <w:szCs w:val="20"/>
              </w:rPr>
              <w:t>I</w:t>
            </w:r>
            <w:r w:rsidR="0060755C">
              <w:rPr>
                <w:sz w:val="20"/>
                <w:szCs w:val="20"/>
              </w:rPr>
              <w:t>mpact analysis</w:t>
            </w:r>
            <w:r w:rsidR="00906D38">
              <w:rPr>
                <w:sz w:val="20"/>
                <w:szCs w:val="20"/>
              </w:rPr>
              <w:t xml:space="preserve"> </w:t>
            </w:r>
            <w:r w:rsidR="002546ED">
              <w:rPr>
                <w:sz w:val="20"/>
                <w:szCs w:val="20"/>
              </w:rPr>
              <w:t>has been</w:t>
            </w:r>
            <w:r w:rsidR="00A0633B" w:rsidRPr="00A0633B">
              <w:rPr>
                <w:sz w:val="20"/>
                <w:szCs w:val="20"/>
              </w:rPr>
              <w:t xml:space="preserve"> developed to enable </w:t>
            </w:r>
            <w:r w:rsidR="00DC32F9">
              <w:rPr>
                <w:sz w:val="20"/>
                <w:szCs w:val="20"/>
              </w:rPr>
              <w:t xml:space="preserve">jurisdictions </w:t>
            </w:r>
            <w:r w:rsidR="00A0633B" w:rsidRPr="00A0633B">
              <w:rPr>
                <w:sz w:val="20"/>
                <w:szCs w:val="20"/>
              </w:rPr>
              <w:t xml:space="preserve">to understand and anticipate pricing changes between </w:t>
            </w:r>
            <w:r w:rsidR="00523DC7">
              <w:rPr>
                <w:sz w:val="20"/>
                <w:szCs w:val="20"/>
              </w:rPr>
              <w:t xml:space="preserve">AR-DRG </w:t>
            </w:r>
            <w:r w:rsidR="00A0633B" w:rsidRPr="00A0633B">
              <w:rPr>
                <w:sz w:val="20"/>
                <w:szCs w:val="20"/>
              </w:rPr>
              <w:t>V</w:t>
            </w:r>
            <w:r w:rsidR="0018156E">
              <w:rPr>
                <w:sz w:val="20"/>
                <w:szCs w:val="20"/>
              </w:rPr>
              <w:t xml:space="preserve">ersion </w:t>
            </w:r>
            <w:r w:rsidR="00A0633B" w:rsidRPr="00A0633B">
              <w:rPr>
                <w:sz w:val="20"/>
                <w:szCs w:val="20"/>
              </w:rPr>
              <w:t>11.0 and V</w:t>
            </w:r>
            <w:r w:rsidR="0018156E">
              <w:rPr>
                <w:sz w:val="20"/>
                <w:szCs w:val="20"/>
              </w:rPr>
              <w:t xml:space="preserve">ersion </w:t>
            </w:r>
            <w:r w:rsidR="00A0633B" w:rsidRPr="00A0633B">
              <w:rPr>
                <w:sz w:val="20"/>
                <w:szCs w:val="20"/>
              </w:rPr>
              <w:t>12.0. </w:t>
            </w:r>
            <w:r w:rsidR="002F4B7D" w:rsidRPr="00964407">
              <w:rPr>
                <w:sz w:val="20"/>
                <w:szCs w:val="20"/>
              </w:rPr>
              <w:t>AR</w:t>
            </w:r>
            <w:r w:rsidR="002F4B7D">
              <w:rPr>
                <w:sz w:val="20"/>
                <w:szCs w:val="20"/>
              </w:rPr>
              <w:t>-</w:t>
            </w:r>
            <w:r w:rsidR="004C1093" w:rsidRPr="00964407">
              <w:rPr>
                <w:sz w:val="20"/>
                <w:szCs w:val="20"/>
              </w:rPr>
              <w:t>DRG V</w:t>
            </w:r>
            <w:r w:rsidR="00D61BB5">
              <w:rPr>
                <w:sz w:val="20"/>
                <w:szCs w:val="20"/>
              </w:rPr>
              <w:t xml:space="preserve">ersion </w:t>
            </w:r>
            <w:r w:rsidR="004C1093" w:rsidRPr="00964407">
              <w:rPr>
                <w:sz w:val="20"/>
                <w:szCs w:val="20"/>
              </w:rPr>
              <w:t xml:space="preserve">12.0 </w:t>
            </w:r>
            <w:r w:rsidR="004C1093">
              <w:rPr>
                <w:sz w:val="20"/>
                <w:szCs w:val="20"/>
              </w:rPr>
              <w:t>education</w:t>
            </w:r>
            <w:r w:rsidR="004C1093" w:rsidRPr="00964407">
              <w:rPr>
                <w:sz w:val="20"/>
                <w:szCs w:val="20"/>
              </w:rPr>
              <w:t xml:space="preserve"> </w:t>
            </w:r>
            <w:r w:rsidR="00441F68">
              <w:rPr>
                <w:sz w:val="20"/>
                <w:szCs w:val="20"/>
              </w:rPr>
              <w:t>is available</w:t>
            </w:r>
            <w:r w:rsidR="004C1093" w:rsidRPr="00964407">
              <w:rPr>
                <w:sz w:val="20"/>
                <w:szCs w:val="20"/>
              </w:rPr>
              <w:t xml:space="preserve"> through </w:t>
            </w:r>
            <w:hyperlink r:id="rId47" w:history="1">
              <w:r w:rsidR="004C1093" w:rsidRPr="00964407">
                <w:rPr>
                  <w:rStyle w:val="Hyperlink"/>
                  <w:sz w:val="20"/>
                  <w:szCs w:val="20"/>
                </w:rPr>
                <w:t>IHACPA Learn</w:t>
              </w:r>
            </w:hyperlink>
            <w:r w:rsidR="004C1093" w:rsidRPr="00964407">
              <w:rPr>
                <w:sz w:val="20"/>
                <w:szCs w:val="20"/>
              </w:rPr>
              <w:t>.</w:t>
            </w:r>
            <w:r w:rsidR="0080171C">
              <w:rPr>
                <w:sz w:val="20"/>
                <w:szCs w:val="20"/>
              </w:rPr>
              <w:t xml:space="preserve"> </w:t>
            </w:r>
            <w:r w:rsidR="0080171C" w:rsidRPr="00867803">
              <w:rPr>
                <w:sz w:val="20"/>
                <w:szCs w:val="20"/>
              </w:rPr>
              <w:t xml:space="preserve">IHACPA is also currently </w:t>
            </w:r>
            <w:r w:rsidR="0080171C" w:rsidRPr="000D787A">
              <w:rPr>
                <w:sz w:val="20"/>
                <w:szCs w:val="20"/>
              </w:rPr>
              <w:t>reviewing organ and tissue donation, retrieval and transplantation activity from a data capture, costing</w:t>
            </w:r>
            <w:r w:rsidR="003E106E">
              <w:rPr>
                <w:sz w:val="20"/>
                <w:szCs w:val="20"/>
              </w:rPr>
              <w:t>,</w:t>
            </w:r>
            <w:r w:rsidR="0080171C" w:rsidRPr="000D787A">
              <w:rPr>
                <w:sz w:val="20"/>
                <w:szCs w:val="20"/>
              </w:rPr>
              <w:t xml:space="preserve"> and pricing</w:t>
            </w:r>
            <w:r w:rsidR="0080171C">
              <w:rPr>
                <w:sz w:val="20"/>
                <w:szCs w:val="20"/>
              </w:rPr>
              <w:t xml:space="preserve"> perspective. Future pricing of </w:t>
            </w:r>
            <w:r w:rsidR="0080171C" w:rsidRPr="000956CD">
              <w:rPr>
                <w:sz w:val="20"/>
                <w:szCs w:val="20"/>
              </w:rPr>
              <w:t xml:space="preserve">A16 </w:t>
            </w:r>
            <w:r w:rsidR="0080171C" w:rsidRPr="000956CD">
              <w:rPr>
                <w:i/>
                <w:iCs/>
                <w:sz w:val="20"/>
                <w:szCs w:val="20"/>
              </w:rPr>
              <w:t>Posthumous organ procurement</w:t>
            </w:r>
            <w:r w:rsidR="0080171C">
              <w:t xml:space="preserve"> </w:t>
            </w:r>
            <w:r w:rsidR="0080171C" w:rsidRPr="00B90E87">
              <w:rPr>
                <w:sz w:val="20"/>
                <w:szCs w:val="20"/>
              </w:rPr>
              <w:t>wi</w:t>
            </w:r>
            <w:r w:rsidR="0080171C">
              <w:rPr>
                <w:sz w:val="20"/>
                <w:szCs w:val="20"/>
              </w:rPr>
              <w:t>ll be informed by the findings of this project and</w:t>
            </w:r>
            <w:r w:rsidR="006F6BF2">
              <w:rPr>
                <w:sz w:val="20"/>
                <w:szCs w:val="20"/>
              </w:rPr>
              <w:t xml:space="preserve"> in</w:t>
            </w:r>
            <w:r w:rsidR="0080171C">
              <w:rPr>
                <w:sz w:val="20"/>
                <w:szCs w:val="20"/>
              </w:rPr>
              <w:t xml:space="preserve"> consultation with IHACPA’s advisory committees.</w:t>
            </w:r>
          </w:p>
        </w:tc>
      </w:tr>
    </w:tbl>
    <w:p w14:paraId="293D9EBE" w14:textId="77777777" w:rsidR="004C1093" w:rsidRDefault="004C1093" w:rsidP="004C1093"/>
    <w:p w14:paraId="1A0EA7CF" w14:textId="4A58C93E" w:rsidR="00210383" w:rsidRPr="004C1093" w:rsidRDefault="00210383" w:rsidP="004C1093">
      <w:pPr>
        <w:pStyle w:val="Heading2"/>
      </w:pPr>
      <w:r w:rsidRPr="004C1093">
        <w:lastRenderedPageBreak/>
        <w:t>3.</w:t>
      </w:r>
      <w:r w:rsidR="00DA5713">
        <w:t>3</w:t>
      </w:r>
      <w:r w:rsidRPr="004C1093">
        <w:t xml:space="preserve"> Subacute and non-acute care</w:t>
      </w:r>
    </w:p>
    <w:p w14:paraId="6D7973DD" w14:textId="4B2D3CFE" w:rsidR="00FD4392" w:rsidRDefault="00FD4392" w:rsidP="00FD4392">
      <w:pPr>
        <w:rPr>
          <w:sz w:val="20"/>
          <w:szCs w:val="20"/>
        </w:rPr>
      </w:pPr>
      <w:r w:rsidRPr="00FD4392">
        <w:rPr>
          <w:sz w:val="20"/>
          <w:szCs w:val="20"/>
        </w:rPr>
        <w:t>The Australian National Subacute and Non-Acute Patient Classification (AN-SNAP) is used to price admitted subacute and non-acute services. IHACPA</w:t>
      </w:r>
      <w:r w:rsidR="00F02AAE">
        <w:rPr>
          <w:sz w:val="20"/>
          <w:szCs w:val="20"/>
        </w:rPr>
        <w:t xml:space="preserve"> has</w:t>
      </w:r>
      <w:r w:rsidRPr="00FD4392">
        <w:rPr>
          <w:sz w:val="20"/>
          <w:szCs w:val="20"/>
        </w:rPr>
        <w:t xml:space="preserve"> used AN-SNAP Version 5.0 to price admitted subacute and non-acute services</w:t>
      </w:r>
      <w:r w:rsidR="00A36C40">
        <w:rPr>
          <w:sz w:val="20"/>
          <w:szCs w:val="20"/>
        </w:rPr>
        <w:t xml:space="preserve"> since </w:t>
      </w:r>
      <w:r w:rsidR="00FF3856">
        <w:rPr>
          <w:sz w:val="20"/>
          <w:szCs w:val="20"/>
        </w:rPr>
        <w:t>NEP</w:t>
      </w:r>
      <w:r w:rsidR="003317A1">
        <w:rPr>
          <w:sz w:val="20"/>
          <w:szCs w:val="20"/>
        </w:rPr>
        <w:t xml:space="preserve"> Determination </w:t>
      </w:r>
      <w:r w:rsidR="00FF3856">
        <w:rPr>
          <w:sz w:val="20"/>
          <w:szCs w:val="20"/>
        </w:rPr>
        <w:t>2</w:t>
      </w:r>
      <w:r w:rsidR="003317A1">
        <w:rPr>
          <w:sz w:val="20"/>
          <w:szCs w:val="20"/>
        </w:rPr>
        <w:t>02</w:t>
      </w:r>
      <w:r w:rsidR="00A36C40">
        <w:rPr>
          <w:sz w:val="20"/>
          <w:szCs w:val="20"/>
        </w:rPr>
        <w:t>4</w:t>
      </w:r>
      <w:r w:rsidR="00471C38">
        <w:rPr>
          <w:sz w:val="20"/>
          <w:szCs w:val="20"/>
        </w:rPr>
        <w:t>–25 (NEP24)</w:t>
      </w:r>
      <w:r w:rsidRPr="00FD4392">
        <w:rPr>
          <w:sz w:val="20"/>
          <w:szCs w:val="20"/>
        </w:rPr>
        <w:t>.</w:t>
      </w:r>
    </w:p>
    <w:p w14:paraId="10FFB1B1" w14:textId="2189C493" w:rsidR="00FF3856" w:rsidRDefault="00FA2E47" w:rsidP="005A1BBA">
      <w:pPr>
        <w:rPr>
          <w:sz w:val="20"/>
          <w:szCs w:val="20"/>
        </w:rPr>
      </w:pPr>
      <w:r>
        <w:rPr>
          <w:sz w:val="20"/>
          <w:szCs w:val="20"/>
        </w:rPr>
        <w:t xml:space="preserve">Following stakeholder feedback, </w:t>
      </w:r>
      <w:r w:rsidR="00EB1A17">
        <w:rPr>
          <w:sz w:val="20"/>
          <w:szCs w:val="20"/>
        </w:rPr>
        <w:t xml:space="preserve">IHACPA </w:t>
      </w:r>
      <w:r w:rsidR="00CE14E1">
        <w:rPr>
          <w:sz w:val="20"/>
          <w:szCs w:val="20"/>
        </w:rPr>
        <w:t>is</w:t>
      </w:r>
      <w:r w:rsidR="00EB1A17">
        <w:rPr>
          <w:sz w:val="20"/>
          <w:szCs w:val="20"/>
        </w:rPr>
        <w:t xml:space="preserve"> </w:t>
      </w:r>
      <w:r w:rsidR="00CE14E1">
        <w:rPr>
          <w:sz w:val="20"/>
          <w:szCs w:val="20"/>
        </w:rPr>
        <w:t>investigating</w:t>
      </w:r>
      <w:r w:rsidR="00EB1A17">
        <w:rPr>
          <w:sz w:val="20"/>
          <w:szCs w:val="20"/>
        </w:rPr>
        <w:t xml:space="preserve"> several refinement areas including frailty</w:t>
      </w:r>
      <w:r w:rsidR="00EB2990">
        <w:rPr>
          <w:sz w:val="20"/>
          <w:szCs w:val="20"/>
        </w:rPr>
        <w:t xml:space="preserve"> and</w:t>
      </w:r>
      <w:r w:rsidR="00B0648E">
        <w:rPr>
          <w:sz w:val="20"/>
          <w:szCs w:val="20"/>
        </w:rPr>
        <w:t xml:space="preserve"> patients awaiting </w:t>
      </w:r>
      <w:r w:rsidR="00C862E3">
        <w:rPr>
          <w:sz w:val="20"/>
          <w:szCs w:val="20"/>
        </w:rPr>
        <w:t>aged care or National Disability Insurance Scheme (NDIS) support</w:t>
      </w:r>
      <w:r w:rsidR="00C169D5">
        <w:rPr>
          <w:sz w:val="20"/>
          <w:szCs w:val="20"/>
        </w:rPr>
        <w:t>.</w:t>
      </w:r>
      <w:r w:rsidR="007E6FD0">
        <w:rPr>
          <w:sz w:val="20"/>
          <w:szCs w:val="20"/>
        </w:rPr>
        <w:t xml:space="preserve"> </w:t>
      </w:r>
      <w:r w:rsidR="00A7065C">
        <w:rPr>
          <w:sz w:val="20"/>
          <w:szCs w:val="20"/>
        </w:rPr>
        <w:t>In response</w:t>
      </w:r>
      <w:r w:rsidR="00176B63">
        <w:rPr>
          <w:sz w:val="20"/>
          <w:szCs w:val="20"/>
        </w:rPr>
        <w:t xml:space="preserve"> to the </w:t>
      </w:r>
      <w:r w:rsidR="001D6342">
        <w:rPr>
          <w:sz w:val="20"/>
          <w:szCs w:val="20"/>
        </w:rPr>
        <w:t>consultation paper</w:t>
      </w:r>
      <w:r w:rsidR="00A7065C">
        <w:rPr>
          <w:sz w:val="20"/>
          <w:szCs w:val="20"/>
        </w:rPr>
        <w:t xml:space="preserve">, </w:t>
      </w:r>
      <w:r w:rsidR="007C0171">
        <w:rPr>
          <w:sz w:val="20"/>
          <w:szCs w:val="20"/>
        </w:rPr>
        <w:t>New South Wales (</w:t>
      </w:r>
      <w:r w:rsidR="00A7065C">
        <w:rPr>
          <w:sz w:val="20"/>
          <w:szCs w:val="20"/>
        </w:rPr>
        <w:t>NSW</w:t>
      </w:r>
      <w:r w:rsidR="007C0171">
        <w:rPr>
          <w:sz w:val="20"/>
          <w:szCs w:val="20"/>
        </w:rPr>
        <w:t>)</w:t>
      </w:r>
      <w:r w:rsidR="00AC7BF6">
        <w:rPr>
          <w:sz w:val="20"/>
          <w:szCs w:val="20"/>
        </w:rPr>
        <w:t xml:space="preserve"> and </w:t>
      </w:r>
      <w:r w:rsidR="007C0171">
        <w:rPr>
          <w:sz w:val="20"/>
          <w:szCs w:val="20"/>
        </w:rPr>
        <w:t>South Australia (</w:t>
      </w:r>
      <w:r w:rsidR="00AC7BF6">
        <w:rPr>
          <w:sz w:val="20"/>
          <w:szCs w:val="20"/>
        </w:rPr>
        <w:t>SA</w:t>
      </w:r>
      <w:r w:rsidR="007C0171">
        <w:rPr>
          <w:sz w:val="20"/>
          <w:szCs w:val="20"/>
        </w:rPr>
        <w:t xml:space="preserve">) </w:t>
      </w:r>
      <w:r w:rsidR="009462FF">
        <w:rPr>
          <w:sz w:val="20"/>
          <w:szCs w:val="20"/>
        </w:rPr>
        <w:t>provided</w:t>
      </w:r>
      <w:r w:rsidR="00AC7BF6">
        <w:rPr>
          <w:sz w:val="20"/>
          <w:szCs w:val="20"/>
        </w:rPr>
        <w:t xml:space="preserve"> </w:t>
      </w:r>
      <w:r w:rsidR="009462FF">
        <w:rPr>
          <w:sz w:val="20"/>
          <w:szCs w:val="20"/>
        </w:rPr>
        <w:t>support for refining these areas of the classification.</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2606BB" w:rsidRPr="004C24F6" w14:paraId="02D0DA85" w14:textId="77777777" w:rsidTr="0019067A">
        <w:tc>
          <w:tcPr>
            <w:tcW w:w="851" w:type="dxa"/>
            <w:shd w:val="clear" w:color="auto" w:fill="B5FFE0" w:themeFill="accent4" w:themeFillTint="33"/>
          </w:tcPr>
          <w:p w14:paraId="46D466E4" w14:textId="77777777" w:rsidR="002606BB" w:rsidRPr="004953FE" w:rsidRDefault="002606BB" w:rsidP="0019067A">
            <w:pPr>
              <w:jc w:val="center"/>
              <w:rPr>
                <w:sz w:val="20"/>
                <w:szCs w:val="20"/>
              </w:rPr>
            </w:pPr>
            <w:r w:rsidRPr="004953FE">
              <w:rPr>
                <w:noProof/>
                <w:sz w:val="20"/>
                <w:szCs w:val="20"/>
              </w:rPr>
              <w:drawing>
                <wp:inline distT="0" distB="0" distL="0" distR="0" wp14:anchorId="215BC2DC" wp14:editId="584F41A6">
                  <wp:extent cx="266700" cy="266700"/>
                  <wp:effectExtent l="0" t="0" r="0" b="0"/>
                  <wp:docPr id="450572326" name="Picture 450572326"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5D7C1942" w14:textId="77777777" w:rsidR="002606BB" w:rsidRPr="004953FE" w:rsidRDefault="002606BB" w:rsidP="0019067A">
            <w:pPr>
              <w:pStyle w:val="Heading4"/>
              <w:rPr>
                <w:sz w:val="20"/>
                <w:szCs w:val="20"/>
              </w:rPr>
            </w:pPr>
            <w:r w:rsidRPr="004953FE">
              <w:rPr>
                <w:sz w:val="20"/>
                <w:szCs w:val="20"/>
              </w:rPr>
              <w:t>IHACPA’s decision</w:t>
            </w:r>
          </w:p>
          <w:p w14:paraId="7CE1F069" w14:textId="46D665A7" w:rsidR="002606BB" w:rsidRPr="004953FE" w:rsidRDefault="002606BB" w:rsidP="00E4566C">
            <w:pPr>
              <w:spacing w:after="120"/>
              <w:rPr>
                <w:sz w:val="20"/>
                <w:szCs w:val="20"/>
              </w:rPr>
            </w:pPr>
            <w:r w:rsidRPr="00C900A5">
              <w:rPr>
                <w:sz w:val="20"/>
                <w:szCs w:val="20"/>
              </w:rPr>
              <w:t>For NEP26, IHACPA will continue pricing subacute and non-acute services using AN-SNAP Version 5.0.</w:t>
            </w:r>
          </w:p>
        </w:tc>
      </w:tr>
    </w:tbl>
    <w:p w14:paraId="28AD4BB3" w14:textId="77777777" w:rsidR="009462FF" w:rsidRDefault="009462FF" w:rsidP="005A1BBA">
      <w:pPr>
        <w:rPr>
          <w:sz w:val="20"/>
          <w:szCs w:val="20"/>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9462FF" w:rsidRPr="007C7991" w14:paraId="50BA2D83" w14:textId="77777777" w:rsidTr="00E4566C">
        <w:tc>
          <w:tcPr>
            <w:tcW w:w="851" w:type="dxa"/>
            <w:shd w:val="clear" w:color="auto" w:fill="C1DAF8" w:themeFill="accent2" w:themeFillTint="33"/>
          </w:tcPr>
          <w:p w14:paraId="47AC3CD7" w14:textId="77777777" w:rsidR="009462FF" w:rsidRPr="007C7991" w:rsidRDefault="009462FF" w:rsidP="00E4566C">
            <w:pPr>
              <w:jc w:val="center"/>
              <w:rPr>
                <w:sz w:val="20"/>
                <w:szCs w:val="20"/>
              </w:rPr>
            </w:pPr>
            <w:r w:rsidRPr="007C7991">
              <w:rPr>
                <w:noProof/>
                <w:sz w:val="20"/>
                <w:szCs w:val="20"/>
              </w:rPr>
              <w:drawing>
                <wp:inline distT="0" distB="0" distL="0" distR="0" wp14:anchorId="1170CF90" wp14:editId="2FD77A0A">
                  <wp:extent cx="266700" cy="266700"/>
                  <wp:effectExtent l="0" t="0" r="0" b="0"/>
                  <wp:docPr id="717173685" name="Picture 71717368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1584346E" w14:textId="77777777" w:rsidR="00E4566C" w:rsidRPr="00E4566C" w:rsidRDefault="009462FF" w:rsidP="00E4566C">
            <w:pPr>
              <w:pStyle w:val="Heading4"/>
              <w:rPr>
                <w:sz w:val="20"/>
                <w:szCs w:val="20"/>
              </w:rPr>
            </w:pPr>
            <w:r w:rsidRPr="00E4566C">
              <w:rPr>
                <w:sz w:val="20"/>
                <w:szCs w:val="20"/>
              </w:rPr>
              <w:t>Next steps and future work</w:t>
            </w:r>
          </w:p>
          <w:p w14:paraId="597DF8AF" w14:textId="274B7996" w:rsidR="009462FF" w:rsidRPr="007C7991" w:rsidRDefault="009462FF" w:rsidP="00E4566C">
            <w:pPr>
              <w:spacing w:after="120"/>
              <w:rPr>
                <w:sz w:val="20"/>
                <w:szCs w:val="20"/>
              </w:rPr>
            </w:pPr>
            <w:r w:rsidRPr="009462FF">
              <w:rPr>
                <w:sz w:val="20"/>
                <w:szCs w:val="20"/>
              </w:rPr>
              <w:t xml:space="preserve">IHACPA will continue the </w:t>
            </w:r>
            <w:r w:rsidR="00892B50">
              <w:rPr>
                <w:sz w:val="20"/>
                <w:szCs w:val="20"/>
              </w:rPr>
              <w:t xml:space="preserve">refinement </w:t>
            </w:r>
            <w:r w:rsidRPr="009462FF">
              <w:rPr>
                <w:sz w:val="20"/>
                <w:szCs w:val="20"/>
              </w:rPr>
              <w:t xml:space="preserve">of AN-SNAP, including a review of </w:t>
            </w:r>
            <w:r w:rsidR="00892B50">
              <w:rPr>
                <w:sz w:val="20"/>
                <w:szCs w:val="20"/>
              </w:rPr>
              <w:t>frailty measures</w:t>
            </w:r>
            <w:r w:rsidRPr="009462FF">
              <w:rPr>
                <w:sz w:val="20"/>
                <w:szCs w:val="20"/>
              </w:rPr>
              <w:t xml:space="preserve"> and treatment of maintenance care patients awaiting aged care </w:t>
            </w:r>
            <w:r w:rsidR="00C73E05" w:rsidRPr="009462FF">
              <w:rPr>
                <w:sz w:val="20"/>
                <w:szCs w:val="20"/>
              </w:rPr>
              <w:t>o</w:t>
            </w:r>
            <w:r w:rsidR="00C73E05">
              <w:rPr>
                <w:sz w:val="20"/>
                <w:szCs w:val="20"/>
              </w:rPr>
              <w:t>r</w:t>
            </w:r>
            <w:r w:rsidR="00C73E05" w:rsidRPr="009462FF">
              <w:rPr>
                <w:sz w:val="20"/>
                <w:szCs w:val="20"/>
              </w:rPr>
              <w:t xml:space="preserve"> </w:t>
            </w:r>
            <w:r w:rsidRPr="009462FF">
              <w:rPr>
                <w:sz w:val="20"/>
                <w:szCs w:val="20"/>
              </w:rPr>
              <w:t xml:space="preserve">NDIS support. </w:t>
            </w:r>
          </w:p>
        </w:tc>
      </w:tr>
    </w:tbl>
    <w:p w14:paraId="4133220B" w14:textId="6A20C78A" w:rsidR="00F64CC0" w:rsidRDefault="00F64CC0" w:rsidP="00E4566C">
      <w:pPr>
        <w:pStyle w:val="Heading2"/>
        <w:spacing w:before="240"/>
      </w:pPr>
      <w:r>
        <w:t>3.</w:t>
      </w:r>
      <w:r w:rsidR="00DA5713">
        <w:t>4</w:t>
      </w:r>
      <w:r>
        <w:t xml:space="preserve"> Emergency care</w:t>
      </w:r>
    </w:p>
    <w:p w14:paraId="57244D8E" w14:textId="4318D402" w:rsidR="00096469" w:rsidRPr="00C900A5" w:rsidRDefault="00096469" w:rsidP="00C900A5">
      <w:pPr>
        <w:pStyle w:val="Heading3"/>
        <w:rPr>
          <w:b w:val="0"/>
          <w:iCs/>
          <w:lang w:val="en-PH"/>
        </w:rPr>
      </w:pPr>
      <w:r w:rsidRPr="00C900A5">
        <w:rPr>
          <w:iCs/>
          <w:color w:val="15272F" w:themeColor="text1"/>
          <w:sz w:val="22"/>
          <w:szCs w:val="22"/>
          <w:lang w:val="en-PH"/>
        </w:rPr>
        <w:t>Australian Emergency Care Classification</w:t>
      </w:r>
      <w:r w:rsidR="00B71C66">
        <w:rPr>
          <w:iCs/>
          <w:color w:val="15272F" w:themeColor="text1"/>
          <w:sz w:val="22"/>
          <w:szCs w:val="22"/>
          <w:lang w:val="en-PH"/>
        </w:rPr>
        <w:t xml:space="preserve"> (AECC)</w:t>
      </w:r>
    </w:p>
    <w:p w14:paraId="733F07B9" w14:textId="3C144557" w:rsidR="007C0171" w:rsidRPr="002A72D4" w:rsidRDefault="00B71C66" w:rsidP="007C0171">
      <w:r w:rsidRPr="00FA0B8F">
        <w:rPr>
          <w:sz w:val="20"/>
          <w:szCs w:val="20"/>
        </w:rPr>
        <w:t>The AECC Version 1.1 was implemented from 1 July 2025</w:t>
      </w:r>
      <w:r w:rsidR="007C0171" w:rsidRPr="00FA0B8F">
        <w:rPr>
          <w:sz w:val="20"/>
          <w:szCs w:val="20"/>
        </w:rPr>
        <w:t xml:space="preserve"> f</w:t>
      </w:r>
      <w:r w:rsidR="002715C7" w:rsidRPr="00FA0B8F">
        <w:rPr>
          <w:sz w:val="20"/>
          <w:szCs w:val="20"/>
        </w:rPr>
        <w:t>ollowing</w:t>
      </w:r>
      <w:r w:rsidR="00925499" w:rsidRPr="00FA0B8F">
        <w:rPr>
          <w:sz w:val="20"/>
          <w:szCs w:val="20"/>
        </w:rPr>
        <w:t xml:space="preserve"> consultation with its working groups and advisory committees</w:t>
      </w:r>
      <w:r w:rsidR="000409BB" w:rsidRPr="00FA0B8F">
        <w:rPr>
          <w:sz w:val="20"/>
          <w:szCs w:val="20"/>
        </w:rPr>
        <w:t>.</w:t>
      </w:r>
      <w:r w:rsidR="008C2F0E" w:rsidRPr="00FA0B8F">
        <w:rPr>
          <w:sz w:val="20"/>
          <w:szCs w:val="20"/>
        </w:rPr>
        <w:t xml:space="preserve"> </w:t>
      </w:r>
      <w:r w:rsidR="000409BB" w:rsidRPr="00FA0B8F">
        <w:rPr>
          <w:sz w:val="20"/>
          <w:szCs w:val="20"/>
        </w:rPr>
        <w:t>Consistent with all classifications, the AECC will undergo a regular cycle of refinement</w:t>
      </w:r>
      <w:r w:rsidR="007C0171" w:rsidRPr="00FA0B8F">
        <w:rPr>
          <w:sz w:val="20"/>
          <w:szCs w:val="20"/>
        </w:rPr>
        <w:t xml:space="preserve"> </w:t>
      </w:r>
      <w:r w:rsidR="000409BB" w:rsidRPr="00FA0B8F">
        <w:rPr>
          <w:sz w:val="20"/>
          <w:szCs w:val="20"/>
        </w:rPr>
        <w:t>in the future.</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A71A0A" w:rsidRPr="004C24F6" w14:paraId="3D8C9658" w14:textId="77777777" w:rsidTr="00A13ECA">
        <w:tc>
          <w:tcPr>
            <w:tcW w:w="851" w:type="dxa"/>
            <w:shd w:val="clear" w:color="auto" w:fill="B5FFE0" w:themeFill="accent4" w:themeFillTint="33"/>
          </w:tcPr>
          <w:p w14:paraId="4DD5D088" w14:textId="77777777" w:rsidR="00A71A0A" w:rsidRPr="004953FE" w:rsidRDefault="00A71A0A" w:rsidP="00E4566C">
            <w:pPr>
              <w:jc w:val="center"/>
              <w:rPr>
                <w:sz w:val="20"/>
                <w:szCs w:val="20"/>
              </w:rPr>
            </w:pPr>
            <w:r w:rsidRPr="004953FE">
              <w:rPr>
                <w:noProof/>
                <w:sz w:val="20"/>
                <w:szCs w:val="20"/>
              </w:rPr>
              <w:drawing>
                <wp:inline distT="0" distB="0" distL="0" distR="0" wp14:anchorId="557085C9" wp14:editId="58C9455D">
                  <wp:extent cx="266700" cy="266700"/>
                  <wp:effectExtent l="0" t="0" r="0" b="0"/>
                  <wp:docPr id="1669989707" name="Picture 1669989707"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59C73D55" w14:textId="77777777" w:rsidR="00A71A0A" w:rsidRPr="004953FE" w:rsidRDefault="00A71A0A" w:rsidP="00A71A0A">
            <w:pPr>
              <w:pStyle w:val="Heading4"/>
              <w:rPr>
                <w:sz w:val="20"/>
                <w:szCs w:val="20"/>
              </w:rPr>
            </w:pPr>
            <w:r w:rsidRPr="004953FE">
              <w:rPr>
                <w:sz w:val="20"/>
                <w:szCs w:val="20"/>
              </w:rPr>
              <w:t>IHACPA’s decision</w:t>
            </w:r>
          </w:p>
          <w:p w14:paraId="0DCAF102" w14:textId="4B88C2B7" w:rsidR="00A71A0A" w:rsidRPr="004953FE" w:rsidRDefault="00A71A0A" w:rsidP="00E4566C">
            <w:pPr>
              <w:rPr>
                <w:sz w:val="20"/>
                <w:szCs w:val="20"/>
              </w:rPr>
            </w:pPr>
            <w:r>
              <w:rPr>
                <w:sz w:val="20"/>
                <w:szCs w:val="20"/>
              </w:rPr>
              <w:t>For NEP26, IHACPA will continue to price emergency department (ED) activities using the AECC Version 1.1.</w:t>
            </w:r>
          </w:p>
        </w:tc>
      </w:tr>
    </w:tbl>
    <w:p w14:paraId="08E21E58" w14:textId="0CACAE28" w:rsidR="001959D6" w:rsidRPr="00C900A5" w:rsidRDefault="00624BE3" w:rsidP="00E4566C">
      <w:pPr>
        <w:pStyle w:val="Heading3"/>
        <w:spacing w:before="160"/>
        <w:rPr>
          <w:b w:val="0"/>
          <w:iCs/>
          <w:lang w:val="en-PH"/>
        </w:rPr>
      </w:pPr>
      <w:r w:rsidRPr="00C900A5">
        <w:rPr>
          <w:iCs/>
          <w:color w:val="15272F" w:themeColor="text1"/>
          <w:sz w:val="22"/>
          <w:szCs w:val="22"/>
          <w:lang w:val="en-PH"/>
        </w:rPr>
        <w:t>Pricing emergency services</w:t>
      </w:r>
    </w:p>
    <w:p w14:paraId="6B240362" w14:textId="5F86A3E8" w:rsidR="001965B6" w:rsidRDefault="008E4E60" w:rsidP="00253211">
      <w:pPr>
        <w:rPr>
          <w:sz w:val="20"/>
          <w:szCs w:val="20"/>
        </w:rPr>
      </w:pPr>
      <w:r>
        <w:rPr>
          <w:sz w:val="20"/>
          <w:szCs w:val="20"/>
        </w:rPr>
        <w:t>Urgency Disposition Groups (</w:t>
      </w:r>
      <w:r w:rsidR="00463093" w:rsidRPr="00463093">
        <w:rPr>
          <w:sz w:val="20"/>
          <w:szCs w:val="20"/>
        </w:rPr>
        <w:t>UDGs</w:t>
      </w:r>
      <w:r>
        <w:rPr>
          <w:sz w:val="20"/>
          <w:szCs w:val="20"/>
        </w:rPr>
        <w:t>)</w:t>
      </w:r>
      <w:r w:rsidR="00463093" w:rsidRPr="00463093">
        <w:rPr>
          <w:sz w:val="20"/>
          <w:szCs w:val="20"/>
        </w:rPr>
        <w:t xml:space="preserve"> are used to group emergency service presentations using aggregate level data, namely: type of visit, episode end status and triage.</w:t>
      </w:r>
      <w:r w:rsidR="00186E5A">
        <w:rPr>
          <w:sz w:val="20"/>
          <w:szCs w:val="20"/>
        </w:rPr>
        <w:t xml:space="preserve"> </w:t>
      </w:r>
      <w:r w:rsidR="00D74788">
        <w:rPr>
          <w:sz w:val="20"/>
          <w:szCs w:val="20"/>
        </w:rPr>
        <w:t>E</w:t>
      </w:r>
      <w:r w:rsidR="00D74788" w:rsidRPr="00D74788">
        <w:rPr>
          <w:sz w:val="20"/>
          <w:szCs w:val="20"/>
        </w:rPr>
        <w:t xml:space="preserve">ven though the </w:t>
      </w:r>
      <w:r w:rsidR="00D74788">
        <w:rPr>
          <w:sz w:val="20"/>
          <w:szCs w:val="20"/>
        </w:rPr>
        <w:t xml:space="preserve">AECC </w:t>
      </w:r>
      <w:r w:rsidR="00D74788" w:rsidRPr="00D74788">
        <w:rPr>
          <w:sz w:val="20"/>
          <w:szCs w:val="20"/>
        </w:rPr>
        <w:t xml:space="preserve">has become the primary method for classifying </w:t>
      </w:r>
      <w:r w:rsidR="00572EA0">
        <w:rPr>
          <w:sz w:val="20"/>
          <w:szCs w:val="20"/>
        </w:rPr>
        <w:t>ED</w:t>
      </w:r>
      <w:r w:rsidR="00D74788" w:rsidRPr="00D74788">
        <w:rPr>
          <w:sz w:val="20"/>
          <w:szCs w:val="20"/>
        </w:rPr>
        <w:t xml:space="preserve"> presentations</w:t>
      </w:r>
      <w:r w:rsidR="00B61949">
        <w:rPr>
          <w:sz w:val="20"/>
          <w:szCs w:val="20"/>
        </w:rPr>
        <w:t>,</w:t>
      </w:r>
      <w:r w:rsidR="00253211" w:rsidRPr="00253211">
        <w:t xml:space="preserve"> </w:t>
      </w:r>
      <w:r w:rsidR="00D74788">
        <w:rPr>
          <w:sz w:val="20"/>
          <w:szCs w:val="20"/>
        </w:rPr>
        <w:t>UDGs</w:t>
      </w:r>
      <w:r w:rsidR="00D74788" w:rsidRPr="00D74788">
        <w:rPr>
          <w:sz w:val="20"/>
          <w:szCs w:val="20"/>
        </w:rPr>
        <w:t xml:space="preserve"> are still used in specific situations within the Australian hospital pricing system</w:t>
      </w:r>
      <w:r w:rsidR="00B61949">
        <w:rPr>
          <w:sz w:val="20"/>
          <w:szCs w:val="20"/>
        </w:rPr>
        <w:t xml:space="preserve">. </w:t>
      </w:r>
      <w:r w:rsidR="00D74788" w:rsidRPr="00D74788">
        <w:rPr>
          <w:sz w:val="20"/>
          <w:szCs w:val="20"/>
        </w:rPr>
        <w:t xml:space="preserve">UDGs are mainly applied when emergency care is delivered outside of traditional </w:t>
      </w:r>
      <w:r w:rsidR="00572EA0">
        <w:rPr>
          <w:sz w:val="20"/>
          <w:szCs w:val="20"/>
        </w:rPr>
        <w:t>ED</w:t>
      </w:r>
      <w:r w:rsidR="00B47F2B">
        <w:rPr>
          <w:sz w:val="20"/>
          <w:szCs w:val="20"/>
        </w:rPr>
        <w:t xml:space="preserve"> </w:t>
      </w:r>
      <w:r w:rsidR="00D74788" w:rsidRPr="00D74788">
        <w:rPr>
          <w:sz w:val="20"/>
          <w:szCs w:val="20"/>
        </w:rPr>
        <w:t>setting</w:t>
      </w:r>
      <w:r w:rsidR="00B61949">
        <w:rPr>
          <w:sz w:val="20"/>
          <w:szCs w:val="20"/>
        </w:rPr>
        <w:t xml:space="preserve">s, </w:t>
      </w:r>
      <w:r w:rsidR="00D74788" w:rsidRPr="00D74788">
        <w:rPr>
          <w:sz w:val="20"/>
          <w:szCs w:val="20"/>
        </w:rPr>
        <w:t>such as in urgent care clinics or smaller facilities</w:t>
      </w:r>
      <w:r w:rsidR="00B61949">
        <w:rPr>
          <w:sz w:val="20"/>
          <w:szCs w:val="20"/>
        </w:rPr>
        <w:t xml:space="preserve">, </w:t>
      </w:r>
      <w:r w:rsidR="00D74788" w:rsidRPr="00D74788">
        <w:rPr>
          <w:sz w:val="20"/>
          <w:szCs w:val="20"/>
        </w:rPr>
        <w:t xml:space="preserve">where the AECC may not be suitable. Additionally, UDGs remain in use at facilities that </w:t>
      </w:r>
      <w:r w:rsidR="00DF005B" w:rsidRPr="00D74788">
        <w:rPr>
          <w:sz w:val="20"/>
          <w:szCs w:val="20"/>
        </w:rPr>
        <w:t>have</w:t>
      </w:r>
      <w:r w:rsidR="00DF005B">
        <w:rPr>
          <w:sz w:val="20"/>
          <w:szCs w:val="20"/>
        </w:rPr>
        <w:t xml:space="preserve"> not</w:t>
      </w:r>
      <w:r w:rsidR="00DF005B" w:rsidRPr="00D74788">
        <w:rPr>
          <w:sz w:val="20"/>
          <w:szCs w:val="20"/>
        </w:rPr>
        <w:t xml:space="preserve"> </w:t>
      </w:r>
      <w:r w:rsidR="00D74788" w:rsidRPr="00D74788">
        <w:rPr>
          <w:sz w:val="20"/>
          <w:szCs w:val="20"/>
        </w:rPr>
        <w:t>yet transitioned to the AECC system. They also serve as a fallback classification when episodes contain missing or invalid data, which would prevent accurate AECC grouping.</w:t>
      </w:r>
      <w:r w:rsidR="00B47F2B">
        <w:rPr>
          <w:sz w:val="20"/>
          <w:szCs w:val="20"/>
        </w:rPr>
        <w:t xml:space="preserve">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0E4E36" w:rsidRPr="004C24F6" w14:paraId="7B40A948" w14:textId="77777777" w:rsidTr="0019067A">
        <w:tc>
          <w:tcPr>
            <w:tcW w:w="851" w:type="dxa"/>
            <w:shd w:val="clear" w:color="auto" w:fill="B5FFE0" w:themeFill="accent4" w:themeFillTint="33"/>
          </w:tcPr>
          <w:p w14:paraId="7D09A936" w14:textId="77777777" w:rsidR="000E4E36" w:rsidRPr="004953FE" w:rsidRDefault="000E4E36" w:rsidP="0019067A">
            <w:pPr>
              <w:jc w:val="center"/>
              <w:rPr>
                <w:sz w:val="20"/>
                <w:szCs w:val="20"/>
              </w:rPr>
            </w:pPr>
            <w:r w:rsidRPr="004953FE">
              <w:rPr>
                <w:noProof/>
                <w:sz w:val="20"/>
                <w:szCs w:val="20"/>
              </w:rPr>
              <w:lastRenderedPageBreak/>
              <w:drawing>
                <wp:inline distT="0" distB="0" distL="0" distR="0" wp14:anchorId="7AAB2CA8" wp14:editId="13DD32D4">
                  <wp:extent cx="266700" cy="266700"/>
                  <wp:effectExtent l="0" t="0" r="0" b="0"/>
                  <wp:docPr id="1536314944" name="Picture 1536314944"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76AD7D31" w14:textId="77777777" w:rsidR="000E4E36" w:rsidRPr="004953FE" w:rsidRDefault="000E4E36" w:rsidP="0019067A">
            <w:pPr>
              <w:pStyle w:val="Heading4"/>
              <w:rPr>
                <w:sz w:val="20"/>
                <w:szCs w:val="20"/>
              </w:rPr>
            </w:pPr>
            <w:r w:rsidRPr="004953FE">
              <w:rPr>
                <w:sz w:val="20"/>
                <w:szCs w:val="20"/>
              </w:rPr>
              <w:t>IHACPA’s decision</w:t>
            </w:r>
          </w:p>
          <w:p w14:paraId="78A8B550" w14:textId="735C8663" w:rsidR="000E4E36" w:rsidRPr="004953FE" w:rsidRDefault="000E4E36" w:rsidP="00E4566C">
            <w:pPr>
              <w:spacing w:after="120"/>
              <w:rPr>
                <w:sz w:val="20"/>
                <w:szCs w:val="20"/>
              </w:rPr>
            </w:pPr>
            <w:r>
              <w:rPr>
                <w:sz w:val="20"/>
                <w:szCs w:val="20"/>
              </w:rPr>
              <w:t xml:space="preserve">For NEP26, IHACPA will </w:t>
            </w:r>
            <w:r w:rsidR="00B245C9">
              <w:rPr>
                <w:sz w:val="20"/>
                <w:szCs w:val="20"/>
              </w:rPr>
              <w:t xml:space="preserve">continue to </w:t>
            </w:r>
            <w:r>
              <w:rPr>
                <w:sz w:val="20"/>
                <w:szCs w:val="20"/>
              </w:rPr>
              <w:t>us</w:t>
            </w:r>
            <w:r w:rsidR="00B47B91">
              <w:rPr>
                <w:sz w:val="20"/>
                <w:szCs w:val="20"/>
              </w:rPr>
              <w:t>e</w:t>
            </w:r>
            <w:r>
              <w:rPr>
                <w:sz w:val="20"/>
                <w:szCs w:val="20"/>
              </w:rPr>
              <w:t xml:space="preserve"> the UDG Version 1.3 to price emergency services.</w:t>
            </w:r>
          </w:p>
        </w:tc>
      </w:tr>
    </w:tbl>
    <w:p w14:paraId="7AF053BA" w14:textId="0693E94E" w:rsidR="008E3873" w:rsidRDefault="008E3873" w:rsidP="00E4566C">
      <w:pPr>
        <w:pStyle w:val="Heading2"/>
        <w:spacing w:before="240"/>
      </w:pPr>
      <w:r>
        <w:t>3.</w:t>
      </w:r>
      <w:r w:rsidR="00DA5713">
        <w:t>5</w:t>
      </w:r>
      <w:r>
        <w:t xml:space="preserve"> Non-admitted care </w:t>
      </w:r>
    </w:p>
    <w:p w14:paraId="6B068F94" w14:textId="736A0596" w:rsidR="00F21FEE" w:rsidRPr="00125948" w:rsidRDefault="00235649" w:rsidP="000E27AF">
      <w:pPr>
        <w:rPr>
          <w:sz w:val="20"/>
          <w:szCs w:val="20"/>
        </w:rPr>
      </w:pPr>
      <w:r w:rsidRPr="00235649">
        <w:rPr>
          <w:sz w:val="20"/>
          <w:szCs w:val="20"/>
        </w:rPr>
        <w:t>The Tier 2 Non-Admitted Services Classification (Tier 2) is the existing classification system used to price non-admitted</w:t>
      </w:r>
      <w:r w:rsidR="00041AC0">
        <w:rPr>
          <w:sz w:val="20"/>
          <w:szCs w:val="20"/>
        </w:rPr>
        <w:t xml:space="preserve"> patient</w:t>
      </w:r>
      <w:r w:rsidRPr="00235649">
        <w:rPr>
          <w:sz w:val="20"/>
          <w:szCs w:val="20"/>
        </w:rPr>
        <w:t xml:space="preserve"> services.</w:t>
      </w:r>
      <w:r w:rsidR="001A1AE7">
        <w:rPr>
          <w:sz w:val="20"/>
          <w:szCs w:val="20"/>
        </w:rPr>
        <w:t xml:space="preserve"> </w:t>
      </w:r>
      <w:r w:rsidR="00626643">
        <w:rPr>
          <w:sz w:val="20"/>
          <w:szCs w:val="20"/>
        </w:rPr>
        <w:t>Tier 2</w:t>
      </w:r>
      <w:r w:rsidR="00864C35">
        <w:rPr>
          <w:sz w:val="20"/>
          <w:szCs w:val="20"/>
        </w:rPr>
        <w:t xml:space="preserve"> Version 9.1 was implemented from 1 July 2025.</w:t>
      </w:r>
    </w:p>
    <w:p w14:paraId="06DCC97F" w14:textId="473DDC6A" w:rsidR="0024401C" w:rsidRPr="008F4D5F" w:rsidRDefault="00251AA3" w:rsidP="00D8210A">
      <w:pPr>
        <w:rPr>
          <w:rFonts w:cs="Arial"/>
          <w:sz w:val="20"/>
          <w:szCs w:val="20"/>
        </w:rPr>
      </w:pPr>
      <w:r w:rsidRPr="00251AA3">
        <w:rPr>
          <w:sz w:val="20"/>
          <w:szCs w:val="20"/>
        </w:rPr>
        <w:t xml:space="preserve">IHACPA </w:t>
      </w:r>
      <w:r w:rsidR="00EB2990">
        <w:rPr>
          <w:sz w:val="20"/>
          <w:szCs w:val="20"/>
        </w:rPr>
        <w:t xml:space="preserve">undertakes an ongoing classification refinement program for Tier 2 </w:t>
      </w:r>
      <w:r w:rsidRPr="00251AA3">
        <w:rPr>
          <w:sz w:val="20"/>
          <w:szCs w:val="20"/>
        </w:rPr>
        <w:t xml:space="preserve">to ensure </w:t>
      </w:r>
      <w:r w:rsidR="00EB2990">
        <w:rPr>
          <w:sz w:val="20"/>
          <w:szCs w:val="20"/>
        </w:rPr>
        <w:t xml:space="preserve">its </w:t>
      </w:r>
      <w:r w:rsidRPr="00251AA3">
        <w:rPr>
          <w:sz w:val="20"/>
          <w:szCs w:val="20"/>
        </w:rPr>
        <w:t>relevancy for ABF purposes</w:t>
      </w:r>
      <w:r w:rsidR="002B5436">
        <w:rPr>
          <w:sz w:val="20"/>
          <w:szCs w:val="20"/>
        </w:rPr>
        <w:t>.</w:t>
      </w:r>
      <w:r w:rsidR="003A4160">
        <w:rPr>
          <w:sz w:val="20"/>
          <w:szCs w:val="20"/>
        </w:rPr>
        <w:t xml:space="preserve"> </w:t>
      </w:r>
      <w:r w:rsidR="005D4D7B" w:rsidRPr="005D4D7B">
        <w:rPr>
          <w:sz w:val="20"/>
          <w:szCs w:val="20"/>
        </w:rPr>
        <w:t xml:space="preserve">In response to the </w:t>
      </w:r>
      <w:r w:rsidR="001D6342">
        <w:rPr>
          <w:sz w:val="20"/>
          <w:szCs w:val="20"/>
        </w:rPr>
        <w:t>c</w:t>
      </w:r>
      <w:r w:rsidR="001D6342" w:rsidRPr="005D4D7B">
        <w:rPr>
          <w:sz w:val="20"/>
          <w:szCs w:val="20"/>
        </w:rPr>
        <w:t xml:space="preserve">onsultation </w:t>
      </w:r>
      <w:r w:rsidR="001D6342">
        <w:rPr>
          <w:sz w:val="20"/>
          <w:szCs w:val="20"/>
        </w:rPr>
        <w:t>p</w:t>
      </w:r>
      <w:r w:rsidR="001D6342" w:rsidRPr="005D4D7B">
        <w:rPr>
          <w:sz w:val="20"/>
          <w:szCs w:val="20"/>
        </w:rPr>
        <w:t>aper</w:t>
      </w:r>
      <w:r w:rsidR="005D4D7B">
        <w:rPr>
          <w:sz w:val="20"/>
          <w:szCs w:val="20"/>
        </w:rPr>
        <w:t>, stakeholders</w:t>
      </w:r>
      <w:r w:rsidR="00A025F7">
        <w:rPr>
          <w:sz w:val="20"/>
          <w:szCs w:val="20"/>
        </w:rPr>
        <w:t xml:space="preserve"> proposed a range of refinement areas to Tier 2</w:t>
      </w:r>
      <w:r w:rsidR="00FB110F">
        <w:rPr>
          <w:sz w:val="20"/>
          <w:szCs w:val="20"/>
        </w:rPr>
        <w:t xml:space="preserve">. These included </w:t>
      </w:r>
      <w:r w:rsidR="004F7FCB">
        <w:rPr>
          <w:sz w:val="20"/>
          <w:szCs w:val="20"/>
        </w:rPr>
        <w:t>new or revised Tier 2 classes, support for innovative or multidisciplinary models, adjustments for complexity and setting</w:t>
      </w:r>
      <w:r w:rsidR="00CA03C0">
        <w:rPr>
          <w:sz w:val="20"/>
          <w:szCs w:val="20"/>
        </w:rPr>
        <w:t>,</w:t>
      </w:r>
      <w:r w:rsidR="00767ADB">
        <w:rPr>
          <w:sz w:val="20"/>
          <w:szCs w:val="20"/>
        </w:rPr>
        <w:t xml:space="preserve"> and</w:t>
      </w:r>
      <w:r w:rsidR="004F7FCB">
        <w:rPr>
          <w:sz w:val="20"/>
          <w:szCs w:val="20"/>
        </w:rPr>
        <w:t xml:space="preserve"> definition and structural improvements</w:t>
      </w:r>
      <w:r w:rsidR="00767ADB">
        <w:rPr>
          <w:sz w:val="20"/>
          <w:szCs w:val="20"/>
        </w:rPr>
        <w:t xml:space="preserve">. </w:t>
      </w:r>
      <w:r w:rsidR="005F43A8" w:rsidRPr="005F43A8">
        <w:rPr>
          <w:rFonts w:cs="Arial"/>
          <w:sz w:val="20"/>
          <w:szCs w:val="20"/>
        </w:rPr>
        <w:t>Further information is available in the consultation report.</w:t>
      </w:r>
    </w:p>
    <w:p w14:paraId="441CD4EC" w14:textId="59F33EF6" w:rsidR="00DC3D18" w:rsidRDefault="00DC3D18" w:rsidP="00D8210A">
      <w:pPr>
        <w:rPr>
          <w:sz w:val="20"/>
          <w:szCs w:val="20"/>
        </w:rPr>
      </w:pPr>
      <w:r>
        <w:rPr>
          <w:sz w:val="20"/>
          <w:szCs w:val="20"/>
        </w:rPr>
        <w:t xml:space="preserve">In </w:t>
      </w:r>
      <w:r w:rsidR="00344AB0">
        <w:rPr>
          <w:sz w:val="20"/>
          <w:szCs w:val="20"/>
        </w:rPr>
        <w:t>response to the</w:t>
      </w:r>
      <w:r>
        <w:rPr>
          <w:sz w:val="20"/>
          <w:szCs w:val="20"/>
        </w:rPr>
        <w:t xml:space="preserve"> </w:t>
      </w:r>
      <w:r w:rsidR="001D6342">
        <w:rPr>
          <w:sz w:val="20"/>
          <w:szCs w:val="20"/>
        </w:rPr>
        <w:t>consultation paper</w:t>
      </w:r>
      <w:r>
        <w:rPr>
          <w:sz w:val="20"/>
          <w:szCs w:val="20"/>
        </w:rPr>
        <w:t xml:space="preserve">, </w:t>
      </w:r>
      <w:r w:rsidR="009E4B5E">
        <w:rPr>
          <w:sz w:val="20"/>
          <w:szCs w:val="20"/>
        </w:rPr>
        <w:t xml:space="preserve">stakeholders provided general support for the </w:t>
      </w:r>
      <w:r w:rsidR="00D471C9">
        <w:rPr>
          <w:sz w:val="20"/>
          <w:szCs w:val="20"/>
        </w:rPr>
        <w:t xml:space="preserve">proposed </w:t>
      </w:r>
      <w:r w:rsidR="009E4B5E">
        <w:rPr>
          <w:sz w:val="20"/>
          <w:szCs w:val="20"/>
        </w:rPr>
        <w:t>introduction and pricing of</w:t>
      </w:r>
      <w:r w:rsidR="00610273">
        <w:rPr>
          <w:sz w:val="20"/>
          <w:szCs w:val="20"/>
        </w:rPr>
        <w:t xml:space="preserve"> </w:t>
      </w:r>
      <w:r w:rsidR="009E4B5E">
        <w:rPr>
          <w:sz w:val="20"/>
          <w:szCs w:val="20"/>
        </w:rPr>
        <w:t>Tier 2 class</w:t>
      </w:r>
      <w:r w:rsidR="00610273">
        <w:rPr>
          <w:sz w:val="20"/>
          <w:szCs w:val="20"/>
        </w:rPr>
        <w:t>es</w:t>
      </w:r>
      <w:r w:rsidR="009E4B5E">
        <w:rPr>
          <w:sz w:val="20"/>
          <w:szCs w:val="20"/>
        </w:rPr>
        <w:t xml:space="preserve"> for </w:t>
      </w:r>
      <w:r w:rsidR="008808DB">
        <w:rPr>
          <w:sz w:val="20"/>
          <w:szCs w:val="20"/>
        </w:rPr>
        <w:t xml:space="preserve">hospital based </w:t>
      </w:r>
      <w:r w:rsidR="00FF7C85">
        <w:rPr>
          <w:sz w:val="20"/>
          <w:szCs w:val="20"/>
        </w:rPr>
        <w:t xml:space="preserve">voluntary assisted dying </w:t>
      </w:r>
      <w:r w:rsidR="00755E22">
        <w:rPr>
          <w:sz w:val="20"/>
          <w:szCs w:val="20"/>
        </w:rPr>
        <w:t>(VAD)</w:t>
      </w:r>
      <w:r w:rsidR="009E4B5E">
        <w:rPr>
          <w:sz w:val="20"/>
          <w:szCs w:val="20"/>
        </w:rPr>
        <w:t xml:space="preserve"> services. They </w:t>
      </w:r>
      <w:r w:rsidR="00E34495">
        <w:rPr>
          <w:sz w:val="20"/>
          <w:szCs w:val="20"/>
        </w:rPr>
        <w:t xml:space="preserve">outlined </w:t>
      </w:r>
      <w:r w:rsidR="00ED2C96">
        <w:rPr>
          <w:sz w:val="20"/>
          <w:szCs w:val="20"/>
        </w:rPr>
        <w:t>several</w:t>
      </w:r>
      <w:r w:rsidR="001E28F6">
        <w:rPr>
          <w:sz w:val="20"/>
          <w:szCs w:val="20"/>
        </w:rPr>
        <w:t xml:space="preserve"> </w:t>
      </w:r>
      <w:r w:rsidR="008910E7">
        <w:rPr>
          <w:sz w:val="20"/>
          <w:szCs w:val="20"/>
        </w:rPr>
        <w:t xml:space="preserve">key considerations </w:t>
      </w:r>
      <w:r w:rsidR="001D6483">
        <w:rPr>
          <w:sz w:val="20"/>
          <w:szCs w:val="20"/>
        </w:rPr>
        <w:t>t</w:t>
      </w:r>
      <w:r w:rsidR="009E4B5E">
        <w:rPr>
          <w:sz w:val="20"/>
          <w:szCs w:val="20"/>
        </w:rPr>
        <w:t xml:space="preserve">o inform </w:t>
      </w:r>
      <w:r w:rsidR="00BE088D">
        <w:rPr>
          <w:sz w:val="20"/>
          <w:szCs w:val="20"/>
        </w:rPr>
        <w:t>their</w:t>
      </w:r>
      <w:r w:rsidR="009E4B5E">
        <w:rPr>
          <w:sz w:val="20"/>
          <w:szCs w:val="20"/>
        </w:rPr>
        <w:t xml:space="preserve"> development</w:t>
      </w:r>
      <w:r w:rsidR="00ED2C96">
        <w:rPr>
          <w:sz w:val="20"/>
          <w:szCs w:val="20"/>
        </w:rPr>
        <w:t xml:space="preserve">. These included the </w:t>
      </w:r>
      <w:r w:rsidR="00344AB0">
        <w:rPr>
          <w:sz w:val="20"/>
          <w:szCs w:val="20"/>
        </w:rPr>
        <w:t xml:space="preserve">specialised, resource intensive and multidisciplinary </w:t>
      </w:r>
      <w:r w:rsidR="00ED2C96">
        <w:rPr>
          <w:sz w:val="20"/>
          <w:szCs w:val="20"/>
        </w:rPr>
        <w:t xml:space="preserve">nature of VAD services, </w:t>
      </w:r>
      <w:r w:rsidR="00881540">
        <w:rPr>
          <w:sz w:val="20"/>
          <w:szCs w:val="20"/>
        </w:rPr>
        <w:t xml:space="preserve">the </w:t>
      </w:r>
      <w:r w:rsidR="000706E1">
        <w:rPr>
          <w:sz w:val="20"/>
          <w:szCs w:val="20"/>
        </w:rPr>
        <w:t>legislative</w:t>
      </w:r>
      <w:r w:rsidR="00344AB0">
        <w:rPr>
          <w:sz w:val="20"/>
          <w:szCs w:val="20"/>
        </w:rPr>
        <w:t xml:space="preserve"> </w:t>
      </w:r>
      <w:r w:rsidR="000706E1">
        <w:rPr>
          <w:sz w:val="20"/>
          <w:szCs w:val="20"/>
        </w:rPr>
        <w:t xml:space="preserve">context, </w:t>
      </w:r>
      <w:r w:rsidR="00344AB0">
        <w:rPr>
          <w:sz w:val="20"/>
          <w:szCs w:val="20"/>
        </w:rPr>
        <w:t xml:space="preserve">the importance of data privacy, </w:t>
      </w:r>
      <w:r w:rsidR="000706E1">
        <w:rPr>
          <w:sz w:val="20"/>
          <w:szCs w:val="20"/>
        </w:rPr>
        <w:t>differences across states</w:t>
      </w:r>
      <w:r w:rsidR="00143717">
        <w:rPr>
          <w:sz w:val="20"/>
          <w:szCs w:val="20"/>
        </w:rPr>
        <w:t>,</w:t>
      </w:r>
      <w:r w:rsidR="00344AB0">
        <w:rPr>
          <w:sz w:val="20"/>
          <w:szCs w:val="20"/>
        </w:rPr>
        <w:t xml:space="preserve"> and overlap with palliative care. </w:t>
      </w:r>
      <w:r w:rsidR="00924D41" w:rsidRPr="005F43A8">
        <w:rPr>
          <w:rFonts w:cs="Arial"/>
          <w:sz w:val="20"/>
          <w:szCs w:val="20"/>
        </w:rPr>
        <w:t>Further information is available in the consultation report.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924D41" w:rsidRPr="004C24F6" w14:paraId="57C4C8FE" w14:textId="77777777" w:rsidTr="0019067A">
        <w:tc>
          <w:tcPr>
            <w:tcW w:w="851" w:type="dxa"/>
            <w:shd w:val="clear" w:color="auto" w:fill="B5FFE0" w:themeFill="accent4" w:themeFillTint="33"/>
          </w:tcPr>
          <w:p w14:paraId="47A76676" w14:textId="77777777" w:rsidR="00924D41" w:rsidRPr="004953FE" w:rsidRDefault="00924D41" w:rsidP="0019067A">
            <w:pPr>
              <w:jc w:val="center"/>
              <w:rPr>
                <w:sz w:val="20"/>
                <w:szCs w:val="20"/>
              </w:rPr>
            </w:pPr>
            <w:r w:rsidRPr="004953FE">
              <w:rPr>
                <w:noProof/>
                <w:sz w:val="20"/>
                <w:szCs w:val="20"/>
              </w:rPr>
              <w:drawing>
                <wp:inline distT="0" distB="0" distL="0" distR="0" wp14:anchorId="335F8FDE" wp14:editId="741EF815">
                  <wp:extent cx="266700" cy="266700"/>
                  <wp:effectExtent l="0" t="0" r="0" b="0"/>
                  <wp:docPr id="818985163" name="Picture 818985163"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7C12A683" w14:textId="77777777" w:rsidR="00924D41" w:rsidRPr="004953FE" w:rsidRDefault="00924D41" w:rsidP="0019067A">
            <w:pPr>
              <w:pStyle w:val="Heading4"/>
              <w:rPr>
                <w:sz w:val="20"/>
                <w:szCs w:val="20"/>
              </w:rPr>
            </w:pPr>
            <w:r w:rsidRPr="004953FE">
              <w:rPr>
                <w:sz w:val="20"/>
                <w:szCs w:val="20"/>
              </w:rPr>
              <w:t>IHACPA’s decision</w:t>
            </w:r>
          </w:p>
          <w:p w14:paraId="42DAA691" w14:textId="4A2FBAE7" w:rsidR="00FA6501" w:rsidRDefault="009102FB" w:rsidP="00E4566C">
            <w:pPr>
              <w:spacing w:after="120"/>
              <w:rPr>
                <w:sz w:val="20"/>
                <w:szCs w:val="20"/>
              </w:rPr>
            </w:pPr>
            <w:r>
              <w:rPr>
                <w:sz w:val="20"/>
                <w:szCs w:val="20"/>
              </w:rPr>
              <w:t xml:space="preserve">For NEP26, IHACPA will introduce </w:t>
            </w:r>
            <w:r w:rsidR="00532D3C">
              <w:rPr>
                <w:sz w:val="20"/>
                <w:szCs w:val="20"/>
              </w:rPr>
              <w:t xml:space="preserve">2 </w:t>
            </w:r>
            <w:r>
              <w:rPr>
                <w:sz w:val="20"/>
                <w:szCs w:val="20"/>
              </w:rPr>
              <w:t>new classes for hospital</w:t>
            </w:r>
            <w:r w:rsidR="008A74DE">
              <w:rPr>
                <w:sz w:val="20"/>
                <w:szCs w:val="20"/>
              </w:rPr>
              <w:t xml:space="preserve"> based non-admitted VAD services, which will result in the development of Tier 2 Version 10.0. </w:t>
            </w:r>
            <w:r w:rsidR="00FA6501">
              <w:rPr>
                <w:sz w:val="20"/>
                <w:szCs w:val="20"/>
              </w:rPr>
              <w:t xml:space="preserve">The </w:t>
            </w:r>
            <w:r w:rsidR="00532D3C">
              <w:rPr>
                <w:sz w:val="20"/>
                <w:szCs w:val="20"/>
              </w:rPr>
              <w:t>2</w:t>
            </w:r>
            <w:r w:rsidR="00FA6501">
              <w:rPr>
                <w:sz w:val="20"/>
                <w:szCs w:val="20"/>
              </w:rPr>
              <w:t xml:space="preserve"> new classes are: </w:t>
            </w:r>
          </w:p>
          <w:p w14:paraId="5934D64D" w14:textId="77777777" w:rsidR="00FA6501" w:rsidRDefault="00FA6501" w:rsidP="00E4566C">
            <w:pPr>
              <w:pStyle w:val="ListParagraph"/>
              <w:numPr>
                <w:ilvl w:val="0"/>
                <w:numId w:val="33"/>
              </w:numPr>
              <w:spacing w:after="120"/>
              <w:ind w:left="723"/>
              <w:rPr>
                <w:sz w:val="20"/>
                <w:szCs w:val="20"/>
              </w:rPr>
            </w:pPr>
            <w:r w:rsidRPr="00D471C9">
              <w:rPr>
                <w:sz w:val="20"/>
                <w:szCs w:val="20"/>
              </w:rPr>
              <w:t>20.59</w:t>
            </w:r>
            <w:r w:rsidRPr="00FA6501">
              <w:rPr>
                <w:i/>
                <w:iCs/>
                <w:sz w:val="20"/>
                <w:szCs w:val="20"/>
              </w:rPr>
              <w:t xml:space="preserve"> Voluntary assisted dying</w:t>
            </w:r>
            <w:r>
              <w:rPr>
                <w:sz w:val="20"/>
                <w:szCs w:val="20"/>
              </w:rPr>
              <w:t xml:space="preserve"> (for service events in clinics led by a medical practitioner and/or nurse practitioner) </w:t>
            </w:r>
          </w:p>
          <w:p w14:paraId="5B0E28B4" w14:textId="148F298A" w:rsidR="00FA6501" w:rsidRDefault="00FA6501" w:rsidP="00E4566C">
            <w:pPr>
              <w:pStyle w:val="ListParagraph"/>
              <w:numPr>
                <w:ilvl w:val="0"/>
                <w:numId w:val="33"/>
              </w:numPr>
              <w:spacing w:after="120"/>
              <w:ind w:left="723"/>
              <w:rPr>
                <w:sz w:val="20"/>
                <w:szCs w:val="20"/>
              </w:rPr>
            </w:pPr>
            <w:r w:rsidRPr="00D471C9">
              <w:rPr>
                <w:sz w:val="20"/>
                <w:szCs w:val="20"/>
              </w:rPr>
              <w:t>40.69</w:t>
            </w:r>
            <w:r w:rsidRPr="00FA6501">
              <w:rPr>
                <w:i/>
                <w:iCs/>
                <w:sz w:val="20"/>
                <w:szCs w:val="20"/>
              </w:rPr>
              <w:t xml:space="preserve"> Voluntary assisted dying</w:t>
            </w:r>
            <w:r>
              <w:rPr>
                <w:sz w:val="20"/>
                <w:szCs w:val="20"/>
              </w:rPr>
              <w:t xml:space="preserve"> (for service events in clinics led by an allied health and/or clinical nurse specialist and/or clinical pharmacist)</w:t>
            </w:r>
            <w:r w:rsidR="00A42769">
              <w:rPr>
                <w:sz w:val="20"/>
                <w:szCs w:val="20"/>
              </w:rPr>
              <w:t>.</w:t>
            </w:r>
            <w:r>
              <w:rPr>
                <w:sz w:val="20"/>
                <w:szCs w:val="20"/>
              </w:rPr>
              <w:t xml:space="preserve"> </w:t>
            </w:r>
          </w:p>
          <w:p w14:paraId="728AF423" w14:textId="2468935D" w:rsidR="00924D41" w:rsidRPr="00FA6501" w:rsidRDefault="000C7364" w:rsidP="00E4566C">
            <w:pPr>
              <w:spacing w:after="120"/>
              <w:rPr>
                <w:sz w:val="20"/>
                <w:szCs w:val="20"/>
              </w:rPr>
            </w:pPr>
            <w:r w:rsidRPr="00B52A33">
              <w:rPr>
                <w:sz w:val="20"/>
                <w:szCs w:val="20"/>
              </w:rPr>
              <w:t>IHACPA will us</w:t>
            </w:r>
            <w:r>
              <w:rPr>
                <w:sz w:val="20"/>
                <w:szCs w:val="20"/>
              </w:rPr>
              <w:t>e</w:t>
            </w:r>
            <w:r w:rsidRPr="00B52A33">
              <w:rPr>
                <w:sz w:val="20"/>
                <w:szCs w:val="20"/>
              </w:rPr>
              <w:t xml:space="preserve"> Tier 2 </w:t>
            </w:r>
            <w:r>
              <w:rPr>
                <w:sz w:val="20"/>
                <w:szCs w:val="20"/>
              </w:rPr>
              <w:t xml:space="preserve">Version 10.0 </w:t>
            </w:r>
            <w:r w:rsidRPr="00B52A33">
              <w:rPr>
                <w:sz w:val="20"/>
                <w:szCs w:val="20"/>
              </w:rPr>
              <w:t>to price non</w:t>
            </w:r>
            <w:r>
              <w:rPr>
                <w:sz w:val="20"/>
                <w:szCs w:val="20"/>
              </w:rPr>
              <w:t>-</w:t>
            </w:r>
            <w:r w:rsidRPr="00B52A33">
              <w:rPr>
                <w:sz w:val="20"/>
                <w:szCs w:val="20"/>
              </w:rPr>
              <w:t>admitted</w:t>
            </w:r>
            <w:r w:rsidR="00041AC0">
              <w:rPr>
                <w:sz w:val="20"/>
                <w:szCs w:val="20"/>
              </w:rPr>
              <w:t xml:space="preserve"> patient</w:t>
            </w:r>
            <w:r w:rsidRPr="00B52A33">
              <w:rPr>
                <w:sz w:val="20"/>
                <w:szCs w:val="20"/>
              </w:rPr>
              <w:t xml:space="preserve"> services for NEP2</w:t>
            </w:r>
            <w:r>
              <w:rPr>
                <w:sz w:val="20"/>
                <w:szCs w:val="20"/>
              </w:rPr>
              <w:t>6.</w:t>
            </w:r>
          </w:p>
        </w:tc>
      </w:tr>
    </w:tbl>
    <w:p w14:paraId="6D243CE5" w14:textId="47BD3358" w:rsidR="00DD653E" w:rsidRPr="00C900A5" w:rsidRDefault="00680C6A" w:rsidP="00E4566C">
      <w:pPr>
        <w:pStyle w:val="Heading3"/>
        <w:spacing w:before="160"/>
        <w:rPr>
          <w:b w:val="0"/>
          <w:iCs/>
          <w:lang w:val="en-PH"/>
        </w:rPr>
      </w:pPr>
      <w:r w:rsidRPr="00C900A5">
        <w:rPr>
          <w:iCs/>
          <w:color w:val="15272F" w:themeColor="text1"/>
          <w:sz w:val="22"/>
          <w:szCs w:val="22"/>
          <w:lang w:val="en-PH"/>
        </w:rPr>
        <w:t>The Australian Non-Admitted Patient Classification Project</w:t>
      </w:r>
    </w:p>
    <w:p w14:paraId="2458074A" w14:textId="4F59ECEB" w:rsidR="000601F2" w:rsidRDefault="00601E6E" w:rsidP="00601E6E">
      <w:pPr>
        <w:rPr>
          <w:sz w:val="20"/>
          <w:szCs w:val="20"/>
        </w:rPr>
      </w:pPr>
      <w:r w:rsidRPr="00601E6E">
        <w:rPr>
          <w:sz w:val="20"/>
          <w:szCs w:val="20"/>
        </w:rPr>
        <w:t>In 2023, IHACPA commenced the Australian Non</w:t>
      </w:r>
      <w:r w:rsidR="00562629">
        <w:rPr>
          <w:sz w:val="20"/>
          <w:szCs w:val="20"/>
        </w:rPr>
        <w:t>-</w:t>
      </w:r>
      <w:r w:rsidRPr="00601E6E">
        <w:rPr>
          <w:sz w:val="20"/>
          <w:szCs w:val="20"/>
        </w:rPr>
        <w:t>Admitted Patient Classification Project (ANAPP), which explore</w:t>
      </w:r>
      <w:r w:rsidR="00230443">
        <w:rPr>
          <w:sz w:val="20"/>
          <w:szCs w:val="20"/>
        </w:rPr>
        <w:t>s</w:t>
      </w:r>
      <w:r w:rsidRPr="00601E6E">
        <w:rPr>
          <w:sz w:val="20"/>
          <w:szCs w:val="20"/>
        </w:rPr>
        <w:t xml:space="preserve"> the feasibility of developing a new non-admitted </w:t>
      </w:r>
      <w:r w:rsidR="00041AC0">
        <w:rPr>
          <w:sz w:val="20"/>
          <w:szCs w:val="20"/>
        </w:rPr>
        <w:t xml:space="preserve">patient </w:t>
      </w:r>
      <w:r w:rsidRPr="00601E6E">
        <w:rPr>
          <w:sz w:val="20"/>
          <w:szCs w:val="20"/>
        </w:rPr>
        <w:t xml:space="preserve">care classification </w:t>
      </w:r>
      <w:r w:rsidR="00A31EA7">
        <w:rPr>
          <w:sz w:val="20"/>
          <w:szCs w:val="20"/>
        </w:rPr>
        <w:t>using</w:t>
      </w:r>
      <w:r w:rsidRPr="00601E6E">
        <w:rPr>
          <w:sz w:val="20"/>
          <w:szCs w:val="20"/>
        </w:rPr>
        <w:t xml:space="preserve"> health information available within state and territory electronic medical record (eMR) systems. In October 2023, IHACPA completed </w:t>
      </w:r>
      <w:r w:rsidR="0006620D">
        <w:rPr>
          <w:sz w:val="20"/>
          <w:szCs w:val="20"/>
        </w:rPr>
        <w:t>the first stage of the project.</w:t>
      </w:r>
    </w:p>
    <w:p w14:paraId="055721EA" w14:textId="7E4D8C72" w:rsidR="00AD3BA2" w:rsidRDefault="00CB03D2" w:rsidP="00601E6E">
      <w:pPr>
        <w:rPr>
          <w:sz w:val="20"/>
          <w:szCs w:val="20"/>
        </w:rPr>
      </w:pPr>
      <w:r>
        <w:rPr>
          <w:sz w:val="20"/>
          <w:szCs w:val="20"/>
        </w:rPr>
        <w:t>IHACPA now has a</w:t>
      </w:r>
      <w:r w:rsidR="00601E6E" w:rsidRPr="00601E6E">
        <w:rPr>
          <w:sz w:val="20"/>
          <w:szCs w:val="20"/>
        </w:rPr>
        <w:t xml:space="preserve"> better understand</w:t>
      </w:r>
      <w:r>
        <w:rPr>
          <w:sz w:val="20"/>
          <w:szCs w:val="20"/>
        </w:rPr>
        <w:t>ing of</w:t>
      </w:r>
      <w:r w:rsidR="00601E6E" w:rsidRPr="00601E6E">
        <w:rPr>
          <w:sz w:val="20"/>
          <w:szCs w:val="20"/>
        </w:rPr>
        <w:t xml:space="preserve"> state and territory eMR systems, non-admitted patient service rostering, booking</w:t>
      </w:r>
      <w:r w:rsidR="00FA38CB">
        <w:rPr>
          <w:sz w:val="20"/>
          <w:szCs w:val="20"/>
        </w:rPr>
        <w:t>,</w:t>
      </w:r>
      <w:r w:rsidR="00601E6E" w:rsidRPr="00601E6E">
        <w:rPr>
          <w:sz w:val="20"/>
          <w:szCs w:val="20"/>
        </w:rPr>
        <w:t xml:space="preserve"> and costing systems.</w:t>
      </w:r>
      <w:r w:rsidR="00817C86">
        <w:rPr>
          <w:sz w:val="20"/>
          <w:szCs w:val="20"/>
        </w:rPr>
        <w:t xml:space="preserve"> Stakeholder feedback to the </w:t>
      </w:r>
      <w:r w:rsidR="001D6342">
        <w:rPr>
          <w:sz w:val="20"/>
          <w:szCs w:val="20"/>
        </w:rPr>
        <w:t xml:space="preserve">consultation paper </w:t>
      </w:r>
      <w:r w:rsidR="00FA3C6E">
        <w:rPr>
          <w:sz w:val="20"/>
          <w:szCs w:val="20"/>
        </w:rPr>
        <w:t>stressed the importance of working closely with key stakeholders to progress this work on a broader scale.</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1C0C93" w:rsidRPr="007C7991" w14:paraId="7089902D" w14:textId="77777777" w:rsidTr="00D8625D">
        <w:trPr>
          <w:cantSplit/>
        </w:trPr>
        <w:tc>
          <w:tcPr>
            <w:tcW w:w="851" w:type="dxa"/>
            <w:shd w:val="clear" w:color="auto" w:fill="C1DAF8" w:themeFill="accent2" w:themeFillTint="33"/>
          </w:tcPr>
          <w:p w14:paraId="14009B41" w14:textId="77777777" w:rsidR="001C0C93" w:rsidRPr="007C7991" w:rsidRDefault="001C0C93" w:rsidP="00D8625D">
            <w:pPr>
              <w:jc w:val="center"/>
              <w:rPr>
                <w:sz w:val="20"/>
                <w:szCs w:val="20"/>
              </w:rPr>
            </w:pPr>
            <w:r w:rsidRPr="007C7991">
              <w:rPr>
                <w:noProof/>
                <w:sz w:val="20"/>
                <w:szCs w:val="20"/>
              </w:rPr>
              <w:lastRenderedPageBreak/>
              <w:drawing>
                <wp:inline distT="0" distB="0" distL="0" distR="0" wp14:anchorId="686CFE10" wp14:editId="385BA56C">
                  <wp:extent cx="266700" cy="266700"/>
                  <wp:effectExtent l="0" t="0" r="0" b="0"/>
                  <wp:docPr id="438263687" name="Picture 43826368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147871ED" w14:textId="63C34ED0" w:rsidR="001C0C93" w:rsidRDefault="001C0C93" w:rsidP="00D8625D">
            <w:pPr>
              <w:pStyle w:val="Heading4"/>
              <w:rPr>
                <w:sz w:val="20"/>
                <w:szCs w:val="20"/>
              </w:rPr>
            </w:pPr>
            <w:r w:rsidRPr="00D8625D">
              <w:rPr>
                <w:sz w:val="20"/>
                <w:szCs w:val="20"/>
              </w:rPr>
              <w:t>Next steps and future work</w:t>
            </w:r>
          </w:p>
          <w:p w14:paraId="6BB742C6" w14:textId="51C92584" w:rsidR="001C0C93" w:rsidRPr="007C7991" w:rsidRDefault="001C0C93" w:rsidP="002A72D4">
            <w:pPr>
              <w:rPr>
                <w:sz w:val="20"/>
                <w:szCs w:val="20"/>
              </w:rPr>
            </w:pPr>
            <w:r>
              <w:rPr>
                <w:sz w:val="20"/>
                <w:szCs w:val="20"/>
              </w:rPr>
              <w:t xml:space="preserve">ANAPP </w:t>
            </w:r>
            <w:r w:rsidR="000601F2">
              <w:rPr>
                <w:sz w:val="20"/>
                <w:szCs w:val="20"/>
              </w:rPr>
              <w:t>S</w:t>
            </w:r>
            <w:r>
              <w:rPr>
                <w:sz w:val="20"/>
                <w:szCs w:val="20"/>
              </w:rPr>
              <w:t xml:space="preserve">tage 2 is in progress and incorporates a </w:t>
            </w:r>
            <w:r w:rsidRPr="00F55E63">
              <w:rPr>
                <w:sz w:val="20"/>
                <w:szCs w:val="20"/>
              </w:rPr>
              <w:t>large data extraction and costing study</w:t>
            </w:r>
            <w:r>
              <w:rPr>
                <w:sz w:val="20"/>
                <w:szCs w:val="20"/>
              </w:rPr>
              <w:t xml:space="preserve">. </w:t>
            </w:r>
            <w:r w:rsidRPr="00817C86">
              <w:rPr>
                <w:sz w:val="20"/>
                <w:szCs w:val="20"/>
              </w:rPr>
              <w:t>IHACPA continues to consult closely with its working groups and committees on Stage 3 of ANAPP</w:t>
            </w:r>
            <w:r w:rsidR="00F16DD8">
              <w:rPr>
                <w:sz w:val="20"/>
                <w:szCs w:val="20"/>
              </w:rPr>
              <w:t>.</w:t>
            </w:r>
          </w:p>
        </w:tc>
      </w:tr>
    </w:tbl>
    <w:p w14:paraId="2A246B93" w14:textId="1F5EB09A" w:rsidR="000B0F0E" w:rsidRDefault="000B0F0E" w:rsidP="00E4566C">
      <w:pPr>
        <w:pStyle w:val="Heading2"/>
        <w:spacing w:before="240"/>
      </w:pPr>
      <w:r>
        <w:t>3.</w:t>
      </w:r>
      <w:r w:rsidR="00DA5713">
        <w:t>6</w:t>
      </w:r>
      <w:r>
        <w:t xml:space="preserve"> Mental health care</w:t>
      </w:r>
    </w:p>
    <w:p w14:paraId="742F98F8" w14:textId="6AEEB6F3" w:rsidR="00DD653E" w:rsidRPr="00C900A5" w:rsidRDefault="00194B0D" w:rsidP="00C900A5">
      <w:pPr>
        <w:pStyle w:val="Heading3"/>
        <w:rPr>
          <w:b w:val="0"/>
          <w:iCs/>
          <w:lang w:val="en-PH"/>
        </w:rPr>
      </w:pPr>
      <w:r w:rsidRPr="00C900A5">
        <w:rPr>
          <w:iCs/>
          <w:color w:val="15272F" w:themeColor="text1"/>
          <w:sz w:val="22"/>
          <w:szCs w:val="22"/>
          <w:lang w:val="en-PH"/>
        </w:rPr>
        <w:t>Australian Mental Health Care Classification</w:t>
      </w:r>
    </w:p>
    <w:p w14:paraId="76731A65" w14:textId="0EA9CF07" w:rsidR="007C1ED9" w:rsidRDefault="002712E6" w:rsidP="00823A1D">
      <w:pPr>
        <w:rPr>
          <w:sz w:val="20"/>
          <w:szCs w:val="20"/>
        </w:rPr>
      </w:pPr>
      <w:r>
        <w:rPr>
          <w:sz w:val="20"/>
          <w:szCs w:val="20"/>
        </w:rPr>
        <w:t xml:space="preserve">In December 2023, IHACPA released the Australian Mental Health Care Classification (AMHCC) Version 1.1. This version included </w:t>
      </w:r>
      <w:r w:rsidR="00977B8A">
        <w:rPr>
          <w:sz w:val="20"/>
          <w:szCs w:val="20"/>
        </w:rPr>
        <w:t xml:space="preserve">the recalibration of the complexity model and allowed phases with up to 2 missing </w:t>
      </w:r>
      <w:r w:rsidR="00977B8A" w:rsidRPr="00977B8A">
        <w:rPr>
          <w:sz w:val="20"/>
          <w:szCs w:val="20"/>
        </w:rPr>
        <w:t>Health of the Nation Outcome Scales (</w:t>
      </w:r>
      <w:proofErr w:type="spellStart"/>
      <w:r w:rsidR="00977B8A" w:rsidRPr="00977B8A">
        <w:rPr>
          <w:sz w:val="20"/>
          <w:szCs w:val="20"/>
        </w:rPr>
        <w:t>HoNOS</w:t>
      </w:r>
      <w:proofErr w:type="spellEnd"/>
      <w:r w:rsidR="00977B8A" w:rsidRPr="00977B8A">
        <w:rPr>
          <w:sz w:val="20"/>
          <w:szCs w:val="20"/>
        </w:rPr>
        <w:t>)</w:t>
      </w:r>
      <w:r w:rsidR="00977B8A">
        <w:rPr>
          <w:sz w:val="20"/>
          <w:szCs w:val="20"/>
        </w:rPr>
        <w:t xml:space="preserve"> item scores to attract a valid complexity score.</w:t>
      </w:r>
    </w:p>
    <w:p w14:paraId="44CD712A" w14:textId="4BB8983B" w:rsidR="005B01E3" w:rsidRDefault="00065F09" w:rsidP="00FD7B2D">
      <w:pPr>
        <w:rPr>
          <w:sz w:val="20"/>
          <w:szCs w:val="20"/>
        </w:rPr>
      </w:pPr>
      <w:r w:rsidRPr="00065F09">
        <w:rPr>
          <w:sz w:val="20"/>
          <w:szCs w:val="20"/>
        </w:rPr>
        <w:t xml:space="preserve">During the AMHCC Version 1.1 refinement process, stakeholders provided feedback on several other areas for further refinement </w:t>
      </w:r>
      <w:r w:rsidR="006746D2">
        <w:rPr>
          <w:sz w:val="20"/>
          <w:szCs w:val="20"/>
        </w:rPr>
        <w:t>that</w:t>
      </w:r>
      <w:r w:rsidR="006746D2" w:rsidRPr="00065F09">
        <w:rPr>
          <w:sz w:val="20"/>
          <w:szCs w:val="20"/>
        </w:rPr>
        <w:t xml:space="preserve"> </w:t>
      </w:r>
      <w:r w:rsidRPr="00065F09">
        <w:rPr>
          <w:sz w:val="20"/>
          <w:szCs w:val="20"/>
        </w:rPr>
        <w:t>would require a more substantial change to the classification structure and variables. In response, IHACPA commenced the work program for the development of AMHCC Version 2.0 in 2024</w:t>
      </w:r>
      <w:r w:rsidR="005C794B">
        <w:rPr>
          <w:sz w:val="20"/>
          <w:szCs w:val="20"/>
        </w:rPr>
        <w:t>.</w:t>
      </w:r>
    </w:p>
    <w:p w14:paraId="532099C5" w14:textId="49100816" w:rsidR="00BA27C1" w:rsidRDefault="00BA27C1" w:rsidP="00FD7B2D">
      <w:pPr>
        <w:rPr>
          <w:rFonts w:cs="Arial"/>
          <w:sz w:val="20"/>
          <w:szCs w:val="20"/>
        </w:rPr>
      </w:pPr>
      <w:r>
        <w:rPr>
          <w:sz w:val="20"/>
          <w:szCs w:val="20"/>
        </w:rPr>
        <w:t xml:space="preserve">In response to the </w:t>
      </w:r>
      <w:r w:rsidR="001D6342">
        <w:rPr>
          <w:sz w:val="20"/>
          <w:szCs w:val="20"/>
        </w:rPr>
        <w:t>consultation paper</w:t>
      </w:r>
      <w:r>
        <w:rPr>
          <w:sz w:val="20"/>
          <w:szCs w:val="20"/>
        </w:rPr>
        <w:t>, s</w:t>
      </w:r>
      <w:r w:rsidRPr="00BA27C1">
        <w:rPr>
          <w:sz w:val="20"/>
          <w:szCs w:val="20"/>
        </w:rPr>
        <w:t>takeholders supported the continued refinement of the AMHCC and highlighted key areas for future development</w:t>
      </w:r>
      <w:r>
        <w:rPr>
          <w:sz w:val="20"/>
          <w:szCs w:val="20"/>
        </w:rPr>
        <w:t>.</w:t>
      </w:r>
      <w:r w:rsidR="00E86B18">
        <w:rPr>
          <w:sz w:val="20"/>
          <w:szCs w:val="20"/>
        </w:rPr>
        <w:t xml:space="preserve"> </w:t>
      </w:r>
      <w:r w:rsidR="00E86B18" w:rsidRPr="005F43A8">
        <w:rPr>
          <w:rFonts w:cs="Arial"/>
          <w:sz w:val="20"/>
          <w:szCs w:val="20"/>
        </w:rPr>
        <w:t>Further information</w:t>
      </w:r>
      <w:r w:rsidR="008B656A">
        <w:rPr>
          <w:rFonts w:cs="Arial"/>
          <w:sz w:val="20"/>
          <w:szCs w:val="20"/>
        </w:rPr>
        <w:t xml:space="preserve"> </w:t>
      </w:r>
      <w:r w:rsidR="00E86B18" w:rsidRPr="005F43A8">
        <w:rPr>
          <w:rFonts w:cs="Arial"/>
          <w:sz w:val="20"/>
          <w:szCs w:val="20"/>
        </w:rPr>
        <w:t>is available in the consultation report.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75436A" w:rsidRPr="007C7991" w14:paraId="31390D78" w14:textId="77777777" w:rsidTr="00D8625D">
        <w:tc>
          <w:tcPr>
            <w:tcW w:w="851" w:type="dxa"/>
            <w:shd w:val="clear" w:color="auto" w:fill="C1DAF8" w:themeFill="accent2" w:themeFillTint="33"/>
          </w:tcPr>
          <w:p w14:paraId="65AF78CC" w14:textId="77777777" w:rsidR="0075436A" w:rsidRPr="007C7991" w:rsidRDefault="0075436A" w:rsidP="00D8625D">
            <w:pPr>
              <w:jc w:val="center"/>
              <w:rPr>
                <w:sz w:val="20"/>
                <w:szCs w:val="20"/>
              </w:rPr>
            </w:pPr>
            <w:r w:rsidRPr="007C7991">
              <w:rPr>
                <w:noProof/>
                <w:sz w:val="20"/>
                <w:szCs w:val="20"/>
              </w:rPr>
              <w:drawing>
                <wp:inline distT="0" distB="0" distL="0" distR="0" wp14:anchorId="74C67674" wp14:editId="7CBB3361">
                  <wp:extent cx="266700" cy="266700"/>
                  <wp:effectExtent l="0" t="0" r="0" b="0"/>
                  <wp:docPr id="1723877494" name="Picture 172387749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17BA120A" w14:textId="77777777" w:rsidR="0075436A" w:rsidRPr="00D8625D" w:rsidRDefault="0075436A" w:rsidP="00D8625D">
            <w:pPr>
              <w:pStyle w:val="Heading4"/>
              <w:rPr>
                <w:sz w:val="20"/>
                <w:szCs w:val="20"/>
              </w:rPr>
            </w:pPr>
            <w:r w:rsidRPr="00D8625D">
              <w:rPr>
                <w:sz w:val="20"/>
                <w:szCs w:val="20"/>
              </w:rPr>
              <w:t>Next steps and future work</w:t>
            </w:r>
          </w:p>
          <w:p w14:paraId="78CED11C" w14:textId="4D18831A" w:rsidR="0075436A" w:rsidRPr="007C7991" w:rsidRDefault="006304A1" w:rsidP="00E4566C">
            <w:pPr>
              <w:spacing w:after="120"/>
              <w:rPr>
                <w:sz w:val="20"/>
                <w:szCs w:val="20"/>
              </w:rPr>
            </w:pPr>
            <w:r>
              <w:rPr>
                <w:sz w:val="20"/>
                <w:szCs w:val="20"/>
              </w:rPr>
              <w:t xml:space="preserve">The areas of refinement currently being discussed within IHACPA’s working groups and committees </w:t>
            </w:r>
            <w:r w:rsidRPr="00B84452">
              <w:rPr>
                <w:sz w:val="20"/>
                <w:szCs w:val="20"/>
              </w:rPr>
              <w:t xml:space="preserve">include </w:t>
            </w:r>
            <w:r w:rsidR="006746D2">
              <w:rPr>
                <w:sz w:val="20"/>
                <w:szCs w:val="20"/>
              </w:rPr>
              <w:t xml:space="preserve">investigating the </w:t>
            </w:r>
            <w:r w:rsidRPr="00B84452">
              <w:rPr>
                <w:sz w:val="20"/>
                <w:szCs w:val="20"/>
              </w:rPr>
              <w:t>incorporation of age and principal diagnosis within the complexity model, same day interventions and expansion of mental health legal status.</w:t>
            </w:r>
          </w:p>
        </w:tc>
      </w:tr>
    </w:tbl>
    <w:p w14:paraId="09FB61A1" w14:textId="406A6785" w:rsidR="00033308" w:rsidRDefault="00033308" w:rsidP="00E4566C">
      <w:pPr>
        <w:pStyle w:val="Heading2"/>
        <w:spacing w:before="240"/>
      </w:pPr>
      <w:r>
        <w:t>3.</w:t>
      </w:r>
      <w:r w:rsidR="00DA5713">
        <w:t>7</w:t>
      </w:r>
      <w:r>
        <w:t xml:space="preserve"> Teaching and training</w:t>
      </w:r>
    </w:p>
    <w:p w14:paraId="2A6466D7" w14:textId="4D122272" w:rsidR="00DD653E" w:rsidRPr="00194B0D" w:rsidRDefault="00630785" w:rsidP="00823A1D">
      <w:pPr>
        <w:rPr>
          <w:sz w:val="20"/>
          <w:szCs w:val="20"/>
        </w:rPr>
      </w:pPr>
      <w:r w:rsidRPr="00630785">
        <w:rPr>
          <w:sz w:val="20"/>
          <w:szCs w:val="20"/>
        </w:rPr>
        <w:t xml:space="preserve">Teaching and training activities </w:t>
      </w:r>
      <w:r w:rsidR="0053434B">
        <w:rPr>
          <w:sz w:val="20"/>
          <w:szCs w:val="20"/>
        </w:rPr>
        <w:t>are</w:t>
      </w:r>
      <w:r w:rsidR="0053434B" w:rsidRPr="00630785">
        <w:rPr>
          <w:sz w:val="20"/>
          <w:szCs w:val="20"/>
        </w:rPr>
        <w:t xml:space="preserve"> </w:t>
      </w:r>
      <w:r w:rsidRPr="00630785">
        <w:rPr>
          <w:sz w:val="20"/>
          <w:szCs w:val="20"/>
        </w:rPr>
        <w:t xml:space="preserve">an important aspect of the public hospital system alongside the provision of care to patients. Where teaching and training is delivered in conjunction with patient care (embedded teaching and training), such as ward rounds, these costs are reported as part of routine care and reflected in the ABF price. However, block funding is provided for </w:t>
      </w:r>
      <w:r w:rsidR="00A032ED">
        <w:rPr>
          <w:sz w:val="20"/>
          <w:szCs w:val="20"/>
        </w:rPr>
        <w:t xml:space="preserve">other teaching and training </w:t>
      </w:r>
      <w:r w:rsidRPr="00630785">
        <w:rPr>
          <w:sz w:val="20"/>
          <w:szCs w:val="20"/>
        </w:rPr>
        <w:t>activities</w:t>
      </w:r>
      <w:r w:rsidR="00A032ED">
        <w:rPr>
          <w:sz w:val="20"/>
          <w:szCs w:val="20"/>
        </w:rPr>
        <w:t>,</w:t>
      </w:r>
      <w:r w:rsidRPr="00630785">
        <w:rPr>
          <w:sz w:val="20"/>
          <w:szCs w:val="20"/>
        </w:rPr>
        <w:t xml:space="preserve"> </w:t>
      </w:r>
      <w:r w:rsidR="00A032ED">
        <w:rPr>
          <w:sz w:val="20"/>
          <w:szCs w:val="20"/>
        </w:rPr>
        <w:t>for which</w:t>
      </w:r>
      <w:r w:rsidRPr="00630785">
        <w:rPr>
          <w:sz w:val="20"/>
          <w:szCs w:val="20"/>
        </w:rPr>
        <w:t xml:space="preserve"> the components required for ABF are not currently available.</w:t>
      </w:r>
    </w:p>
    <w:p w14:paraId="0A377F6B" w14:textId="4BC0540B" w:rsidR="004B026E" w:rsidRDefault="00102CA8" w:rsidP="00156EB3">
      <w:pPr>
        <w:rPr>
          <w:sz w:val="20"/>
          <w:szCs w:val="20"/>
        </w:rPr>
      </w:pPr>
      <w:r>
        <w:rPr>
          <w:sz w:val="20"/>
          <w:szCs w:val="20"/>
        </w:rPr>
        <w:t xml:space="preserve">In response to the </w:t>
      </w:r>
      <w:r w:rsidR="001D6342">
        <w:rPr>
          <w:sz w:val="20"/>
          <w:szCs w:val="20"/>
        </w:rPr>
        <w:t>consultation paper</w:t>
      </w:r>
      <w:r>
        <w:rPr>
          <w:sz w:val="20"/>
          <w:szCs w:val="20"/>
        </w:rPr>
        <w:t>, NSW</w:t>
      </w:r>
      <w:r w:rsidR="00374BB7">
        <w:rPr>
          <w:sz w:val="20"/>
          <w:szCs w:val="20"/>
        </w:rPr>
        <w:t xml:space="preserve"> and Vic</w:t>
      </w:r>
      <w:r w:rsidR="00DA59AF">
        <w:rPr>
          <w:sz w:val="20"/>
          <w:szCs w:val="20"/>
        </w:rPr>
        <w:t>toria (Vic)</w:t>
      </w:r>
      <w:r w:rsidR="00374BB7">
        <w:rPr>
          <w:sz w:val="20"/>
          <w:szCs w:val="20"/>
        </w:rPr>
        <w:t xml:space="preserve"> supported continued block funding in the interim </w:t>
      </w:r>
      <w:r w:rsidR="00374BB7" w:rsidRPr="00374BB7">
        <w:rPr>
          <w:sz w:val="20"/>
          <w:szCs w:val="20"/>
        </w:rPr>
        <w:t>whilst developing a longer-term work plan to improve the understanding of these costs across the health system</w:t>
      </w:r>
      <w:r w:rsidR="00F57BE6">
        <w:rPr>
          <w:sz w:val="20"/>
          <w:szCs w:val="20"/>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F57BE6" w:rsidRPr="004C24F6" w14:paraId="20B2DA57" w14:textId="77777777" w:rsidTr="00020765">
        <w:tc>
          <w:tcPr>
            <w:tcW w:w="851" w:type="dxa"/>
            <w:shd w:val="clear" w:color="auto" w:fill="B5FFE0" w:themeFill="accent4" w:themeFillTint="33"/>
          </w:tcPr>
          <w:p w14:paraId="3EDF2CED" w14:textId="77777777" w:rsidR="00F57BE6" w:rsidRPr="004953FE" w:rsidRDefault="00F57BE6" w:rsidP="0019067A">
            <w:pPr>
              <w:jc w:val="center"/>
              <w:rPr>
                <w:sz w:val="20"/>
                <w:szCs w:val="20"/>
              </w:rPr>
            </w:pPr>
            <w:r w:rsidRPr="004953FE">
              <w:rPr>
                <w:noProof/>
                <w:sz w:val="20"/>
                <w:szCs w:val="20"/>
              </w:rPr>
              <w:drawing>
                <wp:inline distT="0" distB="0" distL="0" distR="0" wp14:anchorId="086F06FD" wp14:editId="266BC10C">
                  <wp:extent cx="266700" cy="266700"/>
                  <wp:effectExtent l="0" t="0" r="0" b="0"/>
                  <wp:docPr id="403978707" name="Picture 403978707"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12CB51B3" w14:textId="77777777" w:rsidR="00F57BE6" w:rsidRPr="004953FE" w:rsidRDefault="00F57BE6" w:rsidP="0019067A">
            <w:pPr>
              <w:pStyle w:val="Heading4"/>
              <w:rPr>
                <w:sz w:val="20"/>
                <w:szCs w:val="20"/>
              </w:rPr>
            </w:pPr>
            <w:r w:rsidRPr="004953FE">
              <w:rPr>
                <w:sz w:val="20"/>
                <w:szCs w:val="20"/>
              </w:rPr>
              <w:t>IHACPA’s decision</w:t>
            </w:r>
          </w:p>
          <w:p w14:paraId="1D09EC16" w14:textId="6905F43B" w:rsidR="00F57BE6" w:rsidRPr="00F57BE6" w:rsidRDefault="00F57BE6" w:rsidP="00E4566C">
            <w:pPr>
              <w:spacing w:after="120"/>
            </w:pPr>
            <w:r>
              <w:rPr>
                <w:sz w:val="20"/>
                <w:szCs w:val="20"/>
              </w:rPr>
              <w:t>IHACPA will continue block funding teaching and training activities for NEP26</w:t>
            </w:r>
            <w:r w:rsidR="00343002">
              <w:rPr>
                <w:sz w:val="20"/>
                <w:szCs w:val="20"/>
              </w:rPr>
              <w:t>.</w:t>
            </w:r>
          </w:p>
        </w:tc>
      </w:tr>
    </w:tbl>
    <w:p w14:paraId="7D5129D1" w14:textId="77777777" w:rsidR="000E7B86" w:rsidRDefault="000E7B86" w:rsidP="00823A1D">
      <w:pPr>
        <w:rPr>
          <w:sz w:val="16"/>
          <w:szCs w:val="15"/>
        </w:rPr>
        <w:sectPr w:rsidR="000E7B86" w:rsidSect="00CF178E">
          <w:headerReference w:type="default" r:id="rId48"/>
          <w:footerReference w:type="default" r:id="rId49"/>
          <w:headerReference w:type="first" r:id="rId50"/>
          <w:pgSz w:w="11906" w:h="16838" w:code="9"/>
          <w:pgMar w:top="1440" w:right="1080" w:bottom="1440" w:left="1080" w:header="708" w:footer="708" w:gutter="0"/>
          <w:cols w:space="720"/>
          <w:titlePg/>
          <w:docGrid w:linePitch="360"/>
        </w:sectPr>
      </w:pPr>
    </w:p>
    <w:p w14:paraId="2DBE3F26" w14:textId="46FB27CB" w:rsidR="00823A1D" w:rsidRPr="00543078" w:rsidRDefault="00EC0F97" w:rsidP="00823A1D">
      <w:pPr>
        <w:pStyle w:val="ChapterNumber"/>
      </w:pPr>
      <w:r>
        <w:lastRenderedPageBreak/>
        <w:t>4</w:t>
      </w:r>
    </w:p>
    <w:p w14:paraId="768950F8" w14:textId="2307183F" w:rsidR="00823A1D" w:rsidRPr="00543078" w:rsidRDefault="00EC0F97" w:rsidP="00823A1D">
      <w:pPr>
        <w:pStyle w:val="Heading1"/>
      </w:pPr>
      <w:bookmarkStart w:id="15" w:name="_Toc206096199"/>
      <w:bookmarkStart w:id="16" w:name="_Toc214971804"/>
      <w:r>
        <w:t>Setting the national efficient price</w:t>
      </w:r>
      <w:bookmarkEnd w:id="15"/>
      <w:bookmarkEnd w:id="16"/>
      <w:r>
        <w:t xml:space="preserve"> </w:t>
      </w:r>
    </w:p>
    <w:p w14:paraId="0CF434D4" w14:textId="77777777" w:rsidR="00823A1D" w:rsidRDefault="00823A1D" w:rsidP="00823A1D">
      <w:pPr>
        <w:rPr>
          <w:sz w:val="16"/>
          <w:szCs w:val="15"/>
        </w:rPr>
      </w:pPr>
    </w:p>
    <w:p w14:paraId="0F9B70E0" w14:textId="77777777" w:rsidR="00823A1D" w:rsidRDefault="00823A1D" w:rsidP="00823A1D">
      <w:pPr>
        <w:rPr>
          <w:sz w:val="16"/>
          <w:szCs w:val="15"/>
        </w:rPr>
      </w:pPr>
    </w:p>
    <w:p w14:paraId="5945FC44" w14:textId="77777777" w:rsidR="00823A1D" w:rsidRDefault="00823A1D" w:rsidP="00823A1D">
      <w:pPr>
        <w:sectPr w:rsidR="00823A1D" w:rsidSect="00823A1D">
          <w:headerReference w:type="default" r:id="rId51"/>
          <w:footerReference w:type="default" r:id="rId52"/>
          <w:pgSz w:w="11906" w:h="16838" w:code="9"/>
          <w:pgMar w:top="567" w:right="1440" w:bottom="1440" w:left="1440" w:header="709" w:footer="709" w:gutter="0"/>
          <w:cols w:space="720"/>
          <w:docGrid w:linePitch="360"/>
        </w:sectPr>
      </w:pPr>
    </w:p>
    <w:p w14:paraId="52EB3540" w14:textId="77777777" w:rsidR="002A3A17" w:rsidRDefault="002A3A17" w:rsidP="00823A1D">
      <w:pPr>
        <w:rPr>
          <w:sz w:val="20"/>
          <w:szCs w:val="20"/>
        </w:rPr>
      </w:pPr>
    </w:p>
    <w:p w14:paraId="22E19CF6" w14:textId="77777777" w:rsidR="002A3A17" w:rsidRDefault="002A3A17" w:rsidP="00823A1D">
      <w:pPr>
        <w:rPr>
          <w:sz w:val="20"/>
          <w:szCs w:val="20"/>
        </w:rPr>
      </w:pPr>
    </w:p>
    <w:p w14:paraId="3A84BD0D" w14:textId="77777777" w:rsidR="00DA5713" w:rsidRDefault="00DA5713" w:rsidP="002A72D4">
      <w:pPr>
        <w:pStyle w:val="Heading2"/>
      </w:pPr>
      <w:r>
        <w:t xml:space="preserve">4.1 Overview </w:t>
      </w:r>
    </w:p>
    <w:p w14:paraId="0F384858" w14:textId="0C47D360" w:rsidR="004873FC" w:rsidRDefault="00457C2D" w:rsidP="00823A1D">
      <w:pPr>
        <w:rPr>
          <w:sz w:val="20"/>
          <w:szCs w:val="20"/>
        </w:rPr>
      </w:pPr>
      <w:r w:rsidRPr="00457C2D">
        <w:rPr>
          <w:sz w:val="20"/>
          <w:szCs w:val="20"/>
        </w:rPr>
        <w:t>The Addendum to the National Health Reform Agreement (NHRA) 2020–2</w:t>
      </w:r>
      <w:r w:rsidR="007A7C49">
        <w:rPr>
          <w:sz w:val="20"/>
          <w:szCs w:val="20"/>
        </w:rPr>
        <w:t>6</w:t>
      </w:r>
      <w:r w:rsidRPr="00457C2D">
        <w:rPr>
          <w:sz w:val="20"/>
          <w:szCs w:val="20"/>
        </w:rPr>
        <w:t xml:space="preserve"> </w:t>
      </w:r>
      <w:r w:rsidR="00887C95">
        <w:rPr>
          <w:sz w:val="20"/>
          <w:szCs w:val="20"/>
        </w:rPr>
        <w:t xml:space="preserve">(the addendum) </w:t>
      </w:r>
      <w:r w:rsidRPr="00457C2D">
        <w:rPr>
          <w:sz w:val="20"/>
          <w:szCs w:val="20"/>
        </w:rPr>
        <w:t>specifies that one of the Independent Health and Aged Care Pricing Authority’s (IHACPA) primary functions is to determine the national efficient price (NEP) for services provided on an activity basis in Australian public hospitals.</w:t>
      </w:r>
    </w:p>
    <w:p w14:paraId="7405F0A1" w14:textId="3005C177" w:rsidR="001644E5" w:rsidRDefault="00113AE4" w:rsidP="00823A1D">
      <w:pPr>
        <w:rPr>
          <w:sz w:val="20"/>
          <w:szCs w:val="20"/>
        </w:rPr>
      </w:pPr>
      <w:r w:rsidRPr="00113AE4">
        <w:rPr>
          <w:sz w:val="20"/>
          <w:szCs w:val="20"/>
        </w:rPr>
        <w:t>IHACPA uses a data</w:t>
      </w:r>
      <w:r w:rsidR="007D6A31">
        <w:rPr>
          <w:sz w:val="20"/>
          <w:szCs w:val="20"/>
        </w:rPr>
        <w:t>-</w:t>
      </w:r>
      <w:r w:rsidRPr="00113AE4">
        <w:rPr>
          <w:sz w:val="20"/>
          <w:szCs w:val="20"/>
        </w:rPr>
        <w:t>driven approach to continually refine the national pricing model each year. This includes reviewing and using actual activity and cost data, to ensure it is fit for the purpose of pricing and developing the NEP.</w:t>
      </w:r>
    </w:p>
    <w:p w14:paraId="7825D061" w14:textId="4FC17D29" w:rsidR="00113AE4" w:rsidRPr="003C7508" w:rsidRDefault="008044A3" w:rsidP="00823A1D">
      <w:pPr>
        <w:rPr>
          <w:rFonts w:cs="Arial"/>
          <w:sz w:val="20"/>
          <w:szCs w:val="20"/>
        </w:rPr>
      </w:pPr>
      <w:r w:rsidRPr="008044A3">
        <w:rPr>
          <w:sz w:val="20"/>
          <w:szCs w:val="20"/>
        </w:rPr>
        <w:t xml:space="preserve">As a result of this analysis, and stakeholder feedback in response to previous consultation papers, IHACPA has identified a </w:t>
      </w:r>
      <w:r w:rsidRPr="003C7508">
        <w:rPr>
          <w:rFonts w:cs="Arial"/>
          <w:sz w:val="20"/>
          <w:szCs w:val="20"/>
        </w:rPr>
        <w:t>range of potential pricing model refinements. Many of these projects are complex and have a longer-term development and implementation horizon.</w:t>
      </w:r>
    </w:p>
    <w:p w14:paraId="755381B5" w14:textId="3751698E" w:rsidR="003C7508" w:rsidRPr="003C7508" w:rsidRDefault="00811072" w:rsidP="00823A1D">
      <w:pPr>
        <w:rPr>
          <w:rFonts w:cs="Arial"/>
          <w:sz w:val="20"/>
          <w:szCs w:val="20"/>
        </w:rPr>
      </w:pPr>
      <w:r w:rsidRPr="003C7508">
        <w:rPr>
          <w:rFonts w:cs="Arial"/>
          <w:sz w:val="20"/>
          <w:szCs w:val="20"/>
        </w:rPr>
        <w:t>An overview of these activities and their delivery timeframes is outlined in the</w:t>
      </w:r>
      <w:r w:rsidR="00171A05" w:rsidRPr="003C7508">
        <w:rPr>
          <w:rFonts w:cs="Arial"/>
          <w:sz w:val="20"/>
          <w:szCs w:val="20"/>
        </w:rPr>
        <w:t xml:space="preserve"> </w:t>
      </w:r>
      <w:hyperlink r:id="rId53" w:history="1">
        <w:r w:rsidR="00171A05" w:rsidRPr="003C7508">
          <w:rPr>
            <w:rStyle w:val="Hyperlink"/>
            <w:rFonts w:cs="Arial"/>
            <w:sz w:val="20"/>
            <w:szCs w:val="20"/>
          </w:rPr>
          <w:t>IHACPA Work Program and Corporate Plan 2025–26.</w:t>
        </w:r>
      </w:hyperlink>
      <w:r w:rsidR="003C1E48" w:rsidRPr="003C7508">
        <w:rPr>
          <w:rFonts w:cs="Arial"/>
          <w:sz w:val="20"/>
          <w:szCs w:val="20"/>
        </w:rPr>
        <w:t xml:space="preserve"> Only</w:t>
      </w:r>
      <w:r w:rsidR="002A72D4">
        <w:rPr>
          <w:rFonts w:cs="Arial"/>
          <w:sz w:val="20"/>
          <w:szCs w:val="20"/>
        </w:rPr>
        <w:t xml:space="preserve"> </w:t>
      </w:r>
      <w:r w:rsidR="003C1E48" w:rsidRPr="003C7508">
        <w:rPr>
          <w:rFonts w:cs="Arial"/>
          <w:sz w:val="20"/>
          <w:szCs w:val="20"/>
        </w:rPr>
        <w:t>refinements that are likely to have an impact on the development of the NEP Determination 2026</w:t>
      </w:r>
      <w:r w:rsidR="003279C0">
        <w:rPr>
          <w:sz w:val="20"/>
          <w:szCs w:val="20"/>
        </w:rPr>
        <w:t>–</w:t>
      </w:r>
      <w:r w:rsidR="003C1E48" w:rsidRPr="003C7508">
        <w:rPr>
          <w:rFonts w:cs="Arial"/>
          <w:sz w:val="20"/>
          <w:szCs w:val="20"/>
        </w:rPr>
        <w:t>27 (NEP26), or where stakeholder input is required to progress investigation of the refinement, are included in the Pricing Framework for Australian Public Hospital Services 202</w:t>
      </w:r>
      <w:r w:rsidR="003C7508" w:rsidRPr="003C7508">
        <w:rPr>
          <w:rFonts w:cs="Arial"/>
          <w:sz w:val="20"/>
          <w:szCs w:val="20"/>
        </w:rPr>
        <w:t>6</w:t>
      </w:r>
      <w:r w:rsidR="003C1E48" w:rsidRPr="003C7508">
        <w:rPr>
          <w:rFonts w:cs="Arial"/>
          <w:sz w:val="20"/>
          <w:szCs w:val="20"/>
        </w:rPr>
        <w:t>–2</w:t>
      </w:r>
      <w:r w:rsidR="003C7508" w:rsidRPr="003C7508">
        <w:rPr>
          <w:rFonts w:cs="Arial"/>
          <w:sz w:val="20"/>
          <w:szCs w:val="20"/>
        </w:rPr>
        <w:t>7</w:t>
      </w:r>
      <w:r w:rsidR="003C1E48" w:rsidRPr="003C7508">
        <w:rPr>
          <w:rFonts w:cs="Arial"/>
          <w:sz w:val="20"/>
          <w:szCs w:val="20"/>
        </w:rPr>
        <w:t>.</w:t>
      </w:r>
    </w:p>
    <w:p w14:paraId="6E5E7416" w14:textId="2C6501AA" w:rsidR="004873FC" w:rsidRPr="00CA53D7" w:rsidRDefault="008D4E70" w:rsidP="00C900A5">
      <w:pPr>
        <w:pStyle w:val="Heading2"/>
      </w:pPr>
      <w:r w:rsidRPr="00CA53D7">
        <w:t>4.</w:t>
      </w:r>
      <w:r w:rsidR="00DA5713">
        <w:t>2</w:t>
      </w:r>
      <w:r w:rsidRPr="00CA53D7">
        <w:t xml:space="preserve"> Impact of COVID-19</w:t>
      </w:r>
    </w:p>
    <w:p w14:paraId="428A4A28" w14:textId="1B195FDD" w:rsidR="00357191" w:rsidRPr="00357191" w:rsidRDefault="00CA53D7" w:rsidP="00357191">
      <w:pPr>
        <w:rPr>
          <w:sz w:val="20"/>
          <w:szCs w:val="20"/>
        </w:rPr>
      </w:pPr>
      <w:r w:rsidRPr="00CA53D7">
        <w:rPr>
          <w:sz w:val="20"/>
          <w:szCs w:val="20"/>
        </w:rPr>
        <w:t>The coronavirus disease 2019 (COVID-19) pandemic response resulted in significant changes to models of care and service delivery in Australian public hospitals.</w:t>
      </w:r>
      <w:r w:rsidR="002F0157">
        <w:rPr>
          <w:sz w:val="20"/>
          <w:szCs w:val="20"/>
        </w:rPr>
        <w:t xml:space="preserve"> </w:t>
      </w:r>
      <w:r w:rsidR="00357191" w:rsidRPr="00357191">
        <w:rPr>
          <w:sz w:val="20"/>
          <w:szCs w:val="20"/>
        </w:rPr>
        <w:t>IHACPA implemented a range of temporary measures to account for the impact of COVID-19 on public hospital service delivery. These included:</w:t>
      </w:r>
    </w:p>
    <w:p w14:paraId="3E98BD72" w14:textId="39FD9E2A" w:rsidR="004873FC" w:rsidRPr="00602D4A" w:rsidRDefault="00357191" w:rsidP="00C876F9">
      <w:pPr>
        <w:pStyle w:val="Bullets"/>
        <w:numPr>
          <w:ilvl w:val="0"/>
          <w:numId w:val="6"/>
        </w:numPr>
        <w:rPr>
          <w:sz w:val="20"/>
          <w:szCs w:val="20"/>
        </w:rPr>
      </w:pPr>
      <w:r w:rsidRPr="00602D4A">
        <w:rPr>
          <w:sz w:val="20"/>
          <w:szCs w:val="20"/>
        </w:rPr>
        <w:t xml:space="preserve">application of the COVID-19 treatment adjustment </w:t>
      </w:r>
      <w:r w:rsidR="00056AC9">
        <w:rPr>
          <w:sz w:val="20"/>
          <w:szCs w:val="20"/>
        </w:rPr>
        <w:t>to</w:t>
      </w:r>
      <w:r w:rsidRPr="00602D4A">
        <w:rPr>
          <w:sz w:val="20"/>
          <w:szCs w:val="20"/>
        </w:rPr>
        <w:t xml:space="preserve"> a limited number of </w:t>
      </w:r>
      <w:r w:rsidR="002F0157" w:rsidRPr="00602D4A">
        <w:rPr>
          <w:sz w:val="20"/>
          <w:szCs w:val="20"/>
        </w:rPr>
        <w:t>Australian Refined Diagnosis Related Groups (AR-DRG</w:t>
      </w:r>
      <w:r w:rsidR="00C65401">
        <w:rPr>
          <w:sz w:val="20"/>
          <w:szCs w:val="20"/>
        </w:rPr>
        <w:t>s</w:t>
      </w:r>
      <w:r w:rsidR="002F0157" w:rsidRPr="00602D4A">
        <w:rPr>
          <w:sz w:val="20"/>
          <w:szCs w:val="20"/>
        </w:rPr>
        <w:t>)</w:t>
      </w:r>
    </w:p>
    <w:p w14:paraId="4DB68918" w14:textId="1244F3B2" w:rsidR="003D1412" w:rsidRPr="00602D4A" w:rsidRDefault="004C329C" w:rsidP="00C876F9">
      <w:pPr>
        <w:pStyle w:val="Bullets"/>
        <w:numPr>
          <w:ilvl w:val="0"/>
          <w:numId w:val="6"/>
        </w:numPr>
        <w:rPr>
          <w:sz w:val="20"/>
          <w:szCs w:val="20"/>
        </w:rPr>
      </w:pPr>
      <w:r>
        <w:rPr>
          <w:sz w:val="20"/>
          <w:szCs w:val="20"/>
        </w:rPr>
        <w:t>extension</w:t>
      </w:r>
      <w:r w:rsidRPr="00602D4A">
        <w:rPr>
          <w:sz w:val="20"/>
          <w:szCs w:val="20"/>
        </w:rPr>
        <w:t xml:space="preserve"> </w:t>
      </w:r>
      <w:r w:rsidR="003D1412" w:rsidRPr="00602D4A">
        <w:rPr>
          <w:sz w:val="20"/>
          <w:szCs w:val="20"/>
        </w:rPr>
        <w:t>of the</w:t>
      </w:r>
      <w:r w:rsidR="00602D4A" w:rsidRPr="00602D4A">
        <w:rPr>
          <w:sz w:val="20"/>
          <w:szCs w:val="20"/>
        </w:rPr>
        <w:t xml:space="preserve"> intensive care unit (ICU) </w:t>
      </w:r>
      <w:r w:rsidR="003D1412" w:rsidRPr="00602D4A">
        <w:rPr>
          <w:sz w:val="20"/>
          <w:szCs w:val="20"/>
        </w:rPr>
        <w:t>adjustment to patients with a COVID-19 diagnosis</w:t>
      </w:r>
      <w:r w:rsidR="00DB479A">
        <w:rPr>
          <w:sz w:val="20"/>
          <w:szCs w:val="20"/>
        </w:rPr>
        <w:t xml:space="preserve"> but not admitted to a specified ICU</w:t>
      </w:r>
    </w:p>
    <w:p w14:paraId="6EB64245" w14:textId="617BEE5C" w:rsidR="003D1412" w:rsidRPr="00602D4A" w:rsidRDefault="00895CD4" w:rsidP="00C876F9">
      <w:pPr>
        <w:pStyle w:val="Bullets"/>
        <w:numPr>
          <w:ilvl w:val="0"/>
          <w:numId w:val="6"/>
        </w:numPr>
        <w:rPr>
          <w:sz w:val="20"/>
          <w:szCs w:val="20"/>
        </w:rPr>
      </w:pPr>
      <w:r>
        <w:rPr>
          <w:sz w:val="20"/>
          <w:szCs w:val="20"/>
        </w:rPr>
        <w:t>suspension of</w:t>
      </w:r>
      <w:r w:rsidRPr="00602D4A">
        <w:rPr>
          <w:sz w:val="20"/>
          <w:szCs w:val="20"/>
        </w:rPr>
        <w:t xml:space="preserve"> </w:t>
      </w:r>
      <w:r w:rsidR="003D1412" w:rsidRPr="00602D4A">
        <w:rPr>
          <w:sz w:val="20"/>
          <w:szCs w:val="20"/>
        </w:rPr>
        <w:t>the safety and quality adjustments for episodes of care with a COVID-19 diagnosis.</w:t>
      </w:r>
    </w:p>
    <w:p w14:paraId="61194820" w14:textId="51A98F11" w:rsidR="003D1412" w:rsidRDefault="003D1412" w:rsidP="003D1412">
      <w:pPr>
        <w:rPr>
          <w:sz w:val="20"/>
          <w:szCs w:val="20"/>
        </w:rPr>
      </w:pPr>
      <w:r w:rsidRPr="003D1412">
        <w:rPr>
          <w:sz w:val="20"/>
          <w:szCs w:val="20"/>
        </w:rPr>
        <w:t>The intention of the temporary measures was to recognise the uncertainty around anticipated changes that COVID-19 would introduce to the delivery of hospital care and support healthcare delivery to COVID-19 patients in this context.</w:t>
      </w:r>
    </w:p>
    <w:p w14:paraId="0238E6E3" w14:textId="70E268E6" w:rsidR="00317270" w:rsidRDefault="003D1412" w:rsidP="003D1412">
      <w:pPr>
        <w:rPr>
          <w:sz w:val="20"/>
          <w:szCs w:val="20"/>
        </w:rPr>
      </w:pPr>
      <w:r w:rsidRPr="003D1412">
        <w:rPr>
          <w:sz w:val="20"/>
          <w:szCs w:val="20"/>
        </w:rPr>
        <w:t>In October 2023, the Australian Government declared that COVID-19 was no longer a Communicable Disease Incident of National Significance.</w:t>
      </w:r>
    </w:p>
    <w:p w14:paraId="68351662" w14:textId="3948AA73" w:rsidR="003C5F17" w:rsidRDefault="00A11AE7" w:rsidP="0020703B">
      <w:pPr>
        <w:rPr>
          <w:sz w:val="20"/>
          <w:szCs w:val="20"/>
        </w:rPr>
      </w:pPr>
      <w:r>
        <w:rPr>
          <w:sz w:val="20"/>
          <w:szCs w:val="20"/>
        </w:rPr>
        <w:t xml:space="preserve">For </w:t>
      </w:r>
      <w:r w:rsidR="003703E3">
        <w:rPr>
          <w:sz w:val="20"/>
          <w:szCs w:val="20"/>
        </w:rPr>
        <w:t>NEP Determination 2025–26 (</w:t>
      </w:r>
      <w:r>
        <w:rPr>
          <w:sz w:val="20"/>
          <w:szCs w:val="20"/>
        </w:rPr>
        <w:t>NEP25</w:t>
      </w:r>
      <w:r w:rsidR="003703E3">
        <w:rPr>
          <w:sz w:val="20"/>
          <w:szCs w:val="20"/>
        </w:rPr>
        <w:t>)</w:t>
      </w:r>
      <w:r>
        <w:rPr>
          <w:sz w:val="20"/>
          <w:szCs w:val="20"/>
        </w:rPr>
        <w:t>, t</w:t>
      </w:r>
      <w:r w:rsidRPr="003D1412">
        <w:rPr>
          <w:sz w:val="20"/>
          <w:szCs w:val="20"/>
        </w:rPr>
        <w:t>he</w:t>
      </w:r>
      <w:r w:rsidR="003D1412" w:rsidRPr="003D1412">
        <w:rPr>
          <w:sz w:val="20"/>
          <w:szCs w:val="20"/>
        </w:rPr>
        <w:t xml:space="preserve"> temporary measures noted above were retained to account for the ongoing impact of the </w:t>
      </w:r>
      <w:r w:rsidR="003D1412" w:rsidRPr="00020765">
        <w:rPr>
          <w:sz w:val="20"/>
          <w:szCs w:val="20"/>
        </w:rPr>
        <w:t>COVID-19 pandemic response on</w:t>
      </w:r>
      <w:r w:rsidR="0077202C" w:rsidRPr="00020765">
        <w:rPr>
          <w:sz w:val="20"/>
          <w:szCs w:val="20"/>
        </w:rPr>
        <w:t xml:space="preserve"> </w:t>
      </w:r>
      <w:r w:rsidR="003D1412" w:rsidRPr="00020765">
        <w:rPr>
          <w:sz w:val="20"/>
          <w:szCs w:val="20"/>
        </w:rPr>
        <w:t>hospital activity and cost data</w:t>
      </w:r>
      <w:r w:rsidR="0077202C" w:rsidRPr="00020765">
        <w:rPr>
          <w:sz w:val="20"/>
          <w:szCs w:val="20"/>
        </w:rPr>
        <w:t xml:space="preserve"> </w:t>
      </w:r>
      <w:r w:rsidRPr="00020765">
        <w:rPr>
          <w:sz w:val="20"/>
          <w:szCs w:val="20"/>
        </w:rPr>
        <w:t>in 2022</w:t>
      </w:r>
      <w:r w:rsidR="008A1E68" w:rsidRPr="00020765">
        <w:rPr>
          <w:sz w:val="20"/>
          <w:szCs w:val="20"/>
        </w:rPr>
        <w:t>–</w:t>
      </w:r>
      <w:r w:rsidRPr="00020765">
        <w:rPr>
          <w:sz w:val="20"/>
          <w:szCs w:val="20"/>
        </w:rPr>
        <w:t>23 and earlier</w:t>
      </w:r>
      <w:r w:rsidR="003D1412" w:rsidRPr="00020765">
        <w:rPr>
          <w:sz w:val="20"/>
          <w:szCs w:val="20"/>
        </w:rPr>
        <w:t>.</w:t>
      </w:r>
      <w:r w:rsidR="006E172A" w:rsidRPr="00020765">
        <w:rPr>
          <w:sz w:val="20"/>
          <w:szCs w:val="20"/>
        </w:rPr>
        <w:t xml:space="preserve"> </w:t>
      </w:r>
    </w:p>
    <w:p w14:paraId="0583BA82" w14:textId="60B81C4C" w:rsidR="003C6197" w:rsidRDefault="007C2560" w:rsidP="00FD222C">
      <w:pPr>
        <w:rPr>
          <w:sz w:val="20"/>
          <w:szCs w:val="20"/>
        </w:rPr>
      </w:pPr>
      <w:r w:rsidRPr="00020765">
        <w:rPr>
          <w:sz w:val="20"/>
          <w:szCs w:val="20"/>
        </w:rPr>
        <w:t xml:space="preserve">NEP26 will </w:t>
      </w:r>
      <w:r w:rsidR="008A11E3" w:rsidRPr="00020765">
        <w:rPr>
          <w:sz w:val="20"/>
          <w:szCs w:val="20"/>
        </w:rPr>
        <w:t xml:space="preserve">be </w:t>
      </w:r>
      <w:r w:rsidR="00A11AE7" w:rsidRPr="00020765">
        <w:rPr>
          <w:sz w:val="20"/>
          <w:szCs w:val="20"/>
        </w:rPr>
        <w:t xml:space="preserve">primarily </w:t>
      </w:r>
      <w:r w:rsidRPr="00020765">
        <w:rPr>
          <w:sz w:val="20"/>
          <w:szCs w:val="20"/>
        </w:rPr>
        <w:t xml:space="preserve">based on </w:t>
      </w:r>
      <w:r w:rsidR="00D43ED5" w:rsidRPr="00020765">
        <w:rPr>
          <w:sz w:val="20"/>
          <w:szCs w:val="20"/>
        </w:rPr>
        <w:t xml:space="preserve">hospital </w:t>
      </w:r>
      <w:r w:rsidR="00990319" w:rsidRPr="00020765">
        <w:rPr>
          <w:sz w:val="20"/>
          <w:szCs w:val="20"/>
        </w:rPr>
        <w:t xml:space="preserve">activity and cost data from </w:t>
      </w:r>
      <w:r w:rsidR="00D43ED5" w:rsidRPr="00020765">
        <w:rPr>
          <w:sz w:val="20"/>
          <w:szCs w:val="20"/>
        </w:rPr>
        <w:t xml:space="preserve">years </w:t>
      </w:r>
      <w:r w:rsidR="00A11AE7" w:rsidRPr="00020765">
        <w:rPr>
          <w:sz w:val="20"/>
          <w:szCs w:val="20"/>
        </w:rPr>
        <w:t xml:space="preserve">following the </w:t>
      </w:r>
      <w:r w:rsidR="004C41E3" w:rsidRPr="00020765">
        <w:rPr>
          <w:sz w:val="20"/>
          <w:szCs w:val="20"/>
        </w:rPr>
        <w:t>initial</w:t>
      </w:r>
      <w:r w:rsidR="00997B86" w:rsidRPr="00020765">
        <w:rPr>
          <w:sz w:val="20"/>
          <w:szCs w:val="20"/>
        </w:rPr>
        <w:t xml:space="preserve"> impact of COVID-</w:t>
      </w:r>
      <w:r w:rsidR="00990319" w:rsidRPr="00020765">
        <w:rPr>
          <w:sz w:val="20"/>
          <w:szCs w:val="20"/>
        </w:rPr>
        <w:t xml:space="preserve">19. </w:t>
      </w:r>
      <w:r w:rsidR="000624C9" w:rsidRPr="00020765">
        <w:rPr>
          <w:sz w:val="20"/>
          <w:szCs w:val="20"/>
        </w:rPr>
        <w:t xml:space="preserve">Furthermore, </w:t>
      </w:r>
      <w:r w:rsidR="00B235FD">
        <w:rPr>
          <w:sz w:val="20"/>
          <w:szCs w:val="20"/>
        </w:rPr>
        <w:t>AR</w:t>
      </w:r>
      <w:r w:rsidR="00C60C77">
        <w:rPr>
          <w:sz w:val="20"/>
          <w:szCs w:val="20"/>
        </w:rPr>
        <w:t>-</w:t>
      </w:r>
      <w:r w:rsidR="00B235FD">
        <w:rPr>
          <w:sz w:val="20"/>
          <w:szCs w:val="20"/>
        </w:rPr>
        <w:t xml:space="preserve">DRG </w:t>
      </w:r>
      <w:r w:rsidR="000624C9" w:rsidRPr="00020765">
        <w:rPr>
          <w:sz w:val="20"/>
          <w:szCs w:val="20"/>
        </w:rPr>
        <w:t xml:space="preserve">Version 12.0 development incorporated data from 2018–19 to 2021–22 and the classification includes </w:t>
      </w:r>
      <w:r w:rsidR="00E52FEB">
        <w:rPr>
          <w:sz w:val="20"/>
          <w:szCs w:val="20"/>
        </w:rPr>
        <w:t xml:space="preserve">symptomatic </w:t>
      </w:r>
      <w:r w:rsidR="000624C9" w:rsidRPr="00020765">
        <w:rPr>
          <w:sz w:val="20"/>
          <w:szCs w:val="20"/>
        </w:rPr>
        <w:t>COVID-19 in its complexity model</w:t>
      </w:r>
      <w:r w:rsidR="00E52FEB">
        <w:rPr>
          <w:sz w:val="20"/>
          <w:szCs w:val="20"/>
        </w:rPr>
        <w:t xml:space="preserve">. </w:t>
      </w:r>
      <w:r w:rsidR="00207DD1" w:rsidRPr="00020765">
        <w:rPr>
          <w:sz w:val="20"/>
          <w:szCs w:val="20"/>
        </w:rPr>
        <w:t xml:space="preserve">This means the </w:t>
      </w:r>
      <w:r w:rsidR="00B636E9" w:rsidRPr="00020765">
        <w:rPr>
          <w:sz w:val="20"/>
          <w:szCs w:val="20"/>
        </w:rPr>
        <w:t>activity</w:t>
      </w:r>
      <w:r w:rsidR="000624C9" w:rsidRPr="00020765">
        <w:rPr>
          <w:sz w:val="20"/>
          <w:szCs w:val="20"/>
        </w:rPr>
        <w:t>,</w:t>
      </w:r>
      <w:r w:rsidR="00B636E9" w:rsidRPr="00020765">
        <w:rPr>
          <w:sz w:val="20"/>
          <w:szCs w:val="20"/>
        </w:rPr>
        <w:t xml:space="preserve"> cost</w:t>
      </w:r>
      <w:r w:rsidR="00207DD1" w:rsidRPr="00020765">
        <w:rPr>
          <w:sz w:val="20"/>
          <w:szCs w:val="20"/>
        </w:rPr>
        <w:t>s</w:t>
      </w:r>
      <w:r w:rsidR="00B636E9" w:rsidRPr="00020765">
        <w:rPr>
          <w:sz w:val="20"/>
          <w:szCs w:val="20"/>
        </w:rPr>
        <w:t xml:space="preserve"> </w:t>
      </w:r>
      <w:r w:rsidR="00207DD1" w:rsidRPr="00020765">
        <w:rPr>
          <w:sz w:val="20"/>
          <w:szCs w:val="20"/>
        </w:rPr>
        <w:t xml:space="preserve">and changes to models of care associated with the pandemic response will be reflected in </w:t>
      </w:r>
      <w:r w:rsidR="000624C9" w:rsidRPr="00020765">
        <w:rPr>
          <w:sz w:val="20"/>
          <w:szCs w:val="20"/>
        </w:rPr>
        <w:t xml:space="preserve">the data and classification underpinning </w:t>
      </w:r>
      <w:r w:rsidR="00207DD1" w:rsidRPr="00020765">
        <w:rPr>
          <w:sz w:val="20"/>
          <w:szCs w:val="20"/>
        </w:rPr>
        <w:t>NEP26.</w:t>
      </w:r>
      <w:r w:rsidR="00E52FEB">
        <w:rPr>
          <w:sz w:val="20"/>
          <w:szCs w:val="20"/>
        </w:rPr>
        <w:t xml:space="preserve"> IHACPA also intends to incorporate COVID-19 as a risk factor in </w:t>
      </w:r>
      <w:r w:rsidR="00E52FEB">
        <w:rPr>
          <w:sz w:val="20"/>
          <w:szCs w:val="20"/>
        </w:rPr>
        <w:lastRenderedPageBreak/>
        <w:t xml:space="preserve">statistically relevant hospital acquired complication (HAC) and avoidable hospital readmission (AHR) categories for NEP26. Therefore, </w:t>
      </w:r>
      <w:r w:rsidR="00964EDD">
        <w:rPr>
          <w:sz w:val="20"/>
          <w:szCs w:val="20"/>
        </w:rPr>
        <w:t>there is likely to be a decreased need for the continu</w:t>
      </w:r>
      <w:r w:rsidR="009C4F8A">
        <w:rPr>
          <w:sz w:val="20"/>
          <w:szCs w:val="20"/>
        </w:rPr>
        <w:t xml:space="preserve">ation of the </w:t>
      </w:r>
      <w:r w:rsidR="00964EDD">
        <w:rPr>
          <w:sz w:val="20"/>
          <w:szCs w:val="20"/>
        </w:rPr>
        <w:t>temporary measures</w:t>
      </w:r>
      <w:r w:rsidR="00324978">
        <w:rPr>
          <w:sz w:val="20"/>
          <w:szCs w:val="20"/>
        </w:rPr>
        <w:t>.</w:t>
      </w:r>
      <w:r w:rsidR="00BD1AB7">
        <w:rPr>
          <w:sz w:val="20"/>
          <w:szCs w:val="20"/>
        </w:rPr>
        <w:t xml:space="preserve"> </w:t>
      </w:r>
      <w:r w:rsidR="0045116F">
        <w:rPr>
          <w:sz w:val="20"/>
          <w:szCs w:val="20"/>
        </w:rPr>
        <w:t xml:space="preserve"> </w:t>
      </w:r>
    </w:p>
    <w:p w14:paraId="14720A2E" w14:textId="5EC2D79A" w:rsidR="00D43ED5" w:rsidRDefault="002D71A3" w:rsidP="003D1412">
      <w:pPr>
        <w:rPr>
          <w:sz w:val="20"/>
          <w:szCs w:val="20"/>
        </w:rPr>
      </w:pPr>
      <w:r w:rsidRPr="003D1412">
        <w:rPr>
          <w:sz w:val="20"/>
          <w:szCs w:val="20"/>
        </w:rPr>
        <w:t>IHACPA</w:t>
      </w:r>
      <w:r>
        <w:rPr>
          <w:sz w:val="20"/>
          <w:szCs w:val="20"/>
        </w:rPr>
        <w:t xml:space="preserve"> has also </w:t>
      </w:r>
      <w:r w:rsidRPr="003D1412">
        <w:rPr>
          <w:sz w:val="20"/>
          <w:szCs w:val="20"/>
        </w:rPr>
        <w:t>received advice</w:t>
      </w:r>
      <w:r>
        <w:rPr>
          <w:sz w:val="20"/>
          <w:szCs w:val="20"/>
        </w:rPr>
        <w:t xml:space="preserve"> through its</w:t>
      </w:r>
      <w:r w:rsidR="00F6500A">
        <w:rPr>
          <w:sz w:val="20"/>
          <w:szCs w:val="20"/>
        </w:rPr>
        <w:t xml:space="preserve"> advisory</w:t>
      </w:r>
      <w:r>
        <w:rPr>
          <w:sz w:val="20"/>
          <w:szCs w:val="20"/>
        </w:rPr>
        <w:t xml:space="preserve"> committees and</w:t>
      </w:r>
      <w:r w:rsidRPr="003D1412">
        <w:rPr>
          <w:sz w:val="20"/>
          <w:szCs w:val="20"/>
        </w:rPr>
        <w:t xml:space="preserve"> from stakeholders that the ongoing management of COVID-19 patients is generally not significantly different to patients with other respiratory illnesses, such as influenza.</w:t>
      </w:r>
      <w:r>
        <w:rPr>
          <w:sz w:val="20"/>
          <w:szCs w:val="20"/>
        </w:rPr>
        <w:t xml:space="preserve"> </w:t>
      </w:r>
    </w:p>
    <w:p w14:paraId="1F75E578" w14:textId="33F564C5" w:rsidR="000F3067" w:rsidRDefault="002F4A9D" w:rsidP="003D1412">
      <w:pPr>
        <w:rPr>
          <w:sz w:val="20"/>
          <w:szCs w:val="20"/>
        </w:rPr>
      </w:pPr>
      <w:r>
        <w:rPr>
          <w:rFonts w:cs="Arial"/>
          <w:sz w:val="20"/>
          <w:szCs w:val="20"/>
        </w:rPr>
        <w:t xml:space="preserve">In response to the </w:t>
      </w:r>
      <w:r w:rsidRPr="007620E3">
        <w:rPr>
          <w:rFonts w:cs="Arial"/>
          <w:sz w:val="20"/>
          <w:szCs w:val="20"/>
        </w:rPr>
        <w:t>Consultation Paper on the Pricing Framework for Australian Public Hospital Services  2026–</w:t>
      </w:r>
      <w:r w:rsidRPr="00041AC0">
        <w:rPr>
          <w:rFonts w:cs="Arial"/>
          <w:sz w:val="20"/>
          <w:szCs w:val="20"/>
        </w:rPr>
        <w:t>27</w:t>
      </w:r>
      <w:r w:rsidR="0022699F" w:rsidRPr="00041AC0">
        <w:rPr>
          <w:rFonts w:cs="Arial"/>
          <w:sz w:val="20"/>
          <w:szCs w:val="20"/>
        </w:rPr>
        <w:t>,</w:t>
      </w:r>
      <w:r w:rsidR="00717FCC">
        <w:rPr>
          <w:rFonts w:cs="Arial"/>
          <w:sz w:val="20"/>
          <w:szCs w:val="20"/>
        </w:rPr>
        <w:t xml:space="preserve"> </w:t>
      </w:r>
      <w:r w:rsidR="00FA1C5E" w:rsidRPr="00FA1C5E">
        <w:rPr>
          <w:rFonts w:cs="Arial"/>
          <w:sz w:val="20"/>
          <w:szCs w:val="20"/>
        </w:rPr>
        <w:t>Qu</w:t>
      </w:r>
      <w:r w:rsidR="003A3FDB">
        <w:rPr>
          <w:rFonts w:cs="Arial"/>
          <w:sz w:val="20"/>
          <w:szCs w:val="20"/>
        </w:rPr>
        <w:t>e</w:t>
      </w:r>
      <w:r w:rsidR="00FA1C5E">
        <w:rPr>
          <w:rFonts w:cs="Arial"/>
          <w:sz w:val="20"/>
          <w:szCs w:val="20"/>
        </w:rPr>
        <w:t>ensland</w:t>
      </w:r>
      <w:r w:rsidR="003712CA">
        <w:rPr>
          <w:rFonts w:cs="Arial"/>
          <w:sz w:val="20"/>
          <w:szCs w:val="20"/>
        </w:rPr>
        <w:t xml:space="preserve"> (Qld)</w:t>
      </w:r>
      <w:r w:rsidR="00FA1C5E" w:rsidRPr="00FA1C5E">
        <w:rPr>
          <w:rFonts w:cs="Arial"/>
          <w:sz w:val="20"/>
          <w:szCs w:val="20"/>
        </w:rPr>
        <w:t>,</w:t>
      </w:r>
      <w:r w:rsidR="00FA1C5E">
        <w:rPr>
          <w:rFonts w:cs="Arial"/>
          <w:sz w:val="20"/>
          <w:szCs w:val="20"/>
        </w:rPr>
        <w:t xml:space="preserve"> </w:t>
      </w:r>
      <w:r w:rsidR="008B656A">
        <w:rPr>
          <w:rFonts w:cs="Arial"/>
          <w:sz w:val="20"/>
          <w:szCs w:val="20"/>
        </w:rPr>
        <w:t xml:space="preserve">the </w:t>
      </w:r>
      <w:r w:rsidR="00FA1C5E" w:rsidRPr="00FA1C5E">
        <w:rPr>
          <w:rFonts w:cs="Arial"/>
          <w:sz w:val="20"/>
          <w:szCs w:val="20"/>
        </w:rPr>
        <w:t>Northern Territor</w:t>
      </w:r>
      <w:r w:rsidR="00FA1C5E">
        <w:rPr>
          <w:rFonts w:cs="Arial"/>
          <w:sz w:val="20"/>
          <w:szCs w:val="20"/>
        </w:rPr>
        <w:t>y</w:t>
      </w:r>
      <w:r w:rsidR="003712CA">
        <w:rPr>
          <w:rFonts w:cs="Arial"/>
          <w:sz w:val="20"/>
          <w:szCs w:val="20"/>
        </w:rPr>
        <w:t xml:space="preserve"> (NT</w:t>
      </w:r>
      <w:r w:rsidR="003712CA" w:rsidRPr="00041AC0">
        <w:rPr>
          <w:rFonts w:cs="Arial"/>
          <w:sz w:val="20"/>
          <w:szCs w:val="20"/>
        </w:rPr>
        <w:t>)</w:t>
      </w:r>
      <w:r w:rsidR="00FA1C5E" w:rsidRPr="00041AC0">
        <w:rPr>
          <w:rFonts w:cs="Arial"/>
          <w:sz w:val="20"/>
          <w:szCs w:val="20"/>
        </w:rPr>
        <w:t xml:space="preserve">, </w:t>
      </w:r>
      <w:r w:rsidR="005E474E">
        <w:rPr>
          <w:rFonts w:cs="Arial"/>
          <w:sz w:val="20"/>
          <w:szCs w:val="20"/>
        </w:rPr>
        <w:t>and other stakeholders</w:t>
      </w:r>
      <w:r w:rsidR="005E474E" w:rsidRPr="00FA1C5E">
        <w:rPr>
          <w:rFonts w:cs="Arial"/>
          <w:sz w:val="20"/>
          <w:szCs w:val="20"/>
        </w:rPr>
        <w:t xml:space="preserve"> </w:t>
      </w:r>
      <w:r w:rsidR="00FA1C5E" w:rsidRPr="00FA1C5E">
        <w:rPr>
          <w:rFonts w:cs="Arial"/>
          <w:sz w:val="20"/>
          <w:szCs w:val="20"/>
        </w:rPr>
        <w:t>supported removing the remaining temporary COVID-19 measures for</w:t>
      </w:r>
      <w:r w:rsidR="003A3FDB">
        <w:rPr>
          <w:rFonts w:cs="Arial"/>
          <w:sz w:val="20"/>
          <w:szCs w:val="20"/>
        </w:rPr>
        <w:t xml:space="preserve"> </w:t>
      </w:r>
      <w:r w:rsidR="00FA1C5E" w:rsidRPr="00FA1C5E">
        <w:rPr>
          <w:rFonts w:cs="Arial"/>
          <w:sz w:val="20"/>
          <w:szCs w:val="20"/>
        </w:rPr>
        <w:t>NEP26. However,</w:t>
      </w:r>
      <w:r w:rsidR="00453B6F">
        <w:rPr>
          <w:rFonts w:cs="Arial"/>
          <w:sz w:val="20"/>
          <w:szCs w:val="20"/>
        </w:rPr>
        <w:t xml:space="preserve"> </w:t>
      </w:r>
      <w:r w:rsidR="005E474E">
        <w:rPr>
          <w:rFonts w:cs="Arial"/>
          <w:sz w:val="20"/>
          <w:szCs w:val="20"/>
        </w:rPr>
        <w:t xml:space="preserve">some </w:t>
      </w:r>
      <w:r w:rsidR="0022699F" w:rsidRPr="0022699F">
        <w:rPr>
          <w:rFonts w:cs="Arial"/>
          <w:sz w:val="20"/>
          <w:szCs w:val="20"/>
        </w:rPr>
        <w:t>stakeholder</w:t>
      </w:r>
      <w:r w:rsidR="00FA4557">
        <w:rPr>
          <w:rFonts w:cs="Arial"/>
          <w:sz w:val="20"/>
          <w:szCs w:val="20"/>
        </w:rPr>
        <w:t>s</w:t>
      </w:r>
      <w:r w:rsidR="0022699F" w:rsidRPr="0022699F">
        <w:rPr>
          <w:rFonts w:cs="Arial"/>
          <w:sz w:val="20"/>
          <w:szCs w:val="20"/>
        </w:rPr>
        <w:t xml:space="preserve"> </w:t>
      </w:r>
      <w:r w:rsidR="0022699F">
        <w:rPr>
          <w:rFonts w:cs="Arial"/>
          <w:sz w:val="20"/>
          <w:szCs w:val="20"/>
        </w:rPr>
        <w:t xml:space="preserve">raised </w:t>
      </w:r>
      <w:r w:rsidR="0022699F" w:rsidRPr="0022699F">
        <w:rPr>
          <w:rFonts w:cs="Arial"/>
          <w:sz w:val="20"/>
          <w:szCs w:val="20"/>
        </w:rPr>
        <w:t>concerns around the removal of the remaining temporary measures, including the ongoing impact of COVID-19 across the health system, potential volatility in the pricing model, and risk of future spikes in COVID-19 activity.</w:t>
      </w:r>
      <w:r w:rsidR="0022699F">
        <w:rPr>
          <w:rFonts w:cs="Arial"/>
          <w:sz w:val="20"/>
          <w:szCs w:val="20"/>
        </w:rPr>
        <w:t xml:space="preserve"> </w:t>
      </w:r>
      <w:r w:rsidR="007D26AA" w:rsidRPr="005F43A8">
        <w:rPr>
          <w:rFonts w:cs="Arial"/>
          <w:sz w:val="20"/>
          <w:szCs w:val="20"/>
        </w:rPr>
        <w:t>Further information is available in the consultation report.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B62638" w:rsidRPr="004C24F6" w14:paraId="6DB91511" w14:textId="77777777" w:rsidTr="0019067A">
        <w:tc>
          <w:tcPr>
            <w:tcW w:w="851" w:type="dxa"/>
            <w:shd w:val="clear" w:color="auto" w:fill="B5FFE0" w:themeFill="accent4" w:themeFillTint="33"/>
          </w:tcPr>
          <w:p w14:paraId="394B84D7" w14:textId="77777777" w:rsidR="00B62638" w:rsidRPr="004953FE" w:rsidRDefault="00B62638" w:rsidP="0019067A">
            <w:pPr>
              <w:jc w:val="center"/>
              <w:rPr>
                <w:sz w:val="20"/>
                <w:szCs w:val="20"/>
              </w:rPr>
            </w:pPr>
            <w:r w:rsidRPr="004953FE">
              <w:rPr>
                <w:noProof/>
                <w:sz w:val="20"/>
                <w:szCs w:val="20"/>
              </w:rPr>
              <w:drawing>
                <wp:inline distT="0" distB="0" distL="0" distR="0" wp14:anchorId="706A323F" wp14:editId="35168B81">
                  <wp:extent cx="266700" cy="266700"/>
                  <wp:effectExtent l="0" t="0" r="0" b="0"/>
                  <wp:docPr id="737378752" name="Picture 737378752"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2134093E" w14:textId="77777777" w:rsidR="00B62638" w:rsidRPr="004953FE" w:rsidRDefault="00B62638" w:rsidP="0019067A">
            <w:pPr>
              <w:pStyle w:val="Heading4"/>
              <w:rPr>
                <w:sz w:val="20"/>
                <w:szCs w:val="20"/>
              </w:rPr>
            </w:pPr>
            <w:r w:rsidRPr="004953FE">
              <w:rPr>
                <w:sz w:val="20"/>
                <w:szCs w:val="20"/>
              </w:rPr>
              <w:t>IHACPA’s decision</w:t>
            </w:r>
          </w:p>
          <w:p w14:paraId="645360E5" w14:textId="29A84368" w:rsidR="00B62638" w:rsidRPr="00F57BE6" w:rsidRDefault="00B62638" w:rsidP="00A209F1">
            <w:r>
              <w:rPr>
                <w:sz w:val="20"/>
                <w:szCs w:val="20"/>
              </w:rPr>
              <w:t xml:space="preserve">IHACPA </w:t>
            </w:r>
            <w:r w:rsidR="0060755C">
              <w:rPr>
                <w:sz w:val="20"/>
                <w:szCs w:val="20"/>
              </w:rPr>
              <w:t xml:space="preserve">intends to </w:t>
            </w:r>
            <w:r>
              <w:rPr>
                <w:sz w:val="20"/>
                <w:szCs w:val="20"/>
              </w:rPr>
              <w:t>remove the</w:t>
            </w:r>
            <w:r w:rsidR="00D8625D">
              <w:rPr>
                <w:sz w:val="20"/>
                <w:szCs w:val="20"/>
              </w:rPr>
              <w:t xml:space="preserve"> </w:t>
            </w:r>
            <w:r w:rsidR="00C718A1">
              <w:rPr>
                <w:sz w:val="20"/>
                <w:szCs w:val="20"/>
              </w:rPr>
              <w:t>COVID-19 treatment</w:t>
            </w:r>
            <w:r w:rsidR="00024BF3">
              <w:rPr>
                <w:sz w:val="20"/>
                <w:szCs w:val="20"/>
              </w:rPr>
              <w:t xml:space="preserve"> and</w:t>
            </w:r>
            <w:r w:rsidR="00C718A1">
              <w:rPr>
                <w:sz w:val="20"/>
                <w:szCs w:val="20"/>
              </w:rPr>
              <w:t xml:space="preserve"> ICU </w:t>
            </w:r>
            <w:r w:rsidR="00024BF3">
              <w:rPr>
                <w:sz w:val="20"/>
                <w:szCs w:val="20"/>
              </w:rPr>
              <w:t xml:space="preserve">adjustments </w:t>
            </w:r>
            <w:r w:rsidR="00C718A1">
              <w:rPr>
                <w:sz w:val="20"/>
                <w:szCs w:val="20"/>
              </w:rPr>
              <w:t xml:space="preserve">and </w:t>
            </w:r>
            <w:r w:rsidR="00024BF3">
              <w:rPr>
                <w:sz w:val="20"/>
                <w:szCs w:val="20"/>
              </w:rPr>
              <w:t xml:space="preserve">the </w:t>
            </w:r>
            <w:r w:rsidR="00C718A1">
              <w:rPr>
                <w:sz w:val="20"/>
                <w:szCs w:val="20"/>
              </w:rPr>
              <w:t>safety and quality adjustment</w:t>
            </w:r>
            <w:r w:rsidR="00024BF3">
              <w:rPr>
                <w:sz w:val="20"/>
                <w:szCs w:val="20"/>
              </w:rPr>
              <w:t xml:space="preserve"> exemptions</w:t>
            </w:r>
            <w:r w:rsidR="00C718A1">
              <w:rPr>
                <w:sz w:val="20"/>
                <w:szCs w:val="20"/>
              </w:rPr>
              <w:t xml:space="preserve"> for NEP26, as these temporary pricing adjustments</w:t>
            </w:r>
            <w:r w:rsidR="00EF3FEF">
              <w:rPr>
                <w:rStyle w:val="CommentReference"/>
              </w:rPr>
              <w:t xml:space="preserve"> </w:t>
            </w:r>
            <w:r w:rsidR="00C718A1">
              <w:rPr>
                <w:sz w:val="20"/>
                <w:szCs w:val="20"/>
              </w:rPr>
              <w:t xml:space="preserve">are no longer required to account for the impact of COVID-19 on service delivery. </w:t>
            </w:r>
            <w:r w:rsidR="008F45F3">
              <w:rPr>
                <w:sz w:val="20"/>
                <w:szCs w:val="20"/>
              </w:rPr>
              <w:t xml:space="preserve">In ceasing the suspension of safety and quality adjustments for COVID-19 episodes, IHACPA intends to </w:t>
            </w:r>
            <w:r w:rsidR="00391BF7">
              <w:rPr>
                <w:sz w:val="20"/>
                <w:szCs w:val="20"/>
              </w:rPr>
              <w:t xml:space="preserve">test and </w:t>
            </w:r>
            <w:r w:rsidR="008F45F3">
              <w:rPr>
                <w:sz w:val="20"/>
                <w:szCs w:val="20"/>
              </w:rPr>
              <w:t xml:space="preserve">incorporate COVID-19 </w:t>
            </w:r>
            <w:r w:rsidR="00391BF7">
              <w:rPr>
                <w:sz w:val="20"/>
                <w:szCs w:val="20"/>
              </w:rPr>
              <w:t xml:space="preserve">as a </w:t>
            </w:r>
            <w:r w:rsidR="008F45F3">
              <w:rPr>
                <w:sz w:val="20"/>
                <w:szCs w:val="20"/>
              </w:rPr>
              <w:t xml:space="preserve">risk adjustment </w:t>
            </w:r>
            <w:r w:rsidR="00391BF7">
              <w:rPr>
                <w:sz w:val="20"/>
                <w:szCs w:val="20"/>
              </w:rPr>
              <w:t>in statistically relevant</w:t>
            </w:r>
            <w:r w:rsidR="008F45F3">
              <w:rPr>
                <w:sz w:val="20"/>
                <w:szCs w:val="20"/>
              </w:rPr>
              <w:t xml:space="preserve"> </w:t>
            </w:r>
            <w:r w:rsidR="00391BF7">
              <w:rPr>
                <w:sz w:val="20"/>
                <w:szCs w:val="20"/>
              </w:rPr>
              <w:t xml:space="preserve">HAC </w:t>
            </w:r>
            <w:r w:rsidR="008F45F3">
              <w:rPr>
                <w:sz w:val="20"/>
                <w:szCs w:val="20"/>
              </w:rPr>
              <w:t xml:space="preserve">and </w:t>
            </w:r>
            <w:r w:rsidR="00391BF7">
              <w:rPr>
                <w:sz w:val="20"/>
                <w:szCs w:val="20"/>
              </w:rPr>
              <w:t>AHR categories.</w:t>
            </w:r>
          </w:p>
        </w:tc>
      </w:tr>
    </w:tbl>
    <w:p w14:paraId="23DEF294" w14:textId="372EC4F9" w:rsidR="006B18AD" w:rsidRPr="001F27B2" w:rsidRDefault="00F26297" w:rsidP="00E4566C">
      <w:pPr>
        <w:pStyle w:val="Heading2"/>
        <w:spacing w:before="240"/>
      </w:pPr>
      <w:r w:rsidRPr="001F27B2">
        <w:t>4.</w:t>
      </w:r>
      <w:r w:rsidR="00DA5713">
        <w:t>3</w:t>
      </w:r>
      <w:r w:rsidRPr="001F27B2">
        <w:t xml:space="preserve"> Adjustments to the national efficient price</w:t>
      </w:r>
    </w:p>
    <w:p w14:paraId="140C8238" w14:textId="53993A49" w:rsidR="00F26297" w:rsidRPr="008E5DB0" w:rsidRDefault="008D784C" w:rsidP="003D1412">
      <w:pPr>
        <w:rPr>
          <w:sz w:val="20"/>
          <w:szCs w:val="20"/>
        </w:rPr>
      </w:pPr>
      <w:r w:rsidRPr="008D784C">
        <w:rPr>
          <w:sz w:val="20"/>
          <w:szCs w:val="20"/>
        </w:rPr>
        <w:t xml:space="preserve">Section 131(1)(d) of the </w:t>
      </w:r>
      <w:r w:rsidRPr="008D784C">
        <w:rPr>
          <w:i/>
          <w:iCs/>
          <w:sz w:val="20"/>
          <w:szCs w:val="20"/>
        </w:rPr>
        <w:t>National Health Reform Act 2011</w:t>
      </w:r>
      <w:r w:rsidRPr="008D784C">
        <w:rPr>
          <w:sz w:val="20"/>
          <w:szCs w:val="20"/>
        </w:rPr>
        <w:t xml:space="preserve"> allows IHACPA to determine ‘loadings’ or adjustments to the NEP to reflect legitimate and unavoidable cost variations in the delivery of public hospital services.</w:t>
      </w:r>
    </w:p>
    <w:p w14:paraId="0A3D3BFA" w14:textId="2728648E" w:rsidR="00646837" w:rsidRPr="00646837" w:rsidRDefault="00646837" w:rsidP="00646837">
      <w:pPr>
        <w:rPr>
          <w:sz w:val="20"/>
          <w:szCs w:val="20"/>
        </w:rPr>
      </w:pPr>
      <w:r w:rsidRPr="00646837">
        <w:rPr>
          <w:sz w:val="20"/>
          <w:szCs w:val="20"/>
        </w:rPr>
        <w:t xml:space="preserve">Clause A47 of the addendum specifies that when making this assessment, IHACPA must have regard to legitimate and unavoidable variations in wage costs and other inputs </w:t>
      </w:r>
      <w:r w:rsidR="00467468">
        <w:rPr>
          <w:sz w:val="20"/>
          <w:szCs w:val="20"/>
        </w:rPr>
        <w:t>that</w:t>
      </w:r>
      <w:r w:rsidRPr="00646837">
        <w:rPr>
          <w:sz w:val="20"/>
          <w:szCs w:val="20"/>
        </w:rPr>
        <w:t xml:space="preserve"> affect the costs of service delivery such as:</w:t>
      </w:r>
    </w:p>
    <w:p w14:paraId="6A328E81" w14:textId="7DD3B867" w:rsidR="00646837" w:rsidRPr="00646837" w:rsidRDefault="00646837" w:rsidP="00E4566C">
      <w:pPr>
        <w:pStyle w:val="ListParagraph"/>
        <w:keepNext/>
        <w:keepLines/>
        <w:numPr>
          <w:ilvl w:val="0"/>
          <w:numId w:val="19"/>
        </w:numPr>
        <w:rPr>
          <w:sz w:val="20"/>
          <w:szCs w:val="20"/>
        </w:rPr>
      </w:pPr>
      <w:r w:rsidRPr="00646837">
        <w:rPr>
          <w:sz w:val="20"/>
          <w:szCs w:val="20"/>
        </w:rPr>
        <w:t xml:space="preserve">hospital and local </w:t>
      </w:r>
      <w:r w:rsidR="00A067EB">
        <w:rPr>
          <w:sz w:val="20"/>
          <w:szCs w:val="20"/>
        </w:rPr>
        <w:t>hospital</w:t>
      </w:r>
      <w:r w:rsidR="00A067EB" w:rsidRPr="00646837">
        <w:rPr>
          <w:sz w:val="20"/>
          <w:szCs w:val="20"/>
        </w:rPr>
        <w:t xml:space="preserve"> </w:t>
      </w:r>
      <w:r w:rsidRPr="00646837">
        <w:rPr>
          <w:sz w:val="20"/>
          <w:szCs w:val="20"/>
        </w:rPr>
        <w:t>district type and size</w:t>
      </w:r>
    </w:p>
    <w:p w14:paraId="3091DCE8" w14:textId="6A0E072B" w:rsidR="00646837" w:rsidRPr="00646837" w:rsidRDefault="00646837" w:rsidP="00E4566C">
      <w:pPr>
        <w:pStyle w:val="ListParagraph"/>
        <w:keepNext/>
        <w:keepLines/>
        <w:numPr>
          <w:ilvl w:val="0"/>
          <w:numId w:val="19"/>
        </w:numPr>
        <w:rPr>
          <w:sz w:val="20"/>
          <w:szCs w:val="20"/>
        </w:rPr>
      </w:pPr>
      <w:r w:rsidRPr="00646837">
        <w:rPr>
          <w:sz w:val="20"/>
          <w:szCs w:val="20"/>
        </w:rPr>
        <w:t>hospital location, including regional and remote status</w:t>
      </w:r>
    </w:p>
    <w:p w14:paraId="66D4754A" w14:textId="2D3C7BCF" w:rsidR="00646837" w:rsidRPr="00646837" w:rsidRDefault="00646837" w:rsidP="00E4566C">
      <w:pPr>
        <w:pStyle w:val="ListParagraph"/>
        <w:keepNext/>
        <w:keepLines/>
        <w:numPr>
          <w:ilvl w:val="0"/>
          <w:numId w:val="19"/>
        </w:numPr>
        <w:rPr>
          <w:sz w:val="20"/>
          <w:szCs w:val="20"/>
        </w:rPr>
      </w:pPr>
      <w:r w:rsidRPr="00646837">
        <w:rPr>
          <w:sz w:val="20"/>
          <w:szCs w:val="20"/>
        </w:rPr>
        <w:t>p</w:t>
      </w:r>
      <w:r w:rsidRPr="009342EC">
        <w:rPr>
          <w:sz w:val="20"/>
          <w:szCs w:val="20"/>
        </w:rPr>
        <w:t>atient complexity, including Indigenous status, which is not captured</w:t>
      </w:r>
      <w:r w:rsidRPr="00FA0B8F">
        <w:rPr>
          <w:sz w:val="20"/>
        </w:rPr>
        <w:t xml:space="preserve"> by the classification system.</w:t>
      </w:r>
    </w:p>
    <w:p w14:paraId="349700D9" w14:textId="78FBED63" w:rsidR="00E41068" w:rsidRPr="008E5DB0" w:rsidRDefault="00646837" w:rsidP="00C62C29">
      <w:pPr>
        <w:rPr>
          <w:sz w:val="20"/>
          <w:szCs w:val="20"/>
        </w:rPr>
      </w:pPr>
      <w:r w:rsidRPr="00E56DE0">
        <w:rPr>
          <w:sz w:val="20"/>
          <w:szCs w:val="20"/>
        </w:rPr>
        <w:t xml:space="preserve">Further information about the eligibility criteria is provided in the </w:t>
      </w:r>
      <w:hyperlink r:id="rId54" w:history="1">
        <w:r w:rsidRPr="00E56DE0">
          <w:rPr>
            <w:rStyle w:val="Hyperlink"/>
            <w:sz w:val="20"/>
            <w:szCs w:val="20"/>
          </w:rPr>
          <w:t>Assessment of Adjustments to the National Pricing Model Policy</w:t>
        </w:r>
      </w:hyperlink>
      <w:r w:rsidRPr="00E56DE0">
        <w:rPr>
          <w:sz w:val="20"/>
          <w:szCs w:val="20"/>
        </w:rPr>
        <w:t xml:space="preserve"> available on IHACPA’s website. A list of all the adjustments IHACPA applies </w:t>
      </w:r>
      <w:r w:rsidR="000E6BEF">
        <w:rPr>
          <w:sz w:val="20"/>
          <w:szCs w:val="20"/>
        </w:rPr>
        <w:t>in</w:t>
      </w:r>
      <w:r w:rsidR="000E6BEF" w:rsidRPr="00E56DE0">
        <w:rPr>
          <w:sz w:val="20"/>
          <w:szCs w:val="20"/>
        </w:rPr>
        <w:t xml:space="preserve"> </w:t>
      </w:r>
      <w:r w:rsidRPr="00E56DE0">
        <w:rPr>
          <w:sz w:val="20"/>
          <w:szCs w:val="20"/>
        </w:rPr>
        <w:t xml:space="preserve">the national pricing model is available in the </w:t>
      </w:r>
      <w:hyperlink r:id="rId55" w:history="1">
        <w:r w:rsidRPr="00E56DE0">
          <w:rPr>
            <w:rStyle w:val="Hyperlink"/>
            <w:sz w:val="20"/>
            <w:szCs w:val="20"/>
          </w:rPr>
          <w:t>NEP</w:t>
        </w:r>
        <w:r w:rsidR="00C9117E">
          <w:rPr>
            <w:rStyle w:val="Hyperlink"/>
            <w:sz w:val="20"/>
            <w:szCs w:val="20"/>
          </w:rPr>
          <w:t>25</w:t>
        </w:r>
      </w:hyperlink>
      <w:r w:rsidRPr="00E56DE0">
        <w:rPr>
          <w:sz w:val="20"/>
          <w:szCs w:val="20"/>
        </w:rPr>
        <w:t xml:space="preserve"> on the IHACPA website</w:t>
      </w:r>
      <w:r w:rsidRPr="00646837">
        <w:rPr>
          <w:sz w:val="20"/>
          <w:szCs w:val="20"/>
        </w:rPr>
        <w:t>.</w:t>
      </w:r>
    </w:p>
    <w:p w14:paraId="1EDBD6C4" w14:textId="1CEE4AE9" w:rsidR="004873FC" w:rsidRPr="00C900A5" w:rsidRDefault="000D4FB0" w:rsidP="00C900A5">
      <w:pPr>
        <w:pStyle w:val="Heading3"/>
        <w:rPr>
          <w:b w:val="0"/>
          <w:iCs/>
          <w:lang w:val="en-PH"/>
        </w:rPr>
      </w:pPr>
      <w:r w:rsidRPr="00C900A5">
        <w:rPr>
          <w:iCs/>
          <w:color w:val="15272F" w:themeColor="text1"/>
          <w:sz w:val="22"/>
          <w:szCs w:val="22"/>
          <w:lang w:val="en-PH"/>
        </w:rPr>
        <w:t>Intensive Care Unit adjustment</w:t>
      </w:r>
    </w:p>
    <w:p w14:paraId="6A426D8E" w14:textId="77777777" w:rsidR="00674FF0" w:rsidRDefault="00674FF0" w:rsidP="00674FF0">
      <w:pPr>
        <w:rPr>
          <w:sz w:val="20"/>
          <w:szCs w:val="20"/>
        </w:rPr>
      </w:pPr>
      <w:r w:rsidRPr="00EC1D51">
        <w:rPr>
          <w:sz w:val="20"/>
          <w:szCs w:val="20"/>
        </w:rPr>
        <w:t>Building on the foundational work from 2023</w:t>
      </w:r>
      <w:r>
        <w:rPr>
          <w:sz w:val="20"/>
          <w:szCs w:val="20"/>
        </w:rPr>
        <w:t xml:space="preserve"> and 2024, outlined in the respective </w:t>
      </w:r>
      <w:hyperlink r:id="rId56" w:history="1">
        <w:r w:rsidRPr="00EE4B28">
          <w:rPr>
            <w:rStyle w:val="Hyperlink"/>
            <w:sz w:val="20"/>
            <w:szCs w:val="20"/>
          </w:rPr>
          <w:t>Pricing Framework and Consultation Reports</w:t>
        </w:r>
      </w:hyperlink>
      <w:r w:rsidRPr="00EC1D51">
        <w:rPr>
          <w:sz w:val="20"/>
          <w:szCs w:val="20"/>
        </w:rPr>
        <w:t xml:space="preserve">, IHACPA </w:t>
      </w:r>
      <w:r>
        <w:rPr>
          <w:sz w:val="20"/>
          <w:szCs w:val="20"/>
        </w:rPr>
        <w:t>continues to</w:t>
      </w:r>
      <w:r w:rsidRPr="00EC1D51">
        <w:rPr>
          <w:sz w:val="20"/>
          <w:szCs w:val="20"/>
        </w:rPr>
        <w:t xml:space="preserve"> review the ICU eligibility list and associated adjustment.</w:t>
      </w:r>
    </w:p>
    <w:p w14:paraId="1171CDC2" w14:textId="77777777" w:rsidR="00674FF0" w:rsidRDefault="00674FF0" w:rsidP="00A8630C">
      <w:pPr>
        <w:keepNext/>
        <w:keepLines/>
        <w:rPr>
          <w:sz w:val="20"/>
          <w:szCs w:val="20"/>
        </w:rPr>
      </w:pPr>
      <w:r>
        <w:rPr>
          <w:sz w:val="20"/>
          <w:szCs w:val="20"/>
        </w:rPr>
        <w:t>The review focuses on 2 key questions:</w:t>
      </w:r>
    </w:p>
    <w:p w14:paraId="55EF57E7" w14:textId="77777777" w:rsidR="00674FF0" w:rsidRDefault="00674FF0" w:rsidP="00A25CEA">
      <w:pPr>
        <w:pStyle w:val="ListParagraph"/>
        <w:keepLines/>
        <w:numPr>
          <w:ilvl w:val="0"/>
          <w:numId w:val="19"/>
        </w:numPr>
        <w:ind w:left="714" w:hanging="357"/>
        <w:rPr>
          <w:sz w:val="20"/>
          <w:szCs w:val="20"/>
        </w:rPr>
      </w:pPr>
      <w:r>
        <w:rPr>
          <w:sz w:val="20"/>
          <w:szCs w:val="20"/>
        </w:rPr>
        <w:t>whether an ICU adjustment should only be applied to a specified list of hospitals</w:t>
      </w:r>
    </w:p>
    <w:p w14:paraId="24F8EFCD" w14:textId="2A01513D" w:rsidR="001F3962" w:rsidRPr="00A002BA" w:rsidRDefault="00674FF0" w:rsidP="00A25CEA">
      <w:pPr>
        <w:pStyle w:val="ListParagraph"/>
        <w:keepLines/>
        <w:numPr>
          <w:ilvl w:val="0"/>
          <w:numId w:val="19"/>
        </w:numPr>
        <w:ind w:left="714" w:hanging="357"/>
        <w:rPr>
          <w:sz w:val="20"/>
          <w:szCs w:val="20"/>
        </w:rPr>
      </w:pPr>
      <w:r w:rsidRPr="00783B3A">
        <w:rPr>
          <w:sz w:val="20"/>
          <w:szCs w:val="20"/>
        </w:rPr>
        <w:t>whether the cost of ICU care should be bundled in the AR-DRG price for some AR-DRGs where there is a relatively consistent proportion of ICU care</w:t>
      </w:r>
      <w:r>
        <w:rPr>
          <w:sz w:val="20"/>
          <w:szCs w:val="20"/>
        </w:rPr>
        <w:t>, rather than</w:t>
      </w:r>
      <w:r w:rsidRPr="00783B3A">
        <w:rPr>
          <w:sz w:val="20"/>
          <w:szCs w:val="20"/>
        </w:rPr>
        <w:t xml:space="preserve"> being removed and priced separately through the adjustment</w:t>
      </w:r>
      <w:r>
        <w:rPr>
          <w:sz w:val="20"/>
          <w:szCs w:val="20"/>
        </w:rPr>
        <w:t>.</w:t>
      </w:r>
    </w:p>
    <w:p w14:paraId="754DC2F5" w14:textId="73CEDA42" w:rsidR="00674FF0" w:rsidRDefault="006E6FFD" w:rsidP="00823A1D">
      <w:pPr>
        <w:rPr>
          <w:sz w:val="20"/>
          <w:szCs w:val="20"/>
        </w:rPr>
      </w:pPr>
      <w:r>
        <w:rPr>
          <w:sz w:val="20"/>
          <w:szCs w:val="20"/>
        </w:rPr>
        <w:lastRenderedPageBreak/>
        <w:t>I</w:t>
      </w:r>
      <w:r w:rsidR="002D02BC">
        <w:rPr>
          <w:sz w:val="20"/>
          <w:szCs w:val="20"/>
        </w:rPr>
        <w:t>n response to the</w:t>
      </w:r>
      <w:r w:rsidR="00C21E53">
        <w:rPr>
          <w:sz w:val="20"/>
          <w:szCs w:val="20"/>
        </w:rPr>
        <w:t xml:space="preserve"> consultation paper</w:t>
      </w:r>
      <w:r>
        <w:rPr>
          <w:sz w:val="20"/>
          <w:szCs w:val="20"/>
        </w:rPr>
        <w:t>, stakeholders rec</w:t>
      </w:r>
      <w:r w:rsidR="002E4263" w:rsidRPr="00EC1D51">
        <w:rPr>
          <w:sz w:val="20"/>
          <w:szCs w:val="20"/>
        </w:rPr>
        <w:t>ommended the use of data in addition to mechanical ventilation hours to determine ICU complexity, and resulting eligibility, and the extension of the ICU eligibility criteria to recognise cost variation through patient and provider characteristics.</w:t>
      </w:r>
    </w:p>
    <w:p w14:paraId="5B8867AC" w14:textId="42227E84" w:rsidR="00DA608C" w:rsidRDefault="00193464" w:rsidP="00FA0B8F">
      <w:pPr>
        <w:keepNext/>
        <w:keepLines/>
        <w:rPr>
          <w:sz w:val="20"/>
          <w:szCs w:val="20"/>
        </w:rPr>
      </w:pPr>
      <w:r>
        <w:rPr>
          <w:sz w:val="20"/>
          <w:szCs w:val="20"/>
        </w:rPr>
        <w:t xml:space="preserve">Currently, IHACPA bundles ICU costs into the AR-DRG prices in the </w:t>
      </w:r>
      <w:r w:rsidRPr="00F20E88">
        <w:rPr>
          <w:sz w:val="20"/>
          <w:szCs w:val="20"/>
        </w:rPr>
        <w:t xml:space="preserve">Major Diagnostic Category (MDC) 15 </w:t>
      </w:r>
      <w:r w:rsidRPr="009150CE">
        <w:rPr>
          <w:i/>
          <w:iCs/>
          <w:sz w:val="20"/>
          <w:szCs w:val="20"/>
        </w:rPr>
        <w:t>Newborns and other neonates</w:t>
      </w:r>
      <w:r>
        <w:rPr>
          <w:sz w:val="20"/>
          <w:szCs w:val="20"/>
        </w:rPr>
        <w:t>, meaning they do not attract the existing ICU adjustment</w:t>
      </w:r>
      <w:r w:rsidR="00CA7956">
        <w:rPr>
          <w:sz w:val="20"/>
          <w:szCs w:val="20"/>
        </w:rPr>
        <w:t xml:space="preserve"> as all reported ICU costs are funded through the AR-DRG price weight</w:t>
      </w:r>
      <w:r>
        <w:rPr>
          <w:sz w:val="20"/>
          <w:szCs w:val="20"/>
        </w:rPr>
        <w:t>.</w:t>
      </w:r>
      <w:r w:rsidR="00CE046A">
        <w:rPr>
          <w:sz w:val="20"/>
          <w:szCs w:val="20"/>
        </w:rPr>
        <w:t xml:space="preserve"> </w:t>
      </w:r>
      <w:r>
        <w:rPr>
          <w:sz w:val="20"/>
          <w:szCs w:val="20"/>
        </w:rPr>
        <w:t xml:space="preserve">However, </w:t>
      </w:r>
      <w:r w:rsidR="002E79AB" w:rsidRPr="002E79AB">
        <w:rPr>
          <w:sz w:val="20"/>
          <w:szCs w:val="20"/>
        </w:rPr>
        <w:t xml:space="preserve">most </w:t>
      </w:r>
      <w:r>
        <w:rPr>
          <w:sz w:val="20"/>
          <w:szCs w:val="20"/>
        </w:rPr>
        <w:t xml:space="preserve">other </w:t>
      </w:r>
      <w:r w:rsidR="002E79AB" w:rsidRPr="002E79AB">
        <w:rPr>
          <w:sz w:val="20"/>
          <w:szCs w:val="20"/>
        </w:rPr>
        <w:t xml:space="preserve">AR-DRGs have </w:t>
      </w:r>
      <w:r>
        <w:rPr>
          <w:sz w:val="20"/>
          <w:szCs w:val="20"/>
        </w:rPr>
        <w:t xml:space="preserve">more </w:t>
      </w:r>
      <w:r w:rsidR="002E79AB" w:rsidRPr="002E79AB">
        <w:rPr>
          <w:sz w:val="20"/>
          <w:szCs w:val="20"/>
        </w:rPr>
        <w:t>limited capacity to explain variation in ICU costs for patients</w:t>
      </w:r>
      <w:r w:rsidR="002E1FE7">
        <w:rPr>
          <w:sz w:val="20"/>
          <w:szCs w:val="20"/>
        </w:rPr>
        <w:t>. T</w:t>
      </w:r>
      <w:r>
        <w:rPr>
          <w:sz w:val="20"/>
          <w:szCs w:val="20"/>
        </w:rPr>
        <w:t>herefore</w:t>
      </w:r>
      <w:r w:rsidR="002E1FE7">
        <w:rPr>
          <w:sz w:val="20"/>
          <w:szCs w:val="20"/>
        </w:rPr>
        <w:t>,</w:t>
      </w:r>
      <w:r>
        <w:rPr>
          <w:sz w:val="20"/>
          <w:szCs w:val="20"/>
        </w:rPr>
        <w:t xml:space="preserve"> the ICU </w:t>
      </w:r>
      <w:r w:rsidR="009D7F6D">
        <w:rPr>
          <w:sz w:val="20"/>
          <w:szCs w:val="20"/>
        </w:rPr>
        <w:t xml:space="preserve">costs are removed from the base AR-DRG price </w:t>
      </w:r>
      <w:r w:rsidR="00873C16">
        <w:rPr>
          <w:sz w:val="20"/>
          <w:szCs w:val="20"/>
        </w:rPr>
        <w:t>weight,</w:t>
      </w:r>
      <w:r w:rsidR="009D7F6D">
        <w:rPr>
          <w:sz w:val="20"/>
          <w:szCs w:val="20"/>
        </w:rPr>
        <w:t xml:space="preserve"> and the ICU </w:t>
      </w:r>
      <w:r>
        <w:rPr>
          <w:sz w:val="20"/>
          <w:szCs w:val="20"/>
        </w:rPr>
        <w:t>adjustment is applied</w:t>
      </w:r>
      <w:r w:rsidR="002E79AB" w:rsidRPr="002E79AB">
        <w:rPr>
          <w:sz w:val="20"/>
          <w:szCs w:val="20"/>
        </w:rPr>
        <w:t>.</w:t>
      </w:r>
      <w:r w:rsidR="00C61A67">
        <w:rPr>
          <w:sz w:val="20"/>
          <w:szCs w:val="20"/>
        </w:rPr>
        <w:t xml:space="preserve"> </w:t>
      </w:r>
      <w:r w:rsidR="002E795D">
        <w:rPr>
          <w:sz w:val="20"/>
          <w:szCs w:val="20"/>
        </w:rPr>
        <w:t>B</w:t>
      </w:r>
      <w:r w:rsidR="0074193B" w:rsidRPr="002E79AB">
        <w:rPr>
          <w:sz w:val="20"/>
          <w:szCs w:val="20"/>
        </w:rPr>
        <w:t>undling</w:t>
      </w:r>
      <w:r w:rsidR="002E795D">
        <w:rPr>
          <w:sz w:val="20"/>
          <w:szCs w:val="20"/>
        </w:rPr>
        <w:t xml:space="preserve"> these</w:t>
      </w:r>
      <w:r w:rsidR="0074193B" w:rsidRPr="002E79AB">
        <w:rPr>
          <w:sz w:val="20"/>
          <w:szCs w:val="20"/>
        </w:rPr>
        <w:t xml:space="preserve"> ICU costs into the AR</w:t>
      </w:r>
      <w:r w:rsidR="0077556B">
        <w:rPr>
          <w:sz w:val="20"/>
          <w:szCs w:val="20"/>
        </w:rPr>
        <w:noBreakHyphen/>
      </w:r>
      <w:r w:rsidR="0074193B" w:rsidRPr="002E79AB">
        <w:rPr>
          <w:sz w:val="20"/>
          <w:szCs w:val="20"/>
        </w:rPr>
        <w:t xml:space="preserve">DRG price weight </w:t>
      </w:r>
      <w:r w:rsidR="002E795D">
        <w:rPr>
          <w:sz w:val="20"/>
          <w:szCs w:val="20"/>
        </w:rPr>
        <w:t xml:space="preserve">would </w:t>
      </w:r>
      <w:r w:rsidR="0074193B" w:rsidRPr="002E79AB">
        <w:rPr>
          <w:sz w:val="20"/>
          <w:szCs w:val="20"/>
        </w:rPr>
        <w:t>effectively spread the ICU costs between ICU and non-ICU episodes in each AR</w:t>
      </w:r>
      <w:r w:rsidR="0077556B">
        <w:rPr>
          <w:sz w:val="20"/>
          <w:szCs w:val="20"/>
        </w:rPr>
        <w:noBreakHyphen/>
        <w:t>DRG</w:t>
      </w:r>
      <w:r w:rsidR="0074193B">
        <w:rPr>
          <w:sz w:val="20"/>
          <w:szCs w:val="20"/>
        </w:rPr>
        <w:t xml:space="preserve"> and across all hospitals, </w:t>
      </w:r>
      <w:r w:rsidR="009B40DA">
        <w:rPr>
          <w:sz w:val="20"/>
          <w:szCs w:val="20"/>
        </w:rPr>
        <w:t>allow</w:t>
      </w:r>
      <w:r w:rsidR="0023025E">
        <w:rPr>
          <w:sz w:val="20"/>
          <w:szCs w:val="20"/>
        </w:rPr>
        <w:t>ing for</w:t>
      </w:r>
      <w:r w:rsidR="007E6773">
        <w:rPr>
          <w:sz w:val="20"/>
          <w:szCs w:val="20"/>
        </w:rPr>
        <w:t xml:space="preserve"> greater flexibility in care delivery.</w:t>
      </w:r>
    </w:p>
    <w:p w14:paraId="147A8394" w14:textId="27A170E8" w:rsidR="00EB3230" w:rsidRDefault="003E0387" w:rsidP="00823A1D">
      <w:pPr>
        <w:rPr>
          <w:rFonts w:cs="Arial"/>
          <w:sz w:val="20"/>
          <w:szCs w:val="20"/>
        </w:rPr>
      </w:pPr>
      <w:r>
        <w:rPr>
          <w:sz w:val="20"/>
          <w:szCs w:val="20"/>
        </w:rPr>
        <w:t xml:space="preserve">In response to the </w:t>
      </w:r>
      <w:r w:rsidR="00C21E53">
        <w:rPr>
          <w:sz w:val="20"/>
          <w:szCs w:val="20"/>
        </w:rPr>
        <w:t>consultation paper</w:t>
      </w:r>
      <w:r>
        <w:rPr>
          <w:sz w:val="20"/>
          <w:szCs w:val="20"/>
        </w:rPr>
        <w:t xml:space="preserve">, stakeholders expressed </w:t>
      </w:r>
      <w:r w:rsidR="00D01C2B" w:rsidRPr="00D01C2B">
        <w:rPr>
          <w:sz w:val="20"/>
          <w:szCs w:val="20"/>
        </w:rPr>
        <w:t>broad opposition to bundling ICU costs, with concerns about the potential negative impacts. Concerns centred on the risk of masking important cost variations, particularly for referral hospitals treating complex patients, and the potential disadvantage to rural and regional hospitals or high-dependency units (HDUs) not formally designated as ICUs.</w:t>
      </w:r>
      <w:r w:rsidR="007E6BA0">
        <w:rPr>
          <w:sz w:val="20"/>
          <w:szCs w:val="20"/>
        </w:rPr>
        <w:t xml:space="preserve"> </w:t>
      </w:r>
      <w:r w:rsidR="00E97DF9">
        <w:rPr>
          <w:sz w:val="20"/>
          <w:szCs w:val="20"/>
        </w:rPr>
        <w:t>The A</w:t>
      </w:r>
      <w:r w:rsidR="0012162C">
        <w:rPr>
          <w:sz w:val="20"/>
          <w:szCs w:val="20"/>
        </w:rPr>
        <w:t>ustralian Capital Territory (ACT)</w:t>
      </w:r>
      <w:r w:rsidR="007E6BA0" w:rsidRPr="007E6BA0">
        <w:rPr>
          <w:sz w:val="20"/>
          <w:szCs w:val="20"/>
        </w:rPr>
        <w:t xml:space="preserve"> was the only stakeholder open to bundling provided it did not increase the financial risk carried by hospitals. </w:t>
      </w:r>
      <w:r w:rsidR="007D26AA" w:rsidRPr="005F43A8">
        <w:rPr>
          <w:rFonts w:cs="Arial"/>
          <w:sz w:val="20"/>
          <w:szCs w:val="20"/>
        </w:rPr>
        <w:t>Further information is available in the consultation report.</w:t>
      </w:r>
    </w:p>
    <w:p w14:paraId="165E8FE1" w14:textId="2338AD38" w:rsidR="00A643D1" w:rsidRPr="00556751" w:rsidRDefault="001B6E4F" w:rsidP="00823A1D">
      <w:pPr>
        <w:rPr>
          <w:sz w:val="20"/>
          <w:szCs w:val="20"/>
        </w:rPr>
      </w:pPr>
      <w:r>
        <w:rPr>
          <w:rFonts w:cs="Arial"/>
          <w:sz w:val="20"/>
          <w:szCs w:val="20"/>
        </w:rPr>
        <w:t xml:space="preserve">IHACPA </w:t>
      </w:r>
      <w:r w:rsidR="001B6FD3">
        <w:rPr>
          <w:rFonts w:cs="Arial"/>
          <w:sz w:val="20"/>
          <w:szCs w:val="20"/>
        </w:rPr>
        <w:t>emphasise</w:t>
      </w:r>
      <w:r w:rsidR="00D06332">
        <w:rPr>
          <w:rFonts w:cs="Arial"/>
          <w:sz w:val="20"/>
          <w:szCs w:val="20"/>
        </w:rPr>
        <w:t>s</w:t>
      </w:r>
      <w:r>
        <w:rPr>
          <w:rFonts w:cs="Arial"/>
          <w:sz w:val="20"/>
          <w:szCs w:val="20"/>
        </w:rPr>
        <w:t xml:space="preserve"> that </w:t>
      </w:r>
      <w:r w:rsidR="00CA7C20">
        <w:rPr>
          <w:rFonts w:cs="Arial"/>
          <w:sz w:val="20"/>
          <w:szCs w:val="20"/>
        </w:rPr>
        <w:t xml:space="preserve">bundling </w:t>
      </w:r>
      <w:r w:rsidR="00A93931">
        <w:rPr>
          <w:rFonts w:cs="Arial"/>
          <w:sz w:val="20"/>
          <w:szCs w:val="20"/>
        </w:rPr>
        <w:t xml:space="preserve">ICU costs </w:t>
      </w:r>
      <w:r w:rsidR="00CA7C20">
        <w:rPr>
          <w:rFonts w:cs="Arial"/>
          <w:sz w:val="20"/>
          <w:szCs w:val="20"/>
        </w:rPr>
        <w:t>would</w:t>
      </w:r>
      <w:r w:rsidR="00A93931">
        <w:rPr>
          <w:rFonts w:cs="Arial"/>
          <w:sz w:val="20"/>
          <w:szCs w:val="20"/>
        </w:rPr>
        <w:t xml:space="preserve"> </w:t>
      </w:r>
      <w:r w:rsidR="00CA7C20">
        <w:rPr>
          <w:rFonts w:cs="Arial"/>
          <w:sz w:val="20"/>
          <w:szCs w:val="20"/>
        </w:rPr>
        <w:t>benefit rural and regional hospitals</w:t>
      </w:r>
      <w:r w:rsidR="00AF27E4">
        <w:rPr>
          <w:rFonts w:cs="Arial"/>
          <w:sz w:val="20"/>
          <w:szCs w:val="20"/>
        </w:rPr>
        <w:t xml:space="preserve"> or HDUs not formally designated as ICUs</w:t>
      </w:r>
      <w:r w:rsidR="00CA7C20">
        <w:rPr>
          <w:rFonts w:cs="Arial"/>
          <w:sz w:val="20"/>
          <w:szCs w:val="20"/>
        </w:rPr>
        <w:t xml:space="preserve"> </w:t>
      </w:r>
      <w:r w:rsidR="00A93931">
        <w:rPr>
          <w:rFonts w:cs="Arial"/>
          <w:sz w:val="20"/>
          <w:szCs w:val="20"/>
        </w:rPr>
        <w:t>as the</w:t>
      </w:r>
      <w:r w:rsidR="00CD2865">
        <w:rPr>
          <w:rFonts w:cs="Arial"/>
          <w:sz w:val="20"/>
          <w:szCs w:val="20"/>
        </w:rPr>
        <w:t xml:space="preserve"> bundled</w:t>
      </w:r>
      <w:r w:rsidR="00A93931">
        <w:rPr>
          <w:rFonts w:cs="Arial"/>
          <w:sz w:val="20"/>
          <w:szCs w:val="20"/>
        </w:rPr>
        <w:t xml:space="preserve"> </w:t>
      </w:r>
      <w:r w:rsidR="00E4566C">
        <w:rPr>
          <w:rFonts w:cs="Arial"/>
          <w:sz w:val="20"/>
          <w:szCs w:val="20"/>
        </w:rPr>
        <w:t>AR-</w:t>
      </w:r>
      <w:r w:rsidR="00AF27E4">
        <w:rPr>
          <w:rFonts w:cs="Arial"/>
          <w:sz w:val="20"/>
          <w:szCs w:val="20"/>
        </w:rPr>
        <w:t xml:space="preserve">DRG price </w:t>
      </w:r>
      <w:r w:rsidR="0038552D">
        <w:rPr>
          <w:rFonts w:cs="Arial"/>
          <w:sz w:val="20"/>
          <w:szCs w:val="20"/>
        </w:rPr>
        <w:t xml:space="preserve">would be higher than </w:t>
      </w:r>
      <w:r w:rsidR="00CD2865">
        <w:rPr>
          <w:rFonts w:cs="Arial"/>
          <w:sz w:val="20"/>
          <w:szCs w:val="20"/>
        </w:rPr>
        <w:t>the unbundled price</w:t>
      </w:r>
      <w:r w:rsidR="0038552D">
        <w:rPr>
          <w:rFonts w:cs="Arial"/>
          <w:sz w:val="20"/>
          <w:szCs w:val="20"/>
        </w:rPr>
        <w:t>.</w:t>
      </w:r>
      <w:r w:rsidR="009163A2">
        <w:rPr>
          <w:rFonts w:cs="Arial"/>
          <w:sz w:val="20"/>
          <w:szCs w:val="20"/>
        </w:rPr>
        <w:t xml:space="preserve"> </w:t>
      </w:r>
      <w:r w:rsidR="00A643D1">
        <w:rPr>
          <w:sz w:val="20"/>
          <w:szCs w:val="20"/>
        </w:rPr>
        <w:t>However, the outcomes of the ICU review to date indicate that existing data collections do not support substantial changes to the existing ICU adjustment methodology</w:t>
      </w:r>
      <w:r w:rsidR="00A31142">
        <w:rPr>
          <w:sz w:val="20"/>
          <w:szCs w:val="20"/>
        </w:rPr>
        <w:t xml:space="preserve"> for NEP26</w:t>
      </w:r>
      <w:r w:rsidR="00A643D1">
        <w:rPr>
          <w:sz w:val="20"/>
          <w:szCs w:val="20"/>
        </w:rPr>
        <w:t xml:space="preserve">.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EB3230" w:rsidRPr="00F57BE6" w14:paraId="432070EE" w14:textId="77777777" w:rsidTr="0019067A">
        <w:tc>
          <w:tcPr>
            <w:tcW w:w="851" w:type="dxa"/>
            <w:shd w:val="clear" w:color="auto" w:fill="B5FFE0" w:themeFill="accent4" w:themeFillTint="33"/>
          </w:tcPr>
          <w:p w14:paraId="451C4BCF" w14:textId="5E958A98" w:rsidR="00EB3230" w:rsidRPr="004953FE" w:rsidRDefault="00EB3230" w:rsidP="0019067A">
            <w:pPr>
              <w:jc w:val="center"/>
              <w:rPr>
                <w:sz w:val="20"/>
                <w:szCs w:val="20"/>
              </w:rPr>
            </w:pPr>
            <w:r w:rsidRPr="004953FE">
              <w:rPr>
                <w:noProof/>
                <w:sz w:val="20"/>
                <w:szCs w:val="20"/>
              </w:rPr>
              <w:drawing>
                <wp:inline distT="0" distB="0" distL="0" distR="0" wp14:anchorId="4E993C8B" wp14:editId="67B4716B">
                  <wp:extent cx="266700" cy="266700"/>
                  <wp:effectExtent l="0" t="0" r="0" b="0"/>
                  <wp:docPr id="1882173425" name="Picture 1882173425"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69952202" w14:textId="77777777" w:rsidR="00EB3230" w:rsidRPr="004953FE" w:rsidRDefault="00EB3230" w:rsidP="0019067A">
            <w:pPr>
              <w:pStyle w:val="Heading4"/>
              <w:rPr>
                <w:sz w:val="20"/>
                <w:szCs w:val="20"/>
              </w:rPr>
            </w:pPr>
            <w:r w:rsidRPr="004953FE">
              <w:rPr>
                <w:sz w:val="20"/>
                <w:szCs w:val="20"/>
              </w:rPr>
              <w:t>IHACPA’s decision</w:t>
            </w:r>
          </w:p>
          <w:p w14:paraId="19469074" w14:textId="265B8FBF" w:rsidR="005D6E95" w:rsidRPr="00A8630C" w:rsidRDefault="00EB3230" w:rsidP="00E4566C">
            <w:pPr>
              <w:spacing w:after="120"/>
              <w:rPr>
                <w:sz w:val="20"/>
              </w:rPr>
            </w:pPr>
            <w:r>
              <w:rPr>
                <w:sz w:val="20"/>
                <w:szCs w:val="20"/>
              </w:rPr>
              <w:t xml:space="preserve">IHACPA </w:t>
            </w:r>
            <w:r w:rsidR="00121AB9" w:rsidRPr="005D6E95">
              <w:rPr>
                <w:sz w:val="20"/>
                <w:szCs w:val="20"/>
              </w:rPr>
              <w:t>will retain the existing ICU adjustment for NEP26.</w:t>
            </w:r>
          </w:p>
        </w:tc>
      </w:tr>
    </w:tbl>
    <w:p w14:paraId="4FF72608" w14:textId="77777777" w:rsidR="00EB3230" w:rsidRDefault="00EB3230" w:rsidP="00823A1D">
      <w:pPr>
        <w:rPr>
          <w:rFonts w:cs="Arial"/>
          <w:sz w:val="20"/>
          <w:szCs w:val="20"/>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00728E" w:rsidRPr="007C7991" w14:paraId="68A1EE02" w14:textId="77777777" w:rsidTr="00D8625D">
        <w:tc>
          <w:tcPr>
            <w:tcW w:w="851" w:type="dxa"/>
            <w:shd w:val="clear" w:color="auto" w:fill="C1DAF8" w:themeFill="accent2" w:themeFillTint="33"/>
          </w:tcPr>
          <w:p w14:paraId="0C6C8813" w14:textId="77777777" w:rsidR="0000728E" w:rsidRPr="007C7991" w:rsidRDefault="0000728E" w:rsidP="00D8625D">
            <w:pPr>
              <w:jc w:val="center"/>
              <w:rPr>
                <w:sz w:val="20"/>
                <w:szCs w:val="20"/>
              </w:rPr>
            </w:pPr>
            <w:r w:rsidRPr="007C7991">
              <w:rPr>
                <w:noProof/>
                <w:sz w:val="20"/>
                <w:szCs w:val="20"/>
              </w:rPr>
              <w:drawing>
                <wp:inline distT="0" distB="0" distL="0" distR="0" wp14:anchorId="2734BD76" wp14:editId="2D551F93">
                  <wp:extent cx="266700" cy="266700"/>
                  <wp:effectExtent l="0" t="0" r="0" b="0"/>
                  <wp:docPr id="1730285817" name="Picture 17302858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3AAD07C9" w14:textId="08203EC1" w:rsidR="0000728E" w:rsidRDefault="0000728E" w:rsidP="007D7023">
            <w:pPr>
              <w:rPr>
                <w:b/>
                <w:bCs/>
                <w:sz w:val="20"/>
                <w:szCs w:val="20"/>
              </w:rPr>
            </w:pPr>
            <w:r w:rsidRPr="004C1093">
              <w:rPr>
                <w:b/>
                <w:bCs/>
                <w:sz w:val="20"/>
                <w:szCs w:val="20"/>
              </w:rPr>
              <w:t>Next steps and future work</w:t>
            </w:r>
          </w:p>
          <w:p w14:paraId="1B107D6B" w14:textId="50B69934" w:rsidR="0000728E" w:rsidRDefault="0000728E" w:rsidP="007D7023">
            <w:pPr>
              <w:rPr>
                <w:sz w:val="20"/>
                <w:szCs w:val="20"/>
              </w:rPr>
            </w:pPr>
          </w:p>
          <w:p w14:paraId="62A82BB7" w14:textId="5965BB29" w:rsidR="00121AB9" w:rsidRPr="007C7991" w:rsidRDefault="0000728E" w:rsidP="00E4566C">
            <w:pPr>
              <w:spacing w:after="120"/>
              <w:rPr>
                <w:sz w:val="20"/>
                <w:szCs w:val="20"/>
              </w:rPr>
            </w:pPr>
            <w:r w:rsidRPr="00D62DDE">
              <w:rPr>
                <w:sz w:val="20"/>
                <w:szCs w:val="20"/>
              </w:rPr>
              <w:t xml:space="preserve">The </w:t>
            </w:r>
            <w:r w:rsidR="0064798F">
              <w:rPr>
                <w:sz w:val="20"/>
                <w:szCs w:val="20"/>
              </w:rPr>
              <w:t>I</w:t>
            </w:r>
            <w:r>
              <w:rPr>
                <w:sz w:val="20"/>
                <w:szCs w:val="20"/>
              </w:rPr>
              <w:t xml:space="preserve">CU </w:t>
            </w:r>
            <w:r w:rsidRPr="00D62DDE">
              <w:rPr>
                <w:sz w:val="20"/>
                <w:szCs w:val="20"/>
              </w:rPr>
              <w:t xml:space="preserve">review </w:t>
            </w:r>
            <w:r w:rsidR="0064798F">
              <w:rPr>
                <w:sz w:val="20"/>
                <w:szCs w:val="20"/>
              </w:rPr>
              <w:t xml:space="preserve">is ongoing. </w:t>
            </w:r>
            <w:r w:rsidR="00A31142" w:rsidRPr="00F8096F">
              <w:rPr>
                <w:sz w:val="20"/>
                <w:szCs w:val="20"/>
              </w:rPr>
              <w:t xml:space="preserve">IHACPA will progress updates to activity data specifications to improve </w:t>
            </w:r>
            <w:r w:rsidR="008C4A33">
              <w:rPr>
                <w:sz w:val="20"/>
                <w:szCs w:val="20"/>
              </w:rPr>
              <w:t xml:space="preserve">the </w:t>
            </w:r>
            <w:r w:rsidR="00A31142" w:rsidRPr="00F8096F">
              <w:rPr>
                <w:sz w:val="20"/>
                <w:szCs w:val="20"/>
              </w:rPr>
              <w:t xml:space="preserve">quality and coverage of ICU data collection </w:t>
            </w:r>
            <w:r w:rsidR="00A31142">
              <w:rPr>
                <w:sz w:val="20"/>
                <w:szCs w:val="20"/>
              </w:rPr>
              <w:t>and work with jurisdictions to improve the consistency of costing practices.</w:t>
            </w:r>
            <w:r w:rsidR="007354D6">
              <w:rPr>
                <w:sz w:val="20"/>
                <w:szCs w:val="20"/>
              </w:rPr>
              <w:t xml:space="preserve"> </w:t>
            </w:r>
            <w:r w:rsidR="00A31142">
              <w:rPr>
                <w:sz w:val="20"/>
                <w:szCs w:val="20"/>
              </w:rPr>
              <w:t>U</w:t>
            </w:r>
            <w:r w:rsidR="0064798F">
              <w:rPr>
                <w:sz w:val="20"/>
                <w:szCs w:val="20"/>
              </w:rPr>
              <w:t xml:space="preserve">pdates to data collections </w:t>
            </w:r>
            <w:r w:rsidR="00A31142">
              <w:rPr>
                <w:sz w:val="20"/>
                <w:szCs w:val="20"/>
              </w:rPr>
              <w:t xml:space="preserve">will enable </w:t>
            </w:r>
            <w:r w:rsidR="007354D6">
              <w:rPr>
                <w:sz w:val="20"/>
                <w:szCs w:val="20"/>
              </w:rPr>
              <w:t xml:space="preserve">further review and </w:t>
            </w:r>
            <w:r w:rsidR="0064798F">
              <w:rPr>
                <w:sz w:val="20"/>
                <w:szCs w:val="20"/>
              </w:rPr>
              <w:t>test</w:t>
            </w:r>
            <w:r w:rsidR="00A31142">
              <w:rPr>
                <w:sz w:val="20"/>
                <w:szCs w:val="20"/>
              </w:rPr>
              <w:t>ing</w:t>
            </w:r>
            <w:r w:rsidR="0064798F">
              <w:rPr>
                <w:sz w:val="20"/>
                <w:szCs w:val="20"/>
              </w:rPr>
              <w:t xml:space="preserve"> </w:t>
            </w:r>
            <w:r w:rsidR="00A31142">
              <w:rPr>
                <w:sz w:val="20"/>
                <w:szCs w:val="20"/>
              </w:rPr>
              <w:t xml:space="preserve">of </w:t>
            </w:r>
            <w:r w:rsidR="0064798F">
              <w:rPr>
                <w:sz w:val="20"/>
                <w:szCs w:val="20"/>
              </w:rPr>
              <w:t xml:space="preserve">more significant changes </w:t>
            </w:r>
            <w:r w:rsidRPr="00D62DDE">
              <w:rPr>
                <w:sz w:val="20"/>
                <w:szCs w:val="20"/>
              </w:rPr>
              <w:t>beyond 202</w:t>
            </w:r>
            <w:r>
              <w:rPr>
                <w:sz w:val="20"/>
                <w:szCs w:val="20"/>
              </w:rPr>
              <w:t>6</w:t>
            </w:r>
            <w:r w:rsidRPr="00D62DDE">
              <w:rPr>
                <w:sz w:val="20"/>
                <w:szCs w:val="20"/>
              </w:rPr>
              <w:t>–2</w:t>
            </w:r>
            <w:r>
              <w:rPr>
                <w:sz w:val="20"/>
                <w:szCs w:val="20"/>
              </w:rPr>
              <w:t xml:space="preserve">7. </w:t>
            </w:r>
            <w:r w:rsidR="00025133">
              <w:rPr>
                <w:sz w:val="20"/>
                <w:szCs w:val="20"/>
              </w:rPr>
              <w:t xml:space="preserve">The </w:t>
            </w:r>
            <w:r w:rsidRPr="00EC1D51">
              <w:rPr>
                <w:sz w:val="20"/>
                <w:szCs w:val="20"/>
              </w:rPr>
              <w:t>outcome</w:t>
            </w:r>
            <w:r w:rsidR="00025133">
              <w:rPr>
                <w:sz w:val="20"/>
                <w:szCs w:val="20"/>
              </w:rPr>
              <w:t>s</w:t>
            </w:r>
            <w:r w:rsidRPr="00EC1D51">
              <w:rPr>
                <w:sz w:val="20"/>
                <w:szCs w:val="20"/>
              </w:rPr>
              <w:t xml:space="preserve"> of the review </w:t>
            </w:r>
            <w:r w:rsidR="00025133">
              <w:rPr>
                <w:sz w:val="20"/>
                <w:szCs w:val="20"/>
              </w:rPr>
              <w:t>are</w:t>
            </w:r>
            <w:r w:rsidRPr="00EC1D51">
              <w:rPr>
                <w:sz w:val="20"/>
                <w:szCs w:val="20"/>
              </w:rPr>
              <w:t xml:space="preserve"> also likely to inform any subsequent review of the paediatric adjustment and its eligibility criteria</w:t>
            </w:r>
            <w:r w:rsidR="00C23236">
              <w:rPr>
                <w:sz w:val="20"/>
                <w:szCs w:val="20"/>
              </w:rPr>
              <w:t>.</w:t>
            </w:r>
          </w:p>
        </w:tc>
      </w:tr>
    </w:tbl>
    <w:p w14:paraId="7E110A05" w14:textId="6FCD79A1" w:rsidR="00B32719" w:rsidRPr="002046FA" w:rsidRDefault="00B32719" w:rsidP="001E377F">
      <w:pPr>
        <w:pStyle w:val="Heading3"/>
        <w:spacing w:before="240"/>
        <w:rPr>
          <w:iCs/>
          <w:sz w:val="22"/>
          <w:szCs w:val="22"/>
          <w:lang w:val="en-PH"/>
        </w:rPr>
      </w:pPr>
      <w:r w:rsidRPr="002046FA">
        <w:rPr>
          <w:iCs/>
          <w:color w:val="15272F" w:themeColor="text1"/>
          <w:sz w:val="22"/>
          <w:szCs w:val="22"/>
          <w:lang w:val="en-PH"/>
        </w:rPr>
        <w:t>Multidisciplinary clinic adjustment</w:t>
      </w:r>
    </w:p>
    <w:p w14:paraId="4B6EB421" w14:textId="0BB9311B" w:rsidR="00DC3CAD" w:rsidRDefault="00DC3CAD" w:rsidP="00BE53FE">
      <w:pPr>
        <w:keepNext/>
        <w:keepLines/>
        <w:rPr>
          <w:sz w:val="20"/>
          <w:szCs w:val="20"/>
          <w:lang w:val="en-PH"/>
        </w:rPr>
      </w:pPr>
      <w:r w:rsidRPr="00DC3CAD">
        <w:rPr>
          <w:sz w:val="20"/>
          <w:szCs w:val="20"/>
        </w:rPr>
        <w:t>Since the National Efficient Price Determination 2015–16, IHACPA has applied</w:t>
      </w:r>
      <w:r w:rsidR="00274242">
        <w:rPr>
          <w:sz w:val="20"/>
          <w:szCs w:val="20"/>
        </w:rPr>
        <w:t xml:space="preserve"> a </w:t>
      </w:r>
      <w:r w:rsidR="00F969FE">
        <w:rPr>
          <w:sz w:val="20"/>
          <w:szCs w:val="20"/>
        </w:rPr>
        <w:t>‘</w:t>
      </w:r>
      <w:r w:rsidR="001E377F">
        <w:rPr>
          <w:sz w:val="20"/>
          <w:szCs w:val="20"/>
        </w:rPr>
        <w:t>m</w:t>
      </w:r>
      <w:r w:rsidR="00F969FE">
        <w:rPr>
          <w:sz w:val="20"/>
          <w:szCs w:val="20"/>
        </w:rPr>
        <w:t>ultidisciplinary</w:t>
      </w:r>
      <w:r w:rsidR="00274242">
        <w:rPr>
          <w:sz w:val="20"/>
          <w:szCs w:val="20"/>
        </w:rPr>
        <w:t xml:space="preserve"> </w:t>
      </w:r>
      <w:r w:rsidR="001E377F">
        <w:rPr>
          <w:sz w:val="20"/>
          <w:szCs w:val="20"/>
        </w:rPr>
        <w:t>c</w:t>
      </w:r>
      <w:r w:rsidR="00274242">
        <w:rPr>
          <w:sz w:val="20"/>
          <w:szCs w:val="20"/>
        </w:rPr>
        <w:t>linic</w:t>
      </w:r>
      <w:r w:rsidR="00F969FE">
        <w:rPr>
          <w:sz w:val="20"/>
          <w:szCs w:val="20"/>
        </w:rPr>
        <w:t xml:space="preserve"> </w:t>
      </w:r>
      <w:r w:rsidR="001E377F">
        <w:rPr>
          <w:sz w:val="20"/>
          <w:szCs w:val="20"/>
        </w:rPr>
        <w:t>a</w:t>
      </w:r>
      <w:r w:rsidR="00F969FE">
        <w:rPr>
          <w:sz w:val="20"/>
          <w:szCs w:val="20"/>
        </w:rPr>
        <w:t>djustment’ in</w:t>
      </w:r>
      <w:r w:rsidRPr="00DC3CAD">
        <w:rPr>
          <w:sz w:val="20"/>
          <w:szCs w:val="20"/>
        </w:rPr>
        <w:t xml:space="preserve"> </w:t>
      </w:r>
      <w:r w:rsidRPr="00DC3CAD">
        <w:rPr>
          <w:sz w:val="20"/>
          <w:szCs w:val="20"/>
          <w:lang w:val="en-PH"/>
        </w:rPr>
        <w:t xml:space="preserve">the non-admitted pricing model. This adjustment applies to non-admitted </w:t>
      </w:r>
      <w:r w:rsidR="00A72ACE">
        <w:rPr>
          <w:sz w:val="20"/>
          <w:szCs w:val="20"/>
          <w:lang w:val="en-PH"/>
        </w:rPr>
        <w:t xml:space="preserve">patient </w:t>
      </w:r>
      <w:r w:rsidRPr="00DC3CAD">
        <w:rPr>
          <w:sz w:val="20"/>
          <w:szCs w:val="20"/>
          <w:lang w:val="en-PH"/>
        </w:rPr>
        <w:t>service events where 3 or more healthcare providers (each of a different specialty) are present, as identified using the non</w:t>
      </w:r>
      <w:r w:rsidR="00E57C35">
        <w:rPr>
          <w:sz w:val="20"/>
          <w:szCs w:val="20"/>
          <w:lang w:val="en-PH"/>
        </w:rPr>
        <w:noBreakHyphen/>
      </w:r>
      <w:r w:rsidRPr="00DC3CAD">
        <w:rPr>
          <w:sz w:val="20"/>
          <w:szCs w:val="20"/>
          <w:lang w:val="en-PH"/>
        </w:rPr>
        <w:t>admitted ‘multiple healthcare provider indicator</w:t>
      </w:r>
      <w:r w:rsidR="001F7FE0" w:rsidRPr="00DC3CAD">
        <w:rPr>
          <w:sz w:val="20"/>
          <w:szCs w:val="20"/>
          <w:lang w:val="en-PH"/>
        </w:rPr>
        <w:t>.’</w:t>
      </w:r>
      <w:r w:rsidRPr="00DC3CAD">
        <w:rPr>
          <w:sz w:val="20"/>
          <w:szCs w:val="20"/>
          <w:lang w:val="en-PH"/>
        </w:rPr>
        <w:t xml:space="preserve"> The adjustment does not apply to Tier 2 classes that</w:t>
      </w:r>
      <w:r w:rsidR="000B4AEF">
        <w:rPr>
          <w:sz w:val="20"/>
          <w:szCs w:val="20"/>
          <w:lang w:val="en-PH"/>
        </w:rPr>
        <w:t>,</w:t>
      </w:r>
      <w:r w:rsidRPr="00DC3CAD">
        <w:rPr>
          <w:sz w:val="20"/>
          <w:szCs w:val="20"/>
          <w:lang w:val="en-PH"/>
        </w:rPr>
        <w:t xml:space="preserve"> by definition</w:t>
      </w:r>
      <w:r w:rsidR="000B4AEF">
        <w:rPr>
          <w:sz w:val="20"/>
          <w:szCs w:val="20"/>
          <w:lang w:val="en-PH"/>
        </w:rPr>
        <w:t>,</w:t>
      </w:r>
      <w:r w:rsidRPr="00DC3CAD">
        <w:rPr>
          <w:sz w:val="20"/>
          <w:szCs w:val="20"/>
          <w:lang w:val="en-PH"/>
        </w:rPr>
        <w:t xml:space="preserve"> are multidisciplinary</w:t>
      </w:r>
      <w:r>
        <w:rPr>
          <w:sz w:val="20"/>
          <w:szCs w:val="20"/>
          <w:lang w:val="en-PH"/>
        </w:rPr>
        <w:t>:</w:t>
      </w:r>
    </w:p>
    <w:p w14:paraId="62CD879E" w14:textId="77777777" w:rsidR="00DC3CAD" w:rsidRPr="002046FA" w:rsidRDefault="00DC3CAD" w:rsidP="00DC3CAD">
      <w:pPr>
        <w:pStyle w:val="ListParagraph"/>
        <w:numPr>
          <w:ilvl w:val="0"/>
          <w:numId w:val="19"/>
        </w:numPr>
        <w:rPr>
          <w:sz w:val="20"/>
          <w:szCs w:val="20"/>
        </w:rPr>
      </w:pPr>
      <w:r w:rsidRPr="002046FA">
        <w:rPr>
          <w:sz w:val="20"/>
          <w:szCs w:val="20"/>
          <w:lang w:val="en-PH"/>
        </w:rPr>
        <w:t xml:space="preserve">20.48 </w:t>
      </w:r>
      <w:r w:rsidRPr="002046FA">
        <w:rPr>
          <w:i/>
          <w:iCs/>
          <w:sz w:val="20"/>
          <w:szCs w:val="20"/>
          <w:lang w:val="en-PH"/>
        </w:rPr>
        <w:t>Multidisciplinary burns clinic</w:t>
      </w:r>
    </w:p>
    <w:p w14:paraId="3E3F1219" w14:textId="77777777" w:rsidR="00DC3CAD" w:rsidRPr="002046FA" w:rsidRDefault="00DC3CAD" w:rsidP="00DC3CAD">
      <w:pPr>
        <w:pStyle w:val="ListParagraph"/>
        <w:numPr>
          <w:ilvl w:val="0"/>
          <w:numId w:val="19"/>
        </w:numPr>
        <w:rPr>
          <w:sz w:val="20"/>
          <w:szCs w:val="20"/>
        </w:rPr>
      </w:pPr>
      <w:r w:rsidRPr="002046FA">
        <w:rPr>
          <w:sz w:val="20"/>
          <w:szCs w:val="20"/>
          <w:lang w:val="en-PH"/>
        </w:rPr>
        <w:t xml:space="preserve">20.56 </w:t>
      </w:r>
      <w:r w:rsidRPr="002046FA">
        <w:rPr>
          <w:i/>
          <w:iCs/>
          <w:sz w:val="20"/>
          <w:szCs w:val="20"/>
          <w:lang w:val="en-PH"/>
        </w:rPr>
        <w:t>Multidisciplinary case conference - patient not present</w:t>
      </w:r>
    </w:p>
    <w:p w14:paraId="6DC2E996" w14:textId="49C5A45B" w:rsidR="00DC3CAD" w:rsidRPr="002046FA" w:rsidRDefault="00DC3CAD" w:rsidP="002046FA">
      <w:pPr>
        <w:pStyle w:val="ListParagraph"/>
        <w:numPr>
          <w:ilvl w:val="0"/>
          <w:numId w:val="19"/>
        </w:numPr>
        <w:rPr>
          <w:sz w:val="20"/>
          <w:szCs w:val="20"/>
        </w:rPr>
      </w:pPr>
      <w:r w:rsidRPr="002046FA">
        <w:rPr>
          <w:sz w:val="20"/>
          <w:szCs w:val="20"/>
          <w:lang w:val="en-PH"/>
        </w:rPr>
        <w:t xml:space="preserve">40.62 </w:t>
      </w:r>
      <w:r w:rsidRPr="002046FA">
        <w:rPr>
          <w:i/>
          <w:iCs/>
          <w:sz w:val="20"/>
          <w:szCs w:val="20"/>
          <w:lang w:val="en-PH"/>
        </w:rPr>
        <w:t>Multidisciplinary case conference - patient not present</w:t>
      </w:r>
      <w:r w:rsidRPr="002046FA">
        <w:rPr>
          <w:sz w:val="20"/>
          <w:szCs w:val="20"/>
          <w:lang w:val="en-PH"/>
        </w:rPr>
        <w:t>.</w:t>
      </w:r>
    </w:p>
    <w:p w14:paraId="74D35D9B" w14:textId="7F267DBE" w:rsidR="00D30361" w:rsidRPr="00717FCC" w:rsidRDefault="00DC3CAD" w:rsidP="00DC3CAD">
      <w:pPr>
        <w:rPr>
          <w:sz w:val="20"/>
          <w:szCs w:val="20"/>
        </w:rPr>
      </w:pPr>
      <w:r>
        <w:rPr>
          <w:sz w:val="20"/>
          <w:szCs w:val="20"/>
        </w:rPr>
        <w:lastRenderedPageBreak/>
        <w:t>In 2025, IHACPA received advice from its</w:t>
      </w:r>
      <w:r w:rsidRPr="00DC3CAD">
        <w:rPr>
          <w:sz w:val="20"/>
          <w:szCs w:val="20"/>
        </w:rPr>
        <w:t xml:space="preserve"> Clinical Advisory Committee that </w:t>
      </w:r>
      <w:r w:rsidR="00D24654">
        <w:rPr>
          <w:sz w:val="20"/>
          <w:szCs w:val="20"/>
        </w:rPr>
        <w:t>most</w:t>
      </w:r>
      <w:r w:rsidRPr="00DC3CAD">
        <w:rPr>
          <w:sz w:val="20"/>
          <w:szCs w:val="20"/>
        </w:rPr>
        <w:t xml:space="preserve"> Tier 2 </w:t>
      </w:r>
      <w:r>
        <w:rPr>
          <w:sz w:val="20"/>
          <w:szCs w:val="20"/>
        </w:rPr>
        <w:t>Non-</w:t>
      </w:r>
      <w:r w:rsidR="009342EC">
        <w:rPr>
          <w:sz w:val="20"/>
          <w:szCs w:val="20"/>
        </w:rPr>
        <w:t>A</w:t>
      </w:r>
      <w:r>
        <w:rPr>
          <w:sz w:val="20"/>
          <w:szCs w:val="20"/>
        </w:rPr>
        <w:t xml:space="preserve">dmitted </w:t>
      </w:r>
      <w:r w:rsidR="009342EC">
        <w:rPr>
          <w:sz w:val="20"/>
          <w:szCs w:val="20"/>
        </w:rPr>
        <w:t>S</w:t>
      </w:r>
      <w:r>
        <w:rPr>
          <w:sz w:val="20"/>
          <w:szCs w:val="20"/>
        </w:rPr>
        <w:t xml:space="preserve">ervices </w:t>
      </w:r>
      <w:r w:rsidR="009342EC">
        <w:rPr>
          <w:sz w:val="20"/>
          <w:szCs w:val="20"/>
        </w:rPr>
        <w:t>C</w:t>
      </w:r>
      <w:r>
        <w:rPr>
          <w:sz w:val="20"/>
          <w:szCs w:val="20"/>
        </w:rPr>
        <w:t xml:space="preserve">lassification </w:t>
      </w:r>
      <w:r w:rsidRPr="00DC3CAD">
        <w:rPr>
          <w:sz w:val="20"/>
          <w:szCs w:val="20"/>
        </w:rPr>
        <w:t xml:space="preserve">10 series procedure classes are </w:t>
      </w:r>
      <w:r w:rsidR="00D24654">
        <w:rPr>
          <w:sz w:val="20"/>
          <w:szCs w:val="20"/>
        </w:rPr>
        <w:t xml:space="preserve">inherently </w:t>
      </w:r>
      <w:r w:rsidRPr="00DC3CAD">
        <w:rPr>
          <w:sz w:val="20"/>
          <w:szCs w:val="20"/>
        </w:rPr>
        <w:t>likely to involve multidisciplinary care</w:t>
      </w:r>
      <w:r w:rsidR="00D24654">
        <w:rPr>
          <w:sz w:val="20"/>
          <w:szCs w:val="20"/>
        </w:rPr>
        <w:t>. Other classes</w:t>
      </w:r>
      <w:r w:rsidR="00EE6D8F">
        <w:rPr>
          <w:sz w:val="20"/>
          <w:szCs w:val="20"/>
        </w:rPr>
        <w:t>,</w:t>
      </w:r>
      <w:r w:rsidR="00D24654">
        <w:rPr>
          <w:sz w:val="20"/>
          <w:szCs w:val="20"/>
        </w:rPr>
        <w:t xml:space="preserve"> such as those for</w:t>
      </w:r>
      <w:r w:rsidRPr="00DC3CAD">
        <w:rPr>
          <w:sz w:val="20"/>
          <w:szCs w:val="20"/>
        </w:rPr>
        <w:t xml:space="preserve"> home delivered procedures and 10.21 </w:t>
      </w:r>
      <w:r w:rsidRPr="00DC3CAD">
        <w:rPr>
          <w:i/>
          <w:iCs/>
          <w:sz w:val="20"/>
          <w:szCs w:val="20"/>
        </w:rPr>
        <w:t>COVID-19 vaccination</w:t>
      </w:r>
      <w:r w:rsidRPr="00DC3CAD">
        <w:rPr>
          <w:sz w:val="20"/>
          <w:szCs w:val="20"/>
        </w:rPr>
        <w:t xml:space="preserve">, </w:t>
      </w:r>
      <w:r w:rsidR="00D24654">
        <w:rPr>
          <w:sz w:val="20"/>
          <w:szCs w:val="20"/>
        </w:rPr>
        <w:t>would rarely or never involve</w:t>
      </w:r>
      <w:r w:rsidRPr="00DC3CAD">
        <w:rPr>
          <w:sz w:val="20"/>
          <w:szCs w:val="20"/>
        </w:rPr>
        <w:t xml:space="preserve"> multidisciplinary care. </w:t>
      </w:r>
      <w:r w:rsidR="00D24654" w:rsidRPr="00D24654">
        <w:rPr>
          <w:sz w:val="20"/>
          <w:szCs w:val="20"/>
        </w:rPr>
        <w:t>Furthermore, the involvement of multiple healthcare providers, sufficient for the use of the indicator, may not reflect materially different delivery or outcomes of the procedures from the patient’s perspective.</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556751" w:rsidRPr="00F57BE6" w14:paraId="28B94030" w14:textId="77777777" w:rsidTr="00A13ECA">
        <w:tc>
          <w:tcPr>
            <w:tcW w:w="851" w:type="dxa"/>
            <w:shd w:val="clear" w:color="auto" w:fill="B5FFE0" w:themeFill="accent4" w:themeFillTint="33"/>
          </w:tcPr>
          <w:p w14:paraId="47F7D257" w14:textId="77777777" w:rsidR="00556751" w:rsidRPr="004953FE" w:rsidRDefault="00556751" w:rsidP="00A13ECA">
            <w:pPr>
              <w:jc w:val="center"/>
              <w:rPr>
                <w:sz w:val="20"/>
                <w:szCs w:val="20"/>
              </w:rPr>
            </w:pPr>
            <w:r w:rsidRPr="004953FE">
              <w:rPr>
                <w:noProof/>
                <w:sz w:val="20"/>
                <w:szCs w:val="20"/>
              </w:rPr>
              <w:drawing>
                <wp:inline distT="0" distB="0" distL="0" distR="0" wp14:anchorId="65E04C06" wp14:editId="68D1732B">
                  <wp:extent cx="266700" cy="266700"/>
                  <wp:effectExtent l="0" t="0" r="0" b="0"/>
                  <wp:docPr id="1657029534" name="Picture 1657029534"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094D208F" w14:textId="77777777" w:rsidR="00556751" w:rsidRPr="004953FE" w:rsidRDefault="00556751" w:rsidP="00A13ECA">
            <w:pPr>
              <w:pStyle w:val="Heading4"/>
              <w:rPr>
                <w:sz w:val="20"/>
                <w:szCs w:val="20"/>
              </w:rPr>
            </w:pPr>
            <w:r w:rsidRPr="004953FE">
              <w:rPr>
                <w:sz w:val="20"/>
                <w:szCs w:val="20"/>
              </w:rPr>
              <w:t>IHACPA’s decision</w:t>
            </w:r>
          </w:p>
          <w:p w14:paraId="76127D39" w14:textId="02B2D33F" w:rsidR="00D24654" w:rsidRDefault="00D24654" w:rsidP="001C4AD5">
            <w:pPr>
              <w:spacing w:after="120"/>
              <w:rPr>
                <w:sz w:val="20"/>
                <w:szCs w:val="20"/>
              </w:rPr>
            </w:pPr>
            <w:r>
              <w:rPr>
                <w:sz w:val="20"/>
                <w:szCs w:val="20"/>
              </w:rPr>
              <w:t>IHACPA has updated the definitions for the 10 series classes in Tier 2 Version 10.0</w:t>
            </w:r>
            <w:r w:rsidR="00B90945">
              <w:rPr>
                <w:sz w:val="20"/>
                <w:szCs w:val="20"/>
              </w:rPr>
              <w:t xml:space="preserve"> to reflect the involvement of multidisciplinary care.</w:t>
            </w:r>
          </w:p>
          <w:p w14:paraId="6EE6D654" w14:textId="215EB6AF" w:rsidR="00556751" w:rsidRPr="002046FA" w:rsidRDefault="00D24654" w:rsidP="001C4AD5">
            <w:pPr>
              <w:spacing w:after="120"/>
              <w:rPr>
                <w:sz w:val="20"/>
                <w:szCs w:val="20"/>
              </w:rPr>
            </w:pPr>
            <w:r>
              <w:rPr>
                <w:sz w:val="20"/>
                <w:szCs w:val="20"/>
              </w:rPr>
              <w:t>Following consultation with jurisdictions</w:t>
            </w:r>
            <w:r w:rsidRPr="00DC3CAD">
              <w:rPr>
                <w:sz w:val="20"/>
                <w:szCs w:val="20"/>
              </w:rPr>
              <w:t xml:space="preserve">, IHACPA intends to remove the </w:t>
            </w:r>
            <w:r w:rsidR="009B1A86">
              <w:rPr>
                <w:sz w:val="20"/>
                <w:szCs w:val="20"/>
              </w:rPr>
              <w:t>multidisciplinary clinic</w:t>
            </w:r>
            <w:r w:rsidRPr="00DC3CAD">
              <w:rPr>
                <w:sz w:val="20"/>
                <w:szCs w:val="20"/>
              </w:rPr>
              <w:t xml:space="preserve"> adjustment for all Tier 2 10 series classes for NEP26 to ensure pricing of the 10 series classes is aligned to clinical practice, accurately reflects resource utilisation and is harmonised with similar services in the admitted setting where appropriate. This will enable the </w:t>
            </w:r>
            <w:r w:rsidR="009B1A86">
              <w:rPr>
                <w:sz w:val="20"/>
                <w:szCs w:val="20"/>
              </w:rPr>
              <w:t>multidisciplinary clinic</w:t>
            </w:r>
            <w:r w:rsidRPr="00DC3CAD">
              <w:rPr>
                <w:sz w:val="20"/>
                <w:szCs w:val="20"/>
              </w:rPr>
              <w:t xml:space="preserve"> adjustment to better account for cost variations in other Tier 2 classes where there is variation in whether care delivery is multidisciplinary.</w:t>
            </w:r>
          </w:p>
        </w:tc>
      </w:tr>
    </w:tbl>
    <w:p w14:paraId="64A49DEB" w14:textId="77777777" w:rsidR="00556751" w:rsidRDefault="00556751" w:rsidP="00823A1D">
      <w:pPr>
        <w:rPr>
          <w:sz w:val="20"/>
          <w:szCs w:val="20"/>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556751" w:rsidRPr="007C7991" w14:paraId="568AF4B9" w14:textId="77777777" w:rsidTr="00BE53FE">
        <w:tc>
          <w:tcPr>
            <w:tcW w:w="851" w:type="dxa"/>
            <w:shd w:val="clear" w:color="auto" w:fill="C1DAF8" w:themeFill="accent2" w:themeFillTint="33"/>
          </w:tcPr>
          <w:p w14:paraId="2C0DCA23" w14:textId="77777777" w:rsidR="00556751" w:rsidRPr="007C7991" w:rsidRDefault="00556751" w:rsidP="00BE53FE">
            <w:pPr>
              <w:jc w:val="center"/>
              <w:rPr>
                <w:sz w:val="20"/>
                <w:szCs w:val="20"/>
              </w:rPr>
            </w:pPr>
            <w:r w:rsidRPr="007C7991">
              <w:rPr>
                <w:noProof/>
                <w:sz w:val="20"/>
                <w:szCs w:val="20"/>
              </w:rPr>
              <w:drawing>
                <wp:inline distT="0" distB="0" distL="0" distR="0" wp14:anchorId="2BDB3BD8" wp14:editId="149390C2">
                  <wp:extent cx="266700" cy="266700"/>
                  <wp:effectExtent l="0" t="0" r="0" b="0"/>
                  <wp:docPr id="2005842286" name="Picture 200584228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162725B7" w14:textId="662E3C8B" w:rsidR="00556751" w:rsidRPr="00A929FF" w:rsidRDefault="00556751" w:rsidP="001C4AD5">
            <w:pPr>
              <w:spacing w:before="120" w:after="240"/>
              <w:rPr>
                <w:b/>
                <w:bCs/>
                <w:sz w:val="20"/>
                <w:szCs w:val="20"/>
              </w:rPr>
            </w:pPr>
            <w:r w:rsidRPr="004C1093">
              <w:rPr>
                <w:b/>
                <w:bCs/>
                <w:sz w:val="20"/>
                <w:szCs w:val="20"/>
              </w:rPr>
              <w:t>Next steps and future work</w:t>
            </w:r>
          </w:p>
          <w:p w14:paraId="76DEA5C9" w14:textId="4C25E865" w:rsidR="00556751" w:rsidRPr="007C7991" w:rsidRDefault="00B90945" w:rsidP="001C4AD5">
            <w:pPr>
              <w:spacing w:after="120"/>
              <w:rPr>
                <w:sz w:val="20"/>
                <w:szCs w:val="20"/>
              </w:rPr>
            </w:pPr>
            <w:r>
              <w:rPr>
                <w:sz w:val="20"/>
                <w:szCs w:val="20"/>
              </w:rPr>
              <w:t>IHACPA notes jurisdictional feedback that there may be incomplete reporting of the multiple healthcare provider indicator in the non-admitted data collections. IHACPA will work with jurisdictions in improving the consistency of reporting of the indicator and may review the pricing of these classes in future if there is a change in the evidence-base.</w:t>
            </w:r>
          </w:p>
        </w:tc>
      </w:tr>
    </w:tbl>
    <w:p w14:paraId="6971A87E" w14:textId="1DF145F5" w:rsidR="00824BFB" w:rsidRDefault="003F12DA" w:rsidP="008572F8">
      <w:pPr>
        <w:pStyle w:val="Heading3"/>
        <w:spacing w:before="240"/>
        <w:rPr>
          <w:iCs/>
        </w:rPr>
      </w:pPr>
      <w:r>
        <w:rPr>
          <w:iCs/>
          <w:color w:val="15272F" w:themeColor="text1"/>
          <w:sz w:val="22"/>
          <w:szCs w:val="22"/>
          <w:lang w:val="en-PH"/>
        </w:rPr>
        <w:t>Review of pricing models and adjustments</w:t>
      </w:r>
    </w:p>
    <w:p w14:paraId="3DFC484D" w14:textId="2888DE4C" w:rsidR="0043325D" w:rsidRDefault="00FA0AFD" w:rsidP="00A76FFF">
      <w:pPr>
        <w:rPr>
          <w:sz w:val="20"/>
          <w:szCs w:val="20"/>
        </w:rPr>
      </w:pPr>
      <w:r>
        <w:rPr>
          <w:sz w:val="20"/>
          <w:szCs w:val="20"/>
        </w:rPr>
        <w:t xml:space="preserve">The Mid-Term </w:t>
      </w:r>
      <w:r w:rsidR="00F55CD6">
        <w:rPr>
          <w:sz w:val="20"/>
          <w:szCs w:val="20"/>
        </w:rPr>
        <w:t xml:space="preserve">Review </w:t>
      </w:r>
      <w:r>
        <w:rPr>
          <w:sz w:val="20"/>
          <w:szCs w:val="20"/>
        </w:rPr>
        <w:t xml:space="preserve">of the National Health Reform Agreement </w:t>
      </w:r>
      <w:r w:rsidR="00F55CD6">
        <w:rPr>
          <w:sz w:val="20"/>
          <w:szCs w:val="20"/>
        </w:rPr>
        <w:t xml:space="preserve">Addendum </w:t>
      </w:r>
      <w:r>
        <w:rPr>
          <w:sz w:val="20"/>
          <w:szCs w:val="20"/>
        </w:rPr>
        <w:t>2020–2025</w:t>
      </w:r>
      <w:r w:rsidR="00887C95">
        <w:rPr>
          <w:sz w:val="20"/>
          <w:szCs w:val="20"/>
        </w:rPr>
        <w:t xml:space="preserve"> (the mid-term review)</w:t>
      </w:r>
      <w:r w:rsidR="0043325D">
        <w:rPr>
          <w:sz w:val="20"/>
          <w:szCs w:val="20"/>
        </w:rPr>
        <w:t xml:space="preserve"> made </w:t>
      </w:r>
      <w:r w:rsidR="00660EF2">
        <w:rPr>
          <w:sz w:val="20"/>
          <w:szCs w:val="20"/>
        </w:rPr>
        <w:t>several</w:t>
      </w:r>
      <w:r w:rsidR="0043325D">
        <w:rPr>
          <w:sz w:val="20"/>
          <w:szCs w:val="20"/>
        </w:rPr>
        <w:t xml:space="preserve"> recommendations relevant to IHACPA’s</w:t>
      </w:r>
      <w:r w:rsidR="009A1A20">
        <w:rPr>
          <w:sz w:val="20"/>
          <w:szCs w:val="20"/>
        </w:rPr>
        <w:t xml:space="preserve"> pricing</w:t>
      </w:r>
      <w:r w:rsidR="0043325D">
        <w:rPr>
          <w:sz w:val="20"/>
          <w:szCs w:val="20"/>
        </w:rPr>
        <w:t xml:space="preserve"> </w:t>
      </w:r>
      <w:r w:rsidR="003F12DA">
        <w:rPr>
          <w:sz w:val="20"/>
          <w:szCs w:val="20"/>
        </w:rPr>
        <w:t xml:space="preserve">models and </w:t>
      </w:r>
      <w:r w:rsidR="009A1A20">
        <w:rPr>
          <w:sz w:val="20"/>
          <w:szCs w:val="20"/>
        </w:rPr>
        <w:t>adjustments.</w:t>
      </w:r>
      <w:r w:rsidR="00FE6042">
        <w:rPr>
          <w:sz w:val="20"/>
          <w:szCs w:val="20"/>
        </w:rPr>
        <w:t xml:space="preserve"> </w:t>
      </w:r>
      <w:r w:rsidR="00996B14">
        <w:rPr>
          <w:sz w:val="20"/>
          <w:szCs w:val="20"/>
        </w:rPr>
        <w:t>IHACPA will</w:t>
      </w:r>
      <w:r w:rsidR="00F51D23">
        <w:rPr>
          <w:sz w:val="20"/>
          <w:szCs w:val="20"/>
        </w:rPr>
        <w:t xml:space="preserve"> lead the implementation of these </w:t>
      </w:r>
      <w:r w:rsidR="00996B14">
        <w:rPr>
          <w:sz w:val="20"/>
          <w:szCs w:val="20"/>
        </w:rPr>
        <w:t>recommendations</w:t>
      </w:r>
      <w:r w:rsidR="00FE6042">
        <w:rPr>
          <w:sz w:val="20"/>
          <w:szCs w:val="20"/>
        </w:rPr>
        <w:t xml:space="preserve"> through a multi-year review of the NEP and </w:t>
      </w:r>
      <w:r w:rsidR="008C5032">
        <w:rPr>
          <w:sz w:val="20"/>
          <w:szCs w:val="20"/>
        </w:rPr>
        <w:t>n</w:t>
      </w:r>
      <w:r w:rsidR="00467E61">
        <w:rPr>
          <w:sz w:val="20"/>
          <w:szCs w:val="20"/>
        </w:rPr>
        <w:t xml:space="preserve">ational </w:t>
      </w:r>
      <w:r w:rsidR="008C5032">
        <w:rPr>
          <w:sz w:val="20"/>
          <w:szCs w:val="20"/>
        </w:rPr>
        <w:t>e</w:t>
      </w:r>
      <w:r w:rsidR="00467E61">
        <w:rPr>
          <w:sz w:val="20"/>
          <w:szCs w:val="20"/>
        </w:rPr>
        <w:t xml:space="preserve">fficient </w:t>
      </w:r>
      <w:r w:rsidR="008C5032">
        <w:rPr>
          <w:sz w:val="20"/>
          <w:szCs w:val="20"/>
        </w:rPr>
        <w:t>c</w:t>
      </w:r>
      <w:r w:rsidR="00467E61">
        <w:rPr>
          <w:sz w:val="20"/>
          <w:szCs w:val="20"/>
        </w:rPr>
        <w:t>ost (</w:t>
      </w:r>
      <w:r w:rsidR="00FE6042">
        <w:rPr>
          <w:sz w:val="20"/>
          <w:szCs w:val="20"/>
        </w:rPr>
        <w:t>NEC</w:t>
      </w:r>
      <w:r w:rsidR="00467E61">
        <w:rPr>
          <w:sz w:val="20"/>
          <w:szCs w:val="20"/>
        </w:rPr>
        <w:t>)</w:t>
      </w:r>
      <w:r w:rsidR="003F12DA">
        <w:rPr>
          <w:sz w:val="20"/>
          <w:szCs w:val="20"/>
        </w:rPr>
        <w:t xml:space="preserve"> in these areas</w:t>
      </w:r>
      <w:r w:rsidR="00FE6042">
        <w:rPr>
          <w:sz w:val="20"/>
          <w:szCs w:val="20"/>
        </w:rPr>
        <w:t>.</w:t>
      </w:r>
    </w:p>
    <w:p w14:paraId="1D6DD0A5" w14:textId="2111BB73" w:rsidR="00761BE0" w:rsidRDefault="0043325D" w:rsidP="00BE53FE">
      <w:pPr>
        <w:keepLines/>
        <w:rPr>
          <w:rFonts w:cs="Arial"/>
          <w:sz w:val="20"/>
          <w:szCs w:val="20"/>
        </w:rPr>
      </w:pPr>
      <w:r>
        <w:rPr>
          <w:sz w:val="20"/>
          <w:szCs w:val="20"/>
        </w:rPr>
        <w:t xml:space="preserve">Firstly, the </w:t>
      </w:r>
      <w:r w:rsidR="00F02D7A">
        <w:rPr>
          <w:sz w:val="20"/>
          <w:szCs w:val="20"/>
        </w:rPr>
        <w:t xml:space="preserve">mid-term </w:t>
      </w:r>
      <w:r>
        <w:rPr>
          <w:sz w:val="20"/>
          <w:szCs w:val="20"/>
        </w:rPr>
        <w:t>review</w:t>
      </w:r>
      <w:r w:rsidR="00FA0AFD">
        <w:rPr>
          <w:sz w:val="20"/>
          <w:szCs w:val="20"/>
        </w:rPr>
        <w:t xml:space="preserve"> recommended a reduction in calculation complexity</w:t>
      </w:r>
      <w:r w:rsidR="00CF5224">
        <w:rPr>
          <w:sz w:val="20"/>
          <w:szCs w:val="20"/>
        </w:rPr>
        <w:t xml:space="preserve"> for the pricing adjustments</w:t>
      </w:r>
      <w:r w:rsidR="005E7DC5">
        <w:rPr>
          <w:sz w:val="20"/>
          <w:szCs w:val="20"/>
        </w:rPr>
        <w:t xml:space="preserve">. </w:t>
      </w:r>
      <w:r w:rsidR="00333F49">
        <w:rPr>
          <w:sz w:val="20"/>
          <w:szCs w:val="20"/>
        </w:rPr>
        <w:t xml:space="preserve">In response to the </w:t>
      </w:r>
      <w:r w:rsidR="005006DE">
        <w:rPr>
          <w:sz w:val="20"/>
          <w:szCs w:val="20"/>
        </w:rPr>
        <w:t>consultation paper</w:t>
      </w:r>
      <w:r w:rsidR="00333F49">
        <w:rPr>
          <w:sz w:val="20"/>
          <w:szCs w:val="20"/>
        </w:rPr>
        <w:t xml:space="preserve">, stakeholders </w:t>
      </w:r>
      <w:r w:rsidR="00675F5F">
        <w:rPr>
          <w:sz w:val="20"/>
          <w:szCs w:val="20"/>
        </w:rPr>
        <w:t xml:space="preserve">outlined key principles to guide model simplification in relation to IHACPA’s adjustments and pricing models. </w:t>
      </w:r>
      <w:r w:rsidR="00712BB2">
        <w:rPr>
          <w:sz w:val="20"/>
          <w:szCs w:val="20"/>
        </w:rPr>
        <w:t>Th</w:t>
      </w:r>
      <w:r w:rsidR="00C82F72">
        <w:rPr>
          <w:sz w:val="20"/>
          <w:szCs w:val="20"/>
        </w:rPr>
        <w:t>ey</w:t>
      </w:r>
      <w:r w:rsidR="00712BB2">
        <w:rPr>
          <w:sz w:val="20"/>
          <w:szCs w:val="20"/>
        </w:rPr>
        <w:t xml:space="preserve"> included transparency</w:t>
      </w:r>
      <w:r w:rsidR="001B4CBA">
        <w:rPr>
          <w:sz w:val="20"/>
          <w:szCs w:val="20"/>
        </w:rPr>
        <w:t>, equity</w:t>
      </w:r>
      <w:r w:rsidR="00F4320C">
        <w:rPr>
          <w:sz w:val="20"/>
          <w:szCs w:val="20"/>
        </w:rPr>
        <w:t xml:space="preserve"> and a ‘no worse off’ principle</w:t>
      </w:r>
      <w:r w:rsidR="001B4CBA">
        <w:rPr>
          <w:sz w:val="20"/>
          <w:szCs w:val="20"/>
        </w:rPr>
        <w:t xml:space="preserve">, materiality, </w:t>
      </w:r>
      <w:r w:rsidR="00391E77">
        <w:rPr>
          <w:sz w:val="20"/>
          <w:szCs w:val="20"/>
        </w:rPr>
        <w:t xml:space="preserve">being driven by evidence, adaptability and national applicability </w:t>
      </w:r>
      <w:r w:rsidR="00712BB2">
        <w:rPr>
          <w:sz w:val="20"/>
          <w:szCs w:val="20"/>
        </w:rPr>
        <w:t xml:space="preserve">without negatively affecting smaller </w:t>
      </w:r>
      <w:r w:rsidR="005476B8">
        <w:rPr>
          <w:sz w:val="20"/>
          <w:szCs w:val="20"/>
        </w:rPr>
        <w:t>states and territories</w:t>
      </w:r>
      <w:r w:rsidR="00712BB2">
        <w:rPr>
          <w:sz w:val="20"/>
          <w:szCs w:val="20"/>
        </w:rPr>
        <w:t>.</w:t>
      </w:r>
    </w:p>
    <w:p w14:paraId="1884EC55" w14:textId="0056FBCB" w:rsidR="00622EBF" w:rsidRDefault="00F02D7A" w:rsidP="00F869EB">
      <w:pPr>
        <w:keepLines/>
        <w:rPr>
          <w:rFonts w:cs="Arial"/>
          <w:sz w:val="20"/>
          <w:szCs w:val="20"/>
        </w:rPr>
      </w:pPr>
      <w:r>
        <w:rPr>
          <w:sz w:val="20"/>
          <w:szCs w:val="20"/>
        </w:rPr>
        <w:t>A further recommendation of the mid-term review</w:t>
      </w:r>
      <w:r w:rsidR="007D3D02">
        <w:rPr>
          <w:sz w:val="20"/>
          <w:szCs w:val="20"/>
        </w:rPr>
        <w:t xml:space="preserve"> </w:t>
      </w:r>
      <w:r>
        <w:rPr>
          <w:sz w:val="20"/>
          <w:szCs w:val="20"/>
        </w:rPr>
        <w:t xml:space="preserve">was a review of IHACPA’s </w:t>
      </w:r>
      <w:r w:rsidR="00B70FF6">
        <w:rPr>
          <w:sz w:val="20"/>
          <w:szCs w:val="20"/>
        </w:rPr>
        <w:t xml:space="preserve">Indigenous and rural and remote </w:t>
      </w:r>
      <w:r>
        <w:rPr>
          <w:sz w:val="20"/>
          <w:szCs w:val="20"/>
        </w:rPr>
        <w:t xml:space="preserve">pricing </w:t>
      </w:r>
      <w:r w:rsidR="00B70FF6">
        <w:rPr>
          <w:sz w:val="20"/>
          <w:szCs w:val="20"/>
        </w:rPr>
        <w:t>adjustments</w:t>
      </w:r>
      <w:r w:rsidR="00BD5FED">
        <w:rPr>
          <w:sz w:val="20"/>
          <w:szCs w:val="20"/>
        </w:rPr>
        <w:t xml:space="preserve">. </w:t>
      </w:r>
      <w:r w:rsidR="00603B1E">
        <w:rPr>
          <w:sz w:val="20"/>
          <w:szCs w:val="20"/>
        </w:rPr>
        <w:t xml:space="preserve">In response to the </w:t>
      </w:r>
      <w:r w:rsidR="00440C31">
        <w:rPr>
          <w:sz w:val="20"/>
          <w:szCs w:val="20"/>
        </w:rPr>
        <w:t>c</w:t>
      </w:r>
      <w:r w:rsidR="00603B1E">
        <w:rPr>
          <w:sz w:val="20"/>
          <w:szCs w:val="20"/>
        </w:rPr>
        <w:t xml:space="preserve">onsultation </w:t>
      </w:r>
      <w:r w:rsidR="00440C31">
        <w:rPr>
          <w:sz w:val="20"/>
          <w:szCs w:val="20"/>
        </w:rPr>
        <w:t>p</w:t>
      </w:r>
      <w:r w:rsidR="00603B1E">
        <w:rPr>
          <w:sz w:val="20"/>
          <w:szCs w:val="20"/>
        </w:rPr>
        <w:t xml:space="preserve">aper, stakeholders </w:t>
      </w:r>
      <w:r w:rsidR="00603B1E" w:rsidRPr="00D93207">
        <w:rPr>
          <w:sz w:val="20"/>
          <w:szCs w:val="20"/>
        </w:rPr>
        <w:t xml:space="preserve">recommended refining funding methodologies to better reflect the true costs and health needs of First Nations peoples, including culturally safe care, geographic and clinical complexity, and </w:t>
      </w:r>
      <w:r w:rsidR="005476B8">
        <w:rPr>
          <w:sz w:val="20"/>
          <w:szCs w:val="20"/>
        </w:rPr>
        <w:t>state and territory</w:t>
      </w:r>
      <w:r w:rsidR="005476B8" w:rsidRPr="00D93207">
        <w:rPr>
          <w:sz w:val="20"/>
          <w:szCs w:val="20"/>
        </w:rPr>
        <w:t xml:space="preserve"> </w:t>
      </w:r>
      <w:r w:rsidR="00603B1E" w:rsidRPr="00D93207">
        <w:rPr>
          <w:sz w:val="20"/>
          <w:szCs w:val="20"/>
        </w:rPr>
        <w:t xml:space="preserve">variations. </w:t>
      </w:r>
      <w:r>
        <w:rPr>
          <w:sz w:val="20"/>
          <w:szCs w:val="20"/>
        </w:rPr>
        <w:t>S</w:t>
      </w:r>
      <w:r w:rsidR="00D771B9">
        <w:rPr>
          <w:sz w:val="20"/>
          <w:szCs w:val="20"/>
        </w:rPr>
        <w:t>takeholders</w:t>
      </w:r>
      <w:r>
        <w:rPr>
          <w:sz w:val="20"/>
          <w:szCs w:val="20"/>
        </w:rPr>
        <w:t xml:space="preserve"> also</w:t>
      </w:r>
      <w:r w:rsidR="00412E17">
        <w:rPr>
          <w:sz w:val="20"/>
          <w:szCs w:val="20"/>
        </w:rPr>
        <w:t xml:space="preserve"> highlighted </w:t>
      </w:r>
      <w:r w:rsidR="00412E17" w:rsidRPr="00412E17">
        <w:rPr>
          <w:sz w:val="20"/>
          <w:szCs w:val="20"/>
        </w:rPr>
        <w:t>the significant and persistent challenges faced by rural and remote health services</w:t>
      </w:r>
      <w:r w:rsidR="00412E17">
        <w:rPr>
          <w:sz w:val="20"/>
          <w:szCs w:val="20"/>
        </w:rPr>
        <w:t xml:space="preserve">. </w:t>
      </w:r>
      <w:r w:rsidR="003D21C3">
        <w:rPr>
          <w:rFonts w:cs="Arial"/>
          <w:sz w:val="20"/>
          <w:szCs w:val="20"/>
        </w:rPr>
        <w:t>These challenges</w:t>
      </w:r>
      <w:r w:rsidR="00482642">
        <w:rPr>
          <w:rFonts w:cs="Arial"/>
          <w:sz w:val="20"/>
          <w:szCs w:val="20"/>
        </w:rPr>
        <w:t xml:space="preserve"> included workforce shortages,</w:t>
      </w:r>
      <w:r w:rsidR="0087209E">
        <w:rPr>
          <w:rFonts w:cs="Arial"/>
          <w:sz w:val="20"/>
          <w:szCs w:val="20"/>
        </w:rPr>
        <w:t xml:space="preserve"> travel, transport and accommodation costs and digital infrastructure limitations.</w:t>
      </w:r>
    </w:p>
    <w:p w14:paraId="726367FB" w14:textId="0A80449F" w:rsidR="00C82F72" w:rsidRDefault="00C82F72" w:rsidP="00F869EB">
      <w:pPr>
        <w:keepLines/>
        <w:rPr>
          <w:rFonts w:cs="Arial"/>
          <w:sz w:val="20"/>
          <w:szCs w:val="20"/>
        </w:rPr>
      </w:pPr>
      <w:r>
        <w:rPr>
          <w:sz w:val="20"/>
          <w:szCs w:val="20"/>
        </w:rPr>
        <w:lastRenderedPageBreak/>
        <w:t xml:space="preserve">Finally, the mid-term review recommended that IHACPA explore a separate and further adjustment factor for smaller </w:t>
      </w:r>
      <w:r w:rsidR="005476B8">
        <w:rPr>
          <w:sz w:val="20"/>
          <w:szCs w:val="20"/>
        </w:rPr>
        <w:t xml:space="preserve">states and territories </w:t>
      </w:r>
      <w:r>
        <w:rPr>
          <w:sz w:val="20"/>
          <w:szCs w:val="20"/>
        </w:rPr>
        <w:t xml:space="preserve">to compensate for the lower scale and volume and higher disproportionate costs associated with these populations. In response to the consultation paper, stakeholders outlined </w:t>
      </w:r>
      <w:r w:rsidRPr="00190E8D">
        <w:rPr>
          <w:sz w:val="20"/>
          <w:szCs w:val="20"/>
        </w:rPr>
        <w:t>some cost drivers that impact the ability of hospitals and local health networks to achieve economies of scale under the</w:t>
      </w:r>
      <w:r w:rsidR="006550C3">
        <w:rPr>
          <w:sz w:val="20"/>
          <w:szCs w:val="20"/>
        </w:rPr>
        <w:t xml:space="preserve"> current</w:t>
      </w:r>
      <w:r w:rsidRPr="00190E8D">
        <w:rPr>
          <w:sz w:val="20"/>
          <w:szCs w:val="20"/>
        </w:rPr>
        <w:t xml:space="preserve"> </w:t>
      </w:r>
      <w:r w:rsidR="006550C3">
        <w:rPr>
          <w:sz w:val="20"/>
          <w:szCs w:val="20"/>
        </w:rPr>
        <w:t xml:space="preserve">pricing </w:t>
      </w:r>
      <w:r w:rsidRPr="00190E8D">
        <w:rPr>
          <w:sz w:val="20"/>
          <w:szCs w:val="20"/>
        </w:rPr>
        <w:t>model</w:t>
      </w:r>
      <w:r>
        <w:rPr>
          <w:sz w:val="20"/>
          <w:szCs w:val="20"/>
        </w:rPr>
        <w:t>. These cost drivers include the requirement to maintain a baseline of services, specialised and high-cost services, and higher utility, equipment and facility maintenance costs.</w:t>
      </w:r>
    </w:p>
    <w:p w14:paraId="14BED457" w14:textId="2CDECF13" w:rsidR="001330D9" w:rsidRDefault="00C82F72" w:rsidP="00C82F72">
      <w:pPr>
        <w:rPr>
          <w:sz w:val="20"/>
          <w:szCs w:val="20"/>
        </w:rPr>
      </w:pPr>
      <w:r>
        <w:rPr>
          <w:sz w:val="20"/>
          <w:szCs w:val="20"/>
        </w:rPr>
        <w:t>To inform IHACPA’s review of the NEP and NEC price weights, the consultation paper</w:t>
      </w:r>
      <w:r w:rsidR="00151DAD">
        <w:rPr>
          <w:sz w:val="20"/>
          <w:szCs w:val="20"/>
        </w:rPr>
        <w:t xml:space="preserve"> </w:t>
      </w:r>
      <w:r>
        <w:rPr>
          <w:sz w:val="20"/>
          <w:szCs w:val="20"/>
        </w:rPr>
        <w:t xml:space="preserve">asked stakeholders about </w:t>
      </w:r>
      <w:r w:rsidRPr="00137236">
        <w:rPr>
          <w:sz w:val="20"/>
          <w:szCs w:val="20"/>
        </w:rPr>
        <w:t xml:space="preserve">evidence </w:t>
      </w:r>
      <w:r>
        <w:rPr>
          <w:sz w:val="20"/>
          <w:szCs w:val="20"/>
        </w:rPr>
        <w:t xml:space="preserve">to </w:t>
      </w:r>
      <w:r w:rsidRPr="00137236">
        <w:rPr>
          <w:sz w:val="20"/>
          <w:szCs w:val="20"/>
        </w:rPr>
        <w:t xml:space="preserve">suggest that the actual costs of care are not being accurately reflected in cost data collections and how IHACPA </w:t>
      </w:r>
      <w:r>
        <w:rPr>
          <w:sz w:val="20"/>
          <w:szCs w:val="20"/>
        </w:rPr>
        <w:t xml:space="preserve">can </w:t>
      </w:r>
      <w:r w:rsidRPr="00137236">
        <w:rPr>
          <w:sz w:val="20"/>
          <w:szCs w:val="20"/>
        </w:rPr>
        <w:t xml:space="preserve">support </w:t>
      </w:r>
      <w:r w:rsidR="005476B8">
        <w:rPr>
          <w:sz w:val="20"/>
          <w:szCs w:val="20"/>
        </w:rPr>
        <w:t>states and territories</w:t>
      </w:r>
      <w:r w:rsidRPr="00137236">
        <w:rPr>
          <w:sz w:val="20"/>
          <w:szCs w:val="20"/>
        </w:rPr>
        <w:t xml:space="preserve"> in reporting these</w:t>
      </w:r>
      <w:r>
        <w:rPr>
          <w:sz w:val="20"/>
          <w:szCs w:val="20"/>
        </w:rPr>
        <w:t xml:space="preserve">. </w:t>
      </w:r>
      <w:r w:rsidRPr="001421EE">
        <w:rPr>
          <w:sz w:val="20"/>
          <w:szCs w:val="20"/>
        </w:rPr>
        <w:t>Stakeholders highlighted significant gaps in cost data accuracy due to missing service components,</w:t>
      </w:r>
      <w:r w:rsidR="0081089B">
        <w:rPr>
          <w:sz w:val="20"/>
          <w:szCs w:val="20"/>
        </w:rPr>
        <w:t xml:space="preserve"> </w:t>
      </w:r>
      <w:r w:rsidRPr="001421EE">
        <w:rPr>
          <w:sz w:val="20"/>
          <w:szCs w:val="20"/>
        </w:rPr>
        <w:t>workforce shortages, and</w:t>
      </w:r>
      <w:r w:rsidR="001815BD">
        <w:rPr>
          <w:sz w:val="20"/>
          <w:szCs w:val="20"/>
        </w:rPr>
        <w:t xml:space="preserve"> information and communication technology</w:t>
      </w:r>
      <w:r w:rsidRPr="001421EE">
        <w:rPr>
          <w:sz w:val="20"/>
          <w:szCs w:val="20"/>
        </w:rPr>
        <w:t xml:space="preserve"> limitations. They recommended refining national pricing models, improving coding and costing workforce development, and adapting data reporting to better reflect clinical complexity, geographic variation, and evolving scopes of practice.</w:t>
      </w:r>
    </w:p>
    <w:p w14:paraId="7545E6BD" w14:textId="1EC86337" w:rsidR="00C82F72" w:rsidRDefault="00151DAD" w:rsidP="00C82F72">
      <w:pPr>
        <w:rPr>
          <w:sz w:val="20"/>
          <w:szCs w:val="20"/>
        </w:rPr>
      </w:pPr>
      <w:r>
        <w:rPr>
          <w:rFonts w:cs="Arial"/>
          <w:sz w:val="20"/>
          <w:szCs w:val="20"/>
        </w:rPr>
        <w:t xml:space="preserve">Further detail </w:t>
      </w:r>
      <w:r w:rsidR="001330D9">
        <w:rPr>
          <w:rFonts w:cs="Arial"/>
          <w:sz w:val="20"/>
          <w:szCs w:val="20"/>
        </w:rPr>
        <w:t xml:space="preserve">across all these areas </w:t>
      </w:r>
      <w:r>
        <w:rPr>
          <w:rFonts w:cs="Arial"/>
          <w:sz w:val="20"/>
          <w:szCs w:val="20"/>
        </w:rPr>
        <w:t>is provided in the</w:t>
      </w:r>
      <w:r w:rsidRPr="005F43A8">
        <w:rPr>
          <w:rFonts w:cs="Arial"/>
          <w:sz w:val="20"/>
          <w:szCs w:val="20"/>
        </w:rPr>
        <w:t xml:space="preserve"> consultation report.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482642" w:rsidRPr="00F57BE6" w14:paraId="5B973EF1" w14:textId="77777777" w:rsidTr="0019067A">
        <w:tc>
          <w:tcPr>
            <w:tcW w:w="851" w:type="dxa"/>
            <w:shd w:val="clear" w:color="auto" w:fill="B5FFE0" w:themeFill="accent4" w:themeFillTint="33"/>
          </w:tcPr>
          <w:p w14:paraId="25976411" w14:textId="77777777" w:rsidR="00482642" w:rsidRPr="004953FE" w:rsidRDefault="00482642" w:rsidP="0019067A">
            <w:pPr>
              <w:jc w:val="center"/>
              <w:rPr>
                <w:sz w:val="20"/>
                <w:szCs w:val="20"/>
              </w:rPr>
            </w:pPr>
            <w:r w:rsidRPr="004953FE">
              <w:rPr>
                <w:noProof/>
                <w:sz w:val="20"/>
                <w:szCs w:val="20"/>
              </w:rPr>
              <w:drawing>
                <wp:inline distT="0" distB="0" distL="0" distR="0" wp14:anchorId="54568F72" wp14:editId="17C9F7D6">
                  <wp:extent cx="266700" cy="266700"/>
                  <wp:effectExtent l="0" t="0" r="0" b="0"/>
                  <wp:docPr id="1993478066" name="Picture 1993478066"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3BE6A8EF" w14:textId="77777777" w:rsidR="00482642" w:rsidRPr="004953FE" w:rsidRDefault="00482642" w:rsidP="0019067A">
            <w:pPr>
              <w:pStyle w:val="Heading4"/>
              <w:rPr>
                <w:sz w:val="20"/>
                <w:szCs w:val="20"/>
              </w:rPr>
            </w:pPr>
            <w:r w:rsidRPr="004953FE">
              <w:rPr>
                <w:sz w:val="20"/>
                <w:szCs w:val="20"/>
              </w:rPr>
              <w:t>IHACPA’s decision</w:t>
            </w:r>
          </w:p>
          <w:p w14:paraId="1AEB9A9D" w14:textId="1FF1EBD5" w:rsidR="00482642" w:rsidRPr="00F57BE6" w:rsidRDefault="00BE2033" w:rsidP="008572F8">
            <w:pPr>
              <w:spacing w:after="120"/>
            </w:pPr>
            <w:r w:rsidRPr="00BE2033">
              <w:rPr>
                <w:sz w:val="20"/>
                <w:szCs w:val="20"/>
              </w:rPr>
              <w:t xml:space="preserve">For NEP26, IHACPA will maintain the current methodology for determining the </w:t>
            </w:r>
            <w:r w:rsidR="001330D9">
              <w:rPr>
                <w:sz w:val="20"/>
                <w:szCs w:val="20"/>
              </w:rPr>
              <w:t xml:space="preserve">Indigenous </w:t>
            </w:r>
            <w:r w:rsidR="00151DAD">
              <w:rPr>
                <w:sz w:val="20"/>
                <w:szCs w:val="20"/>
              </w:rPr>
              <w:t>adjustment and rural and remote adjustment</w:t>
            </w:r>
            <w:r w:rsidR="00F51D23">
              <w:rPr>
                <w:sz w:val="20"/>
                <w:szCs w:val="20"/>
              </w:rPr>
              <w:t>s</w:t>
            </w:r>
            <w:r w:rsidR="00151DAD">
              <w:rPr>
                <w:sz w:val="20"/>
                <w:szCs w:val="20"/>
              </w:rPr>
              <w:t>.</w:t>
            </w:r>
          </w:p>
        </w:tc>
      </w:tr>
    </w:tbl>
    <w:p w14:paraId="03B01EB0" w14:textId="77777777" w:rsidR="00B17975" w:rsidRDefault="00B17975" w:rsidP="006324CB">
      <w:pPr>
        <w:rPr>
          <w:sz w:val="20"/>
          <w:szCs w:val="20"/>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87209E" w:rsidRPr="007C7991" w14:paraId="24206041" w14:textId="77777777" w:rsidTr="00BE53FE">
        <w:tc>
          <w:tcPr>
            <w:tcW w:w="851" w:type="dxa"/>
            <w:shd w:val="clear" w:color="auto" w:fill="C1DAF8" w:themeFill="accent2" w:themeFillTint="33"/>
          </w:tcPr>
          <w:p w14:paraId="21C6C886" w14:textId="77777777" w:rsidR="0087209E" w:rsidRPr="007C7991" w:rsidRDefault="0087209E" w:rsidP="00BE53FE">
            <w:pPr>
              <w:jc w:val="center"/>
              <w:rPr>
                <w:sz w:val="20"/>
                <w:szCs w:val="20"/>
              </w:rPr>
            </w:pPr>
            <w:r w:rsidRPr="007C7991">
              <w:rPr>
                <w:noProof/>
                <w:sz w:val="20"/>
                <w:szCs w:val="20"/>
              </w:rPr>
              <w:drawing>
                <wp:inline distT="0" distB="0" distL="0" distR="0" wp14:anchorId="091969AB" wp14:editId="2EF7869C">
                  <wp:extent cx="266700" cy="266700"/>
                  <wp:effectExtent l="0" t="0" r="0" b="0"/>
                  <wp:docPr id="907550579" name="Picture 9075505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258053E3" w14:textId="77777777" w:rsidR="008572F8" w:rsidRPr="008572F8" w:rsidRDefault="0087209E" w:rsidP="00BE53FE">
            <w:pPr>
              <w:pStyle w:val="Heading4"/>
              <w:rPr>
                <w:sz w:val="20"/>
                <w:szCs w:val="20"/>
              </w:rPr>
            </w:pPr>
            <w:r w:rsidRPr="008572F8">
              <w:rPr>
                <w:sz w:val="20"/>
                <w:szCs w:val="20"/>
              </w:rPr>
              <w:t>Next steps and future work</w:t>
            </w:r>
          </w:p>
          <w:p w14:paraId="7845AD90" w14:textId="49932427" w:rsidR="0087209E" w:rsidRPr="007C7991" w:rsidRDefault="00F51D23" w:rsidP="008572F8">
            <w:pPr>
              <w:spacing w:after="120"/>
              <w:rPr>
                <w:sz w:val="20"/>
                <w:szCs w:val="20"/>
              </w:rPr>
            </w:pPr>
            <w:r>
              <w:rPr>
                <w:sz w:val="20"/>
                <w:szCs w:val="20"/>
              </w:rPr>
              <w:t xml:space="preserve">IHACPA will lead </w:t>
            </w:r>
            <w:bookmarkStart w:id="17" w:name="_Hlk205904043"/>
            <w:r>
              <w:rPr>
                <w:sz w:val="20"/>
                <w:szCs w:val="20"/>
              </w:rPr>
              <w:t>a</w:t>
            </w:r>
            <w:r w:rsidR="003A0E60">
              <w:rPr>
                <w:sz w:val="20"/>
                <w:szCs w:val="20"/>
              </w:rPr>
              <w:t xml:space="preserve"> multi-year review into </w:t>
            </w:r>
            <w:r w:rsidR="00BC6265" w:rsidRPr="00BC6265">
              <w:rPr>
                <w:sz w:val="20"/>
                <w:szCs w:val="20"/>
              </w:rPr>
              <w:t>the</w:t>
            </w:r>
            <w:r w:rsidR="001330D9">
              <w:rPr>
                <w:sz w:val="20"/>
                <w:szCs w:val="20"/>
              </w:rPr>
              <w:t xml:space="preserve"> costs and pricing of care delivery to </w:t>
            </w:r>
            <w:bookmarkEnd w:id="17"/>
            <w:r w:rsidR="001330D9">
              <w:rPr>
                <w:sz w:val="20"/>
                <w:szCs w:val="20"/>
              </w:rPr>
              <w:t>First Nations peoples</w:t>
            </w:r>
            <w:r w:rsidR="00F31AE3">
              <w:rPr>
                <w:sz w:val="20"/>
                <w:szCs w:val="20"/>
              </w:rPr>
              <w:t xml:space="preserve"> and people residing in </w:t>
            </w:r>
            <w:r w:rsidR="001330D9">
              <w:rPr>
                <w:sz w:val="20"/>
                <w:szCs w:val="20"/>
              </w:rPr>
              <w:t>rural and remote areas and smaller states and territories.</w:t>
            </w:r>
            <w:r w:rsidR="003A0E60">
              <w:rPr>
                <w:sz w:val="20"/>
                <w:szCs w:val="20"/>
              </w:rPr>
              <w:t xml:space="preserve"> </w:t>
            </w:r>
            <w:r w:rsidR="001330D9">
              <w:rPr>
                <w:sz w:val="20"/>
                <w:szCs w:val="20"/>
              </w:rPr>
              <w:t xml:space="preserve">This will inform any potential changes for future determinations. </w:t>
            </w:r>
            <w:r w:rsidR="00C82F72" w:rsidRPr="00953993">
              <w:rPr>
                <w:sz w:val="20"/>
                <w:szCs w:val="20"/>
              </w:rPr>
              <w:t xml:space="preserve">IHACPA will incorporate </w:t>
            </w:r>
            <w:r w:rsidR="003A0E60">
              <w:rPr>
                <w:sz w:val="20"/>
                <w:szCs w:val="20"/>
              </w:rPr>
              <w:t>stakeholder feedback from the consultation paper</w:t>
            </w:r>
            <w:r w:rsidR="00C82F72">
              <w:rPr>
                <w:sz w:val="20"/>
                <w:szCs w:val="20"/>
              </w:rPr>
              <w:t xml:space="preserve"> </w:t>
            </w:r>
            <w:r w:rsidR="00C82F72" w:rsidRPr="00953993">
              <w:rPr>
                <w:sz w:val="20"/>
                <w:szCs w:val="20"/>
              </w:rPr>
              <w:t>in t</w:t>
            </w:r>
            <w:r w:rsidR="003A0E60">
              <w:rPr>
                <w:sz w:val="20"/>
                <w:szCs w:val="20"/>
              </w:rPr>
              <w:t>his review</w:t>
            </w:r>
            <w:r w:rsidR="00C82F72" w:rsidRPr="00953993">
              <w:rPr>
                <w:sz w:val="20"/>
                <w:szCs w:val="20"/>
              </w:rPr>
              <w:t>.</w:t>
            </w:r>
            <w:r w:rsidR="00C82F72">
              <w:rPr>
                <w:sz w:val="20"/>
                <w:szCs w:val="20"/>
              </w:rPr>
              <w:t xml:space="preserve"> </w:t>
            </w:r>
            <w:r w:rsidR="00C82F72" w:rsidRPr="00B355C8">
              <w:rPr>
                <w:sz w:val="20"/>
                <w:szCs w:val="20"/>
              </w:rPr>
              <w:t>IHACPA will continue to work with its advisory committees to explore opportunities for further improvement in cost collections.</w:t>
            </w:r>
          </w:p>
        </w:tc>
      </w:tr>
    </w:tbl>
    <w:p w14:paraId="59FCEE8D" w14:textId="75D54247" w:rsidR="00D03050" w:rsidRPr="001F27B2" w:rsidRDefault="00D03050" w:rsidP="00F869EB">
      <w:pPr>
        <w:pStyle w:val="Heading2"/>
        <w:spacing w:before="240"/>
      </w:pPr>
      <w:r w:rsidRPr="001F27B2">
        <w:t>4.</w:t>
      </w:r>
      <w:r w:rsidR="00DA5713">
        <w:t>4</w:t>
      </w:r>
      <w:r w:rsidRPr="001F27B2">
        <w:t xml:space="preserve"> </w:t>
      </w:r>
      <w:r>
        <w:t xml:space="preserve">Supporting the pricing of </w:t>
      </w:r>
      <w:r w:rsidR="00A77816">
        <w:t xml:space="preserve">community </w:t>
      </w:r>
      <w:r>
        <w:t>mental health care</w:t>
      </w:r>
    </w:p>
    <w:p w14:paraId="57588D62" w14:textId="115C98AE" w:rsidR="00D03050" w:rsidRDefault="00D03050" w:rsidP="008572F8">
      <w:pPr>
        <w:rPr>
          <w:sz w:val="20"/>
          <w:szCs w:val="20"/>
        </w:rPr>
      </w:pPr>
      <w:r>
        <w:rPr>
          <w:sz w:val="20"/>
          <w:szCs w:val="20"/>
        </w:rPr>
        <w:t xml:space="preserve">For NEP25, </w:t>
      </w:r>
      <w:r w:rsidR="00D77264">
        <w:rPr>
          <w:sz w:val="20"/>
          <w:szCs w:val="20"/>
        </w:rPr>
        <w:t>community health care</w:t>
      </w:r>
      <w:r w:rsidR="00D84C14">
        <w:rPr>
          <w:sz w:val="20"/>
          <w:szCs w:val="20"/>
        </w:rPr>
        <w:t xml:space="preserve"> </w:t>
      </w:r>
      <w:r w:rsidR="004C3338">
        <w:rPr>
          <w:sz w:val="20"/>
          <w:szCs w:val="20"/>
        </w:rPr>
        <w:t>began its transition from</w:t>
      </w:r>
      <w:r w:rsidR="00D84C14">
        <w:rPr>
          <w:sz w:val="20"/>
          <w:szCs w:val="20"/>
        </w:rPr>
        <w:t xml:space="preserve"> </w:t>
      </w:r>
      <w:r w:rsidR="00D77264">
        <w:rPr>
          <w:sz w:val="20"/>
          <w:szCs w:val="20"/>
        </w:rPr>
        <w:t>block</w:t>
      </w:r>
      <w:r w:rsidR="00E27F06">
        <w:rPr>
          <w:sz w:val="20"/>
          <w:szCs w:val="20"/>
        </w:rPr>
        <w:t xml:space="preserve"> funding</w:t>
      </w:r>
      <w:r w:rsidR="00D77264">
        <w:rPr>
          <w:sz w:val="20"/>
          <w:szCs w:val="20"/>
        </w:rPr>
        <w:t xml:space="preserve"> to </w:t>
      </w:r>
      <w:r w:rsidR="00293D2C">
        <w:rPr>
          <w:sz w:val="20"/>
          <w:szCs w:val="20"/>
        </w:rPr>
        <w:t>activity based funding (</w:t>
      </w:r>
      <w:r w:rsidR="00E27F06">
        <w:rPr>
          <w:sz w:val="20"/>
          <w:szCs w:val="20"/>
        </w:rPr>
        <w:t>ABF</w:t>
      </w:r>
      <w:r w:rsidR="00293D2C">
        <w:rPr>
          <w:sz w:val="20"/>
          <w:szCs w:val="20"/>
        </w:rPr>
        <w:t>)</w:t>
      </w:r>
      <w:r w:rsidR="00BA18A4">
        <w:rPr>
          <w:sz w:val="20"/>
          <w:szCs w:val="20"/>
        </w:rPr>
        <w:t xml:space="preserve"> and was priced using the </w:t>
      </w:r>
      <w:r w:rsidR="00BA18A4" w:rsidRPr="000C1FB2">
        <w:rPr>
          <w:sz w:val="20"/>
          <w:szCs w:val="20"/>
        </w:rPr>
        <w:t xml:space="preserve">Australian Mental Health Care Classification </w:t>
      </w:r>
      <w:r w:rsidR="00BA18A4">
        <w:rPr>
          <w:sz w:val="20"/>
          <w:szCs w:val="20"/>
        </w:rPr>
        <w:t>(AMHCC) Version 1.1</w:t>
      </w:r>
      <w:r w:rsidR="00D77264">
        <w:rPr>
          <w:sz w:val="20"/>
          <w:szCs w:val="20"/>
        </w:rPr>
        <w:t>.</w:t>
      </w:r>
      <w:r>
        <w:rPr>
          <w:sz w:val="20"/>
          <w:szCs w:val="20"/>
        </w:rPr>
        <w:t xml:space="preserve"> </w:t>
      </w:r>
      <w:r w:rsidR="00887A4E">
        <w:rPr>
          <w:sz w:val="20"/>
          <w:szCs w:val="20"/>
        </w:rPr>
        <w:t>This was achieved through the implementation of transitional block funding measures for community mental health care following 4 years of shadow pricing.</w:t>
      </w:r>
      <w:r w:rsidR="00FE11CF">
        <w:rPr>
          <w:sz w:val="20"/>
          <w:szCs w:val="20"/>
        </w:rPr>
        <w:t xml:space="preserve"> These measures included </w:t>
      </w:r>
      <w:r w:rsidR="0000607A">
        <w:rPr>
          <w:sz w:val="20"/>
          <w:szCs w:val="20"/>
        </w:rPr>
        <w:t>block funding for specialised forensic community mental health care establishments and</w:t>
      </w:r>
      <w:r w:rsidR="0055352D">
        <w:rPr>
          <w:sz w:val="20"/>
          <w:szCs w:val="20"/>
        </w:rPr>
        <w:t xml:space="preserve"> </w:t>
      </w:r>
      <w:r w:rsidR="00E239D4">
        <w:rPr>
          <w:sz w:val="20"/>
          <w:szCs w:val="20"/>
        </w:rPr>
        <w:t xml:space="preserve">low volume </w:t>
      </w:r>
      <w:r w:rsidR="0055352D">
        <w:rPr>
          <w:sz w:val="20"/>
          <w:szCs w:val="20"/>
        </w:rPr>
        <w:t>rural and regional local hospital networks</w:t>
      </w:r>
      <w:r w:rsidR="00AA09CD">
        <w:rPr>
          <w:sz w:val="20"/>
          <w:szCs w:val="20"/>
        </w:rPr>
        <w:t xml:space="preserve"> (LHNs)</w:t>
      </w:r>
      <w:r w:rsidR="0055352D">
        <w:rPr>
          <w:sz w:val="20"/>
          <w:szCs w:val="20"/>
        </w:rPr>
        <w:t xml:space="preserve">, as well as </w:t>
      </w:r>
      <w:r w:rsidR="00E27F06">
        <w:rPr>
          <w:sz w:val="20"/>
          <w:szCs w:val="20"/>
        </w:rPr>
        <w:t>a</w:t>
      </w:r>
      <w:r w:rsidR="007250E5">
        <w:rPr>
          <w:sz w:val="20"/>
          <w:szCs w:val="20"/>
        </w:rPr>
        <w:t xml:space="preserve"> transitional</w:t>
      </w:r>
      <w:r w:rsidR="00E27F06">
        <w:rPr>
          <w:sz w:val="20"/>
          <w:szCs w:val="20"/>
        </w:rPr>
        <w:t xml:space="preserve"> composite ABF and block funding model.</w:t>
      </w:r>
      <w:r w:rsidR="004B4228">
        <w:rPr>
          <w:sz w:val="20"/>
          <w:szCs w:val="20"/>
        </w:rPr>
        <w:t xml:space="preserve"> </w:t>
      </w:r>
      <w:r w:rsidR="00561F20">
        <w:rPr>
          <w:sz w:val="20"/>
          <w:szCs w:val="20"/>
        </w:rPr>
        <w:t>Both transitional measures were intended for application for one year.</w:t>
      </w:r>
    </w:p>
    <w:p w14:paraId="694C18D5" w14:textId="77777777" w:rsidR="00F869EB" w:rsidRDefault="00561F20" w:rsidP="00561F20">
      <w:pPr>
        <w:rPr>
          <w:sz w:val="20"/>
          <w:szCs w:val="20"/>
        </w:rPr>
      </w:pPr>
      <w:r>
        <w:rPr>
          <w:sz w:val="20"/>
          <w:szCs w:val="20"/>
        </w:rPr>
        <w:t>In the consultation paper, IHACPA asked w</w:t>
      </w:r>
      <w:r w:rsidRPr="00790912">
        <w:rPr>
          <w:sz w:val="20"/>
          <w:szCs w:val="20"/>
        </w:rPr>
        <w:t xml:space="preserve">hat, if any, further measures </w:t>
      </w:r>
      <w:r>
        <w:rPr>
          <w:sz w:val="20"/>
          <w:szCs w:val="20"/>
        </w:rPr>
        <w:t>would be</w:t>
      </w:r>
      <w:r w:rsidRPr="00790912">
        <w:rPr>
          <w:sz w:val="20"/>
          <w:szCs w:val="20"/>
        </w:rPr>
        <w:t xml:space="preserve"> required in NEP26 to support the second year of community mental health care services transitioning to ABF</w:t>
      </w:r>
      <w:r>
        <w:rPr>
          <w:sz w:val="20"/>
          <w:szCs w:val="20"/>
        </w:rPr>
        <w:t xml:space="preserve">. In their responses, states and territories did not indicate a strong need for the extension of the composite block funding and ABF model, although Western Australia (WA) recommended it was continued for 2026–27. </w:t>
      </w:r>
    </w:p>
    <w:p w14:paraId="555E7B8E" w14:textId="16C39C33" w:rsidR="00ED3A40" w:rsidRDefault="00561F20" w:rsidP="00561F20">
      <w:pPr>
        <w:rPr>
          <w:sz w:val="20"/>
          <w:szCs w:val="20"/>
        </w:rPr>
      </w:pPr>
      <w:r>
        <w:rPr>
          <w:sz w:val="20"/>
          <w:szCs w:val="20"/>
        </w:rPr>
        <w:lastRenderedPageBreak/>
        <w:t xml:space="preserve">However, several states and territories, including New South Wales (NSW), WA, and NT called for continued or expanded block funding arrangements for services not viable under ABF such as specialised tertiary high-cost community mental health services. Stakeholders advocated for transitional safeguards, such as </w:t>
      </w:r>
      <w:r w:rsidRPr="008031DE">
        <w:rPr>
          <w:sz w:val="20"/>
          <w:szCs w:val="20"/>
        </w:rPr>
        <w:t>floor payments, volume caps, and risk-adjusted loadings</w:t>
      </w:r>
      <w:r>
        <w:rPr>
          <w:sz w:val="20"/>
          <w:szCs w:val="20"/>
        </w:rPr>
        <w:t xml:space="preserve">, as well as monitoring tools, a review of state and territory data submissions and support for regional, remote and culturally diverse services. </w:t>
      </w:r>
      <w:r>
        <w:rPr>
          <w:rFonts w:cs="Arial"/>
          <w:sz w:val="20"/>
          <w:szCs w:val="20"/>
        </w:rPr>
        <w:t>Further detail is provided in the</w:t>
      </w:r>
      <w:r w:rsidRPr="005F43A8">
        <w:rPr>
          <w:rFonts w:cs="Arial"/>
          <w:sz w:val="20"/>
          <w:szCs w:val="20"/>
        </w:rPr>
        <w:t xml:space="preserve"> consultation report.</w:t>
      </w:r>
    </w:p>
    <w:p w14:paraId="1F5F17EA" w14:textId="1EEB7EDB" w:rsidR="00ED3A40" w:rsidRDefault="00D03050" w:rsidP="00D03050">
      <w:pPr>
        <w:rPr>
          <w:sz w:val="20"/>
          <w:szCs w:val="20"/>
        </w:rPr>
      </w:pPr>
      <w:r>
        <w:rPr>
          <w:sz w:val="20"/>
          <w:szCs w:val="20"/>
        </w:rPr>
        <w:t>IHACPA</w:t>
      </w:r>
      <w:r w:rsidR="0060755C">
        <w:rPr>
          <w:sz w:val="20"/>
          <w:szCs w:val="20"/>
        </w:rPr>
        <w:t xml:space="preserve"> is</w:t>
      </w:r>
      <w:r>
        <w:rPr>
          <w:sz w:val="20"/>
          <w:szCs w:val="20"/>
        </w:rPr>
        <w:t xml:space="preserve"> </w:t>
      </w:r>
      <w:r w:rsidR="0060755C">
        <w:rPr>
          <w:sz w:val="20"/>
          <w:szCs w:val="20"/>
        </w:rPr>
        <w:t xml:space="preserve">reviewing </w:t>
      </w:r>
      <w:r>
        <w:rPr>
          <w:sz w:val="20"/>
          <w:szCs w:val="20"/>
        </w:rPr>
        <w:t xml:space="preserve">the transitional block funding </w:t>
      </w:r>
      <w:r w:rsidR="00ED3A40">
        <w:rPr>
          <w:sz w:val="20"/>
          <w:szCs w:val="20"/>
        </w:rPr>
        <w:t xml:space="preserve">criteria </w:t>
      </w:r>
      <w:r>
        <w:rPr>
          <w:sz w:val="20"/>
          <w:szCs w:val="20"/>
        </w:rPr>
        <w:t xml:space="preserve">for </w:t>
      </w:r>
      <w:r w:rsidR="00ED3A40">
        <w:rPr>
          <w:sz w:val="20"/>
          <w:szCs w:val="20"/>
        </w:rPr>
        <w:t xml:space="preserve">specialised forensic </w:t>
      </w:r>
      <w:r>
        <w:rPr>
          <w:sz w:val="20"/>
          <w:szCs w:val="20"/>
        </w:rPr>
        <w:t xml:space="preserve">community mental health care </w:t>
      </w:r>
      <w:r w:rsidR="00ED3A40">
        <w:rPr>
          <w:sz w:val="20"/>
          <w:szCs w:val="20"/>
        </w:rPr>
        <w:t xml:space="preserve">establishments and low volume rural and regional LHNs </w:t>
      </w:r>
      <w:r>
        <w:rPr>
          <w:sz w:val="20"/>
          <w:szCs w:val="20"/>
        </w:rPr>
        <w:t xml:space="preserve">as part of a broader review of the block funding criteria. </w:t>
      </w:r>
      <w:r w:rsidR="00ED3A40">
        <w:rPr>
          <w:sz w:val="20"/>
          <w:szCs w:val="20"/>
        </w:rPr>
        <w:t>As this component of</w:t>
      </w:r>
      <w:r w:rsidR="00D53A64">
        <w:rPr>
          <w:sz w:val="20"/>
          <w:szCs w:val="20"/>
        </w:rPr>
        <w:t xml:space="preserve"> the block funding </w:t>
      </w:r>
      <w:r w:rsidR="002C2D6F">
        <w:rPr>
          <w:sz w:val="20"/>
          <w:szCs w:val="20"/>
        </w:rPr>
        <w:t xml:space="preserve">review </w:t>
      </w:r>
      <w:r w:rsidR="00ED3A40">
        <w:rPr>
          <w:sz w:val="20"/>
          <w:szCs w:val="20"/>
        </w:rPr>
        <w:t xml:space="preserve">is ongoing and requires further analysis, the transitional block funding criteria </w:t>
      </w:r>
      <w:r w:rsidR="00D53A64">
        <w:rPr>
          <w:sz w:val="20"/>
          <w:szCs w:val="20"/>
        </w:rPr>
        <w:t xml:space="preserve">will be retained for </w:t>
      </w:r>
      <w:r w:rsidR="00F64B20">
        <w:rPr>
          <w:sz w:val="20"/>
          <w:szCs w:val="20"/>
        </w:rPr>
        <w:t>the NEC Determination 2026–27 (</w:t>
      </w:r>
      <w:r w:rsidR="00D53A64">
        <w:rPr>
          <w:sz w:val="20"/>
          <w:szCs w:val="20"/>
        </w:rPr>
        <w:t>NEC26</w:t>
      </w:r>
      <w:r w:rsidR="00F64B20">
        <w:rPr>
          <w:sz w:val="20"/>
          <w:szCs w:val="20"/>
        </w:rPr>
        <w:t>)</w:t>
      </w:r>
      <w:r w:rsidR="00D53A64">
        <w:rPr>
          <w:sz w:val="20"/>
          <w:szCs w:val="20"/>
        </w:rPr>
        <w:t xml:space="preserve"> and reviewed for </w:t>
      </w:r>
      <w:r w:rsidR="00F64B20">
        <w:rPr>
          <w:sz w:val="20"/>
          <w:szCs w:val="20"/>
        </w:rPr>
        <w:t>the NEC Determination 2027–28 (</w:t>
      </w:r>
      <w:r w:rsidR="00D53A64">
        <w:rPr>
          <w:sz w:val="20"/>
          <w:szCs w:val="20"/>
        </w:rPr>
        <w:t>NEC27</w:t>
      </w:r>
      <w:r w:rsidR="00F64B20">
        <w:rPr>
          <w:sz w:val="20"/>
          <w:szCs w:val="20"/>
        </w:rPr>
        <w:t>)</w:t>
      </w:r>
      <w:r w:rsidR="00D53A64">
        <w:rPr>
          <w:sz w:val="20"/>
          <w:szCs w:val="20"/>
        </w:rPr>
        <w:t>.</w:t>
      </w:r>
    </w:p>
    <w:p w14:paraId="2929573D" w14:textId="44F75B2E" w:rsidR="00ED3A40" w:rsidRPr="00ED3A40" w:rsidRDefault="00190D8D" w:rsidP="00ED3A40">
      <w:pPr>
        <w:rPr>
          <w:sz w:val="20"/>
          <w:szCs w:val="20"/>
        </w:rPr>
      </w:pPr>
      <w:r>
        <w:rPr>
          <w:sz w:val="20"/>
          <w:szCs w:val="20"/>
        </w:rPr>
        <w:t xml:space="preserve">In comparison, </w:t>
      </w:r>
      <w:r w:rsidR="00026419">
        <w:rPr>
          <w:sz w:val="20"/>
          <w:szCs w:val="20"/>
        </w:rPr>
        <w:t xml:space="preserve">the </w:t>
      </w:r>
      <w:r>
        <w:rPr>
          <w:sz w:val="20"/>
          <w:szCs w:val="20"/>
        </w:rPr>
        <w:t xml:space="preserve">transitional composite </w:t>
      </w:r>
      <w:r w:rsidR="00ED3A40">
        <w:rPr>
          <w:sz w:val="20"/>
          <w:szCs w:val="20"/>
        </w:rPr>
        <w:t>ABF</w:t>
      </w:r>
      <w:r>
        <w:rPr>
          <w:sz w:val="20"/>
          <w:szCs w:val="20"/>
        </w:rPr>
        <w:t xml:space="preserve"> and block funding model</w:t>
      </w:r>
      <w:r w:rsidR="00ED3A40">
        <w:rPr>
          <w:sz w:val="20"/>
          <w:szCs w:val="20"/>
        </w:rPr>
        <w:t>, which was</w:t>
      </w:r>
      <w:r>
        <w:rPr>
          <w:sz w:val="20"/>
          <w:szCs w:val="20"/>
        </w:rPr>
        <w:t xml:space="preserve"> implemented to mitigate </w:t>
      </w:r>
      <w:r w:rsidR="00F64B20">
        <w:rPr>
          <w:sz w:val="20"/>
          <w:szCs w:val="20"/>
        </w:rPr>
        <w:t xml:space="preserve">short-term </w:t>
      </w:r>
      <w:r>
        <w:rPr>
          <w:sz w:val="20"/>
          <w:szCs w:val="20"/>
        </w:rPr>
        <w:t>state and territory-level funding risks for NEC</w:t>
      </w:r>
      <w:r w:rsidR="00B235FD">
        <w:rPr>
          <w:sz w:val="20"/>
          <w:szCs w:val="20"/>
        </w:rPr>
        <w:t xml:space="preserve"> Determination </w:t>
      </w:r>
      <w:r>
        <w:rPr>
          <w:sz w:val="20"/>
          <w:szCs w:val="20"/>
        </w:rPr>
        <w:t>2</w:t>
      </w:r>
      <w:r w:rsidR="00B235FD">
        <w:rPr>
          <w:sz w:val="20"/>
          <w:szCs w:val="20"/>
        </w:rPr>
        <w:t>02</w:t>
      </w:r>
      <w:r>
        <w:rPr>
          <w:sz w:val="20"/>
          <w:szCs w:val="20"/>
        </w:rPr>
        <w:t>5</w:t>
      </w:r>
      <w:r w:rsidR="000B6D16">
        <w:rPr>
          <w:sz w:val="20"/>
          <w:szCs w:val="20"/>
        </w:rPr>
        <w:t>–</w:t>
      </w:r>
      <w:r w:rsidR="00940AAA">
        <w:rPr>
          <w:sz w:val="20"/>
          <w:szCs w:val="20"/>
        </w:rPr>
        <w:t>26</w:t>
      </w:r>
      <w:r>
        <w:rPr>
          <w:sz w:val="20"/>
          <w:szCs w:val="20"/>
        </w:rPr>
        <w:t xml:space="preserve">, was only </w:t>
      </w:r>
      <w:r w:rsidR="00026419">
        <w:rPr>
          <w:sz w:val="20"/>
          <w:szCs w:val="20"/>
        </w:rPr>
        <w:t>designed</w:t>
      </w:r>
      <w:r>
        <w:rPr>
          <w:sz w:val="20"/>
          <w:szCs w:val="20"/>
        </w:rPr>
        <w:t xml:space="preserve"> for a one-year application. </w:t>
      </w:r>
      <w:r w:rsidR="00ED3A40">
        <w:rPr>
          <w:sz w:val="20"/>
          <w:szCs w:val="20"/>
        </w:rPr>
        <w:t>Analysis of funding estimates for 2025–26 indicates that funding risks are concentrated in only a few jurisdictions, meaning a national approach</w:t>
      </w:r>
      <w:r w:rsidR="0096240C">
        <w:rPr>
          <w:sz w:val="20"/>
          <w:szCs w:val="20"/>
        </w:rPr>
        <w:t>,</w:t>
      </w:r>
      <w:r w:rsidR="00ED3A40">
        <w:rPr>
          <w:sz w:val="20"/>
          <w:szCs w:val="20"/>
        </w:rPr>
        <w:t xml:space="preserve"> such as extension of the composite model is unlikely to be appropriate. Not extending this model </w:t>
      </w:r>
      <w:r w:rsidR="00ED3A40" w:rsidRPr="00ED3A40">
        <w:rPr>
          <w:sz w:val="20"/>
          <w:szCs w:val="20"/>
        </w:rPr>
        <w:t xml:space="preserve">aligns with the intended transition plan communicated to jurisdictions and reflects stakeholder feedback supporting a fair and transparent approach. It ensures consistency and equity for </w:t>
      </w:r>
      <w:r w:rsidR="00520D23">
        <w:rPr>
          <w:sz w:val="20"/>
          <w:szCs w:val="20"/>
        </w:rPr>
        <w:t>states and territories</w:t>
      </w:r>
      <w:r w:rsidR="00520D23" w:rsidRPr="00ED3A40">
        <w:rPr>
          <w:sz w:val="20"/>
          <w:szCs w:val="20"/>
        </w:rPr>
        <w:t xml:space="preserve"> </w:t>
      </w:r>
      <w:r w:rsidR="00ED3A40" w:rsidRPr="00ED3A40">
        <w:rPr>
          <w:sz w:val="20"/>
          <w:szCs w:val="20"/>
        </w:rPr>
        <w:t xml:space="preserve">that have </w:t>
      </w:r>
      <w:r w:rsidR="00ED3A40">
        <w:rPr>
          <w:sz w:val="20"/>
          <w:szCs w:val="20"/>
        </w:rPr>
        <w:t xml:space="preserve">completed the </w:t>
      </w:r>
      <w:r w:rsidR="00ED3A40" w:rsidRPr="00ED3A40">
        <w:rPr>
          <w:sz w:val="20"/>
          <w:szCs w:val="20"/>
        </w:rPr>
        <w:t xml:space="preserve">transition to ABF </w:t>
      </w:r>
      <w:r w:rsidR="00230A9A">
        <w:rPr>
          <w:sz w:val="20"/>
          <w:szCs w:val="20"/>
        </w:rPr>
        <w:t>from</w:t>
      </w:r>
      <w:r w:rsidR="00230A9A" w:rsidRPr="00ED3A40">
        <w:rPr>
          <w:sz w:val="20"/>
          <w:szCs w:val="20"/>
        </w:rPr>
        <w:t xml:space="preserve"> </w:t>
      </w:r>
      <w:r w:rsidR="00ED3A40" w:rsidRPr="00ED3A40">
        <w:rPr>
          <w:sz w:val="20"/>
          <w:szCs w:val="20"/>
        </w:rPr>
        <w:t>block funding.</w:t>
      </w:r>
    </w:p>
    <w:p w14:paraId="37851439" w14:textId="7D050AD8" w:rsidR="00114298" w:rsidRDefault="00ED3A40" w:rsidP="00D03050">
      <w:pPr>
        <w:rPr>
          <w:sz w:val="20"/>
          <w:szCs w:val="20"/>
        </w:rPr>
      </w:pPr>
      <w:r>
        <w:rPr>
          <w:sz w:val="20"/>
          <w:szCs w:val="20"/>
        </w:rPr>
        <w:t>Furthermore, e</w:t>
      </w:r>
      <w:r w:rsidRPr="00ED3A40">
        <w:rPr>
          <w:sz w:val="20"/>
          <w:szCs w:val="20"/>
        </w:rPr>
        <w:t xml:space="preserve">xtending the model could have unintended impacts within the broader NHRA growth funding model defined in the </w:t>
      </w:r>
      <w:r w:rsidR="00D81937">
        <w:rPr>
          <w:sz w:val="20"/>
          <w:szCs w:val="20"/>
        </w:rPr>
        <w:t>a</w:t>
      </w:r>
      <w:r w:rsidRPr="00ED3A40">
        <w:rPr>
          <w:sz w:val="20"/>
          <w:szCs w:val="20"/>
        </w:rPr>
        <w:t xml:space="preserve">ddendum. </w:t>
      </w:r>
      <w:r>
        <w:rPr>
          <w:sz w:val="20"/>
          <w:szCs w:val="20"/>
        </w:rPr>
        <w:t>P</w:t>
      </w:r>
      <w:r w:rsidRPr="00ED3A40">
        <w:rPr>
          <w:sz w:val="20"/>
          <w:szCs w:val="20"/>
        </w:rPr>
        <w:t>rovid</w:t>
      </w:r>
      <w:r w:rsidR="00026419">
        <w:rPr>
          <w:sz w:val="20"/>
          <w:szCs w:val="20"/>
        </w:rPr>
        <w:t>ing</w:t>
      </w:r>
      <w:r w:rsidRPr="00ED3A40">
        <w:rPr>
          <w:sz w:val="20"/>
          <w:szCs w:val="20"/>
        </w:rPr>
        <w:t xml:space="preserve"> states and territories a sixth year to resolve data capture issues</w:t>
      </w:r>
      <w:r>
        <w:rPr>
          <w:sz w:val="20"/>
          <w:szCs w:val="20"/>
        </w:rPr>
        <w:t xml:space="preserve"> also</w:t>
      </w:r>
      <w:r w:rsidRPr="00ED3A40">
        <w:rPr>
          <w:sz w:val="20"/>
          <w:szCs w:val="20"/>
        </w:rPr>
        <w:t xml:space="preserve"> risks embedding long-term distortions in the community mental health care pricing model.</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0E3EE2" w:rsidRPr="00F57BE6" w14:paraId="49FDFD60" w14:textId="77777777" w:rsidTr="0019067A">
        <w:tc>
          <w:tcPr>
            <w:tcW w:w="851" w:type="dxa"/>
            <w:shd w:val="clear" w:color="auto" w:fill="B5FFE0" w:themeFill="accent4" w:themeFillTint="33"/>
          </w:tcPr>
          <w:p w14:paraId="30600CDF" w14:textId="77777777" w:rsidR="000E3EE2" w:rsidRPr="004953FE" w:rsidRDefault="000E3EE2" w:rsidP="0019067A">
            <w:pPr>
              <w:jc w:val="center"/>
              <w:rPr>
                <w:sz w:val="20"/>
                <w:szCs w:val="20"/>
              </w:rPr>
            </w:pPr>
            <w:r w:rsidRPr="004953FE">
              <w:rPr>
                <w:noProof/>
                <w:sz w:val="20"/>
                <w:szCs w:val="20"/>
              </w:rPr>
              <w:drawing>
                <wp:inline distT="0" distB="0" distL="0" distR="0" wp14:anchorId="2FEE3886" wp14:editId="60FB2EB1">
                  <wp:extent cx="266700" cy="266700"/>
                  <wp:effectExtent l="0" t="0" r="0" b="0"/>
                  <wp:docPr id="1114866768" name="Picture 1114866768"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6FDAA425" w14:textId="77777777" w:rsidR="000E3EE2" w:rsidRPr="004953FE" w:rsidRDefault="000E3EE2" w:rsidP="0019067A">
            <w:pPr>
              <w:pStyle w:val="Heading4"/>
              <w:rPr>
                <w:sz w:val="20"/>
                <w:szCs w:val="20"/>
              </w:rPr>
            </w:pPr>
            <w:r w:rsidRPr="004953FE">
              <w:rPr>
                <w:sz w:val="20"/>
                <w:szCs w:val="20"/>
              </w:rPr>
              <w:t>IHACPA’s decision</w:t>
            </w:r>
          </w:p>
          <w:p w14:paraId="31D8172E" w14:textId="7D86B051" w:rsidR="000E3EE2" w:rsidRPr="000E3EE2" w:rsidRDefault="000E3EE2" w:rsidP="008572F8">
            <w:pPr>
              <w:spacing w:after="120"/>
              <w:rPr>
                <w:sz w:val="20"/>
                <w:szCs w:val="20"/>
              </w:rPr>
            </w:pPr>
            <w:r>
              <w:rPr>
                <w:sz w:val="20"/>
                <w:szCs w:val="20"/>
              </w:rPr>
              <w:t>For NEP26, IHACPA will continue pricing community mental health care using AMHCC Version 1.1.</w:t>
            </w:r>
            <w:r w:rsidR="00F166E1">
              <w:rPr>
                <w:sz w:val="20"/>
                <w:szCs w:val="20"/>
              </w:rPr>
              <w:t xml:space="preserve"> </w:t>
            </w:r>
            <w:r w:rsidR="008031DE">
              <w:rPr>
                <w:sz w:val="20"/>
                <w:szCs w:val="20"/>
              </w:rPr>
              <w:t xml:space="preserve">IHACPA </w:t>
            </w:r>
            <w:r w:rsidR="00D53A64">
              <w:rPr>
                <w:sz w:val="20"/>
                <w:szCs w:val="20"/>
              </w:rPr>
              <w:t xml:space="preserve">does not intend to </w:t>
            </w:r>
            <w:r w:rsidR="008031DE">
              <w:rPr>
                <w:sz w:val="20"/>
                <w:szCs w:val="20"/>
              </w:rPr>
              <w:t xml:space="preserve">extend the composite </w:t>
            </w:r>
            <w:r w:rsidR="00ED3A40">
              <w:rPr>
                <w:sz w:val="20"/>
                <w:szCs w:val="20"/>
              </w:rPr>
              <w:t xml:space="preserve">ABF and </w:t>
            </w:r>
            <w:r w:rsidR="008031DE">
              <w:rPr>
                <w:sz w:val="20"/>
                <w:szCs w:val="20"/>
              </w:rPr>
              <w:t>block funding model for community</w:t>
            </w:r>
            <w:r w:rsidR="00E239D4">
              <w:rPr>
                <w:sz w:val="20"/>
                <w:szCs w:val="20"/>
              </w:rPr>
              <w:t xml:space="preserve"> mental</w:t>
            </w:r>
            <w:r w:rsidR="008031DE">
              <w:rPr>
                <w:sz w:val="20"/>
                <w:szCs w:val="20"/>
              </w:rPr>
              <w:t xml:space="preserve"> health </w:t>
            </w:r>
            <w:r w:rsidR="00ED3A40">
              <w:rPr>
                <w:sz w:val="20"/>
                <w:szCs w:val="20"/>
              </w:rPr>
              <w:t xml:space="preserve">care </w:t>
            </w:r>
            <w:r w:rsidR="008031DE">
              <w:rPr>
                <w:sz w:val="20"/>
                <w:szCs w:val="20"/>
              </w:rPr>
              <w:t>services for</w:t>
            </w:r>
            <w:r w:rsidR="00B16DF8">
              <w:rPr>
                <w:sz w:val="20"/>
                <w:szCs w:val="20"/>
              </w:rPr>
              <w:t xml:space="preserve"> </w:t>
            </w:r>
            <w:r w:rsidR="00ED3A40">
              <w:rPr>
                <w:sz w:val="20"/>
                <w:szCs w:val="20"/>
              </w:rPr>
              <w:t>NEC26</w:t>
            </w:r>
            <w:r w:rsidR="0098123B">
              <w:rPr>
                <w:sz w:val="20"/>
                <w:szCs w:val="20"/>
              </w:rPr>
              <w:t xml:space="preserve">, </w:t>
            </w:r>
            <w:r w:rsidR="00BB3829">
              <w:rPr>
                <w:sz w:val="20"/>
                <w:szCs w:val="20"/>
              </w:rPr>
              <w:t xml:space="preserve">which is </w:t>
            </w:r>
            <w:r w:rsidR="0098123B">
              <w:rPr>
                <w:sz w:val="20"/>
                <w:szCs w:val="20"/>
              </w:rPr>
              <w:t>consistent with its intended one-year application</w:t>
            </w:r>
            <w:r w:rsidR="008031DE">
              <w:rPr>
                <w:sz w:val="20"/>
                <w:szCs w:val="20"/>
              </w:rPr>
              <w:t>.</w:t>
            </w:r>
            <w:r w:rsidR="00F166E1" w:rsidRPr="009D1FD5">
              <w:rPr>
                <w:sz w:val="20"/>
                <w:szCs w:val="20"/>
              </w:rPr>
              <w:t xml:space="preserve"> </w:t>
            </w:r>
            <w:r w:rsidR="00481FAA">
              <w:rPr>
                <w:sz w:val="20"/>
                <w:szCs w:val="20"/>
              </w:rPr>
              <w:t xml:space="preserve">However, </w:t>
            </w:r>
            <w:r w:rsidR="00D53A64">
              <w:rPr>
                <w:sz w:val="20"/>
                <w:szCs w:val="20"/>
              </w:rPr>
              <w:t xml:space="preserve">IHACPA will maintain the transitional block funding criteria for NEC26, meaning specialised forensic establishments and LHNs that continue to meet the criteria will be block funded </w:t>
            </w:r>
            <w:r w:rsidR="00041243">
              <w:rPr>
                <w:sz w:val="20"/>
                <w:szCs w:val="20"/>
              </w:rPr>
              <w:t>f</w:t>
            </w:r>
            <w:r w:rsidR="00D53A64">
              <w:rPr>
                <w:sz w:val="20"/>
                <w:szCs w:val="20"/>
              </w:rPr>
              <w:t>or NEC26. The criteria fo</w:t>
            </w:r>
            <w:r w:rsidR="00F90330">
              <w:rPr>
                <w:sz w:val="20"/>
                <w:szCs w:val="20"/>
              </w:rPr>
              <w:t>r</w:t>
            </w:r>
            <w:r w:rsidR="00D53A64">
              <w:rPr>
                <w:sz w:val="20"/>
                <w:szCs w:val="20"/>
              </w:rPr>
              <w:t xml:space="preserve"> both will be reviewed for</w:t>
            </w:r>
            <w:r w:rsidR="00B16DF8">
              <w:rPr>
                <w:sz w:val="20"/>
                <w:szCs w:val="20"/>
              </w:rPr>
              <w:t xml:space="preserve"> </w:t>
            </w:r>
            <w:r w:rsidR="00D53A64">
              <w:rPr>
                <w:sz w:val="20"/>
                <w:szCs w:val="20"/>
              </w:rPr>
              <w:t>NEC27.</w:t>
            </w:r>
          </w:p>
        </w:tc>
      </w:tr>
    </w:tbl>
    <w:p w14:paraId="647CCE89" w14:textId="6071DEC9" w:rsidR="009B30FE" w:rsidRPr="001F27B2" w:rsidRDefault="009B30FE" w:rsidP="00F869EB">
      <w:pPr>
        <w:pStyle w:val="Heading2"/>
        <w:spacing w:before="240"/>
      </w:pPr>
      <w:r w:rsidRPr="001F27B2">
        <w:t>4.</w:t>
      </w:r>
      <w:r w:rsidR="00DA5713">
        <w:t>5</w:t>
      </w:r>
      <w:r w:rsidRPr="001F27B2">
        <w:t xml:space="preserve"> </w:t>
      </w:r>
      <w:r>
        <w:t>Accounting for private patients in public hospitals</w:t>
      </w:r>
    </w:p>
    <w:p w14:paraId="2D3FA588" w14:textId="0B7CA528" w:rsidR="00161161" w:rsidRPr="00161161" w:rsidRDefault="00161161" w:rsidP="00161161">
      <w:pPr>
        <w:rPr>
          <w:sz w:val="20"/>
          <w:szCs w:val="20"/>
        </w:rPr>
      </w:pPr>
      <w:r w:rsidRPr="00161161">
        <w:rPr>
          <w:sz w:val="20"/>
          <w:szCs w:val="20"/>
        </w:rPr>
        <w:t>The addendum specifies that IHACPA will adjust the price for privately insured patients in public hospitals to the extent required to achieve overall payment parity between public and private patients in the relevant state or territory, taking into account all hospital revenues.</w:t>
      </w:r>
    </w:p>
    <w:p w14:paraId="299E2293" w14:textId="065AC892" w:rsidR="005C146F" w:rsidRDefault="00161161" w:rsidP="00161161">
      <w:pPr>
        <w:rPr>
          <w:sz w:val="20"/>
          <w:szCs w:val="20"/>
        </w:rPr>
      </w:pPr>
      <w:r w:rsidRPr="00161161">
        <w:rPr>
          <w:sz w:val="20"/>
          <w:szCs w:val="20"/>
        </w:rPr>
        <w:t xml:space="preserve">In addressing clauses A13, A43 and A44 of the addendum, IHACPA developed the following definition of financial neutrality and payment parity in terms of revenue per </w:t>
      </w:r>
      <w:r w:rsidR="001815BD">
        <w:rPr>
          <w:sz w:val="20"/>
          <w:szCs w:val="20"/>
        </w:rPr>
        <w:t>nationally weighted activity unit (</w:t>
      </w:r>
      <w:r w:rsidRPr="00161161">
        <w:rPr>
          <w:sz w:val="20"/>
          <w:szCs w:val="20"/>
        </w:rPr>
        <w:t>NWAU</w:t>
      </w:r>
      <w:r w:rsidR="001815BD">
        <w:rPr>
          <w:sz w:val="20"/>
          <w:szCs w:val="20"/>
        </w:rPr>
        <w:t>)</w:t>
      </w:r>
      <w:r w:rsidRPr="00161161">
        <w:rPr>
          <w:sz w:val="20"/>
          <w:szCs w:val="20"/>
        </w:rPr>
        <w:t xml:space="preserve"> for the given year, excluding private patient adjustments.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DA1562" w:rsidRPr="007C7991" w14:paraId="710A8356" w14:textId="77777777" w:rsidTr="00BE53FE">
        <w:tc>
          <w:tcPr>
            <w:tcW w:w="851" w:type="dxa"/>
            <w:shd w:val="clear" w:color="auto" w:fill="C1DAF8" w:themeFill="accent2" w:themeFillTint="33"/>
          </w:tcPr>
          <w:p w14:paraId="1C9D7F65" w14:textId="77777777" w:rsidR="00DA1562" w:rsidRPr="007C7991" w:rsidRDefault="00DA1562" w:rsidP="00BE53FE">
            <w:pPr>
              <w:jc w:val="center"/>
              <w:rPr>
                <w:sz w:val="20"/>
                <w:szCs w:val="20"/>
              </w:rPr>
            </w:pPr>
            <w:r w:rsidRPr="007C7991">
              <w:rPr>
                <w:noProof/>
                <w:sz w:val="20"/>
                <w:szCs w:val="20"/>
              </w:rPr>
              <w:drawing>
                <wp:inline distT="0" distB="0" distL="0" distR="0" wp14:anchorId="3B5D72BA" wp14:editId="0B072669">
                  <wp:extent cx="266700" cy="2667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13925D1B" w14:textId="6E1F1DF2" w:rsidR="00DA1562" w:rsidRPr="00AD5E65" w:rsidRDefault="00DA1562" w:rsidP="008572F8">
            <w:pPr>
              <w:spacing w:before="120" w:after="120"/>
              <w:rPr>
                <w:sz w:val="20"/>
                <w:szCs w:val="20"/>
              </w:rPr>
            </w:pPr>
            <w:r w:rsidRPr="008F5DB0">
              <w:rPr>
                <w:sz w:val="20"/>
                <w:szCs w:val="20"/>
              </w:rPr>
              <w:t>The sum of revenue a LHN receives for public patient NWAU (Commonwealth and state or territory ABF payments) should be equal to payments made for a LHN service for private patient NWAU (Commonwealth and state or territory ABF payments, insurer payments and Medicare Benefit Schedule payments).</w:t>
            </w:r>
          </w:p>
        </w:tc>
      </w:tr>
    </w:tbl>
    <w:p w14:paraId="1380DE56" w14:textId="47D8A4BB" w:rsidR="00AF0B80" w:rsidRDefault="00D268F7" w:rsidP="00AF0B80">
      <w:pPr>
        <w:rPr>
          <w:sz w:val="20"/>
          <w:szCs w:val="20"/>
        </w:rPr>
      </w:pPr>
      <w:r>
        <w:rPr>
          <w:sz w:val="20"/>
          <w:szCs w:val="20"/>
        </w:rPr>
        <w:lastRenderedPageBreak/>
        <w:br/>
      </w:r>
      <w:r w:rsidR="004C05A3" w:rsidRPr="004C05A3">
        <w:rPr>
          <w:sz w:val="20"/>
          <w:szCs w:val="20"/>
        </w:rPr>
        <w:t>IHACPA determines a private patient adjustment methodology that ensures financial neutrality and payment parity with respect to all patients, regardless of whether patients elect to be private or public.</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011889" w:rsidRPr="0053204D" w14:paraId="3F854330" w14:textId="77777777" w:rsidTr="0019067A">
        <w:tc>
          <w:tcPr>
            <w:tcW w:w="851" w:type="dxa"/>
            <w:shd w:val="clear" w:color="auto" w:fill="B5FFE0" w:themeFill="accent4" w:themeFillTint="33"/>
          </w:tcPr>
          <w:p w14:paraId="66C7DF74" w14:textId="77777777" w:rsidR="00011889" w:rsidRPr="0053204D" w:rsidRDefault="00011889" w:rsidP="0019067A">
            <w:pPr>
              <w:jc w:val="center"/>
              <w:rPr>
                <w:sz w:val="18"/>
                <w:szCs w:val="18"/>
              </w:rPr>
            </w:pPr>
            <w:r w:rsidRPr="0053204D">
              <w:rPr>
                <w:noProof/>
                <w:sz w:val="18"/>
                <w:szCs w:val="18"/>
              </w:rPr>
              <w:drawing>
                <wp:inline distT="0" distB="0" distL="0" distR="0" wp14:anchorId="766F55E9" wp14:editId="06C05C05">
                  <wp:extent cx="266700" cy="266700"/>
                  <wp:effectExtent l="0" t="0" r="0" b="0"/>
                  <wp:docPr id="44" name="Picture 44"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1CD46532" w14:textId="77777777" w:rsidR="00011889" w:rsidRPr="00011889" w:rsidRDefault="00011889" w:rsidP="0019067A">
            <w:pPr>
              <w:pStyle w:val="Heading4"/>
              <w:rPr>
                <w:sz w:val="20"/>
                <w:szCs w:val="20"/>
              </w:rPr>
            </w:pPr>
            <w:r w:rsidRPr="00011889">
              <w:rPr>
                <w:sz w:val="20"/>
                <w:szCs w:val="20"/>
              </w:rPr>
              <w:t>IHACPA’s decision</w:t>
            </w:r>
          </w:p>
          <w:p w14:paraId="1B3AF2E7" w14:textId="1BF09254" w:rsidR="00011889" w:rsidRPr="0053204D" w:rsidRDefault="00011889" w:rsidP="008572F8">
            <w:pPr>
              <w:keepLines/>
              <w:spacing w:after="120"/>
              <w:rPr>
                <w:sz w:val="18"/>
                <w:szCs w:val="18"/>
              </w:rPr>
            </w:pPr>
            <w:r w:rsidRPr="00011889">
              <w:rPr>
                <w:sz w:val="20"/>
                <w:szCs w:val="20"/>
              </w:rPr>
              <w:t>For NEP26, IHACPA will continue to implement the private patient neutrality methodology as required by clause A44 of the addendum. IHACPA will review its approach to private patient neutrality</w:t>
            </w:r>
            <w:r w:rsidR="00BE53FE">
              <w:rPr>
                <w:sz w:val="20"/>
                <w:szCs w:val="20"/>
              </w:rPr>
              <w:t xml:space="preserve"> </w:t>
            </w:r>
            <w:r w:rsidRPr="00011889">
              <w:rPr>
                <w:sz w:val="20"/>
                <w:szCs w:val="20"/>
              </w:rPr>
              <w:t>if there are changes to relevant clauses in the ne</w:t>
            </w:r>
            <w:r w:rsidR="009E2CDE">
              <w:rPr>
                <w:sz w:val="20"/>
                <w:szCs w:val="20"/>
              </w:rPr>
              <w:t>xt</w:t>
            </w:r>
            <w:r w:rsidRPr="00011889">
              <w:rPr>
                <w:sz w:val="20"/>
                <w:szCs w:val="20"/>
              </w:rPr>
              <w:t xml:space="preserve"> addendum</w:t>
            </w:r>
            <w:r w:rsidR="009E2CDE">
              <w:rPr>
                <w:sz w:val="20"/>
                <w:szCs w:val="20"/>
              </w:rPr>
              <w:t xml:space="preserve"> to the NHRA</w:t>
            </w:r>
            <w:r w:rsidRPr="00011889">
              <w:rPr>
                <w:sz w:val="20"/>
                <w:szCs w:val="20"/>
              </w:rPr>
              <w:t>.</w:t>
            </w:r>
          </w:p>
        </w:tc>
      </w:tr>
    </w:tbl>
    <w:p w14:paraId="7E31AEA4" w14:textId="5E84C26E" w:rsidR="008E5DB0" w:rsidRPr="00C900A5" w:rsidRDefault="00EE4A44" w:rsidP="008572F8">
      <w:pPr>
        <w:pStyle w:val="Heading3"/>
        <w:spacing w:before="240"/>
        <w:rPr>
          <w:b w:val="0"/>
          <w:iCs/>
          <w:lang w:val="en-PH"/>
        </w:rPr>
      </w:pPr>
      <w:r w:rsidRPr="00C900A5">
        <w:rPr>
          <w:iCs/>
          <w:color w:val="15272F" w:themeColor="text1"/>
          <w:sz w:val="22"/>
          <w:szCs w:val="22"/>
          <w:lang w:val="en-PH"/>
        </w:rPr>
        <w:t>Phasing out the private patient correction factor</w:t>
      </w:r>
    </w:p>
    <w:p w14:paraId="4743B902" w14:textId="75B5797E" w:rsidR="00EE4A44" w:rsidRDefault="00615829" w:rsidP="00823A1D">
      <w:pPr>
        <w:rPr>
          <w:sz w:val="20"/>
          <w:szCs w:val="20"/>
        </w:rPr>
      </w:pPr>
      <w:r w:rsidRPr="00615829">
        <w:rPr>
          <w:sz w:val="20"/>
          <w:szCs w:val="20"/>
        </w:rPr>
        <w:t>The reporting of private patient medical expenses has been inconsistent in the National Hospital Cost Data Collection (NHCDC), with some states not reporting private patient medical costs within their NHCDC submission. This led to the introduction of the private patient correction factor as an interim solution for missing private patient costs in the NHCDC</w:t>
      </w:r>
      <w:r w:rsidR="004D35FE">
        <w:rPr>
          <w:sz w:val="20"/>
          <w:szCs w:val="20"/>
        </w:rPr>
        <w:t xml:space="preserve"> </w:t>
      </w:r>
      <w:r w:rsidR="00253584">
        <w:rPr>
          <w:sz w:val="20"/>
          <w:szCs w:val="20"/>
        </w:rPr>
        <w:t>to</w:t>
      </w:r>
      <w:r w:rsidR="004D35FE">
        <w:rPr>
          <w:sz w:val="20"/>
          <w:szCs w:val="20"/>
        </w:rPr>
        <w:t xml:space="preserve"> prevent potential under-pricing</w:t>
      </w:r>
      <w:r w:rsidRPr="00615829">
        <w:rPr>
          <w:sz w:val="20"/>
          <w:szCs w:val="20"/>
        </w:rPr>
        <w:t>.</w:t>
      </w:r>
    </w:p>
    <w:p w14:paraId="757F703C" w14:textId="03B42C3D" w:rsidR="002D359C" w:rsidRDefault="00A41294" w:rsidP="00823A1D">
      <w:pPr>
        <w:rPr>
          <w:sz w:val="20"/>
          <w:szCs w:val="20"/>
        </w:rPr>
      </w:pPr>
      <w:r>
        <w:rPr>
          <w:sz w:val="20"/>
          <w:szCs w:val="20"/>
        </w:rPr>
        <w:t xml:space="preserve">IHACPA notes the private patient correction factor will be phased out once all </w:t>
      </w:r>
      <w:r w:rsidR="005476B8">
        <w:rPr>
          <w:sz w:val="20"/>
          <w:szCs w:val="20"/>
        </w:rPr>
        <w:t>states and territories</w:t>
      </w:r>
      <w:r>
        <w:rPr>
          <w:sz w:val="20"/>
          <w:szCs w:val="20"/>
        </w:rPr>
        <w:t xml:space="preserve"> have advised that their</w:t>
      </w:r>
      <w:r w:rsidR="00453FA2">
        <w:rPr>
          <w:sz w:val="20"/>
          <w:szCs w:val="20"/>
        </w:rPr>
        <w:t xml:space="preserve"> </w:t>
      </w:r>
      <w:r w:rsidR="00622828" w:rsidRPr="00622828">
        <w:rPr>
          <w:sz w:val="20"/>
          <w:szCs w:val="20"/>
        </w:rPr>
        <w:t xml:space="preserve">NHCDC cost reporting is complete in respect </w:t>
      </w:r>
      <w:r w:rsidR="00530233">
        <w:rPr>
          <w:sz w:val="20"/>
          <w:szCs w:val="20"/>
        </w:rPr>
        <w:t xml:space="preserve">to </w:t>
      </w:r>
      <w:r w:rsidR="00622828" w:rsidRPr="00622828">
        <w:rPr>
          <w:sz w:val="20"/>
          <w:szCs w:val="20"/>
        </w:rPr>
        <w:t>private patient costs</w:t>
      </w:r>
      <w:r w:rsidR="00363CD0">
        <w:rPr>
          <w:sz w:val="20"/>
          <w:szCs w:val="20"/>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72273B" w:rsidRPr="0053204D" w14:paraId="162CF94C" w14:textId="77777777" w:rsidTr="0019067A">
        <w:tc>
          <w:tcPr>
            <w:tcW w:w="851" w:type="dxa"/>
            <w:shd w:val="clear" w:color="auto" w:fill="B5FFE0" w:themeFill="accent4" w:themeFillTint="33"/>
          </w:tcPr>
          <w:p w14:paraId="6986D698" w14:textId="77777777" w:rsidR="0072273B" w:rsidRPr="0053204D" w:rsidRDefault="0072273B" w:rsidP="0019067A">
            <w:pPr>
              <w:jc w:val="center"/>
              <w:rPr>
                <w:sz w:val="18"/>
                <w:szCs w:val="18"/>
              </w:rPr>
            </w:pPr>
            <w:r w:rsidRPr="0053204D">
              <w:rPr>
                <w:noProof/>
                <w:sz w:val="18"/>
                <w:szCs w:val="18"/>
              </w:rPr>
              <w:drawing>
                <wp:inline distT="0" distB="0" distL="0" distR="0" wp14:anchorId="56648591" wp14:editId="74BC85AF">
                  <wp:extent cx="266700" cy="266700"/>
                  <wp:effectExtent l="0" t="0" r="0" b="0"/>
                  <wp:docPr id="43" name="Picture 43"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74E3850B" w14:textId="77777777" w:rsidR="0072273B" w:rsidRPr="0072273B" w:rsidRDefault="0072273B" w:rsidP="0019067A">
            <w:pPr>
              <w:pStyle w:val="Heading4"/>
              <w:rPr>
                <w:sz w:val="20"/>
                <w:szCs w:val="20"/>
              </w:rPr>
            </w:pPr>
            <w:r w:rsidRPr="0072273B">
              <w:rPr>
                <w:sz w:val="20"/>
                <w:szCs w:val="20"/>
              </w:rPr>
              <w:t>IHACPA’s decision</w:t>
            </w:r>
          </w:p>
          <w:p w14:paraId="5773F28D" w14:textId="5A060763" w:rsidR="0072273B" w:rsidRPr="0053204D" w:rsidRDefault="0072273B" w:rsidP="008572F8">
            <w:pPr>
              <w:keepLines/>
              <w:spacing w:after="120"/>
              <w:rPr>
                <w:sz w:val="18"/>
                <w:szCs w:val="18"/>
              </w:rPr>
            </w:pPr>
            <w:r w:rsidRPr="0072273B">
              <w:rPr>
                <w:sz w:val="20"/>
                <w:szCs w:val="20"/>
              </w:rPr>
              <w:t>For NEP2</w:t>
            </w:r>
            <w:r>
              <w:rPr>
                <w:sz w:val="20"/>
                <w:szCs w:val="20"/>
              </w:rPr>
              <w:t>6</w:t>
            </w:r>
            <w:r w:rsidRPr="0072273B">
              <w:rPr>
                <w:sz w:val="20"/>
                <w:szCs w:val="20"/>
              </w:rPr>
              <w:t>, IHACPA will continue to evaluate the private patient correction factor and remove it where appropriate.</w:t>
            </w:r>
          </w:p>
        </w:tc>
      </w:tr>
    </w:tbl>
    <w:p w14:paraId="2EDC89DE" w14:textId="5D34726C" w:rsidR="00666D57" w:rsidRPr="001F27B2" w:rsidRDefault="00666D57" w:rsidP="00F869EB">
      <w:pPr>
        <w:pStyle w:val="Heading2"/>
        <w:spacing w:before="240"/>
      </w:pPr>
      <w:r w:rsidRPr="001F27B2">
        <w:t>4.</w:t>
      </w:r>
      <w:r w:rsidR="00DA5713">
        <w:t>6</w:t>
      </w:r>
      <w:r w:rsidRPr="001F27B2">
        <w:t xml:space="preserve"> </w:t>
      </w:r>
      <w:r>
        <w:t>Harmonising price weights across settings</w:t>
      </w:r>
    </w:p>
    <w:p w14:paraId="09B35732" w14:textId="3ACCC387" w:rsidR="00374EA9" w:rsidRPr="00261D25" w:rsidRDefault="00190D8D" w:rsidP="008572F8">
      <w:pPr>
        <w:rPr>
          <w:sz w:val="20"/>
          <w:szCs w:val="20"/>
        </w:rPr>
      </w:pPr>
      <w:r w:rsidRPr="00DD7908">
        <w:rPr>
          <w:sz w:val="20"/>
          <w:szCs w:val="20"/>
        </w:rPr>
        <w:t xml:space="preserve">IHACPA has </w:t>
      </w:r>
      <w:r>
        <w:rPr>
          <w:sz w:val="20"/>
          <w:szCs w:val="20"/>
        </w:rPr>
        <w:t xml:space="preserve">continued to </w:t>
      </w:r>
      <w:r w:rsidRPr="00DD7908">
        <w:rPr>
          <w:sz w:val="20"/>
          <w:szCs w:val="20"/>
        </w:rPr>
        <w:t>explore price harmonisation for dialysis and chemotherapy in conjunction with its advisory committees</w:t>
      </w:r>
      <w:r>
        <w:rPr>
          <w:sz w:val="20"/>
          <w:szCs w:val="20"/>
        </w:rPr>
        <w:t xml:space="preserve"> since 2020, and </w:t>
      </w:r>
      <w:r w:rsidR="00374EA9">
        <w:rPr>
          <w:sz w:val="20"/>
          <w:szCs w:val="20"/>
        </w:rPr>
        <w:t>is reviewing the harmonisation of the following</w:t>
      </w:r>
      <w:r w:rsidR="00374EA9" w:rsidRPr="00261D25">
        <w:rPr>
          <w:sz w:val="20"/>
          <w:szCs w:val="20"/>
        </w:rPr>
        <w:t xml:space="preserve"> Tier 2 </w:t>
      </w:r>
      <w:r w:rsidR="00374EA9">
        <w:rPr>
          <w:sz w:val="20"/>
          <w:szCs w:val="20"/>
        </w:rPr>
        <w:t>n</w:t>
      </w:r>
      <w:r w:rsidR="00374EA9" w:rsidRPr="00261D25">
        <w:rPr>
          <w:sz w:val="20"/>
          <w:szCs w:val="20"/>
        </w:rPr>
        <w:t>on-admitted interventions classes</w:t>
      </w:r>
      <w:r w:rsidR="00374EA9">
        <w:rPr>
          <w:sz w:val="20"/>
          <w:szCs w:val="20"/>
        </w:rPr>
        <w:t>, which</w:t>
      </w:r>
      <w:r w:rsidR="00374EA9" w:rsidRPr="00261D25">
        <w:rPr>
          <w:sz w:val="20"/>
          <w:szCs w:val="20"/>
        </w:rPr>
        <w:t xml:space="preserve"> are currently harmonised </w:t>
      </w:r>
      <w:r w:rsidR="00374EA9">
        <w:rPr>
          <w:sz w:val="20"/>
          <w:szCs w:val="20"/>
        </w:rPr>
        <w:t>against cost data from</w:t>
      </w:r>
      <w:r w:rsidR="00374EA9" w:rsidRPr="00261D25">
        <w:rPr>
          <w:sz w:val="20"/>
          <w:szCs w:val="20"/>
        </w:rPr>
        <w:t xml:space="preserve"> equivalent same-day admitted acute procedures:</w:t>
      </w:r>
    </w:p>
    <w:p w14:paraId="4024C838" w14:textId="77777777" w:rsidR="00374EA9" w:rsidRPr="00261D25" w:rsidRDefault="00374EA9" w:rsidP="008572F8">
      <w:pPr>
        <w:pStyle w:val="ListParagraph"/>
        <w:numPr>
          <w:ilvl w:val="0"/>
          <w:numId w:val="7"/>
        </w:numPr>
        <w:rPr>
          <w:sz w:val="20"/>
          <w:szCs w:val="20"/>
        </w:rPr>
      </w:pPr>
      <w:r w:rsidRPr="00261D25">
        <w:rPr>
          <w:sz w:val="20"/>
          <w:szCs w:val="20"/>
        </w:rPr>
        <w:t xml:space="preserve">10.02 </w:t>
      </w:r>
      <w:r w:rsidRPr="005F35B3">
        <w:rPr>
          <w:i/>
          <w:iCs/>
          <w:sz w:val="20"/>
          <w:szCs w:val="20"/>
        </w:rPr>
        <w:t>Interventional imaging</w:t>
      </w:r>
      <w:r w:rsidRPr="00261D25">
        <w:rPr>
          <w:sz w:val="20"/>
          <w:szCs w:val="20"/>
        </w:rPr>
        <w:t xml:space="preserve"> (harmonised since 2014–15)</w:t>
      </w:r>
    </w:p>
    <w:p w14:paraId="5E21E8E1" w14:textId="77777777" w:rsidR="00374EA9" w:rsidRDefault="00374EA9" w:rsidP="008572F8">
      <w:pPr>
        <w:pStyle w:val="ListParagraph"/>
        <w:numPr>
          <w:ilvl w:val="0"/>
          <w:numId w:val="7"/>
        </w:numPr>
        <w:rPr>
          <w:sz w:val="20"/>
          <w:szCs w:val="20"/>
        </w:rPr>
      </w:pPr>
      <w:r w:rsidRPr="00261D25">
        <w:rPr>
          <w:sz w:val="20"/>
          <w:szCs w:val="20"/>
        </w:rPr>
        <w:t xml:space="preserve">10.06 </w:t>
      </w:r>
      <w:r w:rsidRPr="005F35B3">
        <w:rPr>
          <w:i/>
          <w:iCs/>
          <w:sz w:val="20"/>
          <w:szCs w:val="20"/>
        </w:rPr>
        <w:t>Endoscopy – gastrointestinal</w:t>
      </w:r>
      <w:r w:rsidRPr="00261D25">
        <w:rPr>
          <w:sz w:val="20"/>
          <w:szCs w:val="20"/>
        </w:rPr>
        <w:t xml:space="preserve"> (harmonised since 2016–17).</w:t>
      </w:r>
    </w:p>
    <w:p w14:paraId="55EFE617" w14:textId="401686EE" w:rsidR="00374EA9" w:rsidRDefault="00374EA9" w:rsidP="00374EA9">
      <w:pPr>
        <w:rPr>
          <w:sz w:val="20"/>
          <w:szCs w:val="20"/>
        </w:rPr>
      </w:pPr>
      <w:r w:rsidRPr="00B8524B">
        <w:rPr>
          <w:sz w:val="20"/>
          <w:szCs w:val="20"/>
        </w:rPr>
        <w:t xml:space="preserve">The harmonisation approach for both classes </w:t>
      </w:r>
      <w:r>
        <w:rPr>
          <w:sz w:val="20"/>
          <w:szCs w:val="20"/>
        </w:rPr>
        <w:t xml:space="preserve">currently </w:t>
      </w:r>
      <w:r w:rsidRPr="00B8524B">
        <w:rPr>
          <w:sz w:val="20"/>
          <w:szCs w:val="20"/>
        </w:rPr>
        <w:t>use</w:t>
      </w:r>
      <w:r>
        <w:rPr>
          <w:sz w:val="20"/>
          <w:szCs w:val="20"/>
        </w:rPr>
        <w:t>s</w:t>
      </w:r>
      <w:r w:rsidRPr="00B8524B">
        <w:rPr>
          <w:sz w:val="20"/>
          <w:szCs w:val="20"/>
        </w:rPr>
        <w:t xml:space="preserve"> admitted acute costs</w:t>
      </w:r>
      <w:r w:rsidR="000F54AE">
        <w:rPr>
          <w:sz w:val="20"/>
          <w:szCs w:val="20"/>
        </w:rPr>
        <w:t>,</w:t>
      </w:r>
      <w:r w:rsidRPr="00B8524B">
        <w:rPr>
          <w:sz w:val="20"/>
          <w:szCs w:val="20"/>
        </w:rPr>
        <w:t xml:space="preserve"> drawn from episodes with equivalent Australian Classification of Health Intervention codes, rather than non-admitted costs, to set the price of the non-admitted </w:t>
      </w:r>
      <w:r w:rsidR="00041AC0">
        <w:rPr>
          <w:sz w:val="20"/>
          <w:szCs w:val="20"/>
        </w:rPr>
        <w:t xml:space="preserve">patient </w:t>
      </w:r>
      <w:r w:rsidRPr="00B8524B">
        <w:rPr>
          <w:sz w:val="20"/>
          <w:szCs w:val="20"/>
        </w:rPr>
        <w:t>service event.</w:t>
      </w:r>
    </w:p>
    <w:p w14:paraId="12C0ED64" w14:textId="272DDB94" w:rsidR="00190D8D" w:rsidRDefault="00374EA9" w:rsidP="00A8630C">
      <w:pPr>
        <w:keepNext/>
        <w:keepLines/>
        <w:rPr>
          <w:sz w:val="20"/>
          <w:szCs w:val="20"/>
        </w:rPr>
      </w:pPr>
      <w:r>
        <w:rPr>
          <w:sz w:val="20"/>
          <w:szCs w:val="20"/>
        </w:rPr>
        <w:t xml:space="preserve">IHACPA </w:t>
      </w:r>
      <w:r w:rsidR="00190D8D">
        <w:rPr>
          <w:sz w:val="20"/>
          <w:szCs w:val="20"/>
        </w:rPr>
        <w:t>notes stakeholder responses to the consultation paper on the reasons patients may require chemotherapy, dialysis, interventional imagining or ima</w:t>
      </w:r>
      <w:r w:rsidR="003C59E1">
        <w:rPr>
          <w:sz w:val="20"/>
          <w:szCs w:val="20"/>
        </w:rPr>
        <w:t xml:space="preserve">ging </w:t>
      </w:r>
      <w:r w:rsidR="00190D8D">
        <w:rPr>
          <w:sz w:val="20"/>
          <w:szCs w:val="20"/>
        </w:rPr>
        <w:t xml:space="preserve">gastrointestinal endoscopy in an admitted versus non-admitted setting. </w:t>
      </w:r>
      <w:r w:rsidR="00B347E7">
        <w:rPr>
          <w:sz w:val="20"/>
          <w:szCs w:val="20"/>
        </w:rPr>
        <w:t xml:space="preserve">These </w:t>
      </w:r>
      <w:r w:rsidR="00190D8D">
        <w:rPr>
          <w:sz w:val="20"/>
          <w:szCs w:val="20"/>
        </w:rPr>
        <w:t xml:space="preserve">included system factors such as funding rules, </w:t>
      </w:r>
      <w:r w:rsidR="00190D8D" w:rsidRPr="00E26328">
        <w:rPr>
          <w:sz w:val="20"/>
          <w:szCs w:val="20"/>
        </w:rPr>
        <w:t xml:space="preserve">Pharmaceutical Benefits Scheme </w:t>
      </w:r>
      <w:r w:rsidR="00190D8D">
        <w:rPr>
          <w:sz w:val="20"/>
          <w:szCs w:val="20"/>
        </w:rPr>
        <w:t xml:space="preserve">(PBS) limitations and logistical constraints and </w:t>
      </w:r>
      <w:r w:rsidR="00190D8D" w:rsidRPr="007F0880">
        <w:rPr>
          <w:sz w:val="20"/>
          <w:szCs w:val="20"/>
        </w:rPr>
        <w:t xml:space="preserve">that </w:t>
      </w:r>
      <w:r w:rsidR="00190D8D">
        <w:rPr>
          <w:sz w:val="20"/>
          <w:szCs w:val="20"/>
        </w:rPr>
        <w:t>some states and territories</w:t>
      </w:r>
      <w:r w:rsidR="00190D8D" w:rsidRPr="007F0880">
        <w:rPr>
          <w:sz w:val="20"/>
          <w:szCs w:val="20"/>
        </w:rPr>
        <w:t xml:space="preserve"> record mostly admitted episodes of care</w:t>
      </w:r>
      <w:r w:rsidR="00190D8D">
        <w:rPr>
          <w:sz w:val="20"/>
          <w:szCs w:val="20"/>
        </w:rPr>
        <w:t xml:space="preserve">, </w:t>
      </w:r>
      <w:r w:rsidR="00190D8D" w:rsidRPr="007F0880">
        <w:rPr>
          <w:sz w:val="20"/>
          <w:szCs w:val="20"/>
        </w:rPr>
        <w:t>while other</w:t>
      </w:r>
      <w:r w:rsidR="00190D8D">
        <w:rPr>
          <w:sz w:val="20"/>
          <w:szCs w:val="20"/>
        </w:rPr>
        <w:t xml:space="preserve">s </w:t>
      </w:r>
      <w:r w:rsidR="00190D8D" w:rsidRPr="007F0880">
        <w:rPr>
          <w:sz w:val="20"/>
          <w:szCs w:val="20"/>
        </w:rPr>
        <w:t xml:space="preserve">record mostly non-admitted </w:t>
      </w:r>
      <w:r w:rsidR="00AD26E0">
        <w:rPr>
          <w:sz w:val="20"/>
          <w:szCs w:val="20"/>
        </w:rPr>
        <w:t>service events</w:t>
      </w:r>
      <w:r w:rsidR="00190D8D" w:rsidRPr="007F0880">
        <w:rPr>
          <w:sz w:val="20"/>
          <w:szCs w:val="20"/>
        </w:rPr>
        <w:t xml:space="preserve"> for the same </w:t>
      </w:r>
      <w:r w:rsidR="00190D8D">
        <w:rPr>
          <w:sz w:val="20"/>
          <w:szCs w:val="20"/>
        </w:rPr>
        <w:t>service, such as dialysis</w:t>
      </w:r>
      <w:r w:rsidR="00190D8D" w:rsidRPr="007F0880">
        <w:rPr>
          <w:sz w:val="20"/>
          <w:szCs w:val="20"/>
        </w:rPr>
        <w:t xml:space="preserve">. This suggests that the differences reflect administrative decisions rather than </w:t>
      </w:r>
      <w:r w:rsidR="00190D8D">
        <w:rPr>
          <w:sz w:val="20"/>
          <w:szCs w:val="20"/>
        </w:rPr>
        <w:t xml:space="preserve">significant </w:t>
      </w:r>
      <w:r w:rsidR="00190D8D" w:rsidRPr="007F0880">
        <w:rPr>
          <w:sz w:val="20"/>
          <w:szCs w:val="20"/>
        </w:rPr>
        <w:t xml:space="preserve">clinical </w:t>
      </w:r>
      <w:r w:rsidR="00190D8D">
        <w:rPr>
          <w:sz w:val="20"/>
          <w:szCs w:val="20"/>
        </w:rPr>
        <w:t>differences</w:t>
      </w:r>
      <w:r w:rsidR="00190D8D" w:rsidRPr="007F0880">
        <w:rPr>
          <w:sz w:val="20"/>
          <w:szCs w:val="20"/>
        </w:rPr>
        <w:t>.</w:t>
      </w:r>
    </w:p>
    <w:p w14:paraId="4FD0D944" w14:textId="254D83F3" w:rsidR="008334B8" w:rsidRDefault="008334B8" w:rsidP="00374EA9">
      <w:pPr>
        <w:rPr>
          <w:sz w:val="20"/>
          <w:szCs w:val="20"/>
        </w:rPr>
      </w:pPr>
      <w:r>
        <w:rPr>
          <w:sz w:val="20"/>
          <w:szCs w:val="20"/>
        </w:rPr>
        <w:t>During the development of NEP26, IHACPA has focused on identifying and testing alternative harmonisation methodologies to better align the prices of equivalent care across the admitted and non-admitted settings.</w:t>
      </w:r>
    </w:p>
    <w:p w14:paraId="2A193F39" w14:textId="29CBCA2F" w:rsidR="008334B8" w:rsidRDefault="008334B8" w:rsidP="00190D8D">
      <w:pPr>
        <w:keepNext/>
        <w:keepLines/>
        <w:rPr>
          <w:sz w:val="20"/>
          <w:szCs w:val="20"/>
        </w:rPr>
      </w:pPr>
      <w:r>
        <w:rPr>
          <w:sz w:val="20"/>
          <w:szCs w:val="20"/>
        </w:rPr>
        <w:lastRenderedPageBreak/>
        <w:t xml:space="preserve">Despite the extensive work </w:t>
      </w:r>
      <w:r w:rsidR="00B347E7">
        <w:rPr>
          <w:sz w:val="20"/>
          <w:szCs w:val="20"/>
        </w:rPr>
        <w:t xml:space="preserve">IHACPA has </w:t>
      </w:r>
      <w:r>
        <w:rPr>
          <w:sz w:val="20"/>
          <w:szCs w:val="20"/>
        </w:rPr>
        <w:t>already conducted, including the investigation of alternative methodologies, IHACPA acknowledges further work and consultation are required before any changes are made to the harmonisation methodology, and therefore will not be implementing a new approach for NEP26.</w:t>
      </w:r>
    </w:p>
    <w:p w14:paraId="504D4D6F" w14:textId="0A183CCD" w:rsidR="00DA1562" w:rsidRDefault="00190D8D" w:rsidP="0074264D">
      <w:pPr>
        <w:rPr>
          <w:sz w:val="20"/>
          <w:szCs w:val="20"/>
        </w:rPr>
      </w:pPr>
      <w:r>
        <w:rPr>
          <w:sz w:val="20"/>
          <w:szCs w:val="20"/>
        </w:rPr>
        <w:t xml:space="preserve">IHACPA </w:t>
      </w:r>
      <w:r w:rsidR="008334B8">
        <w:rPr>
          <w:sz w:val="20"/>
          <w:szCs w:val="20"/>
        </w:rPr>
        <w:t>also notes particular challenges with</w:t>
      </w:r>
      <w:r>
        <w:rPr>
          <w:sz w:val="20"/>
          <w:szCs w:val="20"/>
        </w:rPr>
        <w:t xml:space="preserve"> aligning admitted acute care episodes of chemotherapy more closely with non-admitted care episodes and has been conducting significant work into understanding the unexpected differences in the distribution of services and costs across both settings. IHACPA notes that issues related to the data associated with harmonisation of chemotherapy remain and will require further consultation with stakeholders.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853EB2" w:rsidRPr="0053204D" w14:paraId="19EA367F" w14:textId="77777777" w:rsidTr="0019067A">
        <w:tc>
          <w:tcPr>
            <w:tcW w:w="851" w:type="dxa"/>
            <w:shd w:val="clear" w:color="auto" w:fill="B5FFE0" w:themeFill="accent4" w:themeFillTint="33"/>
          </w:tcPr>
          <w:p w14:paraId="6649C0EA" w14:textId="77777777" w:rsidR="00853EB2" w:rsidRPr="0053204D" w:rsidRDefault="00853EB2" w:rsidP="0019067A">
            <w:pPr>
              <w:jc w:val="center"/>
              <w:rPr>
                <w:sz w:val="18"/>
                <w:szCs w:val="18"/>
              </w:rPr>
            </w:pPr>
            <w:r w:rsidRPr="0053204D">
              <w:rPr>
                <w:noProof/>
                <w:sz w:val="18"/>
                <w:szCs w:val="18"/>
              </w:rPr>
              <w:drawing>
                <wp:inline distT="0" distB="0" distL="0" distR="0" wp14:anchorId="49397230" wp14:editId="3BDE834A">
                  <wp:extent cx="266700" cy="266700"/>
                  <wp:effectExtent l="0" t="0" r="0" b="0"/>
                  <wp:docPr id="1922069865" name="Picture 1922069865"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367AB9C2" w14:textId="77777777" w:rsidR="00853EB2" w:rsidRPr="0072273B" w:rsidRDefault="00853EB2" w:rsidP="0019067A">
            <w:pPr>
              <w:pStyle w:val="Heading4"/>
              <w:rPr>
                <w:sz w:val="20"/>
                <w:szCs w:val="20"/>
              </w:rPr>
            </w:pPr>
            <w:r w:rsidRPr="0072273B">
              <w:rPr>
                <w:sz w:val="20"/>
                <w:szCs w:val="20"/>
              </w:rPr>
              <w:t>IHACPA’s decision</w:t>
            </w:r>
          </w:p>
          <w:p w14:paraId="1D351EC5" w14:textId="5EE14223" w:rsidR="00853EB2" w:rsidRPr="008851C7" w:rsidRDefault="00051F28" w:rsidP="00CA0DD3">
            <w:pPr>
              <w:keepLines/>
              <w:rPr>
                <w:sz w:val="20"/>
                <w:szCs w:val="20"/>
              </w:rPr>
            </w:pPr>
            <w:r>
              <w:rPr>
                <w:sz w:val="20"/>
                <w:szCs w:val="20"/>
              </w:rPr>
              <w:t xml:space="preserve">For NEP26, the existing harmonisation </w:t>
            </w:r>
            <w:r w:rsidR="00EB0932">
              <w:rPr>
                <w:sz w:val="20"/>
                <w:szCs w:val="20"/>
              </w:rPr>
              <w:t>approach</w:t>
            </w:r>
            <w:r>
              <w:rPr>
                <w:sz w:val="20"/>
                <w:szCs w:val="20"/>
              </w:rPr>
              <w:t xml:space="preserve"> for </w:t>
            </w:r>
            <w:r w:rsidR="00B32719">
              <w:rPr>
                <w:sz w:val="20"/>
                <w:szCs w:val="20"/>
              </w:rPr>
              <w:t>interventional imaging and gastrointestinal endoscopy</w:t>
            </w:r>
            <w:r>
              <w:rPr>
                <w:sz w:val="20"/>
                <w:szCs w:val="20"/>
              </w:rPr>
              <w:t xml:space="preserve"> will remain unchanged</w:t>
            </w:r>
            <w:r w:rsidR="00B32719">
              <w:rPr>
                <w:sz w:val="20"/>
                <w:szCs w:val="20"/>
              </w:rPr>
              <w:t>, and IHACPA will not introduce harmonisation for dialysis and chemotherapy</w:t>
            </w:r>
            <w:r>
              <w:rPr>
                <w:sz w:val="20"/>
                <w:szCs w:val="20"/>
              </w:rPr>
              <w:t xml:space="preserve">. While the overall concept of harmonisation remains a goal, IHACPA </w:t>
            </w:r>
            <w:r w:rsidR="00B32719">
              <w:rPr>
                <w:sz w:val="20"/>
                <w:szCs w:val="20"/>
              </w:rPr>
              <w:t>requires further time to develop and consult on a refined methodology</w:t>
            </w:r>
            <w:r w:rsidR="008334B8">
              <w:rPr>
                <w:sz w:val="20"/>
                <w:szCs w:val="20"/>
              </w:rPr>
              <w:t xml:space="preserve"> and resolve data </w:t>
            </w:r>
            <w:r w:rsidR="00374EA9">
              <w:rPr>
                <w:sz w:val="20"/>
                <w:szCs w:val="20"/>
              </w:rPr>
              <w:t>challenges</w:t>
            </w:r>
            <w:r>
              <w:rPr>
                <w:sz w:val="20"/>
                <w:szCs w:val="20"/>
              </w:rPr>
              <w:t>.</w:t>
            </w:r>
          </w:p>
        </w:tc>
      </w:tr>
    </w:tbl>
    <w:p w14:paraId="518623C1" w14:textId="77777777" w:rsidR="00F45A5B" w:rsidRDefault="00F45A5B" w:rsidP="00DD7908">
      <w:pPr>
        <w:rPr>
          <w:sz w:val="20"/>
          <w:szCs w:val="20"/>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664E7D" w:rsidRPr="007C7991" w14:paraId="147061E8" w14:textId="77777777" w:rsidTr="00BE53FE">
        <w:tc>
          <w:tcPr>
            <w:tcW w:w="851" w:type="dxa"/>
            <w:shd w:val="clear" w:color="auto" w:fill="C1DAF8" w:themeFill="accent2" w:themeFillTint="33"/>
          </w:tcPr>
          <w:p w14:paraId="3C13BF98" w14:textId="77777777" w:rsidR="00664E7D" w:rsidRPr="007C7991" w:rsidRDefault="00664E7D" w:rsidP="00BE53FE">
            <w:pPr>
              <w:jc w:val="center"/>
              <w:rPr>
                <w:sz w:val="20"/>
                <w:szCs w:val="20"/>
              </w:rPr>
            </w:pPr>
            <w:r w:rsidRPr="007C7991">
              <w:rPr>
                <w:noProof/>
                <w:sz w:val="20"/>
                <w:szCs w:val="20"/>
              </w:rPr>
              <w:drawing>
                <wp:inline distT="0" distB="0" distL="0" distR="0" wp14:anchorId="3668C83D" wp14:editId="6CD6A685">
                  <wp:extent cx="266700" cy="266700"/>
                  <wp:effectExtent l="0" t="0" r="0" b="0"/>
                  <wp:docPr id="1082147025" name="Picture 10821470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786DBEA9" w14:textId="77777777" w:rsidR="009163A2" w:rsidRDefault="00664E7D">
            <w:pPr>
              <w:spacing w:after="120"/>
              <w:rPr>
                <w:b/>
                <w:bCs/>
                <w:sz w:val="20"/>
                <w:szCs w:val="20"/>
              </w:rPr>
            </w:pPr>
            <w:r w:rsidRPr="004C1093">
              <w:rPr>
                <w:b/>
                <w:bCs/>
                <w:sz w:val="20"/>
                <w:szCs w:val="20"/>
              </w:rPr>
              <w:t>Next steps and future work</w:t>
            </w:r>
          </w:p>
          <w:p w14:paraId="6B115ED8" w14:textId="503ABCE7" w:rsidR="00F83C28" w:rsidRPr="00AD5E65" w:rsidRDefault="00AD5E65" w:rsidP="008572F8">
            <w:pPr>
              <w:spacing w:after="120"/>
              <w:rPr>
                <w:sz w:val="20"/>
                <w:szCs w:val="20"/>
              </w:rPr>
            </w:pPr>
            <w:r w:rsidRPr="00AD5E65">
              <w:rPr>
                <w:sz w:val="20"/>
                <w:szCs w:val="20"/>
              </w:rPr>
              <w:t>IHACPA will seek to develop a</w:t>
            </w:r>
            <w:r w:rsidR="00F45A5B">
              <w:rPr>
                <w:sz w:val="20"/>
                <w:szCs w:val="20"/>
              </w:rPr>
              <w:t>n equitable</w:t>
            </w:r>
            <w:r w:rsidRPr="00AD5E65">
              <w:rPr>
                <w:sz w:val="20"/>
                <w:szCs w:val="20"/>
              </w:rPr>
              <w:t xml:space="preserve"> harmonisation methodology that</w:t>
            </w:r>
            <w:r w:rsidR="00F45A5B">
              <w:rPr>
                <w:sz w:val="20"/>
                <w:szCs w:val="20"/>
              </w:rPr>
              <w:t xml:space="preserve"> i</w:t>
            </w:r>
            <w:r w:rsidRPr="00AD5E65">
              <w:rPr>
                <w:sz w:val="20"/>
                <w:szCs w:val="20"/>
              </w:rPr>
              <w:t xml:space="preserve">ncentivises lower-cost modalities where </w:t>
            </w:r>
            <w:r w:rsidR="000843C0">
              <w:rPr>
                <w:sz w:val="20"/>
                <w:szCs w:val="20"/>
              </w:rPr>
              <w:t xml:space="preserve">it is </w:t>
            </w:r>
            <w:r w:rsidRPr="00AD5E65">
              <w:rPr>
                <w:sz w:val="20"/>
                <w:szCs w:val="20"/>
              </w:rPr>
              <w:t>clinically appropriate</w:t>
            </w:r>
            <w:r w:rsidR="00F45A5B">
              <w:rPr>
                <w:sz w:val="20"/>
                <w:szCs w:val="20"/>
              </w:rPr>
              <w:t xml:space="preserve"> and m</w:t>
            </w:r>
            <w:r w:rsidRPr="00AD5E65">
              <w:rPr>
                <w:sz w:val="20"/>
                <w:szCs w:val="20"/>
              </w:rPr>
              <w:t>aintains standards of care</w:t>
            </w:r>
            <w:r w:rsidR="00F45A5B">
              <w:rPr>
                <w:sz w:val="20"/>
                <w:szCs w:val="20"/>
              </w:rPr>
              <w:t xml:space="preserve">. </w:t>
            </w:r>
            <w:r w:rsidRPr="00AD5E65">
              <w:rPr>
                <w:sz w:val="20"/>
                <w:szCs w:val="20"/>
              </w:rPr>
              <w:t>This work will continue in close consultation with jurisdictions</w:t>
            </w:r>
            <w:r w:rsidR="00CC4B01">
              <w:rPr>
                <w:sz w:val="20"/>
                <w:szCs w:val="20"/>
              </w:rPr>
              <w:t xml:space="preserve"> and </w:t>
            </w:r>
            <w:r w:rsidR="00742DED">
              <w:rPr>
                <w:sz w:val="20"/>
                <w:szCs w:val="20"/>
              </w:rPr>
              <w:t>IHACPA’s</w:t>
            </w:r>
            <w:r w:rsidR="00C23E9F">
              <w:rPr>
                <w:sz w:val="20"/>
                <w:szCs w:val="20"/>
              </w:rPr>
              <w:t xml:space="preserve"> </w:t>
            </w:r>
            <w:r w:rsidRPr="00AD5E65">
              <w:rPr>
                <w:sz w:val="20"/>
                <w:szCs w:val="20"/>
              </w:rPr>
              <w:t>advisory committees</w:t>
            </w:r>
            <w:r>
              <w:rPr>
                <w:sz w:val="20"/>
                <w:szCs w:val="20"/>
              </w:rPr>
              <w:t>.</w:t>
            </w:r>
          </w:p>
        </w:tc>
      </w:tr>
    </w:tbl>
    <w:p w14:paraId="7B0B489D" w14:textId="059E2322" w:rsidR="00664E7D" w:rsidRPr="00DD7908" w:rsidRDefault="00664E7D" w:rsidP="00DD7908">
      <w:pPr>
        <w:rPr>
          <w:sz w:val="20"/>
          <w:szCs w:val="20"/>
        </w:rPr>
        <w:sectPr w:rsidR="00664E7D" w:rsidRPr="00DD7908" w:rsidSect="002A3A17">
          <w:headerReference w:type="default" r:id="rId57"/>
          <w:footerReference w:type="default" r:id="rId58"/>
          <w:headerReference w:type="first" r:id="rId59"/>
          <w:pgSz w:w="11906" w:h="16838" w:code="9"/>
          <w:pgMar w:top="1440" w:right="1080" w:bottom="1440" w:left="1080" w:header="708" w:footer="708" w:gutter="0"/>
          <w:cols w:space="720"/>
          <w:titlePg/>
          <w:docGrid w:linePitch="360"/>
        </w:sectPr>
      </w:pPr>
    </w:p>
    <w:p w14:paraId="7AEDABF0" w14:textId="2DC145A1" w:rsidR="00823A1D" w:rsidRPr="00543078" w:rsidRDefault="0098525C" w:rsidP="00823A1D">
      <w:pPr>
        <w:pStyle w:val="ChapterNumber"/>
      </w:pPr>
      <w:r>
        <w:lastRenderedPageBreak/>
        <w:t>5</w:t>
      </w:r>
    </w:p>
    <w:p w14:paraId="0AEA0E9A" w14:textId="156596FA" w:rsidR="00823A1D" w:rsidRPr="00543078" w:rsidRDefault="0098525C" w:rsidP="00823A1D">
      <w:pPr>
        <w:pStyle w:val="Heading1"/>
      </w:pPr>
      <w:bookmarkStart w:id="18" w:name="_Toc206096200"/>
      <w:bookmarkStart w:id="19" w:name="_Toc214971805"/>
      <w:r>
        <w:t>Setting the national efficient cost</w:t>
      </w:r>
      <w:bookmarkEnd w:id="18"/>
      <w:bookmarkEnd w:id="19"/>
      <w:r>
        <w:t xml:space="preserve"> </w:t>
      </w:r>
    </w:p>
    <w:p w14:paraId="503ED986" w14:textId="77777777" w:rsidR="00823A1D" w:rsidRDefault="00823A1D" w:rsidP="00823A1D">
      <w:pPr>
        <w:rPr>
          <w:sz w:val="16"/>
          <w:szCs w:val="15"/>
        </w:rPr>
      </w:pPr>
    </w:p>
    <w:p w14:paraId="162BD0A2" w14:textId="77777777" w:rsidR="00823A1D" w:rsidRDefault="00823A1D" w:rsidP="00823A1D">
      <w:pPr>
        <w:rPr>
          <w:sz w:val="16"/>
          <w:szCs w:val="15"/>
        </w:rPr>
      </w:pPr>
    </w:p>
    <w:p w14:paraId="29EFA05C" w14:textId="77777777" w:rsidR="00823A1D" w:rsidRDefault="00823A1D" w:rsidP="00823A1D">
      <w:pPr>
        <w:sectPr w:rsidR="00823A1D" w:rsidSect="00823A1D">
          <w:headerReference w:type="default" r:id="rId60"/>
          <w:footerReference w:type="default" r:id="rId61"/>
          <w:pgSz w:w="11906" w:h="16838" w:code="9"/>
          <w:pgMar w:top="567" w:right="1440" w:bottom="1440" w:left="1440" w:header="709" w:footer="709" w:gutter="0"/>
          <w:cols w:space="720"/>
          <w:docGrid w:linePitch="360"/>
        </w:sectPr>
      </w:pPr>
    </w:p>
    <w:p w14:paraId="311D8EF3" w14:textId="77777777" w:rsidR="00326EFC" w:rsidRDefault="00326EFC" w:rsidP="00823A1D">
      <w:pPr>
        <w:rPr>
          <w:rFonts w:eastAsiaTheme="majorEastAsia" w:cstheme="majorBidi"/>
          <w:b/>
          <w:color w:val="104F99" w:themeColor="accent2"/>
          <w:sz w:val="36"/>
          <w:szCs w:val="26"/>
        </w:rPr>
      </w:pPr>
    </w:p>
    <w:p w14:paraId="4D9A2D4A" w14:textId="1E427236" w:rsidR="002F43FB" w:rsidRPr="00300E38" w:rsidRDefault="00AE0617" w:rsidP="00F546E7">
      <w:pPr>
        <w:pStyle w:val="Heading2"/>
        <w:jc w:val="both"/>
      </w:pPr>
      <w:r>
        <w:t>5.</w:t>
      </w:r>
      <w:r w:rsidR="003D2B75">
        <w:t>1</w:t>
      </w:r>
      <w:r>
        <w:t xml:space="preserve"> </w:t>
      </w:r>
      <w:r w:rsidR="00AB79B5" w:rsidRPr="00AE0617">
        <w:t>Overview</w:t>
      </w:r>
    </w:p>
    <w:p w14:paraId="44EB8B36" w14:textId="02B3255D" w:rsidR="00300E38" w:rsidRPr="00300E38" w:rsidRDefault="00300E38" w:rsidP="00300E38">
      <w:pPr>
        <w:rPr>
          <w:sz w:val="20"/>
          <w:szCs w:val="20"/>
        </w:rPr>
      </w:pPr>
      <w:r w:rsidRPr="00300E38">
        <w:rPr>
          <w:sz w:val="20"/>
          <w:szCs w:val="20"/>
        </w:rPr>
        <w:t>The Independent Health and Aged Care Pricing Authority (IHACPA) develop</w:t>
      </w:r>
      <w:r w:rsidR="00D529EB">
        <w:rPr>
          <w:sz w:val="20"/>
          <w:szCs w:val="20"/>
        </w:rPr>
        <w:t>s</w:t>
      </w:r>
      <w:r w:rsidRPr="00300E38">
        <w:rPr>
          <w:sz w:val="20"/>
          <w:szCs w:val="20"/>
        </w:rPr>
        <w:t xml:space="preserve"> the national efficient cost (NEC) for services that are not suitable for activity based funding (ABF), as provided by the Addendum to the National Health Reform Agreement (NHRA) 2020–2</w:t>
      </w:r>
      <w:r w:rsidR="00A35706">
        <w:rPr>
          <w:sz w:val="20"/>
          <w:szCs w:val="20"/>
        </w:rPr>
        <w:t>6</w:t>
      </w:r>
      <w:r w:rsidRPr="00300E38">
        <w:rPr>
          <w:sz w:val="20"/>
          <w:szCs w:val="20"/>
        </w:rPr>
        <w:t>. Such services include small rural hospitals, which are funded based on their size, location and the type of services provided.</w:t>
      </w:r>
    </w:p>
    <w:p w14:paraId="78F1F0FC" w14:textId="004CF63B" w:rsidR="002F43FB" w:rsidRPr="002F43FB" w:rsidRDefault="00300E38" w:rsidP="00823A1D">
      <w:pPr>
        <w:rPr>
          <w:sz w:val="20"/>
          <w:szCs w:val="20"/>
        </w:rPr>
      </w:pPr>
      <w:r w:rsidRPr="00300E38">
        <w:rPr>
          <w:sz w:val="20"/>
          <w:szCs w:val="20"/>
        </w:rPr>
        <w:t xml:space="preserve">A low volume threshold is used to determine whether a public hospital is eligible to receive block funding. All hospital activity is included in assessing the hospital against the low volume threshold. This includes admitted acute and subacute, </w:t>
      </w:r>
      <w:r w:rsidR="00FA05ED" w:rsidRPr="00300E38">
        <w:rPr>
          <w:sz w:val="20"/>
          <w:szCs w:val="20"/>
        </w:rPr>
        <w:t>non</w:t>
      </w:r>
      <w:r w:rsidR="00FA05ED">
        <w:rPr>
          <w:sz w:val="20"/>
          <w:szCs w:val="20"/>
        </w:rPr>
        <w:t>-</w:t>
      </w:r>
      <w:r w:rsidRPr="00300E38">
        <w:rPr>
          <w:sz w:val="20"/>
          <w:szCs w:val="20"/>
        </w:rPr>
        <w:t>admitted and emergency department activity.</w:t>
      </w:r>
    </w:p>
    <w:p w14:paraId="6DCF18EB" w14:textId="238EDD5F" w:rsidR="009054DB" w:rsidRPr="00300E38" w:rsidRDefault="009054DB" w:rsidP="00C900A5">
      <w:pPr>
        <w:pStyle w:val="Heading2"/>
      </w:pPr>
      <w:r>
        <w:t>5.</w:t>
      </w:r>
      <w:r w:rsidR="003D2B75">
        <w:t>2</w:t>
      </w:r>
      <w:r>
        <w:t xml:space="preserve"> The ‘fixed-plus-variable’ model</w:t>
      </w:r>
    </w:p>
    <w:p w14:paraId="7240DBD3" w14:textId="56073D69" w:rsidR="008D0249" w:rsidRPr="008D0249" w:rsidRDefault="008D0249" w:rsidP="008D0249">
      <w:pPr>
        <w:rPr>
          <w:sz w:val="20"/>
          <w:szCs w:val="20"/>
        </w:rPr>
      </w:pPr>
      <w:r w:rsidRPr="008D0249">
        <w:rPr>
          <w:sz w:val="20"/>
          <w:szCs w:val="20"/>
        </w:rPr>
        <w:t>Both ABF and block</w:t>
      </w:r>
      <w:r w:rsidR="003D0374">
        <w:rPr>
          <w:sz w:val="20"/>
          <w:szCs w:val="20"/>
        </w:rPr>
        <w:t xml:space="preserve"> </w:t>
      </w:r>
      <w:r w:rsidRPr="008D0249">
        <w:rPr>
          <w:sz w:val="20"/>
          <w:szCs w:val="20"/>
        </w:rPr>
        <w:t xml:space="preserve">funding approaches cover services that are within the scope of the NHRA. The key difference is that the ABF model calculates an efficient price per episode of care, while the block funded model calculates an efficient cost for the hospital. </w:t>
      </w:r>
    </w:p>
    <w:p w14:paraId="3D3E3041" w14:textId="2DAD22CC" w:rsidR="008D0249" w:rsidRDefault="008D0249" w:rsidP="008D0249">
      <w:pPr>
        <w:rPr>
          <w:sz w:val="20"/>
          <w:szCs w:val="20"/>
        </w:rPr>
      </w:pPr>
      <w:r w:rsidRPr="008D0249">
        <w:rPr>
          <w:sz w:val="20"/>
          <w:szCs w:val="20"/>
        </w:rPr>
        <w:t xml:space="preserve">Since the NEC Determination 2020–21, IHACPA has used a ‘fixed-plus-variable’ model where the total modelled cost of </w:t>
      </w:r>
      <w:r w:rsidR="00FA05ED">
        <w:rPr>
          <w:sz w:val="20"/>
          <w:szCs w:val="20"/>
        </w:rPr>
        <w:t>eligible</w:t>
      </w:r>
      <w:r w:rsidR="0036492E" w:rsidRPr="008D0249">
        <w:rPr>
          <w:sz w:val="20"/>
          <w:szCs w:val="20"/>
        </w:rPr>
        <w:t xml:space="preserve"> </w:t>
      </w:r>
      <w:r w:rsidRPr="008D0249">
        <w:rPr>
          <w:sz w:val="20"/>
          <w:szCs w:val="20"/>
        </w:rPr>
        <w:t>hospital</w:t>
      </w:r>
      <w:r w:rsidR="0036492E">
        <w:rPr>
          <w:sz w:val="20"/>
          <w:szCs w:val="20"/>
        </w:rPr>
        <w:t>s</w:t>
      </w:r>
      <w:r w:rsidRPr="008D0249">
        <w:rPr>
          <w:sz w:val="20"/>
          <w:szCs w:val="20"/>
        </w:rPr>
        <w:t xml:space="preserve"> is based on a fixed component as well as a variable ABF</w:t>
      </w:r>
      <w:r w:rsidR="008C74CF">
        <w:rPr>
          <w:sz w:val="20"/>
          <w:szCs w:val="20"/>
        </w:rPr>
        <w:t>-</w:t>
      </w:r>
      <w:r w:rsidRPr="008D0249">
        <w:rPr>
          <w:sz w:val="20"/>
          <w:szCs w:val="20"/>
        </w:rPr>
        <w:t xml:space="preserve">style component. Under this approach, the fixed component decreases </w:t>
      </w:r>
      <w:r w:rsidR="00FA6966">
        <w:rPr>
          <w:sz w:val="20"/>
          <w:szCs w:val="20"/>
        </w:rPr>
        <w:t>as</w:t>
      </w:r>
      <w:r w:rsidR="00FA6966" w:rsidRPr="008D0249">
        <w:rPr>
          <w:sz w:val="20"/>
          <w:szCs w:val="20"/>
        </w:rPr>
        <w:t xml:space="preserve"> </w:t>
      </w:r>
      <w:r w:rsidRPr="008D0249">
        <w:rPr>
          <w:sz w:val="20"/>
          <w:szCs w:val="20"/>
        </w:rPr>
        <w:t xml:space="preserve">the variable component increases, reflecting </w:t>
      </w:r>
      <w:r w:rsidR="006931FE">
        <w:rPr>
          <w:sz w:val="20"/>
          <w:szCs w:val="20"/>
        </w:rPr>
        <w:t xml:space="preserve">greater </w:t>
      </w:r>
      <w:r w:rsidRPr="008D0249">
        <w:rPr>
          <w:sz w:val="20"/>
          <w:szCs w:val="20"/>
        </w:rPr>
        <w:t>volume of activity.</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9C42C1" w:rsidRPr="0053204D" w14:paraId="1157EFF6" w14:textId="77777777" w:rsidTr="0019067A">
        <w:tc>
          <w:tcPr>
            <w:tcW w:w="851" w:type="dxa"/>
            <w:shd w:val="clear" w:color="auto" w:fill="B5FFE0" w:themeFill="accent4" w:themeFillTint="33"/>
          </w:tcPr>
          <w:p w14:paraId="1324D350" w14:textId="77777777" w:rsidR="009C42C1" w:rsidRPr="0053204D" w:rsidRDefault="009C42C1" w:rsidP="0019067A">
            <w:pPr>
              <w:jc w:val="center"/>
              <w:rPr>
                <w:sz w:val="18"/>
                <w:szCs w:val="18"/>
              </w:rPr>
            </w:pPr>
            <w:r w:rsidRPr="0053204D">
              <w:rPr>
                <w:noProof/>
                <w:sz w:val="18"/>
                <w:szCs w:val="18"/>
              </w:rPr>
              <w:drawing>
                <wp:inline distT="0" distB="0" distL="0" distR="0" wp14:anchorId="759D6843" wp14:editId="32B5BF83">
                  <wp:extent cx="266700" cy="266700"/>
                  <wp:effectExtent l="0" t="0" r="0" b="0"/>
                  <wp:docPr id="18976326" name="Picture 18976326"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06CB71C4" w14:textId="77777777" w:rsidR="009C42C1" w:rsidRPr="0072273B" w:rsidRDefault="009C42C1" w:rsidP="00F546E7">
            <w:pPr>
              <w:pStyle w:val="Heading4"/>
              <w:jc w:val="both"/>
              <w:rPr>
                <w:sz w:val="20"/>
                <w:szCs w:val="20"/>
              </w:rPr>
            </w:pPr>
            <w:r w:rsidRPr="0072273B">
              <w:rPr>
                <w:sz w:val="20"/>
                <w:szCs w:val="20"/>
              </w:rPr>
              <w:t>IHACPA’s decision</w:t>
            </w:r>
          </w:p>
          <w:p w14:paraId="45D82D8A" w14:textId="71353B99" w:rsidR="009C42C1" w:rsidRPr="009C42C1" w:rsidRDefault="009C42C1" w:rsidP="008572F8">
            <w:pPr>
              <w:spacing w:after="120"/>
              <w:rPr>
                <w:sz w:val="20"/>
                <w:szCs w:val="20"/>
              </w:rPr>
            </w:pPr>
            <w:r w:rsidRPr="008D0249">
              <w:rPr>
                <w:sz w:val="20"/>
                <w:szCs w:val="20"/>
              </w:rPr>
              <w:t>IHACPA will continue to use the ‘fixed-plus-variable’ model for the NEC Determination 202</w:t>
            </w:r>
            <w:r>
              <w:rPr>
                <w:sz w:val="20"/>
                <w:szCs w:val="20"/>
              </w:rPr>
              <w:t>6</w:t>
            </w:r>
            <w:r w:rsidRPr="008D0249">
              <w:rPr>
                <w:sz w:val="20"/>
                <w:szCs w:val="20"/>
              </w:rPr>
              <w:t>–2</w:t>
            </w:r>
            <w:r>
              <w:rPr>
                <w:sz w:val="20"/>
                <w:szCs w:val="20"/>
              </w:rPr>
              <w:t>7</w:t>
            </w:r>
            <w:r w:rsidRPr="008D0249">
              <w:rPr>
                <w:sz w:val="20"/>
                <w:szCs w:val="20"/>
              </w:rPr>
              <w:t xml:space="preserve"> (NEC2</w:t>
            </w:r>
            <w:r>
              <w:rPr>
                <w:sz w:val="20"/>
                <w:szCs w:val="20"/>
              </w:rPr>
              <w:t>6</w:t>
            </w:r>
            <w:r w:rsidRPr="008D0249">
              <w:rPr>
                <w:sz w:val="20"/>
                <w:szCs w:val="20"/>
              </w:rPr>
              <w:t>).</w:t>
            </w:r>
          </w:p>
        </w:tc>
      </w:tr>
    </w:tbl>
    <w:p w14:paraId="5EAE1FFD" w14:textId="5D38060F" w:rsidR="005A185F" w:rsidRPr="00D13E95" w:rsidRDefault="002E0994" w:rsidP="008572F8">
      <w:pPr>
        <w:pStyle w:val="Heading2"/>
        <w:spacing w:before="240"/>
      </w:pPr>
      <w:bookmarkStart w:id="20" w:name="_Hlk195569156"/>
      <w:r>
        <w:t>5.</w:t>
      </w:r>
      <w:r w:rsidR="003D2B75">
        <w:t>3</w:t>
      </w:r>
      <w:r>
        <w:t xml:space="preserve"> Review of block funding criteria</w:t>
      </w:r>
      <w:r w:rsidR="008E392F">
        <w:t xml:space="preserve"> and arrangements</w:t>
      </w:r>
    </w:p>
    <w:p w14:paraId="2B34C94F" w14:textId="33707824" w:rsidR="00D13E95" w:rsidRPr="00161013" w:rsidRDefault="00161013" w:rsidP="00161013">
      <w:pPr>
        <w:rPr>
          <w:sz w:val="20"/>
          <w:szCs w:val="20"/>
        </w:rPr>
      </w:pPr>
      <w:r w:rsidRPr="00161013">
        <w:rPr>
          <w:sz w:val="20"/>
          <w:szCs w:val="20"/>
        </w:rPr>
        <w:t>Clause A52 of the addendum notes that</w:t>
      </w:r>
      <w:r w:rsidR="0012157E">
        <w:rPr>
          <w:sz w:val="20"/>
          <w:szCs w:val="20"/>
        </w:rPr>
        <w:t>,</w:t>
      </w:r>
      <w:r w:rsidRPr="00161013">
        <w:rPr>
          <w:sz w:val="20"/>
          <w:szCs w:val="20"/>
        </w:rPr>
        <w:t xml:space="preserve"> in consultation with</w:t>
      </w:r>
      <w:r w:rsidR="004E3BDC" w:rsidRPr="004E3BDC">
        <w:rPr>
          <w:sz w:val="20"/>
          <w:szCs w:val="20"/>
        </w:rPr>
        <w:t xml:space="preserve"> </w:t>
      </w:r>
      <w:r w:rsidR="00D67071">
        <w:rPr>
          <w:sz w:val="20"/>
          <w:szCs w:val="20"/>
        </w:rPr>
        <w:t>jurisdictions</w:t>
      </w:r>
      <w:r w:rsidRPr="00161013">
        <w:rPr>
          <w:sz w:val="20"/>
          <w:szCs w:val="20"/>
        </w:rPr>
        <w:t>, IHACPA develops the block funding criteria and identifies whether hospital services and functions are eligible for block funding only or mixed ABF and block funding.</w:t>
      </w:r>
    </w:p>
    <w:p w14:paraId="10606430" w14:textId="661CC6EC" w:rsidR="005C6E9F" w:rsidRDefault="00337E9D" w:rsidP="00161013">
      <w:pPr>
        <w:rPr>
          <w:sz w:val="20"/>
          <w:szCs w:val="20"/>
        </w:rPr>
      </w:pPr>
      <w:r>
        <w:rPr>
          <w:sz w:val="20"/>
          <w:szCs w:val="20"/>
        </w:rPr>
        <w:t xml:space="preserve">IHACPA </w:t>
      </w:r>
      <w:r w:rsidR="00EF5FA1">
        <w:rPr>
          <w:sz w:val="20"/>
          <w:szCs w:val="20"/>
        </w:rPr>
        <w:t xml:space="preserve">is undertaking </w:t>
      </w:r>
      <w:r>
        <w:rPr>
          <w:sz w:val="20"/>
          <w:szCs w:val="20"/>
        </w:rPr>
        <w:t>a broad</w:t>
      </w:r>
      <w:r w:rsidR="00490EA5">
        <w:rPr>
          <w:sz w:val="20"/>
          <w:szCs w:val="20"/>
        </w:rPr>
        <w:t xml:space="preserve"> </w:t>
      </w:r>
      <w:r>
        <w:rPr>
          <w:sz w:val="20"/>
          <w:szCs w:val="20"/>
        </w:rPr>
        <w:t xml:space="preserve">review of the block funding criteria for </w:t>
      </w:r>
      <w:r w:rsidR="00421FA3">
        <w:rPr>
          <w:sz w:val="20"/>
          <w:szCs w:val="20"/>
        </w:rPr>
        <w:t xml:space="preserve">small rural hospitals, standalone hospitals and rural and regional local hospital networks delivering a low volume of community mental health </w:t>
      </w:r>
      <w:r w:rsidR="0012157E">
        <w:rPr>
          <w:sz w:val="20"/>
          <w:szCs w:val="20"/>
        </w:rPr>
        <w:t xml:space="preserve">care </w:t>
      </w:r>
      <w:r w:rsidR="00421FA3">
        <w:rPr>
          <w:sz w:val="20"/>
          <w:szCs w:val="20"/>
        </w:rPr>
        <w:t>services</w:t>
      </w:r>
      <w:r>
        <w:rPr>
          <w:sz w:val="20"/>
          <w:szCs w:val="20"/>
        </w:rPr>
        <w:t>.</w:t>
      </w:r>
      <w:r w:rsidR="00FF0B48">
        <w:rPr>
          <w:sz w:val="20"/>
          <w:szCs w:val="20"/>
        </w:rPr>
        <w:t xml:space="preserve"> This will form the first stage of a review of all block funding arrangements, including</w:t>
      </w:r>
      <w:r w:rsidR="005C6E9F">
        <w:rPr>
          <w:sz w:val="20"/>
          <w:szCs w:val="20"/>
        </w:rPr>
        <w:t>:</w:t>
      </w:r>
    </w:p>
    <w:p w14:paraId="31F88D7A" w14:textId="16B31B78" w:rsidR="005C6E9F" w:rsidRDefault="00BE53FE" w:rsidP="00C876F9">
      <w:pPr>
        <w:pStyle w:val="ListParagraph"/>
        <w:numPr>
          <w:ilvl w:val="0"/>
          <w:numId w:val="8"/>
        </w:numPr>
        <w:rPr>
          <w:sz w:val="20"/>
          <w:szCs w:val="20"/>
        </w:rPr>
      </w:pPr>
      <w:r>
        <w:rPr>
          <w:sz w:val="20"/>
          <w:szCs w:val="20"/>
        </w:rPr>
        <w:t>B</w:t>
      </w:r>
      <w:r w:rsidR="00FF0B48" w:rsidRPr="001D06DF">
        <w:rPr>
          <w:sz w:val="20"/>
          <w:szCs w:val="20"/>
        </w:rPr>
        <w:t>lock</w:t>
      </w:r>
      <w:r>
        <w:rPr>
          <w:sz w:val="20"/>
          <w:szCs w:val="20"/>
        </w:rPr>
        <w:t>-</w:t>
      </w:r>
      <w:r w:rsidR="00FF0B48" w:rsidRPr="001D06DF">
        <w:rPr>
          <w:sz w:val="20"/>
          <w:szCs w:val="20"/>
        </w:rPr>
        <w:t>fund</w:t>
      </w:r>
      <w:r w:rsidR="00421FA3" w:rsidRPr="001D06DF">
        <w:rPr>
          <w:sz w:val="20"/>
          <w:szCs w:val="20"/>
        </w:rPr>
        <w:t>ed services</w:t>
      </w:r>
      <w:r w:rsidR="00FF0B48" w:rsidRPr="001D06DF">
        <w:rPr>
          <w:sz w:val="20"/>
          <w:szCs w:val="20"/>
        </w:rPr>
        <w:t xml:space="preserve"> categories</w:t>
      </w:r>
    </w:p>
    <w:p w14:paraId="1CAF5A8C" w14:textId="2EA7371C" w:rsidR="005C6E9F" w:rsidRDefault="00FF0B48" w:rsidP="00C876F9">
      <w:pPr>
        <w:pStyle w:val="ListParagraph"/>
        <w:numPr>
          <w:ilvl w:val="0"/>
          <w:numId w:val="8"/>
        </w:numPr>
        <w:rPr>
          <w:sz w:val="20"/>
          <w:szCs w:val="20"/>
        </w:rPr>
      </w:pPr>
      <w:r w:rsidRPr="001D06DF">
        <w:rPr>
          <w:sz w:val="20"/>
          <w:szCs w:val="20"/>
        </w:rPr>
        <w:t>methods of determining block funding amounts and the processes and data that underpin th</w:t>
      </w:r>
      <w:r w:rsidR="00395B42">
        <w:rPr>
          <w:sz w:val="20"/>
          <w:szCs w:val="20"/>
        </w:rPr>
        <w:t>ese</w:t>
      </w:r>
    </w:p>
    <w:p w14:paraId="229F36DD" w14:textId="3709FA99" w:rsidR="00930040" w:rsidRPr="003156FF" w:rsidRDefault="005C6E9F" w:rsidP="008572F8">
      <w:pPr>
        <w:pStyle w:val="ListParagraph"/>
        <w:numPr>
          <w:ilvl w:val="0"/>
          <w:numId w:val="8"/>
        </w:numPr>
        <w:rPr>
          <w:sz w:val="20"/>
        </w:rPr>
      </w:pPr>
      <w:r>
        <w:rPr>
          <w:sz w:val="20"/>
          <w:szCs w:val="20"/>
        </w:rPr>
        <w:t xml:space="preserve">longer-term opportunities to support efficiency, safety and quality, value, </w:t>
      </w:r>
      <w:r w:rsidR="009B19A3">
        <w:rPr>
          <w:sz w:val="20"/>
          <w:szCs w:val="20"/>
        </w:rPr>
        <w:t xml:space="preserve">as well as </w:t>
      </w:r>
      <w:r>
        <w:rPr>
          <w:sz w:val="20"/>
          <w:szCs w:val="20"/>
        </w:rPr>
        <w:t>integration and flexibility of care as part of block-funded hospitals and services</w:t>
      </w:r>
      <w:r w:rsidR="00FF0B48" w:rsidRPr="001D06DF">
        <w:rPr>
          <w:sz w:val="20"/>
          <w:szCs w:val="20"/>
        </w:rPr>
        <w:t>.</w:t>
      </w:r>
    </w:p>
    <w:p w14:paraId="621E74EE" w14:textId="4F0B00E0" w:rsidR="009A79A7" w:rsidRPr="00574E53" w:rsidRDefault="005E611C" w:rsidP="008572F8">
      <w:pPr>
        <w:keepLines/>
        <w:rPr>
          <w:sz w:val="20"/>
          <w:szCs w:val="20"/>
        </w:rPr>
      </w:pPr>
      <w:r w:rsidRPr="007620E3">
        <w:rPr>
          <w:rFonts w:cs="Arial"/>
          <w:sz w:val="20"/>
          <w:szCs w:val="20"/>
        </w:rPr>
        <w:lastRenderedPageBreak/>
        <w:t xml:space="preserve">In response to the Consultation Paper on the Pricing Framework for Australian Public Hospital Services </w:t>
      </w:r>
      <w:r w:rsidR="00C321C3">
        <w:rPr>
          <w:rFonts w:cs="Arial"/>
          <w:sz w:val="20"/>
          <w:szCs w:val="20"/>
        </w:rPr>
        <w:br/>
      </w:r>
      <w:r w:rsidRPr="007620E3">
        <w:rPr>
          <w:rFonts w:cs="Arial"/>
          <w:sz w:val="20"/>
          <w:szCs w:val="20"/>
        </w:rPr>
        <w:t>2026–27</w:t>
      </w:r>
      <w:r w:rsidR="00952CA7">
        <w:rPr>
          <w:rFonts w:cs="Arial"/>
          <w:sz w:val="20"/>
          <w:szCs w:val="20"/>
        </w:rPr>
        <w:t xml:space="preserve">, stakeholders outlined several policy principles and considerations that should guide IHACPA’s workplan for the review of block funding criteria and arrangements. They included </w:t>
      </w:r>
      <w:r w:rsidR="00342225">
        <w:rPr>
          <w:rFonts w:cs="Arial"/>
          <w:sz w:val="20"/>
          <w:szCs w:val="20"/>
        </w:rPr>
        <w:t xml:space="preserve">equity and access, transparency and accountability, flexibility and adaptability, support for specialised services, data quality and improvement and stakeholder engagement. </w:t>
      </w:r>
      <w:r w:rsidR="00397FBB">
        <w:rPr>
          <w:rFonts w:cs="Arial"/>
          <w:sz w:val="20"/>
          <w:szCs w:val="20"/>
        </w:rPr>
        <w:t>Further detail is provided in the</w:t>
      </w:r>
      <w:r w:rsidR="00397FBB" w:rsidRPr="005F43A8">
        <w:rPr>
          <w:rFonts w:cs="Arial"/>
          <w:sz w:val="20"/>
          <w:szCs w:val="20"/>
        </w:rPr>
        <w:t xml:space="preserve"> consultation report.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952CA7" w:rsidRPr="0053204D" w14:paraId="1BCF2682" w14:textId="77777777" w:rsidTr="0019067A">
        <w:tc>
          <w:tcPr>
            <w:tcW w:w="851" w:type="dxa"/>
            <w:shd w:val="clear" w:color="auto" w:fill="B5FFE0" w:themeFill="accent4" w:themeFillTint="33"/>
          </w:tcPr>
          <w:p w14:paraId="3BEF0FE3" w14:textId="77777777" w:rsidR="00952CA7" w:rsidRPr="0053204D" w:rsidRDefault="00952CA7" w:rsidP="0019067A">
            <w:pPr>
              <w:jc w:val="center"/>
              <w:rPr>
                <w:sz w:val="18"/>
                <w:szCs w:val="18"/>
              </w:rPr>
            </w:pPr>
            <w:r w:rsidRPr="0053204D">
              <w:rPr>
                <w:noProof/>
                <w:sz w:val="18"/>
                <w:szCs w:val="18"/>
              </w:rPr>
              <w:drawing>
                <wp:inline distT="0" distB="0" distL="0" distR="0" wp14:anchorId="75050BD6" wp14:editId="5DA3FCF0">
                  <wp:extent cx="266700" cy="266700"/>
                  <wp:effectExtent l="0" t="0" r="0" b="0"/>
                  <wp:docPr id="554192054" name="Picture 554192054"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5D414EFB" w14:textId="77777777" w:rsidR="00952CA7" w:rsidRPr="0072273B" w:rsidRDefault="00952CA7" w:rsidP="0019067A">
            <w:pPr>
              <w:pStyle w:val="Heading4"/>
              <w:rPr>
                <w:sz w:val="20"/>
                <w:szCs w:val="20"/>
              </w:rPr>
            </w:pPr>
            <w:r w:rsidRPr="0072273B">
              <w:rPr>
                <w:sz w:val="20"/>
                <w:szCs w:val="20"/>
              </w:rPr>
              <w:t>IHACPA’s decision</w:t>
            </w:r>
          </w:p>
          <w:p w14:paraId="2E4D02A6" w14:textId="77777777" w:rsidR="008572F8" w:rsidRDefault="00752602">
            <w:pPr>
              <w:spacing w:after="120"/>
              <w:rPr>
                <w:sz w:val="20"/>
              </w:rPr>
            </w:pPr>
            <w:r w:rsidRPr="008572F8">
              <w:rPr>
                <w:sz w:val="20"/>
              </w:rPr>
              <w:t>IHACPA acknowledges the valuable input from stakeholders and has incorporated this feedback into the policy and analytical frameworks that will underpin the review, which will be progressed in consultation with IHACPA’s advisory committees.</w:t>
            </w:r>
          </w:p>
          <w:p w14:paraId="2D7FD305" w14:textId="45BB98B8" w:rsidR="0065232C" w:rsidRPr="0065232C" w:rsidRDefault="00E72FB4" w:rsidP="008572F8">
            <w:pPr>
              <w:spacing w:after="120"/>
            </w:pPr>
            <w:r w:rsidRPr="008572F8">
              <w:rPr>
                <w:sz w:val="20"/>
              </w:rPr>
              <w:t xml:space="preserve">Analysis to date has identified several areas requiring further investigation. Therefore, </w:t>
            </w:r>
            <w:r w:rsidR="00752602" w:rsidRPr="008572F8">
              <w:rPr>
                <w:sz w:val="20"/>
              </w:rPr>
              <w:t xml:space="preserve">IHACPA </w:t>
            </w:r>
            <w:r w:rsidR="00EC4117" w:rsidRPr="008572F8">
              <w:rPr>
                <w:sz w:val="20"/>
              </w:rPr>
              <w:t xml:space="preserve">will not </w:t>
            </w:r>
            <w:r w:rsidR="00752602" w:rsidRPr="008572F8">
              <w:rPr>
                <w:sz w:val="20"/>
              </w:rPr>
              <w:t xml:space="preserve">revise the block funding eligibility criteria for </w:t>
            </w:r>
            <w:r w:rsidR="00EC4117" w:rsidRPr="008572F8">
              <w:rPr>
                <w:sz w:val="20"/>
              </w:rPr>
              <w:t xml:space="preserve">NEC26 and </w:t>
            </w:r>
            <w:r w:rsidR="00DA5713" w:rsidRPr="008572F8">
              <w:rPr>
                <w:sz w:val="20"/>
                <w:szCs w:val="20"/>
              </w:rPr>
              <w:t xml:space="preserve">will </w:t>
            </w:r>
            <w:r w:rsidR="00EC4117" w:rsidRPr="008572F8">
              <w:rPr>
                <w:sz w:val="20"/>
              </w:rPr>
              <w:t>continue to review the criteria in 2026.</w:t>
            </w:r>
          </w:p>
        </w:tc>
      </w:tr>
    </w:tbl>
    <w:p w14:paraId="332A4B72" w14:textId="77777777" w:rsidR="00952CA7" w:rsidRDefault="00952CA7" w:rsidP="00161013">
      <w:pPr>
        <w:rPr>
          <w:sz w:val="20"/>
          <w:szCs w:val="20"/>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7C3B80" w:rsidRPr="007C7991" w14:paraId="17326C99" w14:textId="77777777" w:rsidTr="0019067A">
        <w:tc>
          <w:tcPr>
            <w:tcW w:w="851" w:type="dxa"/>
            <w:shd w:val="clear" w:color="auto" w:fill="C1DAF8" w:themeFill="accent2" w:themeFillTint="33"/>
          </w:tcPr>
          <w:p w14:paraId="2F1ED58F" w14:textId="77777777" w:rsidR="007C3B80" w:rsidRPr="007C7991" w:rsidRDefault="007C3B80" w:rsidP="0019067A">
            <w:pPr>
              <w:rPr>
                <w:sz w:val="20"/>
                <w:szCs w:val="20"/>
              </w:rPr>
            </w:pPr>
            <w:r w:rsidRPr="007C7991">
              <w:rPr>
                <w:noProof/>
                <w:sz w:val="20"/>
                <w:szCs w:val="20"/>
              </w:rPr>
              <w:drawing>
                <wp:inline distT="0" distB="0" distL="0" distR="0" wp14:anchorId="047CF3B1" wp14:editId="489D7310">
                  <wp:extent cx="266700" cy="266700"/>
                  <wp:effectExtent l="0" t="0" r="0" b="0"/>
                  <wp:docPr id="999439826" name="Picture 9994398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4CF3A4BE" w14:textId="77777777" w:rsidR="007C3B80" w:rsidRDefault="007C3B80" w:rsidP="004012E2">
            <w:pPr>
              <w:rPr>
                <w:b/>
                <w:bCs/>
                <w:sz w:val="20"/>
                <w:szCs w:val="20"/>
              </w:rPr>
            </w:pPr>
            <w:r w:rsidRPr="004C1093">
              <w:rPr>
                <w:b/>
                <w:bCs/>
                <w:sz w:val="20"/>
                <w:szCs w:val="20"/>
              </w:rPr>
              <w:t>Next steps and future work</w:t>
            </w:r>
          </w:p>
          <w:p w14:paraId="3A03E60A" w14:textId="77777777" w:rsidR="007C3B80" w:rsidRDefault="007C3B80" w:rsidP="004012E2">
            <w:pPr>
              <w:rPr>
                <w:sz w:val="20"/>
                <w:szCs w:val="20"/>
              </w:rPr>
            </w:pPr>
          </w:p>
          <w:p w14:paraId="3CB140BE" w14:textId="27E7DE91" w:rsidR="00EC4117" w:rsidRDefault="007C3B80" w:rsidP="004012E2">
            <w:pPr>
              <w:rPr>
                <w:sz w:val="20"/>
                <w:szCs w:val="20"/>
              </w:rPr>
            </w:pPr>
            <w:r>
              <w:rPr>
                <w:sz w:val="20"/>
                <w:szCs w:val="20"/>
              </w:rPr>
              <w:t>The block funding eligibility criteria for</w:t>
            </w:r>
            <w:r w:rsidR="00EC4117">
              <w:rPr>
                <w:sz w:val="20"/>
                <w:szCs w:val="20"/>
              </w:rPr>
              <w:t>:</w:t>
            </w:r>
            <w:r>
              <w:rPr>
                <w:sz w:val="20"/>
                <w:szCs w:val="20"/>
              </w:rPr>
              <w:t xml:space="preserve"> </w:t>
            </w:r>
          </w:p>
          <w:p w14:paraId="55F72EFA" w14:textId="77777777" w:rsidR="00EC4117" w:rsidRDefault="00EC4117" w:rsidP="004012E2">
            <w:pPr>
              <w:pStyle w:val="ListParagraph"/>
              <w:numPr>
                <w:ilvl w:val="0"/>
                <w:numId w:val="8"/>
              </w:numPr>
              <w:rPr>
                <w:sz w:val="20"/>
                <w:szCs w:val="20"/>
              </w:rPr>
            </w:pPr>
            <w:r>
              <w:rPr>
                <w:sz w:val="20"/>
                <w:szCs w:val="20"/>
              </w:rPr>
              <w:t>s</w:t>
            </w:r>
            <w:r w:rsidRPr="009A79A7">
              <w:rPr>
                <w:sz w:val="20"/>
                <w:szCs w:val="20"/>
              </w:rPr>
              <w:t>tandalone hospitals providing specialist mental health services</w:t>
            </w:r>
          </w:p>
          <w:p w14:paraId="06D2053D" w14:textId="77777777" w:rsidR="00EC4117" w:rsidRDefault="00EC4117" w:rsidP="004012E2">
            <w:pPr>
              <w:pStyle w:val="ListParagraph"/>
              <w:numPr>
                <w:ilvl w:val="0"/>
                <w:numId w:val="8"/>
              </w:numPr>
              <w:rPr>
                <w:sz w:val="20"/>
                <w:szCs w:val="20"/>
              </w:rPr>
            </w:pPr>
            <w:r>
              <w:rPr>
                <w:sz w:val="20"/>
                <w:szCs w:val="20"/>
              </w:rPr>
              <w:t>s</w:t>
            </w:r>
            <w:r w:rsidRPr="009A79A7">
              <w:rPr>
                <w:sz w:val="20"/>
                <w:szCs w:val="20"/>
              </w:rPr>
              <w:t>tandalone major city hospitals providing specialist services</w:t>
            </w:r>
          </w:p>
          <w:p w14:paraId="175F3C8B" w14:textId="0414D825" w:rsidR="00EC4117" w:rsidRDefault="00EC4117" w:rsidP="004012E2">
            <w:pPr>
              <w:pStyle w:val="ListParagraph"/>
              <w:numPr>
                <w:ilvl w:val="0"/>
                <w:numId w:val="8"/>
              </w:numPr>
              <w:rPr>
                <w:sz w:val="20"/>
                <w:szCs w:val="20"/>
              </w:rPr>
            </w:pPr>
            <w:r w:rsidRPr="004B4DE9">
              <w:rPr>
                <w:sz w:val="20"/>
                <w:szCs w:val="20"/>
              </w:rPr>
              <w:t>other standalone hospitals</w:t>
            </w:r>
          </w:p>
          <w:p w14:paraId="3A1FD0FE" w14:textId="2EB4C814" w:rsidR="00EC4117" w:rsidRDefault="007C3B80" w:rsidP="004012E2">
            <w:pPr>
              <w:pStyle w:val="ListParagraph"/>
              <w:numPr>
                <w:ilvl w:val="0"/>
                <w:numId w:val="8"/>
              </w:numPr>
              <w:rPr>
                <w:sz w:val="20"/>
                <w:szCs w:val="20"/>
              </w:rPr>
            </w:pPr>
            <w:r w:rsidRPr="000677BD">
              <w:rPr>
                <w:sz w:val="20"/>
                <w:szCs w:val="20"/>
              </w:rPr>
              <w:t>small rural hospitals</w:t>
            </w:r>
          </w:p>
          <w:p w14:paraId="45CC712A" w14:textId="0A17A445" w:rsidR="00EC4117" w:rsidRDefault="007C3B80" w:rsidP="004012E2">
            <w:pPr>
              <w:pStyle w:val="ListParagraph"/>
              <w:numPr>
                <w:ilvl w:val="0"/>
                <w:numId w:val="8"/>
              </w:numPr>
              <w:rPr>
                <w:sz w:val="20"/>
                <w:szCs w:val="20"/>
              </w:rPr>
            </w:pPr>
            <w:r w:rsidRPr="000677BD">
              <w:rPr>
                <w:sz w:val="20"/>
                <w:szCs w:val="20"/>
              </w:rPr>
              <w:t xml:space="preserve">rural and regional local hospital networks delivering a low volume of community mental health services </w:t>
            </w:r>
          </w:p>
          <w:p w14:paraId="429CDF61" w14:textId="164320DE" w:rsidR="007C3B80" w:rsidRPr="003156FF" w:rsidRDefault="007C3B80" w:rsidP="004012E2">
            <w:pPr>
              <w:rPr>
                <w:sz w:val="20"/>
              </w:rPr>
            </w:pPr>
            <w:r w:rsidRPr="003156FF">
              <w:rPr>
                <w:sz w:val="20"/>
              </w:rPr>
              <w:t xml:space="preserve">will be </w:t>
            </w:r>
            <w:r w:rsidR="00EC4117" w:rsidRPr="003156FF">
              <w:rPr>
                <w:sz w:val="20"/>
              </w:rPr>
              <w:t xml:space="preserve">further reviewed in 2026 and changes </w:t>
            </w:r>
            <w:r w:rsidRPr="003156FF">
              <w:rPr>
                <w:sz w:val="20"/>
              </w:rPr>
              <w:t xml:space="preserve">considered for future determinations. </w:t>
            </w:r>
          </w:p>
        </w:tc>
      </w:tr>
    </w:tbl>
    <w:bookmarkEnd w:id="20"/>
    <w:p w14:paraId="3B4FDA17" w14:textId="5C56F08C" w:rsidR="0076152B" w:rsidRPr="00300E38" w:rsidRDefault="0076152B" w:rsidP="008572F8">
      <w:pPr>
        <w:pStyle w:val="Heading2"/>
        <w:spacing w:before="240"/>
      </w:pPr>
      <w:r>
        <w:t>5.</w:t>
      </w:r>
      <w:r w:rsidR="003D2B75">
        <w:t>4</w:t>
      </w:r>
      <w:r>
        <w:t xml:space="preserve"> High cost, highly specialised therapies </w:t>
      </w:r>
    </w:p>
    <w:p w14:paraId="3B2A907D" w14:textId="0ED2084C" w:rsidR="0076152B" w:rsidRDefault="00E960D9" w:rsidP="00E960D9">
      <w:pPr>
        <w:rPr>
          <w:sz w:val="20"/>
          <w:szCs w:val="20"/>
        </w:rPr>
      </w:pPr>
      <w:r w:rsidRPr="00E960D9">
        <w:rPr>
          <w:sz w:val="20"/>
          <w:szCs w:val="20"/>
        </w:rPr>
        <w:t>The annual NEC determination includes block funded costs for the delivery of high cost, highly specialised therapies, as provided by clauses</w:t>
      </w:r>
      <w:r>
        <w:rPr>
          <w:sz w:val="20"/>
          <w:szCs w:val="20"/>
        </w:rPr>
        <w:t xml:space="preserve"> </w:t>
      </w:r>
      <w:r w:rsidRPr="00E960D9">
        <w:rPr>
          <w:sz w:val="20"/>
          <w:szCs w:val="20"/>
        </w:rPr>
        <w:t>C11–C12 of the addendum. These clauses contain specific arrangements for new high cost, highly specialised therapies</w:t>
      </w:r>
      <w:r w:rsidR="00E75C7D">
        <w:rPr>
          <w:sz w:val="20"/>
          <w:szCs w:val="20"/>
        </w:rPr>
        <w:t xml:space="preserve"> (HSTs)</w:t>
      </w:r>
      <w:r w:rsidRPr="00E960D9">
        <w:rPr>
          <w:sz w:val="20"/>
          <w:szCs w:val="20"/>
        </w:rPr>
        <w:t xml:space="preserve"> recommended for delivery in public hospitals by the Medical Services Advisory Committee.</w:t>
      </w:r>
    </w:p>
    <w:p w14:paraId="38D88E18" w14:textId="5867171D" w:rsidR="00ED5F82" w:rsidRDefault="00122DF8" w:rsidP="00ED5F82">
      <w:pPr>
        <w:rPr>
          <w:sz w:val="20"/>
          <w:szCs w:val="20"/>
        </w:rPr>
      </w:pPr>
      <w:r w:rsidRPr="00ED5F82">
        <w:rPr>
          <w:sz w:val="20"/>
          <w:szCs w:val="20"/>
        </w:rPr>
        <w:t xml:space="preserve">For 2026–27, the following high cost </w:t>
      </w:r>
      <w:r w:rsidR="00E53D24">
        <w:rPr>
          <w:sz w:val="20"/>
          <w:szCs w:val="20"/>
        </w:rPr>
        <w:t xml:space="preserve">HSTs </w:t>
      </w:r>
      <w:r w:rsidRPr="00ED5F82">
        <w:rPr>
          <w:sz w:val="20"/>
          <w:szCs w:val="20"/>
        </w:rPr>
        <w:t>have been recommended for delivery in public hospitals based on advice from the</w:t>
      </w:r>
      <w:r w:rsidR="00DC32F9">
        <w:rPr>
          <w:sz w:val="20"/>
          <w:szCs w:val="20"/>
        </w:rPr>
        <w:t xml:space="preserve"> Australian Government</w:t>
      </w:r>
      <w:r w:rsidRPr="00ED5F82">
        <w:rPr>
          <w:sz w:val="20"/>
          <w:szCs w:val="20"/>
        </w:rPr>
        <w:t>:</w:t>
      </w:r>
    </w:p>
    <w:p w14:paraId="4348859A" w14:textId="52379193" w:rsidR="002837A7" w:rsidRPr="00ED5F82" w:rsidRDefault="00ED5F82" w:rsidP="00C876F9">
      <w:pPr>
        <w:pStyle w:val="ListParagraph"/>
        <w:numPr>
          <w:ilvl w:val="0"/>
          <w:numId w:val="10"/>
        </w:numPr>
        <w:rPr>
          <w:sz w:val="20"/>
          <w:szCs w:val="20"/>
        </w:rPr>
      </w:pPr>
      <w:r w:rsidRPr="00ED5F82">
        <w:rPr>
          <w:sz w:val="20"/>
          <w:szCs w:val="20"/>
        </w:rPr>
        <w:t>Kymriah® for the treatment of:</w:t>
      </w:r>
    </w:p>
    <w:p w14:paraId="503A4FB8" w14:textId="7FCC4751" w:rsidR="002837A7" w:rsidRPr="00ED5F82" w:rsidRDefault="002837A7" w:rsidP="008572F8">
      <w:pPr>
        <w:pStyle w:val="ListParagraph"/>
        <w:numPr>
          <w:ilvl w:val="1"/>
          <w:numId w:val="9"/>
        </w:numPr>
        <w:ind w:left="1074"/>
        <w:rPr>
          <w:sz w:val="20"/>
          <w:szCs w:val="20"/>
        </w:rPr>
      </w:pPr>
      <w:r w:rsidRPr="00ED5F82">
        <w:rPr>
          <w:sz w:val="20"/>
          <w:szCs w:val="20"/>
        </w:rPr>
        <w:t>acute lymphoblastic leukaemia in children and young adults</w:t>
      </w:r>
    </w:p>
    <w:p w14:paraId="68111976" w14:textId="5C75C215" w:rsidR="002837A7" w:rsidRPr="00ED5F82" w:rsidRDefault="002837A7" w:rsidP="008572F8">
      <w:pPr>
        <w:pStyle w:val="ListParagraph"/>
        <w:numPr>
          <w:ilvl w:val="1"/>
          <w:numId w:val="9"/>
        </w:numPr>
        <w:ind w:left="1074"/>
        <w:rPr>
          <w:sz w:val="20"/>
          <w:szCs w:val="20"/>
        </w:rPr>
      </w:pPr>
      <w:r w:rsidRPr="00ED5F82">
        <w:rPr>
          <w:sz w:val="20"/>
          <w:szCs w:val="20"/>
        </w:rPr>
        <w:t>diffuse large B-cell lymphoma</w:t>
      </w:r>
    </w:p>
    <w:p w14:paraId="730AB8FA" w14:textId="432BCBBC" w:rsidR="002837A7" w:rsidRPr="00ED5F82" w:rsidRDefault="002837A7" w:rsidP="008572F8">
      <w:pPr>
        <w:pStyle w:val="ListParagraph"/>
        <w:numPr>
          <w:ilvl w:val="1"/>
          <w:numId w:val="9"/>
        </w:numPr>
        <w:ind w:left="1074"/>
        <w:rPr>
          <w:sz w:val="20"/>
          <w:szCs w:val="20"/>
        </w:rPr>
      </w:pPr>
      <w:r w:rsidRPr="00ED5F82">
        <w:rPr>
          <w:sz w:val="20"/>
          <w:szCs w:val="20"/>
        </w:rPr>
        <w:t>primary mediastinal large B-cell lymphoma</w:t>
      </w:r>
    </w:p>
    <w:p w14:paraId="3BE588AB" w14:textId="0EEC0EEE" w:rsidR="002837A7" w:rsidRPr="00ED5F82" w:rsidRDefault="002837A7" w:rsidP="008572F8">
      <w:pPr>
        <w:pStyle w:val="ListParagraph"/>
        <w:numPr>
          <w:ilvl w:val="1"/>
          <w:numId w:val="9"/>
        </w:numPr>
        <w:ind w:left="1074"/>
        <w:rPr>
          <w:sz w:val="20"/>
          <w:szCs w:val="20"/>
        </w:rPr>
      </w:pPr>
      <w:r w:rsidRPr="00ED5F82">
        <w:rPr>
          <w:sz w:val="20"/>
          <w:szCs w:val="20"/>
        </w:rPr>
        <w:t>transformed follicular lymphoma.</w:t>
      </w:r>
    </w:p>
    <w:p w14:paraId="67786F32" w14:textId="4DBB2B6B" w:rsidR="006B555A" w:rsidRPr="00D4249A" w:rsidRDefault="006B555A" w:rsidP="008572F8">
      <w:pPr>
        <w:pStyle w:val="ListParagraph"/>
        <w:keepNext/>
        <w:keepLines/>
        <w:numPr>
          <w:ilvl w:val="0"/>
          <w:numId w:val="9"/>
        </w:numPr>
        <w:ind w:hanging="357"/>
        <w:rPr>
          <w:sz w:val="20"/>
          <w:szCs w:val="20"/>
        </w:rPr>
      </w:pPr>
      <w:r w:rsidRPr="00D4249A">
        <w:rPr>
          <w:sz w:val="20"/>
          <w:szCs w:val="20"/>
        </w:rPr>
        <w:lastRenderedPageBreak/>
        <w:t>Yescarta® for the treatment of:</w:t>
      </w:r>
    </w:p>
    <w:p w14:paraId="124EBD37" w14:textId="1EB6AEC1" w:rsidR="006B555A" w:rsidRPr="00ED5F82" w:rsidRDefault="006B555A" w:rsidP="008572F8">
      <w:pPr>
        <w:pStyle w:val="ListParagraph"/>
        <w:keepNext/>
        <w:keepLines/>
        <w:numPr>
          <w:ilvl w:val="1"/>
          <w:numId w:val="9"/>
        </w:numPr>
        <w:ind w:left="1074" w:hanging="357"/>
        <w:rPr>
          <w:sz w:val="20"/>
          <w:szCs w:val="20"/>
        </w:rPr>
      </w:pPr>
      <w:r w:rsidRPr="00ED5F82">
        <w:rPr>
          <w:sz w:val="20"/>
          <w:szCs w:val="20"/>
        </w:rPr>
        <w:t>diffuse large B-cell lymphoma</w:t>
      </w:r>
    </w:p>
    <w:p w14:paraId="71BD979B" w14:textId="6ABB0F25" w:rsidR="006B555A" w:rsidRPr="00ED5F82" w:rsidRDefault="006B555A" w:rsidP="008572F8">
      <w:pPr>
        <w:pStyle w:val="ListParagraph"/>
        <w:keepNext/>
        <w:keepLines/>
        <w:numPr>
          <w:ilvl w:val="1"/>
          <w:numId w:val="9"/>
        </w:numPr>
        <w:ind w:left="1074" w:hanging="357"/>
        <w:rPr>
          <w:sz w:val="20"/>
          <w:szCs w:val="20"/>
        </w:rPr>
      </w:pPr>
      <w:r w:rsidRPr="00ED5F82">
        <w:rPr>
          <w:sz w:val="20"/>
          <w:szCs w:val="20"/>
        </w:rPr>
        <w:t>primary mediastinal large B-cell lymphoma</w:t>
      </w:r>
    </w:p>
    <w:p w14:paraId="116E1118" w14:textId="34B8DBCA" w:rsidR="006B555A" w:rsidRPr="00ED5F82" w:rsidRDefault="006B555A" w:rsidP="008572F8">
      <w:pPr>
        <w:pStyle w:val="ListParagraph"/>
        <w:keepNext/>
        <w:keepLines/>
        <w:numPr>
          <w:ilvl w:val="1"/>
          <w:numId w:val="9"/>
        </w:numPr>
        <w:ind w:left="1074" w:hanging="357"/>
        <w:rPr>
          <w:sz w:val="20"/>
          <w:szCs w:val="20"/>
        </w:rPr>
      </w:pPr>
      <w:r w:rsidRPr="00ED5F82">
        <w:rPr>
          <w:sz w:val="20"/>
          <w:szCs w:val="20"/>
        </w:rPr>
        <w:t>transformed follicular lymphoma</w:t>
      </w:r>
    </w:p>
    <w:p w14:paraId="46927BE4" w14:textId="1B53EE0A" w:rsidR="006B555A" w:rsidRPr="00ED5F82" w:rsidRDefault="006B555A" w:rsidP="008572F8">
      <w:pPr>
        <w:pStyle w:val="ListParagraph"/>
        <w:keepNext/>
        <w:keepLines/>
        <w:numPr>
          <w:ilvl w:val="1"/>
          <w:numId w:val="9"/>
        </w:numPr>
        <w:ind w:left="1074" w:hanging="357"/>
        <w:rPr>
          <w:sz w:val="20"/>
          <w:szCs w:val="20"/>
        </w:rPr>
      </w:pPr>
      <w:r w:rsidRPr="00ED5F82">
        <w:rPr>
          <w:sz w:val="20"/>
          <w:szCs w:val="20"/>
        </w:rPr>
        <w:t>relapsed or refractory large B-cell lymphoma.</w:t>
      </w:r>
    </w:p>
    <w:p w14:paraId="7CA7C02D" w14:textId="77777777" w:rsidR="006B555A" w:rsidRPr="00D4249A" w:rsidRDefault="006B555A" w:rsidP="00C876F9">
      <w:pPr>
        <w:pStyle w:val="ListParagraph"/>
        <w:numPr>
          <w:ilvl w:val="0"/>
          <w:numId w:val="9"/>
        </w:numPr>
        <w:rPr>
          <w:sz w:val="20"/>
          <w:szCs w:val="20"/>
        </w:rPr>
      </w:pPr>
      <w:proofErr w:type="spellStart"/>
      <w:r w:rsidRPr="00D4249A">
        <w:rPr>
          <w:sz w:val="20"/>
          <w:szCs w:val="20"/>
        </w:rPr>
        <w:t>Qarziba</w:t>
      </w:r>
      <w:proofErr w:type="spellEnd"/>
      <w:r w:rsidRPr="00D4249A">
        <w:rPr>
          <w:sz w:val="20"/>
          <w:szCs w:val="20"/>
        </w:rPr>
        <w:t>® for the treatment of:</w:t>
      </w:r>
    </w:p>
    <w:p w14:paraId="4A848332" w14:textId="25E4D682" w:rsidR="006B555A" w:rsidRPr="00ED5F82" w:rsidRDefault="006B555A" w:rsidP="008572F8">
      <w:pPr>
        <w:pStyle w:val="ListParagraph"/>
        <w:numPr>
          <w:ilvl w:val="1"/>
          <w:numId w:val="9"/>
        </w:numPr>
        <w:ind w:left="1074"/>
        <w:rPr>
          <w:sz w:val="20"/>
          <w:szCs w:val="20"/>
        </w:rPr>
      </w:pPr>
      <w:r w:rsidRPr="00ED5F82">
        <w:rPr>
          <w:sz w:val="20"/>
          <w:szCs w:val="20"/>
        </w:rPr>
        <w:t>high risk neuroblastoma.</w:t>
      </w:r>
    </w:p>
    <w:p w14:paraId="58A9F0F3" w14:textId="77777777" w:rsidR="006B555A" w:rsidRPr="00D4249A" w:rsidRDefault="006B555A" w:rsidP="00BE71A4">
      <w:pPr>
        <w:pStyle w:val="ListParagraph"/>
        <w:keepNext/>
        <w:keepLines/>
        <w:numPr>
          <w:ilvl w:val="0"/>
          <w:numId w:val="9"/>
        </w:numPr>
        <w:ind w:hanging="357"/>
        <w:rPr>
          <w:sz w:val="20"/>
          <w:szCs w:val="20"/>
        </w:rPr>
      </w:pPr>
      <w:r w:rsidRPr="00D4249A">
        <w:rPr>
          <w:sz w:val="20"/>
          <w:szCs w:val="20"/>
        </w:rPr>
        <w:t>Luxturna™ for the treatment of:</w:t>
      </w:r>
    </w:p>
    <w:p w14:paraId="0A8D87AD" w14:textId="59E8CE86" w:rsidR="006B555A" w:rsidRPr="00ED5F82" w:rsidRDefault="006B555A" w:rsidP="008572F8">
      <w:pPr>
        <w:pStyle w:val="ListParagraph"/>
        <w:keepNext/>
        <w:keepLines/>
        <w:numPr>
          <w:ilvl w:val="1"/>
          <w:numId w:val="9"/>
        </w:numPr>
        <w:ind w:left="1071" w:hanging="357"/>
        <w:rPr>
          <w:sz w:val="20"/>
          <w:szCs w:val="20"/>
        </w:rPr>
      </w:pPr>
      <w:r w:rsidRPr="00ED5F82">
        <w:rPr>
          <w:sz w:val="20"/>
          <w:szCs w:val="20"/>
        </w:rPr>
        <w:t>inherited retinal dystrophies.</w:t>
      </w:r>
    </w:p>
    <w:p w14:paraId="729AB2D0" w14:textId="77777777" w:rsidR="006B555A" w:rsidRPr="00D4249A" w:rsidRDefault="006B555A" w:rsidP="00C876F9">
      <w:pPr>
        <w:pStyle w:val="ListParagraph"/>
        <w:numPr>
          <w:ilvl w:val="0"/>
          <w:numId w:val="9"/>
        </w:numPr>
        <w:rPr>
          <w:sz w:val="20"/>
          <w:szCs w:val="20"/>
        </w:rPr>
      </w:pPr>
      <w:r w:rsidRPr="00D4249A">
        <w:rPr>
          <w:sz w:val="20"/>
          <w:szCs w:val="20"/>
        </w:rPr>
        <w:t>Tecartus® for the treatment of:</w:t>
      </w:r>
    </w:p>
    <w:p w14:paraId="33CAD3E5" w14:textId="600E9937" w:rsidR="006B555A" w:rsidRPr="00ED5F82" w:rsidRDefault="006B555A" w:rsidP="008572F8">
      <w:pPr>
        <w:pStyle w:val="ListParagraph"/>
        <w:numPr>
          <w:ilvl w:val="1"/>
          <w:numId w:val="9"/>
        </w:numPr>
        <w:ind w:left="1074"/>
        <w:rPr>
          <w:sz w:val="20"/>
          <w:szCs w:val="20"/>
        </w:rPr>
      </w:pPr>
      <w:r w:rsidRPr="00ED5F82">
        <w:rPr>
          <w:sz w:val="20"/>
          <w:szCs w:val="20"/>
        </w:rPr>
        <w:t>relapsed or refractory mantle cell lymphoma</w:t>
      </w:r>
    </w:p>
    <w:p w14:paraId="2243DC55" w14:textId="76EA01F0" w:rsidR="002D0DCE" w:rsidRPr="00D14DF5" w:rsidRDefault="006B555A" w:rsidP="008572F8">
      <w:pPr>
        <w:pStyle w:val="ListParagraph"/>
        <w:numPr>
          <w:ilvl w:val="1"/>
          <w:numId w:val="9"/>
        </w:numPr>
        <w:ind w:left="1074"/>
        <w:rPr>
          <w:sz w:val="20"/>
          <w:szCs w:val="20"/>
        </w:rPr>
      </w:pPr>
      <w:r w:rsidRPr="00D4249A">
        <w:rPr>
          <w:sz w:val="20"/>
          <w:szCs w:val="20"/>
        </w:rPr>
        <w:t>relapsed or refractory B-precursor acute lymphoblastic leukaemia.</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2D0DCE" w:rsidRPr="0053204D" w14:paraId="2A2BC64E" w14:textId="77777777" w:rsidTr="0019067A">
        <w:tc>
          <w:tcPr>
            <w:tcW w:w="851" w:type="dxa"/>
            <w:shd w:val="clear" w:color="auto" w:fill="B5FFE0" w:themeFill="accent4" w:themeFillTint="33"/>
          </w:tcPr>
          <w:p w14:paraId="63DF004C" w14:textId="77777777" w:rsidR="002D0DCE" w:rsidRPr="0053204D" w:rsidRDefault="002D0DCE" w:rsidP="0019067A">
            <w:pPr>
              <w:jc w:val="center"/>
              <w:rPr>
                <w:sz w:val="18"/>
                <w:szCs w:val="18"/>
              </w:rPr>
            </w:pPr>
            <w:r w:rsidRPr="0053204D">
              <w:rPr>
                <w:noProof/>
                <w:sz w:val="18"/>
                <w:szCs w:val="18"/>
              </w:rPr>
              <w:drawing>
                <wp:inline distT="0" distB="0" distL="0" distR="0" wp14:anchorId="6C637A58" wp14:editId="3F598445">
                  <wp:extent cx="266700" cy="266700"/>
                  <wp:effectExtent l="0" t="0" r="0" b="0"/>
                  <wp:docPr id="1386426559" name="Picture 1386426559"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7D1B611C" w14:textId="77777777" w:rsidR="002D0DCE" w:rsidRPr="0072273B" w:rsidRDefault="002D0DCE" w:rsidP="0019067A">
            <w:pPr>
              <w:pStyle w:val="Heading4"/>
              <w:rPr>
                <w:sz w:val="20"/>
                <w:szCs w:val="20"/>
              </w:rPr>
            </w:pPr>
            <w:r w:rsidRPr="0072273B">
              <w:rPr>
                <w:sz w:val="20"/>
                <w:szCs w:val="20"/>
              </w:rPr>
              <w:t>IHACPA’s decision</w:t>
            </w:r>
          </w:p>
          <w:p w14:paraId="08EDE9B7" w14:textId="48118DA9" w:rsidR="002D0DCE" w:rsidRPr="002D0DCE" w:rsidRDefault="002D0DCE" w:rsidP="008572F8">
            <w:pPr>
              <w:spacing w:after="120"/>
              <w:rPr>
                <w:sz w:val="20"/>
                <w:szCs w:val="20"/>
              </w:rPr>
            </w:pPr>
            <w:r w:rsidRPr="00401A73">
              <w:rPr>
                <w:sz w:val="20"/>
                <w:szCs w:val="20"/>
              </w:rPr>
              <w:t>The indicative block-funded costs for the delivery of these high cost</w:t>
            </w:r>
            <w:r w:rsidR="00C07738">
              <w:rPr>
                <w:sz w:val="20"/>
                <w:szCs w:val="20"/>
              </w:rPr>
              <w:t xml:space="preserve"> HSTs</w:t>
            </w:r>
            <w:r w:rsidRPr="00401A73">
              <w:rPr>
                <w:sz w:val="20"/>
                <w:szCs w:val="20"/>
              </w:rPr>
              <w:t xml:space="preserve"> will be included in NEC2</w:t>
            </w:r>
            <w:r>
              <w:rPr>
                <w:sz w:val="20"/>
                <w:szCs w:val="20"/>
              </w:rPr>
              <w:t>6</w:t>
            </w:r>
            <w:r w:rsidR="009F19F8" w:rsidRPr="00401A73">
              <w:rPr>
                <w:sz w:val="20"/>
                <w:szCs w:val="20"/>
              </w:rPr>
              <w:t xml:space="preserve"> based on the advice of states and territories</w:t>
            </w:r>
            <w:r w:rsidRPr="00401A73">
              <w:rPr>
                <w:sz w:val="20"/>
                <w:szCs w:val="20"/>
              </w:rPr>
              <w:t>.</w:t>
            </w:r>
          </w:p>
        </w:tc>
      </w:tr>
    </w:tbl>
    <w:p w14:paraId="7BB3AEEA" w14:textId="5B98969E" w:rsidR="004810B9" w:rsidRDefault="00876E92" w:rsidP="008572F8">
      <w:pPr>
        <w:spacing w:before="160"/>
        <w:rPr>
          <w:sz w:val="20"/>
          <w:szCs w:val="20"/>
        </w:rPr>
      </w:pPr>
      <w:r>
        <w:rPr>
          <w:sz w:val="20"/>
          <w:szCs w:val="20"/>
        </w:rPr>
        <w:t>Under the</w:t>
      </w:r>
      <w:r w:rsidR="002179EB">
        <w:rPr>
          <w:sz w:val="20"/>
          <w:szCs w:val="20"/>
        </w:rPr>
        <w:t xml:space="preserve"> current</w:t>
      </w:r>
      <w:r w:rsidR="00826107">
        <w:rPr>
          <w:sz w:val="20"/>
          <w:szCs w:val="20"/>
        </w:rPr>
        <w:t xml:space="preserve"> </w:t>
      </w:r>
      <w:r w:rsidR="00D061F3">
        <w:rPr>
          <w:sz w:val="20"/>
          <w:szCs w:val="20"/>
        </w:rPr>
        <w:t>funding arrangements for high cost</w:t>
      </w:r>
      <w:r w:rsidR="00C07738">
        <w:rPr>
          <w:sz w:val="20"/>
          <w:szCs w:val="20"/>
        </w:rPr>
        <w:t xml:space="preserve"> HSTs</w:t>
      </w:r>
      <w:r w:rsidR="002179EB">
        <w:rPr>
          <w:sz w:val="20"/>
          <w:szCs w:val="20"/>
        </w:rPr>
        <w:t xml:space="preserve">, after </w:t>
      </w:r>
      <w:r w:rsidR="0030184B">
        <w:rPr>
          <w:sz w:val="20"/>
          <w:szCs w:val="20"/>
        </w:rPr>
        <w:t>a therapy has bee</w:t>
      </w:r>
      <w:r w:rsidR="00826107">
        <w:rPr>
          <w:sz w:val="20"/>
          <w:szCs w:val="20"/>
        </w:rPr>
        <w:t>n deemed eligible for funding under the NHRA,</w:t>
      </w:r>
      <w:r w:rsidR="009D21C9">
        <w:rPr>
          <w:sz w:val="20"/>
          <w:szCs w:val="20"/>
        </w:rPr>
        <w:t xml:space="preserve"> IHACPA includes this in the NEC and Pricing Framework for Australian Public Hospital Services.</w:t>
      </w:r>
      <w:r w:rsidR="00ED581B">
        <w:rPr>
          <w:sz w:val="20"/>
          <w:szCs w:val="20"/>
        </w:rPr>
        <w:t xml:space="preserve"> Following</w:t>
      </w:r>
      <w:r w:rsidR="00254A95">
        <w:rPr>
          <w:sz w:val="20"/>
          <w:szCs w:val="20"/>
        </w:rPr>
        <w:t xml:space="preserve"> </w:t>
      </w:r>
      <w:r w:rsidR="000045B4">
        <w:rPr>
          <w:sz w:val="20"/>
          <w:szCs w:val="20"/>
        </w:rPr>
        <w:t>its</w:t>
      </w:r>
      <w:r w:rsidR="00254A95">
        <w:rPr>
          <w:sz w:val="20"/>
          <w:szCs w:val="20"/>
        </w:rPr>
        <w:t xml:space="preserve"> delivery,</w:t>
      </w:r>
      <w:r w:rsidR="00BD79F0" w:rsidRPr="00BD79F0">
        <w:rPr>
          <w:sz w:val="20"/>
          <w:szCs w:val="20"/>
        </w:rPr>
        <w:t xml:space="preserve"> </w:t>
      </w:r>
      <w:r w:rsidR="00BD79F0">
        <w:rPr>
          <w:sz w:val="20"/>
          <w:szCs w:val="20"/>
        </w:rPr>
        <w:t xml:space="preserve">states and territories </w:t>
      </w:r>
      <w:r w:rsidR="00254A95">
        <w:rPr>
          <w:sz w:val="20"/>
          <w:szCs w:val="20"/>
        </w:rPr>
        <w:t>are required to submit activity and cost</w:t>
      </w:r>
      <w:r w:rsidR="00F71C50">
        <w:rPr>
          <w:sz w:val="20"/>
          <w:szCs w:val="20"/>
        </w:rPr>
        <w:t xml:space="preserve"> </w:t>
      </w:r>
      <w:r w:rsidR="00254A95">
        <w:rPr>
          <w:sz w:val="20"/>
          <w:szCs w:val="20"/>
        </w:rPr>
        <w:t xml:space="preserve">data to IHACPA, including the treatment centres and local hospital networks </w:t>
      </w:r>
      <w:r w:rsidR="00F71C50">
        <w:rPr>
          <w:sz w:val="20"/>
          <w:szCs w:val="20"/>
        </w:rPr>
        <w:t xml:space="preserve">providing the </w:t>
      </w:r>
      <w:r w:rsidR="00C07738">
        <w:rPr>
          <w:sz w:val="20"/>
          <w:szCs w:val="20"/>
        </w:rPr>
        <w:t>HST</w:t>
      </w:r>
      <w:r w:rsidR="00F71C50">
        <w:rPr>
          <w:sz w:val="20"/>
          <w:szCs w:val="20"/>
        </w:rPr>
        <w:t>.</w:t>
      </w:r>
      <w:r w:rsidR="003A716C" w:rsidRPr="003A716C">
        <w:rPr>
          <w:sz w:val="20"/>
          <w:szCs w:val="20"/>
        </w:rPr>
        <w:t xml:space="preserve"> </w:t>
      </w:r>
      <w:r w:rsidR="003A716C">
        <w:rPr>
          <w:sz w:val="20"/>
          <w:szCs w:val="20"/>
        </w:rPr>
        <w:t>The Administrator of the National Health Funding Pool</w:t>
      </w:r>
      <w:r w:rsidR="00775CC6">
        <w:rPr>
          <w:sz w:val="20"/>
          <w:szCs w:val="20"/>
        </w:rPr>
        <w:t xml:space="preserve"> then reconcile</w:t>
      </w:r>
      <w:r w:rsidR="003A716C">
        <w:rPr>
          <w:sz w:val="20"/>
          <w:szCs w:val="20"/>
        </w:rPr>
        <w:t>s funding</w:t>
      </w:r>
      <w:r w:rsidR="00775CC6">
        <w:rPr>
          <w:sz w:val="20"/>
          <w:szCs w:val="20"/>
        </w:rPr>
        <w:t xml:space="preserve"> to the submitted activity and cost data.</w:t>
      </w:r>
    </w:p>
    <w:p w14:paraId="567FBE82" w14:textId="1E17B570" w:rsidR="00791A32" w:rsidRPr="00526BBD" w:rsidRDefault="00E20C27" w:rsidP="00ED5F82">
      <w:pPr>
        <w:rPr>
          <w:sz w:val="20"/>
          <w:szCs w:val="20"/>
        </w:rPr>
      </w:pPr>
      <w:r>
        <w:rPr>
          <w:sz w:val="20"/>
          <w:szCs w:val="20"/>
        </w:rPr>
        <w:t>In response to the consultation paper, s</w:t>
      </w:r>
      <w:r w:rsidR="006E353F">
        <w:rPr>
          <w:sz w:val="20"/>
          <w:szCs w:val="20"/>
        </w:rPr>
        <w:t>takeholders</w:t>
      </w:r>
      <w:r w:rsidR="004147E5">
        <w:rPr>
          <w:sz w:val="20"/>
          <w:szCs w:val="20"/>
        </w:rPr>
        <w:t xml:space="preserve"> indicated that the current arrangements for high cost HST</w:t>
      </w:r>
      <w:r w:rsidR="00C07738">
        <w:rPr>
          <w:sz w:val="20"/>
          <w:szCs w:val="20"/>
        </w:rPr>
        <w:t>s</w:t>
      </w:r>
      <w:r w:rsidR="003B53EF">
        <w:rPr>
          <w:sz w:val="20"/>
          <w:szCs w:val="20"/>
        </w:rPr>
        <w:t xml:space="preserve">, which have been </w:t>
      </w:r>
      <w:r w:rsidR="004276E7">
        <w:rPr>
          <w:sz w:val="20"/>
          <w:szCs w:val="20"/>
        </w:rPr>
        <w:t>in place since 2020</w:t>
      </w:r>
      <w:r w:rsidR="003B53EF">
        <w:rPr>
          <w:sz w:val="20"/>
          <w:szCs w:val="20"/>
        </w:rPr>
        <w:t>,</w:t>
      </w:r>
      <w:r w:rsidR="004276E7">
        <w:rPr>
          <w:sz w:val="20"/>
          <w:szCs w:val="20"/>
        </w:rPr>
        <w:t xml:space="preserve"> require refinement to ensure they remain fit-for-purpose, sustainable and equitable.</w:t>
      </w:r>
      <w:r w:rsidR="006E353F">
        <w:rPr>
          <w:sz w:val="20"/>
          <w:szCs w:val="20"/>
        </w:rPr>
        <w:t xml:space="preserve"> They </w:t>
      </w:r>
      <w:r w:rsidR="004D6197">
        <w:rPr>
          <w:sz w:val="20"/>
          <w:szCs w:val="20"/>
        </w:rPr>
        <w:t>reported that c</w:t>
      </w:r>
      <w:r w:rsidR="006E353F" w:rsidRPr="006E353F">
        <w:rPr>
          <w:sz w:val="20"/>
          <w:szCs w:val="20"/>
        </w:rPr>
        <w:t xml:space="preserve">urrent processes are administratively complex and burdensome, especially for reconciliation and cross-border payments. </w:t>
      </w:r>
      <w:r w:rsidR="00056550">
        <w:rPr>
          <w:sz w:val="20"/>
          <w:szCs w:val="20"/>
        </w:rPr>
        <w:t xml:space="preserve">Stakeholders stressed </w:t>
      </w:r>
      <w:r w:rsidR="00056550" w:rsidRPr="00B230C3">
        <w:rPr>
          <w:sz w:val="20"/>
          <w:szCs w:val="20"/>
        </w:rPr>
        <w:t xml:space="preserve">the importance of developing pricing models for </w:t>
      </w:r>
      <w:r w:rsidR="00E53D24">
        <w:rPr>
          <w:sz w:val="20"/>
          <w:szCs w:val="20"/>
        </w:rPr>
        <w:t xml:space="preserve">high cost </w:t>
      </w:r>
      <w:r w:rsidR="00056550" w:rsidRPr="00B230C3">
        <w:rPr>
          <w:sz w:val="20"/>
          <w:szCs w:val="20"/>
        </w:rPr>
        <w:t>HSTs that are transparent, comprehensive, and adaptable to the evolving landscape of clinical care and service delivery</w:t>
      </w:r>
      <w:r w:rsidR="00056550">
        <w:rPr>
          <w:sz w:val="20"/>
          <w:szCs w:val="20"/>
        </w:rPr>
        <w:t xml:space="preserve">. </w:t>
      </w:r>
      <w:r w:rsidR="00D14DF5">
        <w:rPr>
          <w:rFonts w:cs="Arial"/>
          <w:sz w:val="20"/>
          <w:szCs w:val="20"/>
        </w:rPr>
        <w:t>Further detail is provided in the</w:t>
      </w:r>
      <w:r w:rsidR="00D14DF5" w:rsidRPr="005F43A8">
        <w:rPr>
          <w:rFonts w:cs="Arial"/>
          <w:sz w:val="20"/>
          <w:szCs w:val="20"/>
        </w:rPr>
        <w:t xml:space="preserve"> consultation report.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4D6197" w:rsidRPr="007C7991" w14:paraId="4F67B9ED" w14:textId="77777777" w:rsidTr="006721DB">
        <w:tc>
          <w:tcPr>
            <w:tcW w:w="851" w:type="dxa"/>
            <w:shd w:val="clear" w:color="auto" w:fill="C1DAF8" w:themeFill="accent2" w:themeFillTint="33"/>
          </w:tcPr>
          <w:p w14:paraId="206E86AD" w14:textId="77777777" w:rsidR="004D6197" w:rsidRPr="00366E01" w:rsidRDefault="004D6197" w:rsidP="00BE53FE">
            <w:pPr>
              <w:jc w:val="center"/>
              <w:rPr>
                <w:sz w:val="20"/>
                <w:szCs w:val="20"/>
              </w:rPr>
            </w:pPr>
            <w:r w:rsidRPr="00366E01">
              <w:rPr>
                <w:noProof/>
                <w:sz w:val="20"/>
                <w:szCs w:val="20"/>
              </w:rPr>
              <w:drawing>
                <wp:inline distT="0" distB="0" distL="0" distR="0" wp14:anchorId="59548872" wp14:editId="1B0364F8">
                  <wp:extent cx="266700" cy="266700"/>
                  <wp:effectExtent l="0" t="0" r="0" b="0"/>
                  <wp:docPr id="1779498637" name="Picture 17794986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115F5E8C" w14:textId="77777777" w:rsidR="008572F8" w:rsidRPr="008572F8" w:rsidRDefault="004D6197" w:rsidP="00BE53FE">
            <w:pPr>
              <w:pStyle w:val="Heading4"/>
              <w:rPr>
                <w:sz w:val="20"/>
                <w:szCs w:val="20"/>
              </w:rPr>
            </w:pPr>
            <w:r w:rsidRPr="008572F8">
              <w:rPr>
                <w:sz w:val="20"/>
                <w:szCs w:val="20"/>
              </w:rPr>
              <w:t>Next steps and future work</w:t>
            </w:r>
          </w:p>
          <w:p w14:paraId="61AD461D" w14:textId="686B46B2" w:rsidR="004D6197" w:rsidRPr="00366E01" w:rsidRDefault="00982DDF" w:rsidP="008572F8">
            <w:pPr>
              <w:spacing w:after="120"/>
              <w:rPr>
                <w:sz w:val="20"/>
                <w:szCs w:val="20"/>
              </w:rPr>
            </w:pPr>
            <w:r w:rsidRPr="00366E01">
              <w:rPr>
                <w:sz w:val="20"/>
                <w:szCs w:val="20"/>
              </w:rPr>
              <w:t>IHACPA recognises that while the current block funding model has enabled timely access to</w:t>
            </w:r>
            <w:r w:rsidR="00E53D24">
              <w:rPr>
                <w:sz w:val="20"/>
                <w:szCs w:val="20"/>
              </w:rPr>
              <w:t xml:space="preserve"> high cost</w:t>
            </w:r>
            <w:r w:rsidRPr="00366E01">
              <w:rPr>
                <w:sz w:val="20"/>
                <w:szCs w:val="20"/>
              </w:rPr>
              <w:t xml:space="preserve"> HSTs since 2020, refinements may be necessary to ensure it remains responsive to clinical and operational realities</w:t>
            </w:r>
            <w:r w:rsidR="003B53EF">
              <w:rPr>
                <w:sz w:val="20"/>
                <w:szCs w:val="20"/>
              </w:rPr>
              <w:t>, particularly as the use of these therapies continues to grow</w:t>
            </w:r>
            <w:r w:rsidRPr="00366E01">
              <w:rPr>
                <w:sz w:val="20"/>
                <w:szCs w:val="20"/>
              </w:rPr>
              <w:t xml:space="preserve">. IHACPA will consider </w:t>
            </w:r>
            <w:r w:rsidR="003B53EF">
              <w:rPr>
                <w:sz w:val="20"/>
                <w:szCs w:val="20"/>
              </w:rPr>
              <w:t>undertaking</w:t>
            </w:r>
            <w:r w:rsidRPr="00366E01">
              <w:rPr>
                <w:sz w:val="20"/>
                <w:szCs w:val="20"/>
              </w:rPr>
              <w:t xml:space="preserve"> a more detailed review of these arrangements, based on stakeholder feedback, to inform potential changes in future determinations.</w:t>
            </w:r>
          </w:p>
        </w:tc>
      </w:tr>
    </w:tbl>
    <w:p w14:paraId="2F255A16" w14:textId="77777777" w:rsidR="00E20C27" w:rsidRDefault="00E20C27" w:rsidP="00ED5F82">
      <w:pPr>
        <w:rPr>
          <w:sz w:val="20"/>
          <w:szCs w:val="20"/>
        </w:rPr>
      </w:pPr>
    </w:p>
    <w:p w14:paraId="54FB5856" w14:textId="3A36C9E8" w:rsidR="00E20C27" w:rsidRPr="00ED5F82" w:rsidRDefault="00E20C27" w:rsidP="00ED5F82">
      <w:pPr>
        <w:rPr>
          <w:sz w:val="20"/>
          <w:szCs w:val="20"/>
        </w:rPr>
        <w:sectPr w:rsidR="00E20C27" w:rsidRPr="00ED5F82" w:rsidSect="00326EFC">
          <w:headerReference w:type="default" r:id="rId62"/>
          <w:footerReference w:type="default" r:id="rId63"/>
          <w:headerReference w:type="first" r:id="rId64"/>
          <w:pgSz w:w="11906" w:h="16838" w:code="9"/>
          <w:pgMar w:top="1440" w:right="1080" w:bottom="1440" w:left="1080" w:header="708" w:footer="708" w:gutter="0"/>
          <w:cols w:space="720"/>
          <w:titlePg/>
          <w:docGrid w:linePitch="360"/>
        </w:sectPr>
      </w:pPr>
    </w:p>
    <w:p w14:paraId="4978CF15" w14:textId="7A025503" w:rsidR="00823A1D" w:rsidRPr="00543078" w:rsidRDefault="00C80569" w:rsidP="00823A1D">
      <w:pPr>
        <w:pStyle w:val="ChapterNumber"/>
      </w:pPr>
      <w:r>
        <w:lastRenderedPageBreak/>
        <w:t>6</w:t>
      </w:r>
    </w:p>
    <w:p w14:paraId="3AAD2B6D" w14:textId="34816523" w:rsidR="00823A1D" w:rsidRPr="00543078" w:rsidRDefault="00C80569" w:rsidP="00823A1D">
      <w:pPr>
        <w:pStyle w:val="Heading1"/>
      </w:pPr>
      <w:bookmarkStart w:id="21" w:name="_Toc206096201"/>
      <w:bookmarkStart w:id="22" w:name="_Toc214971806"/>
      <w:r>
        <w:t>Data collection</w:t>
      </w:r>
      <w:bookmarkEnd w:id="21"/>
      <w:bookmarkEnd w:id="22"/>
    </w:p>
    <w:p w14:paraId="4DDF84E2" w14:textId="77777777" w:rsidR="00823A1D" w:rsidRDefault="00823A1D" w:rsidP="00823A1D">
      <w:pPr>
        <w:sectPr w:rsidR="00823A1D" w:rsidSect="00823A1D">
          <w:headerReference w:type="default" r:id="rId65"/>
          <w:footerReference w:type="default" r:id="rId66"/>
          <w:pgSz w:w="11906" w:h="16838" w:code="9"/>
          <w:pgMar w:top="567" w:right="1440" w:bottom="1440" w:left="1440" w:header="709" w:footer="709" w:gutter="0"/>
          <w:cols w:space="720"/>
          <w:docGrid w:linePitch="360"/>
        </w:sectPr>
      </w:pPr>
    </w:p>
    <w:p w14:paraId="3AFF9C10" w14:textId="77777777" w:rsidR="00F869EB" w:rsidRDefault="00F869EB" w:rsidP="00F869EB"/>
    <w:p w14:paraId="78BCC2FB" w14:textId="29B25F52" w:rsidR="00DA5713" w:rsidRDefault="00DA5713" w:rsidP="004012E2">
      <w:pPr>
        <w:pStyle w:val="Heading2"/>
      </w:pPr>
      <w:r>
        <w:t>6.1 Overview</w:t>
      </w:r>
    </w:p>
    <w:p w14:paraId="67ABB520" w14:textId="3B432F4E" w:rsidR="00823A1D" w:rsidRPr="0024484A" w:rsidRDefault="0024484A" w:rsidP="00823A1D">
      <w:pPr>
        <w:rPr>
          <w:sz w:val="20"/>
          <w:szCs w:val="20"/>
        </w:rPr>
      </w:pPr>
      <w:r w:rsidRPr="0024484A">
        <w:rPr>
          <w:sz w:val="20"/>
          <w:szCs w:val="20"/>
        </w:rPr>
        <w:t xml:space="preserve">Under the Addendum to the National Health Reform Agreement </w:t>
      </w:r>
      <w:r w:rsidR="00925FE0">
        <w:rPr>
          <w:sz w:val="20"/>
          <w:szCs w:val="20"/>
        </w:rPr>
        <w:t xml:space="preserve">(NHRA) </w:t>
      </w:r>
      <w:r w:rsidRPr="0024484A">
        <w:rPr>
          <w:sz w:val="20"/>
          <w:szCs w:val="20"/>
        </w:rPr>
        <w:t>2020–2</w:t>
      </w:r>
      <w:r w:rsidR="00F97C6C">
        <w:rPr>
          <w:sz w:val="20"/>
          <w:szCs w:val="20"/>
        </w:rPr>
        <w:t>6</w:t>
      </w:r>
      <w:r w:rsidR="00925FE0">
        <w:rPr>
          <w:sz w:val="20"/>
          <w:szCs w:val="20"/>
        </w:rPr>
        <w:t xml:space="preserve"> (the addendum)</w:t>
      </w:r>
      <w:r w:rsidR="00C321C3">
        <w:rPr>
          <w:sz w:val="20"/>
          <w:szCs w:val="20"/>
        </w:rPr>
        <w:t>,</w:t>
      </w:r>
      <w:r w:rsidRPr="0024484A">
        <w:rPr>
          <w:sz w:val="20"/>
          <w:szCs w:val="20"/>
        </w:rPr>
        <w:t xml:space="preserve"> the Independent Health and Aged Care Pricing Authority (IHACPA) is required to develop, refine and maintain systems as necessary to determine the national efficient price (NEP) and national efficient cost (NEC), including classifications, costing methodologies and data collections.</w:t>
      </w:r>
    </w:p>
    <w:p w14:paraId="656D2E62" w14:textId="472C58B4" w:rsidR="00436201" w:rsidRPr="00300E38" w:rsidRDefault="00436201" w:rsidP="00C900A5">
      <w:pPr>
        <w:pStyle w:val="Heading2"/>
      </w:pPr>
      <w:r>
        <w:t>6.</w:t>
      </w:r>
      <w:r w:rsidR="00DA5713">
        <w:t>2</w:t>
      </w:r>
      <w:r>
        <w:t xml:space="preserve"> Cost and activity data collection</w:t>
      </w:r>
    </w:p>
    <w:p w14:paraId="1C0A745B" w14:textId="0E3D95A3" w:rsidR="00643A1C" w:rsidRPr="0024484A" w:rsidRDefault="000247AD" w:rsidP="00823A1D">
      <w:pPr>
        <w:rPr>
          <w:sz w:val="20"/>
          <w:szCs w:val="20"/>
        </w:rPr>
      </w:pPr>
      <w:r w:rsidRPr="000247AD">
        <w:rPr>
          <w:sz w:val="20"/>
          <w:szCs w:val="20"/>
        </w:rPr>
        <w:t xml:space="preserve">IHACPA </w:t>
      </w:r>
      <w:r w:rsidRPr="002E1CD4">
        <w:rPr>
          <w:sz w:val="20"/>
          <w:szCs w:val="20"/>
        </w:rPr>
        <w:t xml:space="preserve">develops the </w:t>
      </w:r>
      <w:hyperlink r:id="rId67" w:history="1">
        <w:r w:rsidRPr="002E1CD4">
          <w:rPr>
            <w:rStyle w:val="Hyperlink"/>
            <w:sz w:val="20"/>
            <w:szCs w:val="20"/>
          </w:rPr>
          <w:t>Three Year Data Plan</w:t>
        </w:r>
      </w:hyperlink>
      <w:r w:rsidRPr="002E1CD4">
        <w:rPr>
          <w:sz w:val="20"/>
          <w:szCs w:val="20"/>
        </w:rPr>
        <w:t xml:space="preserve"> </w:t>
      </w:r>
      <w:r w:rsidR="00AE192D">
        <w:rPr>
          <w:sz w:val="20"/>
          <w:szCs w:val="20"/>
        </w:rPr>
        <w:t>annually</w:t>
      </w:r>
      <w:r w:rsidRPr="002E1CD4">
        <w:rPr>
          <w:sz w:val="20"/>
          <w:szCs w:val="20"/>
        </w:rPr>
        <w:t xml:space="preserve"> to communicate </w:t>
      </w:r>
      <w:r w:rsidR="00AE192D">
        <w:rPr>
          <w:sz w:val="20"/>
          <w:szCs w:val="20"/>
        </w:rPr>
        <w:t>the</w:t>
      </w:r>
      <w:r w:rsidRPr="002E1CD4">
        <w:rPr>
          <w:sz w:val="20"/>
          <w:szCs w:val="20"/>
        </w:rPr>
        <w:t xml:space="preserve"> cost and activity data reporting requirements to state and territory governments for the next </w:t>
      </w:r>
      <w:r w:rsidR="00890E24">
        <w:rPr>
          <w:sz w:val="20"/>
          <w:szCs w:val="20"/>
        </w:rPr>
        <w:t>3</w:t>
      </w:r>
      <w:r w:rsidR="00890E24" w:rsidRPr="002E1CD4">
        <w:rPr>
          <w:sz w:val="20"/>
          <w:szCs w:val="20"/>
        </w:rPr>
        <w:t xml:space="preserve"> </w:t>
      </w:r>
      <w:r w:rsidRPr="002E1CD4">
        <w:rPr>
          <w:sz w:val="20"/>
          <w:szCs w:val="20"/>
        </w:rPr>
        <w:t xml:space="preserve">years, in accordance with clauses B66 to B83 of the addendum. The Three Year Data Plan is supported by the </w:t>
      </w:r>
      <w:hyperlink r:id="rId68" w:history="1">
        <w:r w:rsidRPr="002E1CD4">
          <w:rPr>
            <w:rStyle w:val="Hyperlink"/>
            <w:sz w:val="20"/>
            <w:szCs w:val="20"/>
          </w:rPr>
          <w:t>Data Compliance Policy</w:t>
        </w:r>
      </w:hyperlink>
      <w:r w:rsidRPr="002E1CD4">
        <w:rPr>
          <w:sz w:val="20"/>
          <w:szCs w:val="20"/>
        </w:rPr>
        <w:t xml:space="preserve">, which describes the process and criteria IHACPA </w:t>
      </w:r>
      <w:r w:rsidR="00AE192D">
        <w:rPr>
          <w:sz w:val="20"/>
          <w:szCs w:val="20"/>
        </w:rPr>
        <w:t>use</w:t>
      </w:r>
      <w:r w:rsidR="00A92261">
        <w:rPr>
          <w:sz w:val="20"/>
          <w:szCs w:val="20"/>
        </w:rPr>
        <w:t>s</w:t>
      </w:r>
      <w:r w:rsidR="00AE192D">
        <w:rPr>
          <w:sz w:val="20"/>
          <w:szCs w:val="20"/>
        </w:rPr>
        <w:t xml:space="preserve"> to</w:t>
      </w:r>
      <w:r w:rsidR="00AE192D" w:rsidRPr="002E1CD4">
        <w:rPr>
          <w:sz w:val="20"/>
          <w:szCs w:val="20"/>
        </w:rPr>
        <w:t xml:space="preserve"> </w:t>
      </w:r>
      <w:r w:rsidRPr="002E1CD4">
        <w:rPr>
          <w:sz w:val="20"/>
          <w:szCs w:val="20"/>
        </w:rPr>
        <w:t>publicly report on</w:t>
      </w:r>
      <w:r w:rsidR="00AE192D">
        <w:rPr>
          <w:sz w:val="20"/>
          <w:szCs w:val="20"/>
        </w:rPr>
        <w:t xml:space="preserve"> state and territory data submission</w:t>
      </w:r>
      <w:r w:rsidRPr="002E1CD4">
        <w:rPr>
          <w:sz w:val="20"/>
          <w:szCs w:val="20"/>
        </w:rPr>
        <w:t xml:space="preserve"> compliance</w:t>
      </w:r>
      <w:r w:rsidR="00AE192D">
        <w:rPr>
          <w:sz w:val="20"/>
          <w:szCs w:val="20"/>
        </w:rPr>
        <w:t>.</w:t>
      </w:r>
    </w:p>
    <w:p w14:paraId="252D017C" w14:textId="58850F78" w:rsidR="00643A1C" w:rsidRDefault="00686288" w:rsidP="00686288">
      <w:pPr>
        <w:rPr>
          <w:sz w:val="20"/>
          <w:szCs w:val="20"/>
        </w:rPr>
      </w:pPr>
      <w:r w:rsidRPr="00686288">
        <w:rPr>
          <w:sz w:val="20"/>
          <w:szCs w:val="20"/>
        </w:rPr>
        <w:t>Additionally, to facilitate the collection of accurate activity</w:t>
      </w:r>
      <w:r w:rsidR="00EA7352">
        <w:rPr>
          <w:sz w:val="20"/>
          <w:szCs w:val="20"/>
        </w:rPr>
        <w:t xml:space="preserve"> and</w:t>
      </w:r>
      <w:r w:rsidRPr="00686288">
        <w:rPr>
          <w:sz w:val="20"/>
          <w:szCs w:val="20"/>
        </w:rPr>
        <w:t xml:space="preserve"> cost data for the annual NEP and NEC determinations, IHACPA works with states and territories to develop and update data request specifications </w:t>
      </w:r>
      <w:r w:rsidR="00112041">
        <w:rPr>
          <w:sz w:val="20"/>
          <w:szCs w:val="20"/>
        </w:rPr>
        <w:t>(DRS)</w:t>
      </w:r>
      <w:r w:rsidRPr="00686288">
        <w:rPr>
          <w:sz w:val="20"/>
          <w:szCs w:val="20"/>
        </w:rPr>
        <w:t xml:space="preserve"> each year</w:t>
      </w:r>
      <w:r w:rsidR="0076778D">
        <w:rPr>
          <w:sz w:val="20"/>
          <w:szCs w:val="20"/>
        </w:rPr>
        <w:t xml:space="preserve">. IHACPA ensures strict procedures are followed to </w:t>
      </w:r>
      <w:r w:rsidRPr="00686288">
        <w:rPr>
          <w:sz w:val="20"/>
          <w:szCs w:val="20"/>
        </w:rPr>
        <w:t xml:space="preserve">acquire, validate and maintain data within the IHACPA </w:t>
      </w:r>
      <w:r w:rsidR="00EA0B52">
        <w:rPr>
          <w:sz w:val="20"/>
          <w:szCs w:val="20"/>
        </w:rPr>
        <w:t>secure data management system</w:t>
      </w:r>
      <w:r w:rsidRPr="00686288">
        <w:rPr>
          <w:sz w:val="20"/>
          <w:szCs w:val="20"/>
        </w:rPr>
        <w:t>.</w:t>
      </w:r>
      <w:r w:rsidR="007C1D3D">
        <w:rPr>
          <w:sz w:val="20"/>
          <w:szCs w:val="20"/>
        </w:rPr>
        <w:t xml:space="preserve"> The Australian Hospital Patient Costing Standards </w:t>
      </w:r>
      <w:r w:rsidR="007C1D3D" w:rsidRPr="0057613D">
        <w:rPr>
          <w:sz w:val="20"/>
          <w:szCs w:val="20"/>
        </w:rPr>
        <w:t>provide direction for hospital patient costing through the development of standards for specific elements of the costing process and reporting requirements.</w:t>
      </w:r>
      <w:r w:rsidRPr="00686288">
        <w:rPr>
          <w:sz w:val="20"/>
          <w:szCs w:val="20"/>
        </w:rPr>
        <w:t xml:space="preserve"> In developing these data specifications, IHACPA is guided by the principle of data rationalisation, including the concept of ‘single provision, multiple use’, as outlined in </w:t>
      </w:r>
      <w:r w:rsidR="002A2DAB">
        <w:rPr>
          <w:sz w:val="20"/>
          <w:szCs w:val="20"/>
        </w:rPr>
        <w:t xml:space="preserve">the </w:t>
      </w:r>
      <w:r w:rsidRPr="00686288">
        <w:rPr>
          <w:sz w:val="20"/>
          <w:szCs w:val="20"/>
        </w:rPr>
        <w:t>addendum.</w:t>
      </w:r>
      <w:r w:rsidR="006B0B9E">
        <w:rPr>
          <w:sz w:val="20"/>
          <w:szCs w:val="20"/>
        </w:rPr>
        <w:t xml:space="preserve"> IHACPA</w:t>
      </w:r>
      <w:r w:rsidR="00E53D26">
        <w:rPr>
          <w:sz w:val="20"/>
          <w:szCs w:val="20"/>
        </w:rPr>
        <w:t xml:space="preserve"> also</w:t>
      </w:r>
      <w:r w:rsidR="006B0B9E">
        <w:rPr>
          <w:sz w:val="20"/>
          <w:szCs w:val="20"/>
        </w:rPr>
        <w:t xml:space="preserve"> works closely with </w:t>
      </w:r>
      <w:r w:rsidR="00BE7112">
        <w:rPr>
          <w:sz w:val="20"/>
          <w:szCs w:val="20"/>
        </w:rPr>
        <w:t xml:space="preserve">the </w:t>
      </w:r>
      <w:r w:rsidR="00BE7112" w:rsidRPr="00BE7112">
        <w:rPr>
          <w:sz w:val="20"/>
          <w:szCs w:val="20"/>
        </w:rPr>
        <w:t>National Health Data and Information Standards Committee</w:t>
      </w:r>
      <w:r w:rsidR="00D41E00">
        <w:rPr>
          <w:sz w:val="20"/>
          <w:szCs w:val="20"/>
        </w:rPr>
        <w:t xml:space="preserve"> </w:t>
      </w:r>
      <w:r w:rsidR="00BE7112">
        <w:rPr>
          <w:sz w:val="20"/>
          <w:szCs w:val="20"/>
        </w:rPr>
        <w:t xml:space="preserve">to agree on data definitions and appropriateness of collection. </w:t>
      </w:r>
      <w:r w:rsidR="007C1D3D">
        <w:rPr>
          <w:sz w:val="20"/>
          <w:szCs w:val="20"/>
        </w:rPr>
        <w:t xml:space="preserve">Please refer to the </w:t>
      </w:r>
      <w:hyperlink r:id="rId69" w:history="1">
        <w:r w:rsidR="007C1D3D" w:rsidRPr="00382857">
          <w:rPr>
            <w:rStyle w:val="Hyperlink"/>
            <w:sz w:val="20"/>
            <w:szCs w:val="20"/>
          </w:rPr>
          <w:t xml:space="preserve">Three Year Data </w:t>
        </w:r>
        <w:r w:rsidR="0072347F" w:rsidRPr="00382857">
          <w:rPr>
            <w:rStyle w:val="Hyperlink"/>
            <w:sz w:val="20"/>
            <w:szCs w:val="20"/>
          </w:rPr>
          <w:t>Plan</w:t>
        </w:r>
      </w:hyperlink>
      <w:r w:rsidR="0072347F">
        <w:rPr>
          <w:sz w:val="20"/>
          <w:szCs w:val="20"/>
        </w:rPr>
        <w:t xml:space="preserve"> and </w:t>
      </w:r>
      <w:hyperlink r:id="rId70" w:history="1">
        <w:r w:rsidR="0072347F" w:rsidRPr="00221FD4">
          <w:rPr>
            <w:rStyle w:val="Hyperlink"/>
            <w:sz w:val="20"/>
            <w:szCs w:val="20"/>
          </w:rPr>
          <w:t xml:space="preserve">Data Compliance </w:t>
        </w:r>
        <w:r w:rsidR="00382857" w:rsidRPr="00221FD4">
          <w:rPr>
            <w:rStyle w:val="Hyperlink"/>
            <w:sz w:val="20"/>
            <w:szCs w:val="20"/>
          </w:rPr>
          <w:t>P</w:t>
        </w:r>
        <w:r w:rsidR="0072347F" w:rsidRPr="00221FD4">
          <w:rPr>
            <w:rStyle w:val="Hyperlink"/>
            <w:sz w:val="20"/>
            <w:szCs w:val="20"/>
          </w:rPr>
          <w:t>olicy</w:t>
        </w:r>
      </w:hyperlink>
      <w:r w:rsidR="0072347F">
        <w:rPr>
          <w:sz w:val="20"/>
          <w:szCs w:val="20"/>
        </w:rPr>
        <w:t xml:space="preserve"> for further information.</w:t>
      </w:r>
    </w:p>
    <w:p w14:paraId="1A58E211" w14:textId="02E8D9AA" w:rsidR="00686288" w:rsidRDefault="00EE3E76" w:rsidP="00686288">
      <w:pPr>
        <w:rPr>
          <w:sz w:val="20"/>
          <w:szCs w:val="20"/>
        </w:rPr>
      </w:pPr>
      <w:r w:rsidRPr="00EE3E76">
        <w:rPr>
          <w:sz w:val="20"/>
          <w:szCs w:val="20"/>
        </w:rPr>
        <w:t xml:space="preserve">IHACPA </w:t>
      </w:r>
      <w:r w:rsidR="002A2DAB">
        <w:rPr>
          <w:sz w:val="20"/>
          <w:szCs w:val="20"/>
        </w:rPr>
        <w:t xml:space="preserve">collects data </w:t>
      </w:r>
      <w:r w:rsidRPr="00EE3E76">
        <w:rPr>
          <w:sz w:val="20"/>
          <w:szCs w:val="20"/>
        </w:rPr>
        <w:t>to develop the NEP and NEC each year</w:t>
      </w:r>
      <w:r w:rsidR="009B5F8F">
        <w:rPr>
          <w:sz w:val="20"/>
          <w:szCs w:val="20"/>
        </w:rPr>
        <w:t xml:space="preserve">. </w:t>
      </w:r>
      <w:r w:rsidR="00DC6721">
        <w:rPr>
          <w:sz w:val="20"/>
          <w:szCs w:val="20"/>
        </w:rPr>
        <w:t xml:space="preserve">Under the </w:t>
      </w:r>
      <w:r w:rsidR="00D81937">
        <w:rPr>
          <w:sz w:val="20"/>
          <w:szCs w:val="20"/>
        </w:rPr>
        <w:t>a</w:t>
      </w:r>
      <w:r w:rsidR="00DC6721" w:rsidRPr="00B52348">
        <w:rPr>
          <w:sz w:val="20"/>
          <w:szCs w:val="20"/>
        </w:rPr>
        <w:t>ddendum</w:t>
      </w:r>
      <w:r w:rsidR="002D67A8" w:rsidRPr="002D67A8">
        <w:rPr>
          <w:sz w:val="20"/>
          <w:szCs w:val="20"/>
        </w:rPr>
        <w:t xml:space="preserve">, jurisdictions </w:t>
      </w:r>
      <w:r w:rsidR="002D67A8">
        <w:rPr>
          <w:sz w:val="20"/>
          <w:szCs w:val="20"/>
        </w:rPr>
        <w:t xml:space="preserve">are required to </w:t>
      </w:r>
      <w:r w:rsidR="002D67A8" w:rsidRPr="002D67A8">
        <w:rPr>
          <w:sz w:val="20"/>
          <w:szCs w:val="20"/>
        </w:rPr>
        <w:t>work together</w:t>
      </w:r>
      <w:r w:rsidR="002D67A8">
        <w:rPr>
          <w:sz w:val="20"/>
          <w:szCs w:val="20"/>
        </w:rPr>
        <w:t xml:space="preserve"> </w:t>
      </w:r>
      <w:r w:rsidR="002D67A8" w:rsidRPr="002D67A8">
        <w:rPr>
          <w:sz w:val="20"/>
          <w:szCs w:val="20"/>
        </w:rPr>
        <w:t>with the national bodies to share and work towards best practice approaches to data quality and integrity</w:t>
      </w:r>
      <w:r w:rsidR="002D67A8">
        <w:rPr>
          <w:sz w:val="20"/>
          <w:szCs w:val="20"/>
        </w:rPr>
        <w:t>.</w:t>
      </w:r>
      <w:r w:rsidR="00254F9B">
        <w:rPr>
          <w:sz w:val="20"/>
          <w:szCs w:val="20"/>
        </w:rPr>
        <w:t xml:space="preserve"> </w:t>
      </w:r>
      <w:r w:rsidRPr="00EE3E76">
        <w:rPr>
          <w:sz w:val="20"/>
          <w:szCs w:val="20"/>
        </w:rPr>
        <w:t xml:space="preserve">IHACPA continues to </w:t>
      </w:r>
      <w:r w:rsidR="003B0012">
        <w:rPr>
          <w:sz w:val="20"/>
          <w:szCs w:val="20"/>
        </w:rPr>
        <w:t>receive</w:t>
      </w:r>
      <w:r w:rsidR="003B0012" w:rsidRPr="00EE3E76">
        <w:rPr>
          <w:sz w:val="20"/>
          <w:szCs w:val="20"/>
        </w:rPr>
        <w:t xml:space="preserve"> </w:t>
      </w:r>
      <w:r w:rsidRPr="00EE3E76">
        <w:rPr>
          <w:sz w:val="20"/>
          <w:szCs w:val="20"/>
        </w:rPr>
        <w:t>cost data for over 95% of admitted patient activity nationally.</w:t>
      </w:r>
    </w:p>
    <w:p w14:paraId="03879CD5" w14:textId="678EE913" w:rsidR="008903E8" w:rsidRPr="00254F9B" w:rsidRDefault="00BA7841" w:rsidP="00254F9B">
      <w:pPr>
        <w:rPr>
          <w:sz w:val="20"/>
          <w:szCs w:val="20"/>
        </w:rPr>
      </w:pPr>
      <w:r w:rsidRPr="00C900A5">
        <w:rPr>
          <w:iCs/>
          <w:lang w:val="en-PH"/>
        </w:rPr>
        <w:t>Australian Hospital Patient Costing Standards</w:t>
      </w:r>
      <w:r w:rsidR="003703E3" w:rsidRPr="00254F9B">
        <w:rPr>
          <w:rFonts w:cs="Arial"/>
          <w:sz w:val="20"/>
          <w:szCs w:val="20"/>
        </w:rPr>
        <w:t>NEP Determination 2026</w:t>
      </w:r>
      <w:r w:rsidR="003703E3" w:rsidRPr="00254F9B">
        <w:rPr>
          <w:sz w:val="20"/>
          <w:szCs w:val="20"/>
        </w:rPr>
        <w:t>–</w:t>
      </w:r>
      <w:r w:rsidR="003703E3" w:rsidRPr="00254F9B">
        <w:rPr>
          <w:rFonts w:cs="Arial"/>
          <w:sz w:val="20"/>
          <w:szCs w:val="20"/>
        </w:rPr>
        <w:t>27 (</w:t>
      </w:r>
      <w:r w:rsidR="00374FBD" w:rsidRPr="00254F9B">
        <w:rPr>
          <w:sz w:val="20"/>
          <w:szCs w:val="20"/>
        </w:rPr>
        <w:t>NEP26</w:t>
      </w:r>
      <w:r w:rsidR="003703E3" w:rsidRPr="00254F9B">
        <w:rPr>
          <w:sz w:val="20"/>
          <w:szCs w:val="20"/>
        </w:rPr>
        <w:t>)</w:t>
      </w:r>
      <w:r w:rsidR="00374FBD" w:rsidRPr="00254F9B">
        <w:rPr>
          <w:sz w:val="20"/>
          <w:szCs w:val="20"/>
        </w:rPr>
        <w:t xml:space="preserve"> is underpinned by </w:t>
      </w:r>
      <w:r w:rsidR="0099527B" w:rsidRPr="00254F9B">
        <w:rPr>
          <w:sz w:val="20"/>
          <w:szCs w:val="20"/>
        </w:rPr>
        <w:t>2023–24 cost data</w:t>
      </w:r>
      <w:r w:rsidR="00080372" w:rsidRPr="00254F9B">
        <w:rPr>
          <w:sz w:val="20"/>
          <w:szCs w:val="20"/>
        </w:rPr>
        <w:t xml:space="preserve">. For 2023–24, </w:t>
      </w:r>
      <w:r w:rsidR="00592CDC" w:rsidRPr="00254F9B">
        <w:rPr>
          <w:sz w:val="20"/>
          <w:szCs w:val="20"/>
        </w:rPr>
        <w:t>National Hospital Cost Data Collection (</w:t>
      </w:r>
      <w:r w:rsidR="00080372" w:rsidRPr="00254F9B">
        <w:rPr>
          <w:sz w:val="20"/>
          <w:szCs w:val="20"/>
        </w:rPr>
        <w:t>NHCDC</w:t>
      </w:r>
      <w:r w:rsidR="00592CDC" w:rsidRPr="00254F9B">
        <w:rPr>
          <w:sz w:val="20"/>
          <w:szCs w:val="20"/>
        </w:rPr>
        <w:t>)</w:t>
      </w:r>
      <w:r w:rsidR="00080372" w:rsidRPr="00254F9B">
        <w:rPr>
          <w:sz w:val="20"/>
          <w:szCs w:val="20"/>
        </w:rPr>
        <w:t xml:space="preserve"> submissions were guided by the </w:t>
      </w:r>
      <w:hyperlink r:id="rId71" w:history="1">
        <w:r w:rsidR="00080372" w:rsidRPr="00254F9B">
          <w:rPr>
            <w:rStyle w:val="Hyperlink"/>
            <w:sz w:val="20"/>
            <w:szCs w:val="20"/>
          </w:rPr>
          <w:t>Australian Hospital Patient Costing Standards</w:t>
        </w:r>
      </w:hyperlink>
      <w:r w:rsidR="0044611C" w:rsidRPr="00254F9B">
        <w:rPr>
          <w:sz w:val="20"/>
          <w:szCs w:val="20"/>
        </w:rPr>
        <w:t xml:space="preserve"> </w:t>
      </w:r>
      <w:r w:rsidR="00080372" w:rsidRPr="00254F9B">
        <w:rPr>
          <w:sz w:val="20"/>
          <w:szCs w:val="20"/>
        </w:rPr>
        <w:t>Version 4.2, which included minor updates</w:t>
      </w:r>
      <w:r w:rsidR="00351264" w:rsidRPr="00254F9B">
        <w:rPr>
          <w:sz w:val="20"/>
          <w:szCs w:val="20"/>
        </w:rPr>
        <w:t xml:space="preserve"> to</w:t>
      </w:r>
      <w:r w:rsidR="00080372" w:rsidRPr="00254F9B">
        <w:rPr>
          <w:sz w:val="20"/>
          <w:szCs w:val="20"/>
        </w:rPr>
        <w:t xml:space="preserve"> </w:t>
      </w:r>
      <w:r w:rsidR="00AD0585" w:rsidRPr="00254F9B">
        <w:rPr>
          <w:sz w:val="20"/>
          <w:szCs w:val="20"/>
        </w:rPr>
        <w:t xml:space="preserve">costing guidelines related to </w:t>
      </w:r>
      <w:r w:rsidR="002E75D1" w:rsidRPr="00254F9B">
        <w:rPr>
          <w:sz w:val="20"/>
          <w:szCs w:val="20"/>
        </w:rPr>
        <w:t>e</w:t>
      </w:r>
      <w:r w:rsidR="00080372" w:rsidRPr="00254F9B">
        <w:rPr>
          <w:sz w:val="20"/>
          <w:szCs w:val="20"/>
        </w:rPr>
        <w:t>mergency care, non</w:t>
      </w:r>
      <w:r w:rsidR="009C7418" w:rsidRPr="00254F9B">
        <w:rPr>
          <w:sz w:val="20"/>
          <w:szCs w:val="20"/>
        </w:rPr>
        <w:noBreakHyphen/>
      </w:r>
      <w:r w:rsidR="00080372" w:rsidRPr="00254F9B">
        <w:rPr>
          <w:sz w:val="20"/>
          <w:szCs w:val="20"/>
        </w:rPr>
        <w:t>admitted care</w:t>
      </w:r>
      <w:r w:rsidR="00735269" w:rsidRPr="00254F9B">
        <w:rPr>
          <w:sz w:val="20"/>
          <w:szCs w:val="20"/>
        </w:rPr>
        <w:t xml:space="preserve">, </w:t>
      </w:r>
      <w:r w:rsidR="00025F14" w:rsidRPr="00254F9B">
        <w:rPr>
          <w:sz w:val="20"/>
          <w:szCs w:val="20"/>
        </w:rPr>
        <w:t>mental health care</w:t>
      </w:r>
      <w:r w:rsidR="00080372" w:rsidRPr="00254F9B">
        <w:rPr>
          <w:sz w:val="20"/>
          <w:szCs w:val="20"/>
        </w:rPr>
        <w:t xml:space="preserve"> and contracted care</w:t>
      </w:r>
      <w:r w:rsidR="002E472D" w:rsidRPr="00254F9B">
        <w:rPr>
          <w:sz w:val="20"/>
          <w:szCs w:val="20"/>
        </w:rPr>
        <w:t>.</w:t>
      </w:r>
    </w:p>
    <w:p w14:paraId="1B6236E3" w14:textId="0B53D6FF" w:rsidR="00D26D55" w:rsidRDefault="001C1472" w:rsidP="002243BA">
      <w:pPr>
        <w:pStyle w:val="Heading2"/>
        <w:spacing w:before="240" w:after="160"/>
      </w:pPr>
      <w:r>
        <w:t>6.</w:t>
      </w:r>
      <w:r w:rsidR="00DA5713">
        <w:t>3</w:t>
      </w:r>
      <w:r>
        <w:t xml:space="preserve"> Assurance of cost data</w:t>
      </w:r>
    </w:p>
    <w:p w14:paraId="6DBDD869" w14:textId="2A6BB3CE" w:rsidR="003023A2" w:rsidRPr="00747CEB" w:rsidRDefault="00D26D55" w:rsidP="00906BBD">
      <w:pPr>
        <w:rPr>
          <w:sz w:val="20"/>
          <w:szCs w:val="20"/>
        </w:rPr>
      </w:pPr>
      <w:r>
        <w:rPr>
          <w:sz w:val="20"/>
          <w:szCs w:val="20"/>
        </w:rPr>
        <w:t xml:space="preserve">In the </w:t>
      </w:r>
      <w:r w:rsidRPr="00A74E79">
        <w:rPr>
          <w:sz w:val="20"/>
          <w:szCs w:val="20"/>
        </w:rPr>
        <w:t>Consultation Paper on the Pricing Framework for Australian Public Hospital Services 2026–27, stakeholders</w:t>
      </w:r>
      <w:r>
        <w:rPr>
          <w:sz w:val="20"/>
          <w:szCs w:val="20"/>
        </w:rPr>
        <w:t xml:space="preserve"> were asked how IHAC</w:t>
      </w:r>
      <w:r w:rsidR="00590FB8">
        <w:rPr>
          <w:sz w:val="20"/>
          <w:szCs w:val="20"/>
        </w:rPr>
        <w:t>PA</w:t>
      </w:r>
      <w:r>
        <w:rPr>
          <w:sz w:val="20"/>
          <w:szCs w:val="20"/>
        </w:rPr>
        <w:t xml:space="preserve"> can ensure the data received through the NHCDC continues to be accurate, robust and fit-for-purpose. </w:t>
      </w:r>
      <w:r w:rsidRPr="00A65738">
        <w:rPr>
          <w:sz w:val="20"/>
          <w:szCs w:val="20"/>
        </w:rPr>
        <w:t xml:space="preserve">Stakeholders broadly supported enhancements to the NHCDC Dashboard and data quality processes, calling for improved transparency, consistent costing standards, and tailored support for smaller </w:t>
      </w:r>
      <w:r w:rsidR="00BD79F0">
        <w:rPr>
          <w:sz w:val="20"/>
          <w:szCs w:val="20"/>
        </w:rPr>
        <w:t>states and territories</w:t>
      </w:r>
      <w:r w:rsidRPr="00A65738">
        <w:rPr>
          <w:sz w:val="20"/>
          <w:szCs w:val="20"/>
        </w:rPr>
        <w:t>. Key concerns</w:t>
      </w:r>
      <w:r>
        <w:rPr>
          <w:sz w:val="20"/>
          <w:szCs w:val="20"/>
        </w:rPr>
        <w:t xml:space="preserve"> raised</w:t>
      </w:r>
      <w:r w:rsidRPr="00A65738">
        <w:rPr>
          <w:sz w:val="20"/>
          <w:szCs w:val="20"/>
        </w:rPr>
        <w:t xml:space="preserve"> included workforce capability, </w:t>
      </w:r>
      <w:r w:rsidR="000D3FBD">
        <w:rPr>
          <w:sz w:val="20"/>
          <w:szCs w:val="20"/>
        </w:rPr>
        <w:t>the ability of</w:t>
      </w:r>
      <w:r w:rsidR="00193064">
        <w:rPr>
          <w:sz w:val="20"/>
          <w:szCs w:val="20"/>
        </w:rPr>
        <w:t xml:space="preserve"> </w:t>
      </w:r>
      <w:r w:rsidR="000D3FBD">
        <w:rPr>
          <w:sz w:val="20"/>
          <w:szCs w:val="20"/>
        </w:rPr>
        <w:t>states and territ</w:t>
      </w:r>
      <w:r w:rsidR="005B7C71">
        <w:rPr>
          <w:sz w:val="20"/>
          <w:szCs w:val="20"/>
        </w:rPr>
        <w:t>ories to meet data submission requirements</w:t>
      </w:r>
      <w:r w:rsidR="00590FB8">
        <w:rPr>
          <w:sz w:val="20"/>
          <w:szCs w:val="20"/>
        </w:rPr>
        <w:t xml:space="preserve"> </w:t>
      </w:r>
      <w:r w:rsidRPr="00A65738">
        <w:rPr>
          <w:sz w:val="20"/>
          <w:szCs w:val="20"/>
        </w:rPr>
        <w:t>and clearer roles and responsibilities across health systems</w:t>
      </w:r>
      <w:r>
        <w:rPr>
          <w:sz w:val="20"/>
          <w:szCs w:val="20"/>
        </w:rPr>
        <w:t xml:space="preserve">. </w:t>
      </w:r>
      <w:r>
        <w:rPr>
          <w:rFonts w:cs="Arial"/>
          <w:sz w:val="20"/>
          <w:szCs w:val="20"/>
        </w:rPr>
        <w:t>Further detail is provided in the</w:t>
      </w:r>
      <w:r w:rsidRPr="005F43A8">
        <w:rPr>
          <w:rFonts w:cs="Arial"/>
          <w:sz w:val="20"/>
          <w:szCs w:val="20"/>
        </w:rPr>
        <w:t xml:space="preserve"> consultation report.</w:t>
      </w:r>
    </w:p>
    <w:p w14:paraId="039C77C1" w14:textId="0D5CC9DA" w:rsidR="007C7B6B" w:rsidRPr="00C900A5" w:rsidRDefault="007C7B6B" w:rsidP="008572F8">
      <w:pPr>
        <w:pStyle w:val="Heading3"/>
        <w:spacing w:after="160"/>
        <w:rPr>
          <w:b w:val="0"/>
          <w:iCs/>
          <w:lang w:val="en-PH"/>
        </w:rPr>
      </w:pPr>
      <w:r w:rsidRPr="00C900A5">
        <w:rPr>
          <w:iCs/>
          <w:color w:val="15272F" w:themeColor="text1"/>
          <w:sz w:val="22"/>
          <w:szCs w:val="22"/>
          <w:lang w:val="en-PH"/>
        </w:rPr>
        <w:lastRenderedPageBreak/>
        <w:t>Data Quality Framework</w:t>
      </w:r>
    </w:p>
    <w:p w14:paraId="478E8B5F" w14:textId="466B69D4" w:rsidR="00F2185C" w:rsidRDefault="005C1925" w:rsidP="005C1925">
      <w:pPr>
        <w:rPr>
          <w:sz w:val="20"/>
          <w:szCs w:val="20"/>
        </w:rPr>
      </w:pPr>
      <w:r>
        <w:rPr>
          <w:sz w:val="20"/>
          <w:szCs w:val="20"/>
        </w:rPr>
        <w:t xml:space="preserve">IHACPA </w:t>
      </w:r>
      <w:r w:rsidR="00566A26">
        <w:rPr>
          <w:sz w:val="20"/>
          <w:szCs w:val="20"/>
        </w:rPr>
        <w:t xml:space="preserve">developed </w:t>
      </w:r>
      <w:r>
        <w:rPr>
          <w:sz w:val="20"/>
          <w:szCs w:val="20"/>
        </w:rPr>
        <w:t>a</w:t>
      </w:r>
      <w:r w:rsidRPr="00E247D6">
        <w:rPr>
          <w:sz w:val="20"/>
          <w:szCs w:val="20"/>
        </w:rPr>
        <w:t xml:space="preserve"> </w:t>
      </w:r>
      <w:hyperlink r:id="rId72" w:history="1">
        <w:r w:rsidR="00E247D6" w:rsidRPr="00E247D6">
          <w:rPr>
            <w:rStyle w:val="Hyperlink"/>
            <w:sz w:val="20"/>
            <w:szCs w:val="20"/>
          </w:rPr>
          <w:t>Data Quality Framework</w:t>
        </w:r>
      </w:hyperlink>
      <w:r w:rsidR="00E247D6">
        <w:rPr>
          <w:sz w:val="20"/>
          <w:szCs w:val="20"/>
        </w:rPr>
        <w:t xml:space="preserve"> </w:t>
      </w:r>
      <w:r w:rsidRPr="006721DB">
        <w:rPr>
          <w:sz w:val="20"/>
          <w:szCs w:val="20"/>
        </w:rPr>
        <w:t>to</w:t>
      </w:r>
      <w:r>
        <w:rPr>
          <w:sz w:val="20"/>
          <w:szCs w:val="20"/>
        </w:rPr>
        <w:t xml:space="preserve"> </w:t>
      </w:r>
      <w:r w:rsidRPr="005C1925">
        <w:rPr>
          <w:sz w:val="20"/>
          <w:szCs w:val="20"/>
        </w:rPr>
        <w:t>enable</w:t>
      </w:r>
      <w:r>
        <w:rPr>
          <w:sz w:val="20"/>
          <w:szCs w:val="20"/>
        </w:rPr>
        <w:t xml:space="preserve"> </w:t>
      </w:r>
      <w:r w:rsidRPr="005C1925">
        <w:rPr>
          <w:sz w:val="20"/>
          <w:szCs w:val="20"/>
        </w:rPr>
        <w:t>consistent assessment, understanding, communication, and management of data</w:t>
      </w:r>
      <w:r>
        <w:rPr>
          <w:sz w:val="20"/>
          <w:szCs w:val="20"/>
        </w:rPr>
        <w:t xml:space="preserve"> </w:t>
      </w:r>
      <w:r w:rsidRPr="005C1925">
        <w:rPr>
          <w:sz w:val="20"/>
          <w:szCs w:val="20"/>
        </w:rPr>
        <w:t>quality throughout the data lifecycle.</w:t>
      </w:r>
      <w:r w:rsidR="00D47683">
        <w:rPr>
          <w:sz w:val="20"/>
          <w:szCs w:val="20"/>
        </w:rPr>
        <w:t xml:space="preserve"> This</w:t>
      </w:r>
      <w:r w:rsidR="001B2CB1">
        <w:rPr>
          <w:sz w:val="20"/>
          <w:szCs w:val="20"/>
        </w:rPr>
        <w:t xml:space="preserve"> </w:t>
      </w:r>
      <w:r w:rsidR="00D71A28">
        <w:rPr>
          <w:sz w:val="20"/>
          <w:szCs w:val="20"/>
        </w:rPr>
        <w:t xml:space="preserve">project was developed </w:t>
      </w:r>
      <w:r w:rsidR="00E45AD1">
        <w:rPr>
          <w:sz w:val="20"/>
          <w:szCs w:val="20"/>
        </w:rPr>
        <w:t xml:space="preserve">in consultation with the jurisdictions </w:t>
      </w:r>
      <w:r w:rsidR="00D71A28">
        <w:rPr>
          <w:sz w:val="20"/>
          <w:szCs w:val="20"/>
        </w:rPr>
        <w:t>f</w:t>
      </w:r>
      <w:r w:rsidR="00E45AD1">
        <w:rPr>
          <w:sz w:val="20"/>
          <w:szCs w:val="20"/>
        </w:rPr>
        <w:t>ollowing</w:t>
      </w:r>
      <w:r w:rsidR="00D71A28">
        <w:rPr>
          <w:sz w:val="20"/>
          <w:szCs w:val="20"/>
        </w:rPr>
        <w:t xml:space="preserve"> a </w:t>
      </w:r>
      <w:r w:rsidR="00853886">
        <w:rPr>
          <w:sz w:val="20"/>
          <w:szCs w:val="20"/>
        </w:rPr>
        <w:t>recommendation</w:t>
      </w:r>
      <w:r w:rsidR="00D71A28">
        <w:rPr>
          <w:sz w:val="20"/>
          <w:szCs w:val="20"/>
        </w:rPr>
        <w:t xml:space="preserve"> </w:t>
      </w:r>
      <w:r w:rsidR="009D75D2">
        <w:rPr>
          <w:sz w:val="20"/>
          <w:szCs w:val="20"/>
        </w:rPr>
        <w:t>from</w:t>
      </w:r>
      <w:r w:rsidR="00D71A28">
        <w:rPr>
          <w:sz w:val="20"/>
          <w:szCs w:val="20"/>
        </w:rPr>
        <w:t xml:space="preserve"> </w:t>
      </w:r>
      <w:r w:rsidR="00853886">
        <w:rPr>
          <w:sz w:val="20"/>
          <w:szCs w:val="20"/>
        </w:rPr>
        <w:t xml:space="preserve">the </w:t>
      </w:r>
      <w:hyperlink r:id="rId73" w:history="1">
        <w:r w:rsidR="00853886" w:rsidRPr="00921401">
          <w:rPr>
            <w:rStyle w:val="Hyperlink"/>
            <w:sz w:val="20"/>
            <w:szCs w:val="20"/>
          </w:rPr>
          <w:t>NHCDC Public Sector Review Report 2021–22</w:t>
        </w:r>
      </w:hyperlink>
      <w:r w:rsidR="004E6F11">
        <w:rPr>
          <w:sz w:val="20"/>
          <w:szCs w:val="20"/>
        </w:rPr>
        <w:t>.</w:t>
      </w:r>
      <w:r w:rsidR="006520DB">
        <w:rPr>
          <w:sz w:val="20"/>
          <w:szCs w:val="20"/>
        </w:rPr>
        <w:t xml:space="preserve"> </w:t>
      </w:r>
      <w:r w:rsidR="00692936">
        <w:rPr>
          <w:sz w:val="20"/>
          <w:szCs w:val="20"/>
        </w:rPr>
        <w:t>Th</w:t>
      </w:r>
      <w:r w:rsidR="00F2185C">
        <w:rPr>
          <w:sz w:val="20"/>
          <w:szCs w:val="20"/>
        </w:rPr>
        <w:t xml:space="preserve">e recommendations </w:t>
      </w:r>
      <w:r w:rsidR="000212D7">
        <w:rPr>
          <w:sz w:val="20"/>
          <w:szCs w:val="20"/>
        </w:rPr>
        <w:t xml:space="preserve">from this project will inform future improvements to </w:t>
      </w:r>
      <w:r w:rsidR="00D71A28">
        <w:rPr>
          <w:sz w:val="20"/>
          <w:szCs w:val="20"/>
        </w:rPr>
        <w:t>IHACPA’s data collections</w:t>
      </w:r>
      <w:r w:rsidR="000212D7">
        <w:rPr>
          <w:sz w:val="20"/>
          <w:szCs w:val="20"/>
        </w:rPr>
        <w:t>.</w:t>
      </w:r>
    </w:p>
    <w:p w14:paraId="268F5ACD" w14:textId="41821DB2" w:rsidR="000D33A8" w:rsidRDefault="000D33A8" w:rsidP="005C1925">
      <w:pPr>
        <w:rPr>
          <w:sz w:val="20"/>
          <w:szCs w:val="20"/>
        </w:rPr>
      </w:pPr>
      <w:r w:rsidRPr="000D33A8">
        <w:rPr>
          <w:sz w:val="20"/>
          <w:szCs w:val="20"/>
        </w:rPr>
        <w:t xml:space="preserve">The Data Quality Framework sets out to provide a systematic and methodological rigour to IHACPA’s data quality processes at each stage of the data lifecycle. </w:t>
      </w:r>
      <w:r w:rsidR="00AC015C">
        <w:rPr>
          <w:sz w:val="20"/>
          <w:szCs w:val="20"/>
        </w:rPr>
        <w:t>Th</w:t>
      </w:r>
      <w:r w:rsidR="00E264CE">
        <w:rPr>
          <w:sz w:val="20"/>
          <w:szCs w:val="20"/>
        </w:rPr>
        <w:t>e</w:t>
      </w:r>
      <w:r w:rsidR="00AC015C">
        <w:rPr>
          <w:sz w:val="20"/>
          <w:szCs w:val="20"/>
        </w:rPr>
        <w:t xml:space="preserve"> framework</w:t>
      </w:r>
      <w:r w:rsidR="004E6F11">
        <w:rPr>
          <w:sz w:val="20"/>
          <w:szCs w:val="20"/>
        </w:rPr>
        <w:t xml:space="preserve"> </w:t>
      </w:r>
      <w:r w:rsidR="00AC015C">
        <w:rPr>
          <w:sz w:val="20"/>
          <w:szCs w:val="20"/>
        </w:rPr>
        <w:t>include</w:t>
      </w:r>
      <w:r w:rsidR="00E247D6">
        <w:rPr>
          <w:sz w:val="20"/>
          <w:szCs w:val="20"/>
        </w:rPr>
        <w:t>s</w:t>
      </w:r>
      <w:r w:rsidRPr="000D33A8">
        <w:rPr>
          <w:sz w:val="20"/>
          <w:szCs w:val="20"/>
        </w:rPr>
        <w:t xml:space="preserve"> clear definitions and approaches to determine data quality, enable consistency in data quality related processes, and outline what tools, systems, and stakeholders are involved in supporting data quality outcomes.</w:t>
      </w:r>
    </w:p>
    <w:p w14:paraId="21BBFBDB" w14:textId="6F9AA89C" w:rsidR="00686288" w:rsidRPr="00C900A5" w:rsidRDefault="00EA5FCD" w:rsidP="00C900A5">
      <w:pPr>
        <w:pStyle w:val="Heading3"/>
        <w:rPr>
          <w:b w:val="0"/>
          <w:iCs/>
          <w:lang w:val="en-PH"/>
        </w:rPr>
      </w:pPr>
      <w:r w:rsidRPr="00C900A5">
        <w:rPr>
          <w:iCs/>
          <w:color w:val="15272F" w:themeColor="text1"/>
          <w:sz w:val="22"/>
          <w:szCs w:val="22"/>
          <w:lang w:val="en-PH"/>
        </w:rPr>
        <w:t>NHCDC Dashboard</w:t>
      </w:r>
    </w:p>
    <w:p w14:paraId="1C7A98F4" w14:textId="4424E217" w:rsidR="00EA5FCD" w:rsidRDefault="00A06494" w:rsidP="00686288">
      <w:pPr>
        <w:rPr>
          <w:sz w:val="20"/>
          <w:szCs w:val="20"/>
        </w:rPr>
      </w:pPr>
      <w:r>
        <w:rPr>
          <w:sz w:val="20"/>
          <w:szCs w:val="20"/>
        </w:rPr>
        <w:t>In July</w:t>
      </w:r>
      <w:r w:rsidR="00583415">
        <w:rPr>
          <w:sz w:val="20"/>
          <w:szCs w:val="20"/>
        </w:rPr>
        <w:t xml:space="preserve"> 2023, IHACPA began</w:t>
      </w:r>
      <w:r w:rsidR="0078197E">
        <w:rPr>
          <w:sz w:val="20"/>
          <w:szCs w:val="20"/>
        </w:rPr>
        <w:t xml:space="preserve"> the development of the NHCDC </w:t>
      </w:r>
      <w:r w:rsidR="000F6F11">
        <w:rPr>
          <w:sz w:val="20"/>
          <w:szCs w:val="20"/>
        </w:rPr>
        <w:t>D</w:t>
      </w:r>
      <w:r w:rsidR="0078197E">
        <w:rPr>
          <w:sz w:val="20"/>
          <w:szCs w:val="20"/>
        </w:rPr>
        <w:t>ashboard to improve</w:t>
      </w:r>
      <w:r w:rsidR="00C1531C">
        <w:rPr>
          <w:sz w:val="20"/>
          <w:szCs w:val="20"/>
        </w:rPr>
        <w:t xml:space="preserve"> the</w:t>
      </w:r>
      <w:r w:rsidR="0078197E">
        <w:rPr>
          <w:sz w:val="20"/>
          <w:szCs w:val="20"/>
        </w:rPr>
        <w:t xml:space="preserve"> </w:t>
      </w:r>
      <w:r w:rsidR="000F6F11">
        <w:rPr>
          <w:sz w:val="20"/>
          <w:szCs w:val="20"/>
        </w:rPr>
        <w:t>timeliness of producing</w:t>
      </w:r>
      <w:r w:rsidR="0078197E">
        <w:rPr>
          <w:sz w:val="20"/>
          <w:szCs w:val="20"/>
        </w:rPr>
        <w:t xml:space="preserve"> </w:t>
      </w:r>
      <w:r w:rsidR="000F6F11">
        <w:rPr>
          <w:sz w:val="20"/>
          <w:szCs w:val="20"/>
        </w:rPr>
        <w:t>state and territory quality assurance and cost weight reports.</w:t>
      </w:r>
      <w:r w:rsidR="006C3D49">
        <w:rPr>
          <w:sz w:val="20"/>
          <w:szCs w:val="20"/>
        </w:rPr>
        <w:t xml:space="preserve"> </w:t>
      </w:r>
      <w:r w:rsidR="006C3D49" w:rsidRPr="006C3D49">
        <w:rPr>
          <w:sz w:val="20"/>
          <w:szCs w:val="20"/>
        </w:rPr>
        <w:t xml:space="preserve">The NHCDC </w:t>
      </w:r>
      <w:r w:rsidR="00A475F2">
        <w:rPr>
          <w:sz w:val="20"/>
          <w:szCs w:val="20"/>
        </w:rPr>
        <w:t>D</w:t>
      </w:r>
      <w:r w:rsidR="006C3D49" w:rsidRPr="006C3D49">
        <w:rPr>
          <w:sz w:val="20"/>
          <w:szCs w:val="20"/>
        </w:rPr>
        <w:t>ashboard provide</w:t>
      </w:r>
      <w:r w:rsidR="00143B4F">
        <w:rPr>
          <w:sz w:val="20"/>
          <w:szCs w:val="20"/>
        </w:rPr>
        <w:t>s</w:t>
      </w:r>
      <w:r w:rsidR="00BD79F0" w:rsidRPr="00BD79F0">
        <w:rPr>
          <w:sz w:val="20"/>
          <w:szCs w:val="20"/>
        </w:rPr>
        <w:t xml:space="preserve"> </w:t>
      </w:r>
      <w:r w:rsidR="00BD79F0">
        <w:rPr>
          <w:sz w:val="20"/>
          <w:szCs w:val="20"/>
        </w:rPr>
        <w:t xml:space="preserve">states and territories </w:t>
      </w:r>
      <w:r w:rsidR="006C3D49" w:rsidRPr="006C3D49">
        <w:rPr>
          <w:sz w:val="20"/>
          <w:szCs w:val="20"/>
        </w:rPr>
        <w:t>with visual summaries of their NHCDC data submission to support their review and reconciliation</w:t>
      </w:r>
      <w:r w:rsidR="009615E8">
        <w:rPr>
          <w:sz w:val="20"/>
          <w:szCs w:val="20"/>
        </w:rPr>
        <w:t>.</w:t>
      </w:r>
      <w:r w:rsidR="00066B17">
        <w:rPr>
          <w:sz w:val="20"/>
          <w:szCs w:val="20"/>
        </w:rPr>
        <w:t xml:space="preserve"> </w:t>
      </w:r>
      <w:r w:rsidR="009615E8">
        <w:rPr>
          <w:sz w:val="20"/>
          <w:szCs w:val="20"/>
        </w:rPr>
        <w:t>A</w:t>
      </w:r>
      <w:r w:rsidR="006C3D49" w:rsidRPr="006C3D49">
        <w:rPr>
          <w:sz w:val="20"/>
          <w:szCs w:val="20"/>
        </w:rPr>
        <w:t xml:space="preserve"> summary of their submissions</w:t>
      </w:r>
      <w:r w:rsidR="009615E8">
        <w:rPr>
          <w:sz w:val="20"/>
          <w:szCs w:val="20"/>
        </w:rPr>
        <w:t>,</w:t>
      </w:r>
      <w:r w:rsidR="006C3D49" w:rsidRPr="006C3D49">
        <w:rPr>
          <w:sz w:val="20"/>
          <w:szCs w:val="20"/>
        </w:rPr>
        <w:t xml:space="preserve"> after finalisation</w:t>
      </w:r>
      <w:r w:rsidR="009615E8">
        <w:rPr>
          <w:sz w:val="20"/>
          <w:szCs w:val="20"/>
        </w:rPr>
        <w:t>, also assists</w:t>
      </w:r>
      <w:r w:rsidR="006C3D49" w:rsidRPr="006C3D49">
        <w:rPr>
          <w:sz w:val="20"/>
          <w:szCs w:val="20"/>
        </w:rPr>
        <w:t xml:space="preserve"> benchmark</w:t>
      </w:r>
      <w:r w:rsidR="009615E8">
        <w:rPr>
          <w:sz w:val="20"/>
          <w:szCs w:val="20"/>
        </w:rPr>
        <w:t>ing</w:t>
      </w:r>
      <w:r w:rsidR="006C3D49" w:rsidRPr="006C3D49">
        <w:rPr>
          <w:sz w:val="20"/>
          <w:szCs w:val="20"/>
        </w:rPr>
        <w:t xml:space="preserve"> the cost of delivering services against the national average.</w:t>
      </w:r>
    </w:p>
    <w:p w14:paraId="43270C5F" w14:textId="354209B0" w:rsidR="00363055" w:rsidRDefault="00F802D0" w:rsidP="00AA11D8">
      <w:pPr>
        <w:rPr>
          <w:sz w:val="20"/>
          <w:szCs w:val="20"/>
        </w:rPr>
      </w:pPr>
      <w:r>
        <w:rPr>
          <w:sz w:val="20"/>
          <w:szCs w:val="20"/>
        </w:rPr>
        <w:t xml:space="preserve">In January 2025, IHACPA released the NHCDC </w:t>
      </w:r>
      <w:r w:rsidR="00A475F2">
        <w:rPr>
          <w:sz w:val="20"/>
          <w:szCs w:val="20"/>
        </w:rPr>
        <w:t>D</w:t>
      </w:r>
      <w:r>
        <w:rPr>
          <w:sz w:val="20"/>
          <w:szCs w:val="20"/>
        </w:rPr>
        <w:t xml:space="preserve">ashboard to </w:t>
      </w:r>
      <w:r w:rsidR="000F6F11">
        <w:rPr>
          <w:sz w:val="20"/>
          <w:szCs w:val="20"/>
        </w:rPr>
        <w:t>states and territories</w:t>
      </w:r>
      <w:r>
        <w:rPr>
          <w:sz w:val="20"/>
          <w:szCs w:val="20"/>
        </w:rPr>
        <w:t xml:space="preserve"> in preparation for the NHCDC 2023–24.</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363055" w:rsidRPr="0053204D" w14:paraId="096ED2A8" w14:textId="77777777" w:rsidTr="0019067A">
        <w:tc>
          <w:tcPr>
            <w:tcW w:w="851" w:type="dxa"/>
            <w:shd w:val="clear" w:color="auto" w:fill="B5FFE0" w:themeFill="accent4" w:themeFillTint="33"/>
          </w:tcPr>
          <w:p w14:paraId="4C12763F" w14:textId="77777777" w:rsidR="00363055" w:rsidRPr="0053204D" w:rsidRDefault="00363055" w:rsidP="0019067A">
            <w:pPr>
              <w:jc w:val="center"/>
              <w:rPr>
                <w:sz w:val="18"/>
                <w:szCs w:val="18"/>
              </w:rPr>
            </w:pPr>
            <w:r w:rsidRPr="0053204D">
              <w:rPr>
                <w:noProof/>
                <w:sz w:val="18"/>
                <w:szCs w:val="18"/>
              </w:rPr>
              <w:drawing>
                <wp:inline distT="0" distB="0" distL="0" distR="0" wp14:anchorId="7B943D76" wp14:editId="0106CE2F">
                  <wp:extent cx="266700" cy="266700"/>
                  <wp:effectExtent l="0" t="0" r="0" b="0"/>
                  <wp:docPr id="773989768" name="Picture 773989768"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7B4F31A4" w14:textId="77777777" w:rsidR="00363055" w:rsidRPr="004A7F49" w:rsidRDefault="00363055" w:rsidP="00BE53FE">
            <w:pPr>
              <w:pStyle w:val="Heading4"/>
              <w:rPr>
                <w:sz w:val="20"/>
                <w:szCs w:val="20"/>
              </w:rPr>
            </w:pPr>
            <w:r w:rsidRPr="0072273B">
              <w:rPr>
                <w:sz w:val="20"/>
                <w:szCs w:val="20"/>
              </w:rPr>
              <w:t>IHACPA’s decision</w:t>
            </w:r>
          </w:p>
          <w:p w14:paraId="3B7E6C31" w14:textId="18656844" w:rsidR="004E1139" w:rsidRPr="004E1139" w:rsidRDefault="004E1139" w:rsidP="008572F8">
            <w:pPr>
              <w:spacing w:after="120"/>
              <w:rPr>
                <w:sz w:val="20"/>
                <w:szCs w:val="20"/>
                <w:lang w:val="en-PH"/>
              </w:rPr>
            </w:pPr>
            <w:r w:rsidRPr="004E1139">
              <w:rPr>
                <w:sz w:val="20"/>
                <w:szCs w:val="20"/>
                <w:lang w:val="en-PH"/>
              </w:rPr>
              <w:t xml:space="preserve">IHACPA is currently working with its advisory committees to improve the quality of IHACPA’s data collections including the </w:t>
            </w:r>
            <w:r w:rsidR="00293D2C">
              <w:rPr>
                <w:sz w:val="20"/>
                <w:szCs w:val="20"/>
                <w:lang w:val="en-PH"/>
              </w:rPr>
              <w:t>activity based funding (</w:t>
            </w:r>
            <w:r w:rsidRPr="004E1139">
              <w:rPr>
                <w:sz w:val="20"/>
                <w:szCs w:val="20"/>
                <w:lang w:val="en-PH"/>
              </w:rPr>
              <w:t>ABF</w:t>
            </w:r>
            <w:r w:rsidR="00293D2C">
              <w:rPr>
                <w:sz w:val="20"/>
                <w:szCs w:val="20"/>
                <w:lang w:val="en-PH"/>
              </w:rPr>
              <w:t>)</w:t>
            </w:r>
            <w:r w:rsidRPr="004E1139">
              <w:rPr>
                <w:sz w:val="20"/>
                <w:szCs w:val="20"/>
                <w:lang w:val="en-PH"/>
              </w:rPr>
              <w:t xml:space="preserve"> activity data and the NHCDC, ensuring data collections are robust and fit-for-purpose. Throughout 2024 and 2025 this has included</w:t>
            </w:r>
            <w:r>
              <w:rPr>
                <w:sz w:val="20"/>
                <w:szCs w:val="20"/>
                <w:lang w:val="en-PH"/>
              </w:rPr>
              <w:t>:</w:t>
            </w:r>
          </w:p>
          <w:p w14:paraId="7C0958D8" w14:textId="24EDD2E6" w:rsidR="004E1139" w:rsidRPr="000552BC" w:rsidRDefault="004E1139" w:rsidP="008572F8">
            <w:pPr>
              <w:pStyle w:val="ListParagraph"/>
              <w:numPr>
                <w:ilvl w:val="0"/>
                <w:numId w:val="33"/>
              </w:numPr>
              <w:spacing w:after="120"/>
              <w:ind w:left="723"/>
              <w:rPr>
                <w:sz w:val="20"/>
              </w:rPr>
            </w:pPr>
            <w:r w:rsidRPr="000552BC">
              <w:rPr>
                <w:sz w:val="20"/>
              </w:rPr>
              <w:t>review</w:t>
            </w:r>
            <w:r w:rsidR="00B140AC" w:rsidRPr="000552BC">
              <w:rPr>
                <w:sz w:val="20"/>
              </w:rPr>
              <w:t>ing</w:t>
            </w:r>
            <w:r w:rsidRPr="000552BC">
              <w:rPr>
                <w:sz w:val="20"/>
              </w:rPr>
              <w:t xml:space="preserve"> and refin</w:t>
            </w:r>
            <w:r w:rsidR="00B140AC" w:rsidRPr="000552BC">
              <w:rPr>
                <w:sz w:val="20"/>
              </w:rPr>
              <w:t>ing</w:t>
            </w:r>
            <w:r w:rsidRPr="000552BC">
              <w:rPr>
                <w:sz w:val="20"/>
              </w:rPr>
              <w:t xml:space="preserve"> the Data Quality Framework project</w:t>
            </w:r>
          </w:p>
          <w:p w14:paraId="4814CC3A" w14:textId="4CB5E418" w:rsidR="004E1139" w:rsidRPr="000552BC" w:rsidRDefault="004E1139" w:rsidP="008572F8">
            <w:pPr>
              <w:pStyle w:val="ListParagraph"/>
              <w:numPr>
                <w:ilvl w:val="0"/>
                <w:numId w:val="33"/>
              </w:numPr>
              <w:spacing w:after="120"/>
              <w:ind w:left="723"/>
              <w:rPr>
                <w:sz w:val="20"/>
              </w:rPr>
            </w:pPr>
            <w:r w:rsidRPr="000552BC">
              <w:rPr>
                <w:sz w:val="20"/>
              </w:rPr>
              <w:t>undertak</w:t>
            </w:r>
            <w:r w:rsidR="00B140AC" w:rsidRPr="000552BC">
              <w:rPr>
                <w:sz w:val="20"/>
              </w:rPr>
              <w:t>ing</w:t>
            </w:r>
            <w:r w:rsidRPr="000552BC">
              <w:rPr>
                <w:sz w:val="20"/>
              </w:rPr>
              <w:t xml:space="preserve"> an Independent Financial Review of the NHCDC 2023–24 to ensure the NHCDC continues to be robust and fit-for-purpose for NEP26</w:t>
            </w:r>
            <w:r w:rsidR="00B140AC" w:rsidRPr="000552BC">
              <w:rPr>
                <w:sz w:val="20"/>
              </w:rPr>
              <w:t>.</w:t>
            </w:r>
          </w:p>
          <w:p w14:paraId="0FAD60FF" w14:textId="5A7B7C47" w:rsidR="00363055" w:rsidRPr="008851C7" w:rsidRDefault="004E1139" w:rsidP="008572F8">
            <w:pPr>
              <w:pStyle w:val="ListParagraph"/>
              <w:numPr>
                <w:ilvl w:val="0"/>
                <w:numId w:val="33"/>
              </w:numPr>
              <w:spacing w:after="120"/>
              <w:ind w:left="723"/>
              <w:rPr>
                <w:sz w:val="20"/>
                <w:szCs w:val="20"/>
                <w:lang w:val="en-PH"/>
              </w:rPr>
            </w:pPr>
            <w:r w:rsidRPr="000552BC">
              <w:rPr>
                <w:sz w:val="20"/>
              </w:rPr>
              <w:t>present</w:t>
            </w:r>
            <w:r w:rsidR="00B140AC" w:rsidRPr="000552BC">
              <w:rPr>
                <w:sz w:val="20"/>
              </w:rPr>
              <w:t>ing</w:t>
            </w:r>
            <w:r w:rsidRPr="000552BC">
              <w:rPr>
                <w:sz w:val="20"/>
              </w:rPr>
              <w:t xml:space="preserve"> quality assurance of NHCDC through a dashboard which facilitates review and quality assurance of NHCDC data on submission.</w:t>
            </w:r>
          </w:p>
        </w:tc>
      </w:tr>
    </w:tbl>
    <w:p w14:paraId="2997F05E" w14:textId="79E0CB16" w:rsidR="00686288" w:rsidRPr="00C900A5" w:rsidRDefault="00B16199" w:rsidP="008572F8">
      <w:pPr>
        <w:pStyle w:val="Heading3"/>
        <w:spacing w:before="240"/>
        <w:rPr>
          <w:b w:val="0"/>
          <w:iCs/>
          <w:lang w:val="en-PH"/>
        </w:rPr>
      </w:pPr>
      <w:r w:rsidRPr="00C900A5">
        <w:rPr>
          <w:iCs/>
          <w:color w:val="15272F" w:themeColor="text1"/>
          <w:sz w:val="22"/>
          <w:szCs w:val="22"/>
          <w:lang w:val="en-PH"/>
        </w:rPr>
        <w:t xml:space="preserve">Cost Bucket Review </w:t>
      </w:r>
    </w:p>
    <w:p w14:paraId="7E6DD231" w14:textId="52C08092" w:rsidR="00B16199" w:rsidRDefault="000E1150" w:rsidP="000E1150">
      <w:pPr>
        <w:rPr>
          <w:sz w:val="20"/>
          <w:szCs w:val="20"/>
        </w:rPr>
      </w:pPr>
      <w:r>
        <w:rPr>
          <w:sz w:val="20"/>
          <w:szCs w:val="20"/>
        </w:rPr>
        <w:t xml:space="preserve">In </w:t>
      </w:r>
      <w:r w:rsidR="00AD5CC8">
        <w:rPr>
          <w:sz w:val="20"/>
          <w:szCs w:val="20"/>
        </w:rPr>
        <w:t>July</w:t>
      </w:r>
      <w:r w:rsidRPr="000E1150">
        <w:rPr>
          <w:sz w:val="20"/>
          <w:szCs w:val="20"/>
        </w:rPr>
        <w:t xml:space="preserve"> 2024, IHACPA commenced the </w:t>
      </w:r>
      <w:hyperlink r:id="rId74" w:history="1">
        <w:r w:rsidR="00AD1814" w:rsidRPr="00AD1814">
          <w:rPr>
            <w:rStyle w:val="Hyperlink"/>
            <w:sz w:val="20"/>
            <w:szCs w:val="20"/>
          </w:rPr>
          <w:t>Cost Bucket Review</w:t>
        </w:r>
      </w:hyperlink>
      <w:r w:rsidR="00AD1814">
        <w:rPr>
          <w:sz w:val="20"/>
          <w:szCs w:val="20"/>
        </w:rPr>
        <w:t xml:space="preserve"> </w:t>
      </w:r>
      <w:r w:rsidRPr="000E1150">
        <w:rPr>
          <w:sz w:val="20"/>
          <w:szCs w:val="20"/>
        </w:rPr>
        <w:t xml:space="preserve">to </w:t>
      </w:r>
      <w:r w:rsidR="00FD1930">
        <w:rPr>
          <w:sz w:val="20"/>
          <w:szCs w:val="20"/>
        </w:rPr>
        <w:t>explore</w:t>
      </w:r>
      <w:r w:rsidRPr="000E1150">
        <w:rPr>
          <w:sz w:val="20"/>
          <w:szCs w:val="20"/>
        </w:rPr>
        <w:t xml:space="preserve"> the use of cost centres and</w:t>
      </w:r>
      <w:r>
        <w:rPr>
          <w:sz w:val="20"/>
          <w:szCs w:val="20"/>
        </w:rPr>
        <w:t xml:space="preserve"> </w:t>
      </w:r>
      <w:r w:rsidRPr="000E1150">
        <w:rPr>
          <w:sz w:val="20"/>
          <w:szCs w:val="20"/>
        </w:rPr>
        <w:t>line items across the NHCDC public and private sectors.</w:t>
      </w:r>
    </w:p>
    <w:p w14:paraId="43B24ABD" w14:textId="6EB9DFAD" w:rsidR="00161FFD" w:rsidRPr="00161FFD" w:rsidRDefault="00161FFD" w:rsidP="00C23E9F">
      <w:pPr>
        <w:keepNext/>
        <w:rPr>
          <w:sz w:val="20"/>
          <w:szCs w:val="20"/>
        </w:rPr>
      </w:pPr>
      <w:r w:rsidRPr="00161FFD">
        <w:rPr>
          <w:sz w:val="20"/>
          <w:szCs w:val="20"/>
        </w:rPr>
        <w:t>The objective</w:t>
      </w:r>
      <w:r w:rsidR="007E5C7F">
        <w:rPr>
          <w:sz w:val="20"/>
          <w:szCs w:val="20"/>
        </w:rPr>
        <w:t>s</w:t>
      </w:r>
      <w:r w:rsidRPr="00161FFD">
        <w:rPr>
          <w:sz w:val="20"/>
          <w:szCs w:val="20"/>
        </w:rPr>
        <w:t xml:space="preserve"> of the Cost Bucket Review </w:t>
      </w:r>
      <w:r w:rsidR="0060684E">
        <w:rPr>
          <w:sz w:val="20"/>
          <w:szCs w:val="20"/>
        </w:rPr>
        <w:t>were</w:t>
      </w:r>
      <w:r w:rsidRPr="00161FFD">
        <w:rPr>
          <w:sz w:val="20"/>
          <w:szCs w:val="20"/>
        </w:rPr>
        <w:t xml:space="preserve"> to:</w:t>
      </w:r>
    </w:p>
    <w:p w14:paraId="117AAA5A" w14:textId="199D146B" w:rsidR="00161FFD" w:rsidRPr="00161FFD" w:rsidRDefault="00161FFD" w:rsidP="00C23E9F">
      <w:pPr>
        <w:pStyle w:val="ListParagraph"/>
        <w:keepNext/>
        <w:numPr>
          <w:ilvl w:val="0"/>
          <w:numId w:val="12"/>
        </w:numPr>
        <w:rPr>
          <w:sz w:val="20"/>
          <w:szCs w:val="20"/>
        </w:rPr>
      </w:pPr>
      <w:r w:rsidRPr="00161FFD">
        <w:rPr>
          <w:sz w:val="20"/>
          <w:szCs w:val="20"/>
        </w:rPr>
        <w:t xml:space="preserve">identify and analyse the impact and materiality of variations in the use of cost centres and line items across </w:t>
      </w:r>
      <w:r w:rsidR="006C54BE">
        <w:rPr>
          <w:sz w:val="20"/>
          <w:szCs w:val="20"/>
        </w:rPr>
        <w:t>states and territories</w:t>
      </w:r>
    </w:p>
    <w:p w14:paraId="0A3C67A3" w14:textId="26300833" w:rsidR="00161FFD" w:rsidRPr="00161FFD" w:rsidRDefault="00161FFD" w:rsidP="00C23E9F">
      <w:pPr>
        <w:pStyle w:val="ListParagraph"/>
        <w:keepNext/>
        <w:numPr>
          <w:ilvl w:val="0"/>
          <w:numId w:val="12"/>
        </w:numPr>
        <w:rPr>
          <w:sz w:val="20"/>
          <w:szCs w:val="20"/>
        </w:rPr>
      </w:pPr>
      <w:r w:rsidRPr="00161FFD">
        <w:rPr>
          <w:sz w:val="20"/>
          <w:szCs w:val="20"/>
        </w:rPr>
        <w:t>review the definition of all NHCDC cost centres and line items, including how they are grouped into cost centre function and cost bucket for the purpose of reporting</w:t>
      </w:r>
    </w:p>
    <w:p w14:paraId="569DCDD7" w14:textId="5C5BCE3A" w:rsidR="00686288" w:rsidRPr="00161FFD" w:rsidRDefault="00161FFD" w:rsidP="00C23E9F">
      <w:pPr>
        <w:pStyle w:val="ListParagraph"/>
        <w:keepNext/>
        <w:numPr>
          <w:ilvl w:val="0"/>
          <w:numId w:val="12"/>
        </w:numPr>
        <w:rPr>
          <w:sz w:val="20"/>
          <w:szCs w:val="20"/>
        </w:rPr>
      </w:pPr>
      <w:r w:rsidRPr="00161FFD">
        <w:rPr>
          <w:sz w:val="20"/>
          <w:szCs w:val="20"/>
        </w:rPr>
        <w:t>provide recommendations that promote consistency in reporting to the NHCDC and the use of cost centres and line items across health services nationally.</w:t>
      </w:r>
    </w:p>
    <w:p w14:paraId="3B50379B" w14:textId="004BA10F" w:rsidR="004B5EB1" w:rsidRDefault="00566A26" w:rsidP="00A74E79">
      <w:pPr>
        <w:rPr>
          <w:sz w:val="20"/>
          <w:szCs w:val="20"/>
        </w:rPr>
      </w:pPr>
      <w:r>
        <w:rPr>
          <w:sz w:val="20"/>
          <w:szCs w:val="20"/>
        </w:rPr>
        <w:t>The review</w:t>
      </w:r>
      <w:r w:rsidR="00C3305E">
        <w:rPr>
          <w:sz w:val="20"/>
          <w:szCs w:val="20"/>
        </w:rPr>
        <w:t xml:space="preserve"> includes</w:t>
      </w:r>
      <w:r w:rsidR="003503E0">
        <w:rPr>
          <w:sz w:val="20"/>
          <w:szCs w:val="20"/>
        </w:rPr>
        <w:t xml:space="preserve"> </w:t>
      </w:r>
      <w:r w:rsidR="006E1EE0">
        <w:rPr>
          <w:sz w:val="20"/>
          <w:szCs w:val="20"/>
        </w:rPr>
        <w:t xml:space="preserve">11 key recommendations to improve the </w:t>
      </w:r>
      <w:r w:rsidR="00F922E1">
        <w:rPr>
          <w:sz w:val="20"/>
          <w:szCs w:val="20"/>
        </w:rPr>
        <w:t xml:space="preserve">consistency of </w:t>
      </w:r>
      <w:r w:rsidR="006E1EE0">
        <w:rPr>
          <w:sz w:val="20"/>
          <w:szCs w:val="20"/>
        </w:rPr>
        <w:t xml:space="preserve">use of </w:t>
      </w:r>
      <w:r w:rsidR="00F922E1">
        <w:rPr>
          <w:sz w:val="20"/>
          <w:szCs w:val="20"/>
        </w:rPr>
        <w:t>cost</w:t>
      </w:r>
      <w:r w:rsidR="006E1EE0">
        <w:rPr>
          <w:sz w:val="20"/>
          <w:szCs w:val="20"/>
        </w:rPr>
        <w:t xml:space="preserve"> centres and line items across NHCDC public and private sectors.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4B5EB1" w:rsidRPr="007C7991" w14:paraId="5A1340A6" w14:textId="77777777" w:rsidTr="00BE53FE">
        <w:tc>
          <w:tcPr>
            <w:tcW w:w="851" w:type="dxa"/>
            <w:shd w:val="clear" w:color="auto" w:fill="C1DAF8" w:themeFill="accent2" w:themeFillTint="33"/>
          </w:tcPr>
          <w:p w14:paraId="0F721B4A" w14:textId="77777777" w:rsidR="004B5EB1" w:rsidRPr="007C7991" w:rsidRDefault="004B5EB1" w:rsidP="00C72953">
            <w:pPr>
              <w:jc w:val="center"/>
              <w:rPr>
                <w:sz w:val="20"/>
                <w:szCs w:val="20"/>
              </w:rPr>
            </w:pPr>
            <w:r w:rsidRPr="007C7991">
              <w:rPr>
                <w:noProof/>
                <w:sz w:val="20"/>
                <w:szCs w:val="20"/>
              </w:rPr>
              <w:lastRenderedPageBreak/>
              <w:drawing>
                <wp:inline distT="0" distB="0" distL="0" distR="0" wp14:anchorId="2FA3F9C5" wp14:editId="40B1CFC3">
                  <wp:extent cx="266700" cy="266700"/>
                  <wp:effectExtent l="0" t="0" r="0" b="0"/>
                  <wp:docPr id="1911332152" name="Picture 191133215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159D7276" w14:textId="77777777" w:rsidR="008572F8" w:rsidRPr="008572F8" w:rsidRDefault="004B5EB1" w:rsidP="00BE53FE">
            <w:pPr>
              <w:pStyle w:val="Heading4"/>
              <w:rPr>
                <w:sz w:val="20"/>
                <w:szCs w:val="20"/>
              </w:rPr>
            </w:pPr>
            <w:r w:rsidRPr="008572F8">
              <w:rPr>
                <w:sz w:val="20"/>
                <w:szCs w:val="20"/>
              </w:rPr>
              <w:t>Next steps and future work</w:t>
            </w:r>
          </w:p>
          <w:p w14:paraId="19D9F831" w14:textId="1353EC50" w:rsidR="004B5EB1" w:rsidRPr="00AD5E65" w:rsidRDefault="00E93146" w:rsidP="008572F8">
            <w:pPr>
              <w:spacing w:before="120" w:after="120"/>
              <w:rPr>
                <w:sz w:val="20"/>
                <w:szCs w:val="20"/>
              </w:rPr>
            </w:pPr>
            <w:r>
              <w:rPr>
                <w:sz w:val="20"/>
                <w:szCs w:val="20"/>
              </w:rPr>
              <w:t>I</w:t>
            </w:r>
            <w:r w:rsidR="00D84F35" w:rsidRPr="00B34A57">
              <w:rPr>
                <w:sz w:val="20"/>
                <w:szCs w:val="20"/>
              </w:rPr>
              <w:t>HACPA</w:t>
            </w:r>
            <w:r w:rsidR="00D84F35">
              <w:rPr>
                <w:sz w:val="20"/>
                <w:szCs w:val="20"/>
              </w:rPr>
              <w:t xml:space="preserve"> will</w:t>
            </w:r>
            <w:r w:rsidR="00D84F35" w:rsidRPr="00B34A57">
              <w:rPr>
                <w:sz w:val="20"/>
                <w:szCs w:val="20"/>
              </w:rPr>
              <w:t xml:space="preserve"> review the recommendations from the Cost Bucket Review to develop an implementation plan</w:t>
            </w:r>
            <w:r w:rsidR="00F922E1">
              <w:rPr>
                <w:sz w:val="20"/>
                <w:szCs w:val="20"/>
              </w:rPr>
              <w:t xml:space="preserve"> in consultation with jurisdictions</w:t>
            </w:r>
            <w:r w:rsidR="00D84F35" w:rsidRPr="00D84F35">
              <w:rPr>
                <w:sz w:val="20"/>
                <w:szCs w:val="20"/>
              </w:rPr>
              <w:t>.</w:t>
            </w:r>
          </w:p>
        </w:tc>
      </w:tr>
    </w:tbl>
    <w:p w14:paraId="4C787071" w14:textId="5DA10E5D" w:rsidR="00BD4CA6" w:rsidRPr="001F27B2" w:rsidRDefault="00BD4CA6" w:rsidP="00C72953">
      <w:pPr>
        <w:pStyle w:val="Heading2"/>
        <w:spacing w:before="240"/>
      </w:pPr>
      <w:r>
        <w:t>6</w:t>
      </w:r>
      <w:r w:rsidRPr="001F27B2">
        <w:t>.</w:t>
      </w:r>
      <w:r w:rsidR="00DA5713">
        <w:t>4</w:t>
      </w:r>
      <w:r w:rsidRPr="001F27B2">
        <w:t xml:space="preserve"> </w:t>
      </w:r>
      <w:r>
        <w:t xml:space="preserve">Understanding </w:t>
      </w:r>
      <w:r w:rsidR="0015407D">
        <w:t>recent</w:t>
      </w:r>
      <w:r>
        <w:t xml:space="preserve"> growth in </w:t>
      </w:r>
      <w:r w:rsidR="00573607">
        <w:t>hospital</w:t>
      </w:r>
      <w:r>
        <w:t xml:space="preserve"> costs</w:t>
      </w:r>
    </w:p>
    <w:p w14:paraId="437E70DF" w14:textId="5166832A" w:rsidR="00BD4CA6" w:rsidRDefault="00BD4CA6" w:rsidP="00BD4CA6">
      <w:pPr>
        <w:rPr>
          <w:sz w:val="20"/>
          <w:szCs w:val="20"/>
        </w:rPr>
      </w:pPr>
      <w:r w:rsidRPr="00DD7908">
        <w:rPr>
          <w:sz w:val="20"/>
          <w:szCs w:val="20"/>
        </w:rPr>
        <w:t xml:space="preserve">One of IHACPA’s </w:t>
      </w:r>
      <w:r w:rsidR="001F7265">
        <w:rPr>
          <w:sz w:val="20"/>
          <w:szCs w:val="20"/>
        </w:rPr>
        <w:t>legislated</w:t>
      </w:r>
      <w:r w:rsidR="001F7265" w:rsidRPr="00DD7908">
        <w:rPr>
          <w:sz w:val="20"/>
          <w:szCs w:val="20"/>
        </w:rPr>
        <w:t xml:space="preserve"> </w:t>
      </w:r>
      <w:r w:rsidRPr="00DD7908">
        <w:rPr>
          <w:sz w:val="20"/>
          <w:szCs w:val="20"/>
        </w:rPr>
        <w:t>functions is to promote efficiency in public hospital services through setting the NEP and NEC annually. Clause A46 of the addendum notes that in determining the NEP, IHACPA must have regard to ensuring the financial sustainability of the public hospital system as well as the need for continuity and predictability in prices.</w:t>
      </w:r>
    </w:p>
    <w:p w14:paraId="7AFE1242" w14:textId="06B0EE9D" w:rsidR="0028196C" w:rsidRDefault="00BD4CA6" w:rsidP="00965767">
      <w:pPr>
        <w:rPr>
          <w:sz w:val="20"/>
          <w:szCs w:val="20"/>
        </w:rPr>
      </w:pPr>
      <w:r w:rsidRPr="0081475E">
        <w:rPr>
          <w:sz w:val="20"/>
          <w:szCs w:val="20"/>
        </w:rPr>
        <w:t>The NEP</w:t>
      </w:r>
      <w:r>
        <w:rPr>
          <w:sz w:val="20"/>
          <w:szCs w:val="20"/>
        </w:rPr>
        <w:t xml:space="preserve"> was </w:t>
      </w:r>
      <w:r w:rsidRPr="0081475E">
        <w:rPr>
          <w:sz w:val="20"/>
          <w:szCs w:val="20"/>
        </w:rPr>
        <w:t>$7,258 per national weighted activity unit</w:t>
      </w:r>
      <w:r>
        <w:rPr>
          <w:sz w:val="20"/>
          <w:szCs w:val="20"/>
        </w:rPr>
        <w:t xml:space="preserve"> in </w:t>
      </w:r>
      <w:r w:rsidRPr="0081475E">
        <w:rPr>
          <w:sz w:val="20"/>
          <w:szCs w:val="20"/>
        </w:rPr>
        <w:t>2025–26 (NWAU(25)).</w:t>
      </w:r>
      <w:r>
        <w:rPr>
          <w:sz w:val="20"/>
          <w:szCs w:val="20"/>
        </w:rPr>
        <w:t xml:space="preserve"> This is a 5.9% year-on-year increase after back casting, which is </w:t>
      </w:r>
      <w:r w:rsidR="00965767">
        <w:rPr>
          <w:sz w:val="20"/>
          <w:szCs w:val="20"/>
        </w:rPr>
        <w:t>the highest increase since the introduction of national ABF</w:t>
      </w:r>
      <w:r>
        <w:rPr>
          <w:sz w:val="20"/>
          <w:szCs w:val="20"/>
        </w:rPr>
        <w:t>.</w:t>
      </w:r>
      <w:r w:rsidR="005C2F52">
        <w:rPr>
          <w:sz w:val="20"/>
          <w:szCs w:val="20"/>
        </w:rPr>
        <w:t xml:space="preserve"> </w:t>
      </w:r>
      <w:r w:rsidR="000956CD">
        <w:rPr>
          <w:sz w:val="20"/>
          <w:szCs w:val="20"/>
        </w:rPr>
        <w:t>IHACPA’s analysis of cost drivers for NEP</w:t>
      </w:r>
      <w:r w:rsidR="003703E3">
        <w:rPr>
          <w:sz w:val="20"/>
          <w:szCs w:val="20"/>
        </w:rPr>
        <w:t xml:space="preserve"> Determination </w:t>
      </w:r>
      <w:r w:rsidR="000956CD">
        <w:rPr>
          <w:sz w:val="20"/>
          <w:szCs w:val="20"/>
        </w:rPr>
        <w:t>2</w:t>
      </w:r>
      <w:r w:rsidR="003703E3">
        <w:rPr>
          <w:sz w:val="20"/>
          <w:szCs w:val="20"/>
        </w:rPr>
        <w:t>02</w:t>
      </w:r>
      <w:r w:rsidR="000956CD">
        <w:rPr>
          <w:sz w:val="20"/>
          <w:szCs w:val="20"/>
        </w:rPr>
        <w:t>5</w:t>
      </w:r>
      <w:r w:rsidR="003703E3">
        <w:rPr>
          <w:sz w:val="20"/>
          <w:szCs w:val="20"/>
        </w:rPr>
        <w:t>–26</w:t>
      </w:r>
      <w:r w:rsidR="00870D55">
        <w:rPr>
          <w:sz w:val="20"/>
          <w:szCs w:val="20"/>
        </w:rPr>
        <w:t xml:space="preserve"> (NEP25)</w:t>
      </w:r>
      <w:r w:rsidR="000956CD">
        <w:rPr>
          <w:sz w:val="20"/>
          <w:szCs w:val="20"/>
        </w:rPr>
        <w:t xml:space="preserve"> found t</w:t>
      </w:r>
      <w:r w:rsidR="00965767">
        <w:rPr>
          <w:sz w:val="20"/>
          <w:szCs w:val="20"/>
        </w:rPr>
        <w:t xml:space="preserve">his </w:t>
      </w:r>
      <w:r w:rsidR="000956CD">
        <w:rPr>
          <w:sz w:val="20"/>
          <w:szCs w:val="20"/>
        </w:rPr>
        <w:t xml:space="preserve">growth </w:t>
      </w:r>
      <w:r w:rsidR="00965767">
        <w:rPr>
          <w:sz w:val="20"/>
          <w:szCs w:val="20"/>
        </w:rPr>
        <w:t xml:space="preserve">reflects </w:t>
      </w:r>
      <w:r w:rsidR="0015407D">
        <w:rPr>
          <w:sz w:val="20"/>
          <w:szCs w:val="20"/>
        </w:rPr>
        <w:t xml:space="preserve">2022–23 </w:t>
      </w:r>
      <w:r w:rsidR="00965767">
        <w:rPr>
          <w:sz w:val="20"/>
          <w:szCs w:val="20"/>
        </w:rPr>
        <w:t>cost increases reported across a range of areas</w:t>
      </w:r>
      <w:r w:rsidR="002C5643">
        <w:rPr>
          <w:sz w:val="20"/>
          <w:szCs w:val="20"/>
        </w:rPr>
        <w:t>,</w:t>
      </w:r>
      <w:r w:rsidR="00965767">
        <w:rPr>
          <w:sz w:val="20"/>
          <w:szCs w:val="20"/>
        </w:rPr>
        <w:t xml:space="preserve"> including workforce-associated costs</w:t>
      </w:r>
      <w:r w:rsidR="0014151D" w:rsidRPr="0014151D">
        <w:rPr>
          <w:sz w:val="20"/>
          <w:szCs w:val="20"/>
        </w:rPr>
        <w:t>.</w:t>
      </w:r>
    </w:p>
    <w:p w14:paraId="6EDA3964" w14:textId="4CBEB4EE" w:rsidR="000554E5" w:rsidRPr="000554E5" w:rsidRDefault="000554E5" w:rsidP="00965767">
      <w:pPr>
        <w:rPr>
          <w:rFonts w:cs="Arial"/>
          <w:sz w:val="20"/>
          <w:szCs w:val="20"/>
        </w:rPr>
      </w:pPr>
      <w:r>
        <w:rPr>
          <w:rFonts w:cs="Arial"/>
          <w:sz w:val="20"/>
          <w:szCs w:val="20"/>
        </w:rPr>
        <w:t xml:space="preserve">In response to the </w:t>
      </w:r>
      <w:r w:rsidR="006F787B">
        <w:rPr>
          <w:rFonts w:cs="Arial"/>
          <w:sz w:val="20"/>
          <w:szCs w:val="20"/>
        </w:rPr>
        <w:t>c</w:t>
      </w:r>
      <w:r>
        <w:rPr>
          <w:rFonts w:cs="Arial"/>
          <w:sz w:val="20"/>
          <w:szCs w:val="20"/>
        </w:rPr>
        <w:t xml:space="preserve">onsultation paper, stakeholders </w:t>
      </w:r>
      <w:r w:rsidRPr="00144C7F">
        <w:rPr>
          <w:rFonts w:cs="Arial"/>
          <w:sz w:val="20"/>
          <w:szCs w:val="20"/>
        </w:rPr>
        <w:t>suggest</w:t>
      </w:r>
      <w:r w:rsidR="00322BA5">
        <w:rPr>
          <w:rFonts w:cs="Arial"/>
          <w:sz w:val="20"/>
          <w:szCs w:val="20"/>
        </w:rPr>
        <w:t>ed</w:t>
      </w:r>
      <w:r w:rsidRPr="00144C7F">
        <w:rPr>
          <w:rFonts w:cs="Arial"/>
          <w:sz w:val="20"/>
          <w:szCs w:val="20"/>
        </w:rPr>
        <w:t xml:space="preserve"> that costs in categories such as labour and on</w:t>
      </w:r>
      <w:r w:rsidR="00B94633">
        <w:rPr>
          <w:rFonts w:cs="Arial"/>
          <w:sz w:val="20"/>
          <w:szCs w:val="20"/>
        </w:rPr>
        <w:noBreakHyphen/>
      </w:r>
      <w:r w:rsidRPr="00144C7F">
        <w:rPr>
          <w:rFonts w:cs="Arial"/>
          <w:sz w:val="20"/>
          <w:szCs w:val="20"/>
        </w:rPr>
        <w:t>costs have increased since 2022–23 and will be reflected in future NHCDC cycles</w:t>
      </w:r>
      <w:r>
        <w:rPr>
          <w:rFonts w:cs="Arial"/>
          <w:sz w:val="20"/>
          <w:szCs w:val="20"/>
        </w:rPr>
        <w:t xml:space="preserve">. </w:t>
      </w:r>
      <w:r w:rsidR="001D279C">
        <w:rPr>
          <w:rFonts w:cs="Arial"/>
          <w:sz w:val="20"/>
          <w:szCs w:val="20"/>
        </w:rPr>
        <w:t>Stakeholders advised of cost increase</w:t>
      </w:r>
      <w:r w:rsidR="00CC0BEE">
        <w:rPr>
          <w:rFonts w:cs="Arial"/>
          <w:sz w:val="20"/>
          <w:szCs w:val="20"/>
        </w:rPr>
        <w:t>s</w:t>
      </w:r>
      <w:r w:rsidR="001D279C">
        <w:rPr>
          <w:rFonts w:cs="Arial"/>
          <w:sz w:val="20"/>
          <w:szCs w:val="20"/>
        </w:rPr>
        <w:t xml:space="preserve"> arising from </w:t>
      </w:r>
      <w:r>
        <w:rPr>
          <w:rFonts w:cs="Arial"/>
          <w:sz w:val="20"/>
          <w:szCs w:val="20"/>
        </w:rPr>
        <w:t>new or updated enterprise bargaining agreements, healthcare workforce shortages and labour cost increases linked to inflationary pressures. Further detail is provided in the</w:t>
      </w:r>
      <w:r w:rsidRPr="005F43A8">
        <w:rPr>
          <w:rFonts w:cs="Arial"/>
          <w:sz w:val="20"/>
          <w:szCs w:val="20"/>
        </w:rPr>
        <w:t xml:space="preserve"> consultation report.</w:t>
      </w:r>
    </w:p>
    <w:tbl>
      <w:tblPr>
        <w:tblStyle w:val="TableGrid"/>
        <w:tblpPr w:leftFromText="180" w:rightFromText="180" w:vertAnchor="text" w:horzAnchor="margin" w:tblpY="-2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0554E5" w:rsidRPr="007C7991" w14:paraId="702C9A8B" w14:textId="77777777" w:rsidTr="00BE53FE">
        <w:trPr>
          <w:trHeight w:val="600"/>
        </w:trPr>
        <w:tc>
          <w:tcPr>
            <w:tcW w:w="851" w:type="dxa"/>
            <w:shd w:val="clear" w:color="auto" w:fill="C1DAF8" w:themeFill="accent2" w:themeFillTint="33"/>
          </w:tcPr>
          <w:p w14:paraId="55526BFB" w14:textId="77777777" w:rsidR="000554E5" w:rsidRPr="007C7991" w:rsidRDefault="000554E5" w:rsidP="00BE53FE">
            <w:pPr>
              <w:jc w:val="center"/>
              <w:rPr>
                <w:sz w:val="20"/>
                <w:szCs w:val="20"/>
              </w:rPr>
            </w:pPr>
            <w:r w:rsidRPr="007C7991">
              <w:rPr>
                <w:noProof/>
                <w:sz w:val="20"/>
                <w:szCs w:val="20"/>
              </w:rPr>
              <w:drawing>
                <wp:inline distT="0" distB="0" distL="0" distR="0" wp14:anchorId="7A31C738" wp14:editId="62B4B1F1">
                  <wp:extent cx="266700" cy="266700"/>
                  <wp:effectExtent l="0" t="0" r="0" b="0"/>
                  <wp:docPr id="1149533997" name="Picture 114953399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691828A9" w14:textId="44980BCE" w:rsidR="00E93146" w:rsidRPr="008572F8" w:rsidRDefault="000554E5" w:rsidP="00BE53FE">
            <w:pPr>
              <w:pStyle w:val="Heading4"/>
              <w:rPr>
                <w:sz w:val="20"/>
                <w:szCs w:val="20"/>
              </w:rPr>
            </w:pPr>
            <w:r w:rsidRPr="008572F8">
              <w:rPr>
                <w:sz w:val="20"/>
                <w:szCs w:val="20"/>
              </w:rPr>
              <w:t>Next steps and future work</w:t>
            </w:r>
          </w:p>
          <w:p w14:paraId="5DD5DA82" w14:textId="0B7028E8" w:rsidR="000554E5" w:rsidRPr="00AD5E65" w:rsidRDefault="000554E5" w:rsidP="009163A2">
            <w:pPr>
              <w:spacing w:after="120"/>
              <w:rPr>
                <w:sz w:val="20"/>
                <w:szCs w:val="20"/>
              </w:rPr>
            </w:pPr>
            <w:r>
              <w:rPr>
                <w:sz w:val="20"/>
                <w:szCs w:val="20"/>
              </w:rPr>
              <w:t xml:space="preserve">For NEP26 and future determinations, </w:t>
            </w:r>
            <w:r w:rsidRPr="00DD7908">
              <w:rPr>
                <w:sz w:val="20"/>
                <w:szCs w:val="20"/>
              </w:rPr>
              <w:t xml:space="preserve">IHACPA intends to further investigate trends in the </w:t>
            </w:r>
            <w:r w:rsidR="00E27D99">
              <w:rPr>
                <w:sz w:val="20"/>
                <w:szCs w:val="20"/>
              </w:rPr>
              <w:t xml:space="preserve">activity and cost </w:t>
            </w:r>
            <w:r w:rsidRPr="00DD7908">
              <w:rPr>
                <w:sz w:val="20"/>
                <w:szCs w:val="20"/>
              </w:rPr>
              <w:t>data that inform</w:t>
            </w:r>
            <w:r w:rsidR="00E27D99">
              <w:rPr>
                <w:sz w:val="20"/>
                <w:szCs w:val="20"/>
              </w:rPr>
              <w:t>s</w:t>
            </w:r>
            <w:r w:rsidRPr="00DD7908">
              <w:rPr>
                <w:sz w:val="20"/>
                <w:szCs w:val="20"/>
              </w:rPr>
              <w:t xml:space="preserve"> the NEP</w:t>
            </w:r>
            <w:r>
              <w:rPr>
                <w:sz w:val="20"/>
                <w:szCs w:val="20"/>
              </w:rPr>
              <w:t>. This investigation will</w:t>
            </w:r>
            <w:r w:rsidRPr="00DD7908">
              <w:rPr>
                <w:sz w:val="20"/>
                <w:szCs w:val="20"/>
              </w:rPr>
              <w:t xml:space="preserve"> assess whether the movement is adequately explained</w:t>
            </w:r>
            <w:r>
              <w:rPr>
                <w:sz w:val="20"/>
                <w:szCs w:val="20"/>
              </w:rPr>
              <w:t xml:space="preserve"> and </w:t>
            </w:r>
            <w:r w:rsidRPr="00DD7908">
              <w:rPr>
                <w:sz w:val="20"/>
                <w:szCs w:val="20"/>
              </w:rPr>
              <w:t>the likelihood such growth will persist in future years.</w:t>
            </w:r>
          </w:p>
        </w:tc>
      </w:tr>
    </w:tbl>
    <w:p w14:paraId="38594250" w14:textId="3EF13085" w:rsidR="000554E5" w:rsidRDefault="00CC3122" w:rsidP="00BA5A47">
      <w:pPr>
        <w:keepLines/>
        <w:spacing w:before="160"/>
        <w:rPr>
          <w:rFonts w:cs="Arial"/>
          <w:sz w:val="20"/>
          <w:szCs w:val="20"/>
        </w:rPr>
      </w:pPr>
      <w:r>
        <w:rPr>
          <w:sz w:val="20"/>
          <w:szCs w:val="20"/>
        </w:rPr>
        <w:t>In response to the consultation paper</w:t>
      </w:r>
      <w:r w:rsidR="00D87526">
        <w:rPr>
          <w:sz w:val="20"/>
          <w:szCs w:val="20"/>
        </w:rPr>
        <w:t xml:space="preserve">, </w:t>
      </w:r>
      <w:r w:rsidR="002122DF">
        <w:rPr>
          <w:sz w:val="20"/>
          <w:szCs w:val="20"/>
        </w:rPr>
        <w:t>stakeholders outlined potential areas of refinement IHACPA could consider to support the future sustainability and predictability of public hospital costs and funding</w:t>
      </w:r>
      <w:r w:rsidR="00E00EE9">
        <w:rPr>
          <w:sz w:val="20"/>
          <w:szCs w:val="20"/>
        </w:rPr>
        <w:t>.</w:t>
      </w:r>
      <w:r w:rsidR="002122DF">
        <w:rPr>
          <w:sz w:val="20"/>
          <w:szCs w:val="20"/>
        </w:rPr>
        <w:t xml:space="preserve"> </w:t>
      </w:r>
      <w:r w:rsidR="00491D79">
        <w:rPr>
          <w:sz w:val="20"/>
          <w:szCs w:val="20"/>
        </w:rPr>
        <w:t xml:space="preserve">Stakeholders </w:t>
      </w:r>
      <w:r w:rsidR="00E00EE9" w:rsidRPr="00E00EE9">
        <w:rPr>
          <w:sz w:val="20"/>
          <w:szCs w:val="20"/>
        </w:rPr>
        <w:t xml:space="preserve">called for a pricing framework that </w:t>
      </w:r>
      <w:r w:rsidR="00825E07">
        <w:rPr>
          <w:sz w:val="20"/>
          <w:szCs w:val="20"/>
        </w:rPr>
        <w:t xml:space="preserve">better </w:t>
      </w:r>
      <w:r w:rsidR="00E00EE9" w:rsidRPr="00E00EE9">
        <w:rPr>
          <w:sz w:val="20"/>
          <w:szCs w:val="20"/>
        </w:rPr>
        <w:t xml:space="preserve">accounts for rising patient complexity, social </w:t>
      </w:r>
      <w:r w:rsidR="00892576">
        <w:rPr>
          <w:sz w:val="20"/>
          <w:szCs w:val="20"/>
        </w:rPr>
        <w:t xml:space="preserve">factors </w:t>
      </w:r>
      <w:r w:rsidR="00467468">
        <w:rPr>
          <w:sz w:val="20"/>
          <w:szCs w:val="20"/>
        </w:rPr>
        <w:t>that</w:t>
      </w:r>
      <w:r w:rsidR="00892576">
        <w:rPr>
          <w:sz w:val="20"/>
          <w:szCs w:val="20"/>
        </w:rPr>
        <w:t xml:space="preserve"> influence </w:t>
      </w:r>
      <w:r w:rsidR="00E00EE9" w:rsidRPr="00E00EE9">
        <w:rPr>
          <w:sz w:val="20"/>
          <w:szCs w:val="20"/>
        </w:rPr>
        <w:t xml:space="preserve">health, and structural cost pressures, with suggestions including </w:t>
      </w:r>
      <w:r w:rsidR="00F86040">
        <w:rPr>
          <w:sz w:val="20"/>
          <w:szCs w:val="20"/>
        </w:rPr>
        <w:t>pricing</w:t>
      </w:r>
      <w:r w:rsidR="00E00EE9" w:rsidRPr="00E00EE9">
        <w:rPr>
          <w:sz w:val="20"/>
          <w:szCs w:val="20"/>
        </w:rPr>
        <w:t xml:space="preserve"> adjustments</w:t>
      </w:r>
      <w:r w:rsidR="00F86040">
        <w:rPr>
          <w:sz w:val="20"/>
          <w:szCs w:val="20"/>
        </w:rPr>
        <w:t xml:space="preserve"> for culturally and linguistically diverse patients</w:t>
      </w:r>
      <w:r w:rsidR="00E00EE9" w:rsidRPr="00E00EE9">
        <w:rPr>
          <w:sz w:val="20"/>
          <w:szCs w:val="20"/>
        </w:rPr>
        <w:t xml:space="preserve">, inflation analysis, and health economic modelling. There was strong support for modernising data systems, improving cost predictability, and exploring reforms </w:t>
      </w:r>
      <w:r w:rsidR="00E00EE9">
        <w:rPr>
          <w:sz w:val="20"/>
          <w:szCs w:val="20"/>
        </w:rPr>
        <w:t>around</w:t>
      </w:r>
      <w:r w:rsidR="00E00EE9" w:rsidRPr="00E00EE9">
        <w:rPr>
          <w:sz w:val="20"/>
          <w:szCs w:val="20"/>
        </w:rPr>
        <w:t xml:space="preserve"> long</w:t>
      </w:r>
      <w:r w:rsidR="009C5F38">
        <w:rPr>
          <w:sz w:val="20"/>
          <w:szCs w:val="20"/>
        </w:rPr>
        <w:noBreakHyphen/>
      </w:r>
      <w:r w:rsidR="00E00EE9" w:rsidRPr="00E00EE9">
        <w:rPr>
          <w:sz w:val="20"/>
          <w:szCs w:val="20"/>
        </w:rPr>
        <w:t>stay patients.</w:t>
      </w:r>
      <w:r w:rsidR="000E49A4">
        <w:rPr>
          <w:sz w:val="20"/>
          <w:szCs w:val="20"/>
        </w:rPr>
        <w:t xml:space="preserve"> </w:t>
      </w:r>
      <w:r w:rsidR="000E49A4">
        <w:rPr>
          <w:rFonts w:cs="Arial"/>
          <w:sz w:val="20"/>
          <w:szCs w:val="20"/>
        </w:rPr>
        <w:t>Further detail is provided in the</w:t>
      </w:r>
      <w:r w:rsidR="000E49A4" w:rsidRPr="005F43A8">
        <w:rPr>
          <w:rFonts w:cs="Arial"/>
          <w:sz w:val="20"/>
          <w:szCs w:val="20"/>
        </w:rPr>
        <w:t xml:space="preserve"> consultation report</w:t>
      </w:r>
      <w:r w:rsidR="00B47FC3">
        <w:rPr>
          <w:rFonts w:cs="Arial"/>
          <w:sz w:val="20"/>
          <w:szCs w:val="20"/>
        </w:rPr>
        <w:t>.</w:t>
      </w:r>
    </w:p>
    <w:p w14:paraId="1F4EBA31" w14:textId="5AC5C12D" w:rsidR="00054CF9" w:rsidRDefault="00C71B8B" w:rsidP="009864A7">
      <w:pPr>
        <w:rPr>
          <w:rFonts w:cs="Arial"/>
          <w:sz w:val="20"/>
          <w:szCs w:val="20"/>
        </w:rPr>
      </w:pPr>
      <w:r w:rsidRPr="00C71B8B">
        <w:rPr>
          <w:rFonts w:cs="Arial"/>
          <w:sz w:val="20"/>
          <w:szCs w:val="20"/>
        </w:rPr>
        <w:t>IHACP</w:t>
      </w:r>
      <w:r>
        <w:rPr>
          <w:rFonts w:cs="Arial"/>
          <w:sz w:val="20"/>
          <w:szCs w:val="20"/>
        </w:rPr>
        <w:t>A notes that its</w:t>
      </w:r>
      <w:r w:rsidRPr="00C71B8B">
        <w:rPr>
          <w:rFonts w:cs="Arial"/>
          <w:sz w:val="20"/>
          <w:szCs w:val="20"/>
        </w:rPr>
        <w:t xml:space="preserve"> pricing models incorporat</w:t>
      </w:r>
      <w:r w:rsidR="00105E86">
        <w:rPr>
          <w:rFonts w:cs="Arial"/>
          <w:sz w:val="20"/>
          <w:szCs w:val="20"/>
        </w:rPr>
        <w:t>e</w:t>
      </w:r>
      <w:r w:rsidRPr="00C71B8B">
        <w:rPr>
          <w:rFonts w:cs="Arial"/>
          <w:sz w:val="20"/>
          <w:szCs w:val="20"/>
        </w:rPr>
        <w:t xml:space="preserve"> annual updates</w:t>
      </w:r>
      <w:r w:rsidR="00892576">
        <w:rPr>
          <w:rFonts w:cs="Arial"/>
          <w:sz w:val="20"/>
          <w:szCs w:val="20"/>
        </w:rPr>
        <w:t xml:space="preserve"> and </w:t>
      </w:r>
      <w:r w:rsidRPr="00C71B8B">
        <w:rPr>
          <w:rFonts w:cs="Arial"/>
          <w:sz w:val="20"/>
          <w:szCs w:val="20"/>
        </w:rPr>
        <w:t>stakeholder-driven refinements</w:t>
      </w:r>
      <w:r w:rsidR="00892576">
        <w:rPr>
          <w:rFonts w:cs="Arial"/>
          <w:sz w:val="20"/>
          <w:szCs w:val="20"/>
        </w:rPr>
        <w:t xml:space="preserve"> </w:t>
      </w:r>
      <w:r w:rsidRPr="00C71B8B">
        <w:rPr>
          <w:rFonts w:cs="Arial"/>
          <w:sz w:val="20"/>
          <w:szCs w:val="20"/>
        </w:rPr>
        <w:t xml:space="preserve">to support </w:t>
      </w:r>
      <w:r w:rsidR="00CB578A">
        <w:rPr>
          <w:rFonts w:cs="Arial"/>
          <w:sz w:val="20"/>
          <w:szCs w:val="20"/>
        </w:rPr>
        <w:t>equitable and sustainable</w:t>
      </w:r>
      <w:r w:rsidRPr="00C71B8B">
        <w:rPr>
          <w:rFonts w:cs="Arial"/>
          <w:sz w:val="20"/>
          <w:szCs w:val="20"/>
        </w:rPr>
        <w:t xml:space="preserve"> hospital funding. </w:t>
      </w:r>
      <w:r w:rsidR="00F66EBA">
        <w:rPr>
          <w:rFonts w:cs="Arial"/>
          <w:sz w:val="20"/>
          <w:szCs w:val="20"/>
        </w:rPr>
        <w:t>The pricing models</w:t>
      </w:r>
      <w:r w:rsidRPr="00C71B8B">
        <w:rPr>
          <w:rFonts w:cs="Arial"/>
          <w:sz w:val="20"/>
          <w:szCs w:val="20"/>
        </w:rPr>
        <w:t xml:space="preserve"> account for patient complexity through </w:t>
      </w:r>
      <w:r w:rsidR="008A5999">
        <w:rPr>
          <w:rFonts w:cs="Arial"/>
          <w:sz w:val="20"/>
          <w:szCs w:val="20"/>
        </w:rPr>
        <w:t xml:space="preserve">robust and </w:t>
      </w:r>
      <w:r w:rsidR="00F56631">
        <w:rPr>
          <w:rFonts w:cs="Arial"/>
          <w:sz w:val="20"/>
          <w:szCs w:val="20"/>
        </w:rPr>
        <w:t>regular</w:t>
      </w:r>
      <w:r w:rsidR="005B000D">
        <w:rPr>
          <w:rFonts w:cs="Arial"/>
          <w:sz w:val="20"/>
          <w:szCs w:val="20"/>
        </w:rPr>
        <w:t>ly</w:t>
      </w:r>
      <w:r w:rsidR="00F56631">
        <w:rPr>
          <w:rFonts w:cs="Arial"/>
          <w:sz w:val="20"/>
          <w:szCs w:val="20"/>
        </w:rPr>
        <w:t xml:space="preserve"> updated</w:t>
      </w:r>
      <w:r w:rsidR="008A5999">
        <w:rPr>
          <w:rFonts w:cs="Arial"/>
          <w:sz w:val="20"/>
          <w:szCs w:val="20"/>
        </w:rPr>
        <w:t xml:space="preserve"> </w:t>
      </w:r>
      <w:r w:rsidRPr="00C71B8B">
        <w:rPr>
          <w:rFonts w:cs="Arial"/>
          <w:sz w:val="20"/>
          <w:szCs w:val="20"/>
        </w:rPr>
        <w:t>classifications and are evolving to better reflect cost drivers</w:t>
      </w:r>
      <w:r w:rsidR="000E6AEA">
        <w:rPr>
          <w:rFonts w:cs="Arial"/>
          <w:sz w:val="20"/>
          <w:szCs w:val="20"/>
        </w:rPr>
        <w:t xml:space="preserve"> such as long stay patient status</w:t>
      </w:r>
      <w:r w:rsidRPr="00C71B8B">
        <w:rPr>
          <w:rFonts w:cs="Arial"/>
          <w:sz w:val="20"/>
          <w:szCs w:val="20"/>
        </w:rPr>
        <w:t>. IHACPA</w:t>
      </w:r>
      <w:r w:rsidR="008413F8">
        <w:rPr>
          <w:rFonts w:cs="Arial"/>
          <w:sz w:val="20"/>
          <w:szCs w:val="20"/>
        </w:rPr>
        <w:t>’s price indexation methodologies have also been demonstrated to have good alignment to broader price inflation and</w:t>
      </w:r>
      <w:r w:rsidRPr="00C71B8B">
        <w:rPr>
          <w:rFonts w:cs="Arial"/>
          <w:sz w:val="20"/>
          <w:szCs w:val="20"/>
        </w:rPr>
        <w:t xml:space="preserve"> </w:t>
      </w:r>
      <w:r w:rsidR="008413F8">
        <w:rPr>
          <w:rFonts w:cs="Arial"/>
          <w:sz w:val="20"/>
          <w:szCs w:val="20"/>
        </w:rPr>
        <w:t>cost</w:t>
      </w:r>
      <w:r w:rsidRPr="00C71B8B">
        <w:rPr>
          <w:rFonts w:cs="Arial"/>
          <w:sz w:val="20"/>
          <w:szCs w:val="20"/>
        </w:rPr>
        <w:t xml:space="preserve"> pressures </w:t>
      </w:r>
      <w:r w:rsidR="008413F8">
        <w:rPr>
          <w:rFonts w:cs="Arial"/>
          <w:sz w:val="20"/>
          <w:szCs w:val="20"/>
        </w:rPr>
        <w:t>relative to alternative methodologies</w:t>
      </w:r>
      <w:r w:rsidR="004E0EB0">
        <w:rPr>
          <w:rFonts w:cs="Arial"/>
          <w:sz w:val="20"/>
          <w:szCs w:val="20"/>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FB4B0D" w:rsidRPr="007C7991" w14:paraId="2D0DE12C" w14:textId="77777777" w:rsidTr="00BE53FE">
        <w:trPr>
          <w:cantSplit/>
          <w:trHeight w:val="600"/>
        </w:trPr>
        <w:tc>
          <w:tcPr>
            <w:tcW w:w="851" w:type="dxa"/>
            <w:shd w:val="clear" w:color="auto" w:fill="C1DAF8" w:themeFill="accent2" w:themeFillTint="33"/>
          </w:tcPr>
          <w:p w14:paraId="3D1DC6D7" w14:textId="77777777" w:rsidR="00FB4B0D" w:rsidRPr="007C7991" w:rsidRDefault="00FB4B0D" w:rsidP="00BE53FE">
            <w:pPr>
              <w:jc w:val="center"/>
              <w:rPr>
                <w:sz w:val="20"/>
                <w:szCs w:val="20"/>
              </w:rPr>
            </w:pPr>
            <w:r w:rsidRPr="007C7991">
              <w:rPr>
                <w:noProof/>
                <w:sz w:val="20"/>
                <w:szCs w:val="20"/>
              </w:rPr>
              <w:lastRenderedPageBreak/>
              <w:drawing>
                <wp:inline distT="0" distB="0" distL="0" distR="0" wp14:anchorId="08841AAC" wp14:editId="4EFFE91D">
                  <wp:extent cx="266700" cy="266700"/>
                  <wp:effectExtent l="0" t="0" r="0" b="0"/>
                  <wp:docPr id="912415512" name="Picture 9124155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3A61F648" w14:textId="77777777" w:rsidR="00FB4B0D" w:rsidRPr="00C72953" w:rsidRDefault="00FB4B0D" w:rsidP="00BE53FE">
            <w:pPr>
              <w:pStyle w:val="Heading4"/>
              <w:rPr>
                <w:sz w:val="20"/>
                <w:szCs w:val="20"/>
              </w:rPr>
            </w:pPr>
            <w:r w:rsidRPr="00C72953">
              <w:rPr>
                <w:sz w:val="20"/>
                <w:szCs w:val="20"/>
              </w:rPr>
              <w:t>Next steps and future work</w:t>
            </w:r>
          </w:p>
          <w:p w14:paraId="5C8CC393" w14:textId="5C64DA9A" w:rsidR="00FB4B0D" w:rsidRPr="00FB4B0D" w:rsidRDefault="00FB4B0D" w:rsidP="009163A2">
            <w:pPr>
              <w:spacing w:after="120"/>
              <w:rPr>
                <w:sz w:val="20"/>
                <w:szCs w:val="20"/>
              </w:rPr>
            </w:pPr>
            <w:r w:rsidRPr="00FB4B0D">
              <w:rPr>
                <w:sz w:val="20"/>
                <w:szCs w:val="20"/>
              </w:rPr>
              <w:t>To ensure future NHCDC cycles remain accurate and fit-for-purpose, IHACPA will:</w:t>
            </w:r>
          </w:p>
          <w:p w14:paraId="1F37D58A" w14:textId="24233AE9" w:rsidR="00FB4B0D" w:rsidRPr="00FB4B0D" w:rsidRDefault="00FB4B0D" w:rsidP="009163A2">
            <w:pPr>
              <w:numPr>
                <w:ilvl w:val="0"/>
                <w:numId w:val="28"/>
              </w:numPr>
              <w:spacing w:after="120"/>
              <w:rPr>
                <w:sz w:val="20"/>
                <w:szCs w:val="20"/>
              </w:rPr>
            </w:pPr>
            <w:r w:rsidRPr="00FB4B0D">
              <w:rPr>
                <w:sz w:val="20"/>
                <w:szCs w:val="20"/>
              </w:rPr>
              <w:t>Investigate the alignment of cost and expenditure data in the NHCDC and P</w:t>
            </w:r>
            <w:r w:rsidR="002C6E6F">
              <w:rPr>
                <w:sz w:val="20"/>
                <w:szCs w:val="20"/>
              </w:rPr>
              <w:t>ublic Hospital Establishments</w:t>
            </w:r>
            <w:r w:rsidRPr="00FB4B0D">
              <w:rPr>
                <w:sz w:val="20"/>
                <w:szCs w:val="20"/>
              </w:rPr>
              <w:t xml:space="preserve"> </w:t>
            </w:r>
            <w:r w:rsidR="002C6E6F" w:rsidRPr="00FB4B0D">
              <w:rPr>
                <w:sz w:val="20"/>
                <w:szCs w:val="20"/>
              </w:rPr>
              <w:t>submissions and</w:t>
            </w:r>
            <w:r w:rsidRPr="00FB4B0D">
              <w:rPr>
                <w:sz w:val="20"/>
                <w:szCs w:val="20"/>
              </w:rPr>
              <w:t xml:space="preserve"> consider how this data reflects </w:t>
            </w:r>
            <w:r w:rsidR="002C6E6F">
              <w:rPr>
                <w:sz w:val="20"/>
                <w:szCs w:val="20"/>
              </w:rPr>
              <w:t>enterprise bargaining agreement</w:t>
            </w:r>
            <w:r w:rsidRPr="00FB4B0D">
              <w:rPr>
                <w:sz w:val="20"/>
                <w:szCs w:val="20"/>
              </w:rPr>
              <w:t xml:space="preserve"> timelines, and other workforce cost indicators.</w:t>
            </w:r>
          </w:p>
          <w:p w14:paraId="24CECFFD" w14:textId="7697C4DF" w:rsidR="00FB4B0D" w:rsidRPr="001A143A" w:rsidRDefault="00FB4B0D" w:rsidP="009163A2">
            <w:pPr>
              <w:numPr>
                <w:ilvl w:val="0"/>
                <w:numId w:val="29"/>
              </w:numPr>
              <w:spacing w:after="120"/>
              <w:rPr>
                <w:sz w:val="20"/>
                <w:szCs w:val="20"/>
                <w:lang w:val="en-GB"/>
              </w:rPr>
            </w:pPr>
            <w:r w:rsidRPr="00FB4B0D">
              <w:rPr>
                <w:sz w:val="20"/>
                <w:szCs w:val="20"/>
              </w:rPr>
              <w:t>Consider alternative ways to improve workforce and other cost forecasting and expected impacts on the NEP.</w:t>
            </w:r>
          </w:p>
        </w:tc>
      </w:tr>
    </w:tbl>
    <w:p w14:paraId="0622F501" w14:textId="0AD54248" w:rsidR="00DC0A93" w:rsidRPr="00300E38" w:rsidRDefault="00DC0A93" w:rsidP="00C72953">
      <w:pPr>
        <w:pStyle w:val="Heading2"/>
        <w:spacing w:before="240"/>
      </w:pPr>
      <w:r>
        <w:t>6.</w:t>
      </w:r>
      <w:r w:rsidR="00DA5713">
        <w:t>5</w:t>
      </w:r>
      <w:r>
        <w:t xml:space="preserve"> Implementing recommendations from the Virtual Care Project</w:t>
      </w:r>
    </w:p>
    <w:p w14:paraId="3F4FEF85" w14:textId="325C8220" w:rsidR="00FB7483" w:rsidRDefault="00D546BD" w:rsidP="00FF5202">
      <w:pPr>
        <w:rPr>
          <w:sz w:val="20"/>
          <w:szCs w:val="20"/>
        </w:rPr>
      </w:pPr>
      <w:r>
        <w:rPr>
          <w:sz w:val="20"/>
          <w:szCs w:val="20"/>
        </w:rPr>
        <w:t xml:space="preserve">In 2025, IHACPA published the </w:t>
      </w:r>
      <w:hyperlink r:id="rId75" w:history="1">
        <w:r w:rsidRPr="009D5C89">
          <w:rPr>
            <w:rStyle w:val="Hyperlink"/>
            <w:sz w:val="20"/>
            <w:szCs w:val="20"/>
          </w:rPr>
          <w:t>Virtual Care Project – Final Report</w:t>
        </w:r>
      </w:hyperlink>
      <w:r w:rsidR="00962CC5" w:rsidRPr="009D5C89">
        <w:rPr>
          <w:sz w:val="20"/>
          <w:szCs w:val="20"/>
        </w:rPr>
        <w:t>, with s</w:t>
      </w:r>
      <w:r w:rsidR="00962CC5">
        <w:rPr>
          <w:sz w:val="20"/>
          <w:szCs w:val="20"/>
        </w:rPr>
        <w:t>takeholder</w:t>
      </w:r>
      <w:r w:rsidR="00933DA3">
        <w:rPr>
          <w:sz w:val="20"/>
          <w:szCs w:val="20"/>
        </w:rPr>
        <w:t>s</w:t>
      </w:r>
      <w:r w:rsidR="00962CC5">
        <w:rPr>
          <w:sz w:val="20"/>
          <w:szCs w:val="20"/>
        </w:rPr>
        <w:t xml:space="preserve"> consult</w:t>
      </w:r>
      <w:r w:rsidR="009B7326">
        <w:rPr>
          <w:sz w:val="20"/>
          <w:szCs w:val="20"/>
        </w:rPr>
        <w:t>ed</w:t>
      </w:r>
      <w:r w:rsidR="00962CC5">
        <w:rPr>
          <w:sz w:val="20"/>
          <w:szCs w:val="20"/>
        </w:rPr>
        <w:t xml:space="preserve"> </w:t>
      </w:r>
      <w:r w:rsidR="009B7326">
        <w:rPr>
          <w:sz w:val="20"/>
          <w:szCs w:val="20"/>
        </w:rPr>
        <w:t>throughout</w:t>
      </w:r>
      <w:r w:rsidR="00962CC5">
        <w:rPr>
          <w:sz w:val="20"/>
          <w:szCs w:val="20"/>
        </w:rPr>
        <w:t xml:space="preserve"> the project.</w:t>
      </w:r>
      <w:r w:rsidR="00BA4A7F">
        <w:rPr>
          <w:sz w:val="20"/>
          <w:szCs w:val="20"/>
        </w:rPr>
        <w:t xml:space="preserve"> </w:t>
      </w:r>
      <w:r w:rsidR="00FF5202" w:rsidRPr="00FF5202">
        <w:rPr>
          <w:sz w:val="20"/>
          <w:szCs w:val="20"/>
        </w:rPr>
        <w:t>The report identif</w:t>
      </w:r>
      <w:r w:rsidR="00BA4A7F">
        <w:rPr>
          <w:sz w:val="20"/>
          <w:szCs w:val="20"/>
        </w:rPr>
        <w:t>ied</w:t>
      </w:r>
      <w:r w:rsidR="00FF5202" w:rsidRPr="00FF5202">
        <w:rPr>
          <w:sz w:val="20"/>
          <w:szCs w:val="20"/>
        </w:rPr>
        <w:t xml:space="preserve"> 5 key recommendations for IHACPA, in collaboration with other Australian Government agencies and health departments.</w:t>
      </w:r>
    </w:p>
    <w:p w14:paraId="3FD87EE1" w14:textId="0FAD3185" w:rsidR="00BD2F0E" w:rsidRPr="00C900A5" w:rsidRDefault="00BD2F0E" w:rsidP="00C900A5">
      <w:pPr>
        <w:rPr>
          <w:sz w:val="20"/>
          <w:szCs w:val="20"/>
        </w:rPr>
      </w:pPr>
      <w:r w:rsidRPr="00C900A5">
        <w:rPr>
          <w:sz w:val="20"/>
          <w:szCs w:val="20"/>
        </w:rPr>
        <w:t xml:space="preserve">IHACPA is developing a work plan to respond to the recommendations identified in the Virtual Care Project report. IHACPA will progress this work plan in consultation with its </w:t>
      </w:r>
      <w:r w:rsidR="00572C30">
        <w:rPr>
          <w:sz w:val="20"/>
          <w:szCs w:val="20"/>
        </w:rPr>
        <w:t xml:space="preserve">advisory </w:t>
      </w:r>
      <w:r w:rsidRPr="00C900A5">
        <w:rPr>
          <w:sz w:val="20"/>
          <w:szCs w:val="20"/>
        </w:rPr>
        <w:t>committees and stakeholders. The results of this work will inform determinations beyond the NEP26 pricing year.</w:t>
      </w:r>
    </w:p>
    <w:p w14:paraId="1D688085" w14:textId="5C1E51A2" w:rsidR="00026606" w:rsidRDefault="002336E3" w:rsidP="00026606">
      <w:pPr>
        <w:rPr>
          <w:sz w:val="20"/>
          <w:szCs w:val="20"/>
        </w:rPr>
      </w:pPr>
      <w:r>
        <w:rPr>
          <w:sz w:val="20"/>
          <w:szCs w:val="20"/>
        </w:rPr>
        <w:t xml:space="preserve">The </w:t>
      </w:r>
      <w:r w:rsidR="00E26F24">
        <w:rPr>
          <w:sz w:val="20"/>
          <w:szCs w:val="20"/>
        </w:rPr>
        <w:t xml:space="preserve">fifth recommendation </w:t>
      </w:r>
      <w:r w:rsidR="004D6535">
        <w:rPr>
          <w:sz w:val="20"/>
          <w:szCs w:val="20"/>
        </w:rPr>
        <w:t>from the rep</w:t>
      </w:r>
      <w:r w:rsidR="00AB26A1">
        <w:rPr>
          <w:sz w:val="20"/>
          <w:szCs w:val="20"/>
        </w:rPr>
        <w:t>o</w:t>
      </w:r>
      <w:r w:rsidR="008413F8">
        <w:rPr>
          <w:sz w:val="20"/>
          <w:szCs w:val="20"/>
        </w:rPr>
        <w:t>r</w:t>
      </w:r>
      <w:r w:rsidR="00AB26A1">
        <w:rPr>
          <w:sz w:val="20"/>
          <w:szCs w:val="20"/>
        </w:rPr>
        <w:t>t was to</w:t>
      </w:r>
      <w:r w:rsidR="004D6535" w:rsidRPr="004D6535">
        <w:t xml:space="preserve"> </w:t>
      </w:r>
      <w:r w:rsidR="004D6535" w:rsidRPr="004D6535">
        <w:rPr>
          <w:sz w:val="20"/>
          <w:szCs w:val="20"/>
        </w:rPr>
        <w:t>develop a pathway to facilitate the transition of service innovations to ABF or alternative funding models that improve value.</w:t>
      </w:r>
      <w:r w:rsidR="00F51A5A">
        <w:rPr>
          <w:sz w:val="20"/>
          <w:szCs w:val="20"/>
        </w:rPr>
        <w:t xml:space="preserve"> </w:t>
      </w:r>
      <w:r w:rsidR="00026606">
        <w:rPr>
          <w:sz w:val="20"/>
          <w:szCs w:val="20"/>
        </w:rPr>
        <w:t xml:space="preserve">At present, </w:t>
      </w:r>
      <w:r w:rsidR="00026606" w:rsidRPr="0024484A">
        <w:rPr>
          <w:sz w:val="20"/>
          <w:szCs w:val="20"/>
        </w:rPr>
        <w:t>virtual emergency department (ED) activity is not included in the national emergency care data collections and not classified and priced using the Australian Emergency Care Classification (AECC).</w:t>
      </w:r>
      <w:r w:rsidR="00026606">
        <w:rPr>
          <w:sz w:val="20"/>
          <w:szCs w:val="20"/>
        </w:rPr>
        <w:t xml:space="preserve"> </w:t>
      </w:r>
      <w:r w:rsidR="00F51A5A">
        <w:rPr>
          <w:sz w:val="20"/>
          <w:szCs w:val="20"/>
        </w:rPr>
        <w:t>I</w:t>
      </w:r>
      <w:r w:rsidR="00F51A5A" w:rsidRPr="0024484A">
        <w:rPr>
          <w:sz w:val="20"/>
          <w:szCs w:val="20"/>
        </w:rPr>
        <w:t xml:space="preserve">n-scope ED videoconference services </w:t>
      </w:r>
      <w:r w:rsidR="00F51A5A">
        <w:rPr>
          <w:sz w:val="20"/>
          <w:szCs w:val="20"/>
        </w:rPr>
        <w:t xml:space="preserve">have </w:t>
      </w:r>
      <w:r w:rsidR="00F821C9">
        <w:rPr>
          <w:sz w:val="20"/>
          <w:szCs w:val="20"/>
        </w:rPr>
        <w:t xml:space="preserve">instead </w:t>
      </w:r>
      <w:r w:rsidR="00F51A5A">
        <w:rPr>
          <w:sz w:val="20"/>
          <w:szCs w:val="20"/>
        </w:rPr>
        <w:t xml:space="preserve">been </w:t>
      </w:r>
      <w:r w:rsidR="00F51A5A" w:rsidRPr="0024484A">
        <w:rPr>
          <w:sz w:val="20"/>
          <w:szCs w:val="20"/>
        </w:rPr>
        <w:t>block</w:t>
      </w:r>
      <w:r w:rsidR="00416E6A">
        <w:rPr>
          <w:sz w:val="20"/>
          <w:szCs w:val="20"/>
        </w:rPr>
        <w:t xml:space="preserve"> </w:t>
      </w:r>
      <w:r w:rsidR="00F51A5A" w:rsidRPr="0024484A">
        <w:rPr>
          <w:sz w:val="20"/>
          <w:szCs w:val="20"/>
        </w:rPr>
        <w:t>funded since 2022</w:t>
      </w:r>
      <w:r w:rsidR="00F51A5A">
        <w:rPr>
          <w:sz w:val="20"/>
          <w:szCs w:val="20"/>
        </w:rPr>
        <w:t xml:space="preserve"> and most states have now established these services</w:t>
      </w:r>
      <w:r w:rsidR="00F51A5A" w:rsidRPr="0024484A">
        <w:rPr>
          <w:sz w:val="20"/>
          <w:szCs w:val="20"/>
        </w:rPr>
        <w:t>.</w:t>
      </w:r>
    </w:p>
    <w:p w14:paraId="27926278" w14:textId="5BE0CE64" w:rsidR="002C50A4" w:rsidRDefault="00F15413" w:rsidP="00F821C9">
      <w:pPr>
        <w:rPr>
          <w:sz w:val="20"/>
          <w:szCs w:val="20"/>
        </w:rPr>
      </w:pPr>
      <w:r>
        <w:rPr>
          <w:sz w:val="20"/>
          <w:szCs w:val="20"/>
        </w:rPr>
        <w:t>In 2023</w:t>
      </w:r>
      <w:r w:rsidR="00B9786A">
        <w:rPr>
          <w:sz w:val="20"/>
          <w:szCs w:val="20"/>
        </w:rPr>
        <w:t>,</w:t>
      </w:r>
      <w:r>
        <w:rPr>
          <w:sz w:val="20"/>
          <w:szCs w:val="20"/>
        </w:rPr>
        <w:t xml:space="preserve"> </w:t>
      </w:r>
      <w:r w:rsidR="00C42F58" w:rsidRPr="0024484A">
        <w:rPr>
          <w:sz w:val="20"/>
          <w:szCs w:val="20"/>
        </w:rPr>
        <w:t>IHACPA commenced collection of</w:t>
      </w:r>
      <w:r w:rsidR="00460491">
        <w:rPr>
          <w:sz w:val="20"/>
          <w:szCs w:val="20"/>
        </w:rPr>
        <w:t xml:space="preserve"> </w:t>
      </w:r>
      <w:r w:rsidR="00F82C0E">
        <w:rPr>
          <w:sz w:val="20"/>
          <w:szCs w:val="20"/>
        </w:rPr>
        <w:t xml:space="preserve">emergency virtual care </w:t>
      </w:r>
      <w:r w:rsidR="00BE597A">
        <w:rPr>
          <w:sz w:val="20"/>
          <w:szCs w:val="20"/>
        </w:rPr>
        <w:t>(</w:t>
      </w:r>
      <w:r w:rsidR="00C42F58" w:rsidRPr="0024484A">
        <w:rPr>
          <w:sz w:val="20"/>
          <w:szCs w:val="20"/>
        </w:rPr>
        <w:t>EVC</w:t>
      </w:r>
      <w:r w:rsidR="00BE597A">
        <w:rPr>
          <w:sz w:val="20"/>
          <w:szCs w:val="20"/>
        </w:rPr>
        <w:t>)</w:t>
      </w:r>
      <w:r w:rsidR="00C42F58" w:rsidRPr="0024484A">
        <w:rPr>
          <w:sz w:val="20"/>
          <w:szCs w:val="20"/>
        </w:rPr>
        <w:t xml:space="preserve"> activity data on a voluntary basis through the EVC </w:t>
      </w:r>
      <w:r w:rsidR="00112041">
        <w:rPr>
          <w:sz w:val="20"/>
          <w:szCs w:val="20"/>
        </w:rPr>
        <w:t>DRS</w:t>
      </w:r>
      <w:r w:rsidR="00C42F58" w:rsidRPr="0024484A">
        <w:rPr>
          <w:sz w:val="20"/>
          <w:szCs w:val="20"/>
        </w:rPr>
        <w:t>. Th</w:t>
      </w:r>
      <w:r w:rsidR="00677DD0">
        <w:rPr>
          <w:sz w:val="20"/>
          <w:szCs w:val="20"/>
        </w:rPr>
        <w:t>e aim</w:t>
      </w:r>
      <w:r w:rsidR="00C42F58" w:rsidRPr="0024484A">
        <w:rPr>
          <w:sz w:val="20"/>
          <w:szCs w:val="20"/>
        </w:rPr>
        <w:t xml:space="preserve"> was to understand the scope </w:t>
      </w:r>
      <w:r w:rsidR="00F821C9">
        <w:rPr>
          <w:sz w:val="20"/>
          <w:szCs w:val="20"/>
        </w:rPr>
        <w:t>of</w:t>
      </w:r>
      <w:r w:rsidR="00F821C9" w:rsidRPr="0024484A">
        <w:rPr>
          <w:sz w:val="20"/>
          <w:szCs w:val="20"/>
        </w:rPr>
        <w:t xml:space="preserve"> </w:t>
      </w:r>
      <w:r w:rsidR="00C42F58" w:rsidRPr="0024484A">
        <w:rPr>
          <w:sz w:val="20"/>
          <w:szCs w:val="20"/>
        </w:rPr>
        <w:t xml:space="preserve">current virtual emergency care models within and across </w:t>
      </w:r>
      <w:r w:rsidR="00BD79F0">
        <w:rPr>
          <w:sz w:val="20"/>
          <w:szCs w:val="20"/>
        </w:rPr>
        <w:t>states and territories</w:t>
      </w:r>
      <w:r w:rsidR="00F51A5A">
        <w:rPr>
          <w:sz w:val="20"/>
          <w:szCs w:val="20"/>
        </w:rPr>
        <w:t xml:space="preserve">. IHACPA is seeking to </w:t>
      </w:r>
      <w:r w:rsidR="00F821C9">
        <w:rPr>
          <w:sz w:val="20"/>
          <w:szCs w:val="20"/>
        </w:rPr>
        <w:t xml:space="preserve">refine the EVC data collection to ensure consistency of definitions for reporting purposes and support a greater volume of submissions to build a clearer national picture of this activity. This evidence base will </w:t>
      </w:r>
      <w:r w:rsidR="00CC49F1">
        <w:rPr>
          <w:sz w:val="20"/>
          <w:szCs w:val="20"/>
        </w:rPr>
        <w:t>support</w:t>
      </w:r>
      <w:r w:rsidR="00167021">
        <w:rPr>
          <w:sz w:val="20"/>
          <w:szCs w:val="20"/>
        </w:rPr>
        <w:t xml:space="preserve"> the transition of ED videoconference services into appropriate long-term funding arrangements</w:t>
      </w:r>
      <w:r w:rsidR="00102E4E">
        <w:rPr>
          <w:sz w:val="20"/>
          <w:szCs w:val="20"/>
        </w:rPr>
        <w:t>.</w:t>
      </w:r>
    </w:p>
    <w:p w14:paraId="40D33075" w14:textId="77777777" w:rsidR="003B2520" w:rsidRDefault="00DF764F" w:rsidP="000552BC">
      <w:pPr>
        <w:keepLines/>
        <w:rPr>
          <w:sz w:val="20"/>
          <w:szCs w:val="20"/>
        </w:rPr>
      </w:pPr>
      <w:r>
        <w:rPr>
          <w:sz w:val="20"/>
          <w:szCs w:val="20"/>
        </w:rPr>
        <w:t xml:space="preserve">In response to the consultation paper, </w:t>
      </w:r>
      <w:r w:rsidR="00702261">
        <w:rPr>
          <w:sz w:val="20"/>
          <w:szCs w:val="20"/>
        </w:rPr>
        <w:t xml:space="preserve">states and territories </w:t>
      </w:r>
      <w:r w:rsidR="00074A20">
        <w:rPr>
          <w:sz w:val="20"/>
          <w:szCs w:val="20"/>
        </w:rPr>
        <w:t xml:space="preserve">highlighted potential barriers to </w:t>
      </w:r>
      <w:r w:rsidR="00BB1A79">
        <w:rPr>
          <w:sz w:val="20"/>
          <w:szCs w:val="20"/>
        </w:rPr>
        <w:t xml:space="preserve">submitting </w:t>
      </w:r>
      <w:r w:rsidR="00074A20">
        <w:rPr>
          <w:sz w:val="20"/>
          <w:szCs w:val="20"/>
        </w:rPr>
        <w:t>EVC data and suggested how IHACPA could help</w:t>
      </w:r>
      <w:r w:rsidR="00702261">
        <w:rPr>
          <w:sz w:val="20"/>
          <w:szCs w:val="20"/>
        </w:rPr>
        <w:t xml:space="preserve"> them</w:t>
      </w:r>
      <w:r w:rsidR="00074A20">
        <w:rPr>
          <w:sz w:val="20"/>
          <w:szCs w:val="20"/>
        </w:rPr>
        <w:t xml:space="preserve"> to overcome</w:t>
      </w:r>
      <w:r w:rsidR="00F5107C">
        <w:rPr>
          <w:sz w:val="20"/>
          <w:szCs w:val="20"/>
        </w:rPr>
        <w:t xml:space="preserve"> these</w:t>
      </w:r>
      <w:r w:rsidR="00074A20">
        <w:rPr>
          <w:sz w:val="20"/>
          <w:szCs w:val="20"/>
        </w:rPr>
        <w:t xml:space="preserve"> barriers. </w:t>
      </w:r>
      <w:r w:rsidR="003300A7" w:rsidRPr="003300A7">
        <w:rPr>
          <w:sz w:val="20"/>
          <w:szCs w:val="20"/>
        </w:rPr>
        <w:t>A lack of specialised</w:t>
      </w:r>
      <w:r w:rsidR="00B1378C">
        <w:rPr>
          <w:sz w:val="20"/>
          <w:szCs w:val="20"/>
        </w:rPr>
        <w:t xml:space="preserve"> data and reporting</w:t>
      </w:r>
      <w:r w:rsidR="003300A7" w:rsidRPr="003300A7">
        <w:rPr>
          <w:sz w:val="20"/>
          <w:szCs w:val="20"/>
        </w:rPr>
        <w:t xml:space="preserve"> personnel and unclear data definitions were identified as major barriers to EVC data submission</w:t>
      </w:r>
      <w:r w:rsidR="003300A7">
        <w:rPr>
          <w:sz w:val="20"/>
          <w:szCs w:val="20"/>
        </w:rPr>
        <w:t>s</w:t>
      </w:r>
      <w:r w:rsidR="003300A7" w:rsidRPr="003300A7">
        <w:rPr>
          <w:sz w:val="20"/>
          <w:szCs w:val="20"/>
        </w:rPr>
        <w:t xml:space="preserve">, with </w:t>
      </w:r>
      <w:r w:rsidR="00702261">
        <w:rPr>
          <w:sz w:val="20"/>
          <w:szCs w:val="20"/>
        </w:rPr>
        <w:t xml:space="preserve">states and territories </w:t>
      </w:r>
      <w:r w:rsidR="003300A7" w:rsidRPr="003300A7">
        <w:rPr>
          <w:sz w:val="20"/>
          <w:szCs w:val="20"/>
        </w:rPr>
        <w:t>highlighting the administrative burden and need for clearer guidance on reporting and coding. Integration challenges with existing systems and concerns over the value and alignment of EVC data collection were</w:t>
      </w:r>
      <w:r w:rsidR="00433218">
        <w:rPr>
          <w:sz w:val="20"/>
          <w:szCs w:val="20"/>
        </w:rPr>
        <w:t xml:space="preserve"> also</w:t>
      </w:r>
      <w:r w:rsidR="003300A7" w:rsidRPr="003300A7">
        <w:rPr>
          <w:sz w:val="20"/>
          <w:szCs w:val="20"/>
        </w:rPr>
        <w:t xml:space="preserve"> raised</w:t>
      </w:r>
      <w:r w:rsidR="00BB1A79">
        <w:rPr>
          <w:sz w:val="20"/>
          <w:szCs w:val="20"/>
        </w:rPr>
        <w:t xml:space="preserve">. </w:t>
      </w:r>
      <w:r w:rsidR="009E6F52">
        <w:rPr>
          <w:sz w:val="20"/>
          <w:szCs w:val="20"/>
        </w:rPr>
        <w:t xml:space="preserve">States and territories </w:t>
      </w:r>
      <w:r w:rsidR="00BB1A79">
        <w:rPr>
          <w:sz w:val="20"/>
          <w:szCs w:val="20"/>
        </w:rPr>
        <w:t>recommended</w:t>
      </w:r>
      <w:r w:rsidR="003300A7" w:rsidRPr="003300A7">
        <w:rPr>
          <w:sz w:val="20"/>
          <w:szCs w:val="20"/>
        </w:rPr>
        <w:t xml:space="preserve"> tailored engagement</w:t>
      </w:r>
      <w:r w:rsidR="00910DB8">
        <w:rPr>
          <w:sz w:val="20"/>
          <w:szCs w:val="20"/>
        </w:rPr>
        <w:t xml:space="preserve"> with each </w:t>
      </w:r>
      <w:r w:rsidR="0044703B">
        <w:rPr>
          <w:sz w:val="20"/>
          <w:szCs w:val="20"/>
        </w:rPr>
        <w:t>state and territory</w:t>
      </w:r>
      <w:r w:rsidR="00DA5FDC">
        <w:rPr>
          <w:sz w:val="20"/>
          <w:szCs w:val="20"/>
        </w:rPr>
        <w:t xml:space="preserve"> to assess readiness and support needs</w:t>
      </w:r>
      <w:r w:rsidR="00BB1A79">
        <w:rPr>
          <w:sz w:val="20"/>
          <w:szCs w:val="20"/>
        </w:rPr>
        <w:t>.</w:t>
      </w:r>
    </w:p>
    <w:p w14:paraId="2A726660" w14:textId="5A1A84B6" w:rsidR="00F21CBD" w:rsidRPr="00EB4BF3" w:rsidRDefault="00433218" w:rsidP="003B2520">
      <w:pPr>
        <w:rPr>
          <w:sz w:val="20"/>
          <w:szCs w:val="20"/>
        </w:rPr>
      </w:pPr>
      <w:r>
        <w:rPr>
          <w:sz w:val="20"/>
          <w:szCs w:val="20"/>
        </w:rPr>
        <w:t xml:space="preserve">The consultation paper </w:t>
      </w:r>
      <w:r w:rsidR="00DB5612">
        <w:rPr>
          <w:sz w:val="20"/>
          <w:szCs w:val="20"/>
        </w:rPr>
        <w:t>also</w:t>
      </w:r>
      <w:r w:rsidR="00D849FB">
        <w:rPr>
          <w:sz w:val="20"/>
          <w:szCs w:val="20"/>
        </w:rPr>
        <w:t xml:space="preserve"> asked stakeholders </w:t>
      </w:r>
      <w:r w:rsidR="00740A6E">
        <w:rPr>
          <w:sz w:val="20"/>
          <w:szCs w:val="20"/>
        </w:rPr>
        <w:t>about</w:t>
      </w:r>
      <w:r w:rsidR="00D849FB">
        <w:rPr>
          <w:sz w:val="20"/>
          <w:szCs w:val="20"/>
        </w:rPr>
        <w:t xml:space="preserve"> further refinement areas for the EVC </w:t>
      </w:r>
      <w:r w:rsidR="000514C2">
        <w:rPr>
          <w:sz w:val="20"/>
          <w:szCs w:val="20"/>
        </w:rPr>
        <w:t>DRS</w:t>
      </w:r>
      <w:r w:rsidR="00D849FB">
        <w:rPr>
          <w:sz w:val="20"/>
          <w:szCs w:val="20"/>
        </w:rPr>
        <w:t xml:space="preserve">. </w:t>
      </w:r>
      <w:r w:rsidR="009E6F52">
        <w:rPr>
          <w:sz w:val="20"/>
          <w:szCs w:val="20"/>
        </w:rPr>
        <w:t>S</w:t>
      </w:r>
      <w:r w:rsidR="00ED2B05">
        <w:rPr>
          <w:sz w:val="20"/>
          <w:szCs w:val="20"/>
        </w:rPr>
        <w:t>tates and territories</w:t>
      </w:r>
      <w:r w:rsidR="009E6F52" w:rsidRPr="00B25851">
        <w:rPr>
          <w:sz w:val="20"/>
          <w:szCs w:val="20"/>
        </w:rPr>
        <w:t xml:space="preserve"> </w:t>
      </w:r>
      <w:r w:rsidR="00B25851" w:rsidRPr="00B25851">
        <w:rPr>
          <w:sz w:val="20"/>
          <w:szCs w:val="20"/>
        </w:rPr>
        <w:t>emphasised the need for nationally consistent EVC definitions, clearer distinctions between virtual care models, and alignment with existing datasets to reduce duplication and improve clarity. Recommendations included capturing specific technologies used, refining data specifications and developing culturally responsive funding models to support equitable virtual care delivery.</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8F46D0" w:rsidRPr="007C7991" w14:paraId="758E5BB2" w14:textId="77777777" w:rsidTr="003B2520">
        <w:trPr>
          <w:cantSplit/>
          <w:trHeight w:val="600"/>
        </w:trPr>
        <w:tc>
          <w:tcPr>
            <w:tcW w:w="851" w:type="dxa"/>
            <w:shd w:val="clear" w:color="auto" w:fill="C1DAF8" w:themeFill="accent2" w:themeFillTint="33"/>
          </w:tcPr>
          <w:p w14:paraId="43245AF6" w14:textId="77777777" w:rsidR="008F46D0" w:rsidRPr="007C7991" w:rsidRDefault="008F46D0" w:rsidP="008F46D0">
            <w:pPr>
              <w:rPr>
                <w:sz w:val="20"/>
                <w:szCs w:val="20"/>
              </w:rPr>
            </w:pPr>
            <w:r w:rsidRPr="007C7991">
              <w:rPr>
                <w:noProof/>
                <w:sz w:val="20"/>
                <w:szCs w:val="20"/>
              </w:rPr>
              <w:lastRenderedPageBreak/>
              <w:drawing>
                <wp:inline distT="0" distB="0" distL="0" distR="0" wp14:anchorId="7160BDF6" wp14:editId="276481C7">
                  <wp:extent cx="266700" cy="266700"/>
                  <wp:effectExtent l="0" t="0" r="0" b="0"/>
                  <wp:docPr id="1653722080" name="Picture 16537220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2A43CE62" w14:textId="6DAABD4F" w:rsidR="008F46D0" w:rsidRPr="00C72953" w:rsidRDefault="008F46D0" w:rsidP="00BE53FE">
            <w:pPr>
              <w:pStyle w:val="Heading4"/>
              <w:rPr>
                <w:sz w:val="20"/>
                <w:szCs w:val="20"/>
              </w:rPr>
            </w:pPr>
            <w:r w:rsidRPr="00C72953">
              <w:rPr>
                <w:sz w:val="20"/>
                <w:szCs w:val="20"/>
              </w:rPr>
              <w:t>Next steps and future work</w:t>
            </w:r>
          </w:p>
          <w:p w14:paraId="76D691B2" w14:textId="36653022" w:rsidR="00C54DDA" w:rsidRDefault="00C54DDA" w:rsidP="00C72953">
            <w:pPr>
              <w:spacing w:after="120"/>
              <w:rPr>
                <w:rFonts w:cs="Arial"/>
                <w:sz w:val="20"/>
                <w:szCs w:val="20"/>
              </w:rPr>
            </w:pPr>
            <w:r w:rsidRPr="00EA426D">
              <w:rPr>
                <w:rFonts w:cs="Arial"/>
                <w:sz w:val="20"/>
                <w:szCs w:val="20"/>
              </w:rPr>
              <w:t xml:space="preserve">IHACPA </w:t>
            </w:r>
            <w:r w:rsidR="00F95381">
              <w:rPr>
                <w:rFonts w:cs="Arial"/>
                <w:sz w:val="20"/>
                <w:szCs w:val="20"/>
              </w:rPr>
              <w:t>notes s</w:t>
            </w:r>
            <w:r w:rsidR="00F95381" w:rsidRPr="00EA426D">
              <w:rPr>
                <w:rFonts w:cs="Arial"/>
                <w:sz w:val="20"/>
                <w:szCs w:val="20"/>
              </w:rPr>
              <w:t xml:space="preserve">takeholder feedback </w:t>
            </w:r>
            <w:r w:rsidR="00F95381">
              <w:rPr>
                <w:rFonts w:cs="Arial"/>
                <w:sz w:val="20"/>
                <w:szCs w:val="20"/>
              </w:rPr>
              <w:t xml:space="preserve">around the </w:t>
            </w:r>
            <w:r w:rsidR="00F95381" w:rsidRPr="00EA426D">
              <w:rPr>
                <w:rFonts w:cs="Arial"/>
                <w:sz w:val="20"/>
                <w:szCs w:val="20"/>
              </w:rPr>
              <w:t xml:space="preserve">challenges with EVC data </w:t>
            </w:r>
            <w:r w:rsidR="007A6869" w:rsidRPr="00EA426D">
              <w:rPr>
                <w:rFonts w:cs="Arial"/>
                <w:sz w:val="20"/>
                <w:szCs w:val="20"/>
              </w:rPr>
              <w:t>submission</w:t>
            </w:r>
            <w:r w:rsidR="007A6869">
              <w:rPr>
                <w:rFonts w:cs="Arial"/>
                <w:sz w:val="20"/>
                <w:szCs w:val="20"/>
              </w:rPr>
              <w:t xml:space="preserve"> and</w:t>
            </w:r>
            <w:r w:rsidR="00F95381">
              <w:rPr>
                <w:rFonts w:cs="Arial"/>
                <w:sz w:val="20"/>
                <w:szCs w:val="20"/>
              </w:rPr>
              <w:t xml:space="preserve"> </w:t>
            </w:r>
            <w:r w:rsidRPr="00EA426D">
              <w:rPr>
                <w:rFonts w:cs="Arial"/>
                <w:sz w:val="20"/>
                <w:szCs w:val="20"/>
              </w:rPr>
              <w:t xml:space="preserve">acknowledges the growing role of EVC services in public hospital systems and the importance of improving data collection to support future funding considerations. </w:t>
            </w:r>
          </w:p>
          <w:p w14:paraId="6C864191" w14:textId="26F914E1" w:rsidR="008F46D0" w:rsidRPr="00342796" w:rsidRDefault="008F46D0" w:rsidP="000067FB">
            <w:pPr>
              <w:spacing w:after="120"/>
              <w:rPr>
                <w:rFonts w:cs="Arial"/>
                <w:sz w:val="20"/>
                <w:szCs w:val="20"/>
              </w:rPr>
            </w:pPr>
            <w:r w:rsidRPr="78C8800E">
              <w:rPr>
                <w:rFonts w:cs="Arial"/>
                <w:sz w:val="20"/>
                <w:szCs w:val="20"/>
              </w:rPr>
              <w:t>IHACPA is contributing to the development of a nationally agreed definition of virtual care through its participation in the</w:t>
            </w:r>
            <w:r w:rsidR="00E14ECF">
              <w:rPr>
                <w:rFonts w:cs="Arial"/>
                <w:sz w:val="20"/>
                <w:szCs w:val="20"/>
              </w:rPr>
              <w:t xml:space="preserve"> Australian Institute of Health and Welfare</w:t>
            </w:r>
            <w:r w:rsidRPr="78C8800E">
              <w:rPr>
                <w:rFonts w:cs="Arial"/>
                <w:sz w:val="20"/>
                <w:szCs w:val="20"/>
              </w:rPr>
              <w:t xml:space="preserve"> Virtual Care Working Group. Once this foundational work is complete, IHACPA will expand its efforts to align EVC definitions and datasets</w:t>
            </w:r>
            <w:r w:rsidR="00742EAD">
              <w:rPr>
                <w:rFonts w:cs="Arial"/>
                <w:sz w:val="20"/>
                <w:szCs w:val="20"/>
              </w:rPr>
              <w:t xml:space="preserve">, </w:t>
            </w:r>
            <w:r w:rsidRPr="78C8800E">
              <w:rPr>
                <w:rFonts w:cs="Arial"/>
                <w:sz w:val="20"/>
                <w:szCs w:val="20"/>
              </w:rPr>
              <w:t xml:space="preserve">ensuring consistency with national collections such as the ED </w:t>
            </w:r>
            <w:r w:rsidR="00985040">
              <w:rPr>
                <w:rFonts w:cs="Arial"/>
                <w:sz w:val="20"/>
                <w:szCs w:val="20"/>
              </w:rPr>
              <w:t xml:space="preserve">National Minimum Data Set </w:t>
            </w:r>
            <w:r w:rsidRPr="78C8800E">
              <w:rPr>
                <w:rFonts w:cs="Arial"/>
                <w:sz w:val="20"/>
                <w:szCs w:val="20"/>
              </w:rPr>
              <w:t>and supporting robust data capture and pricing frameworks.</w:t>
            </w:r>
          </w:p>
        </w:tc>
      </w:tr>
    </w:tbl>
    <w:p w14:paraId="22FB4A9F" w14:textId="3EEB6B4B" w:rsidR="00823A1D" w:rsidRPr="00EB4BF3" w:rsidRDefault="00823A1D" w:rsidP="00823A1D">
      <w:pPr>
        <w:rPr>
          <w:sz w:val="20"/>
          <w:szCs w:val="20"/>
        </w:rPr>
        <w:sectPr w:rsidR="00823A1D" w:rsidRPr="00EB4BF3" w:rsidSect="00805A17">
          <w:headerReference w:type="default" r:id="rId76"/>
          <w:footerReference w:type="default" r:id="rId77"/>
          <w:headerReference w:type="first" r:id="rId78"/>
          <w:pgSz w:w="11906" w:h="16838" w:code="9"/>
          <w:pgMar w:top="1440" w:right="1080" w:bottom="1440" w:left="1080" w:header="708" w:footer="708" w:gutter="0"/>
          <w:cols w:space="720"/>
          <w:titlePg/>
          <w:docGrid w:linePitch="360"/>
        </w:sectPr>
      </w:pPr>
    </w:p>
    <w:p w14:paraId="1D6A833D" w14:textId="69F05720" w:rsidR="00823A1D" w:rsidRPr="00543078" w:rsidRDefault="00644130" w:rsidP="00823A1D">
      <w:pPr>
        <w:pStyle w:val="ChapterNumber"/>
      </w:pPr>
      <w:r>
        <w:lastRenderedPageBreak/>
        <w:t>7</w:t>
      </w:r>
    </w:p>
    <w:p w14:paraId="1A398DF5" w14:textId="18422F48" w:rsidR="00823A1D" w:rsidRPr="00543078" w:rsidRDefault="00644130" w:rsidP="00823A1D">
      <w:pPr>
        <w:pStyle w:val="Heading1"/>
      </w:pPr>
      <w:bookmarkStart w:id="23" w:name="_Toc206096202"/>
      <w:bookmarkStart w:id="24" w:name="_Toc214971807"/>
      <w:r>
        <w:t>Treatment of other Commonwealth programs</w:t>
      </w:r>
      <w:bookmarkEnd w:id="23"/>
      <w:bookmarkEnd w:id="24"/>
    </w:p>
    <w:p w14:paraId="2D07BED4" w14:textId="77777777" w:rsidR="00823A1D" w:rsidRDefault="00823A1D" w:rsidP="00823A1D">
      <w:pPr>
        <w:rPr>
          <w:sz w:val="16"/>
          <w:szCs w:val="15"/>
        </w:rPr>
      </w:pPr>
    </w:p>
    <w:p w14:paraId="1D30A827" w14:textId="77777777" w:rsidR="00823A1D" w:rsidRDefault="00823A1D" w:rsidP="00823A1D">
      <w:pPr>
        <w:rPr>
          <w:sz w:val="16"/>
          <w:szCs w:val="15"/>
        </w:rPr>
      </w:pPr>
    </w:p>
    <w:p w14:paraId="6EAFB18A" w14:textId="77777777" w:rsidR="00823A1D" w:rsidRDefault="00823A1D" w:rsidP="00823A1D">
      <w:pPr>
        <w:sectPr w:rsidR="00823A1D" w:rsidSect="00823A1D">
          <w:headerReference w:type="default" r:id="rId79"/>
          <w:footerReference w:type="default" r:id="rId80"/>
          <w:pgSz w:w="11906" w:h="16838" w:code="9"/>
          <w:pgMar w:top="567" w:right="1440" w:bottom="1440" w:left="1440" w:header="709" w:footer="709" w:gutter="0"/>
          <w:cols w:space="720"/>
          <w:docGrid w:linePitch="360"/>
        </w:sectPr>
      </w:pPr>
    </w:p>
    <w:p w14:paraId="56D7E390" w14:textId="77777777" w:rsidR="002F51A4" w:rsidRDefault="002F51A4" w:rsidP="00A47357">
      <w:pPr>
        <w:rPr>
          <w:rFonts w:eastAsiaTheme="majorEastAsia" w:cstheme="majorBidi"/>
          <w:b/>
          <w:color w:val="104F99" w:themeColor="accent2"/>
          <w:sz w:val="36"/>
          <w:szCs w:val="26"/>
        </w:rPr>
      </w:pPr>
    </w:p>
    <w:p w14:paraId="5AF62B1D" w14:textId="4E6F0230" w:rsidR="00A47357" w:rsidRPr="00300E38" w:rsidRDefault="00A47357" w:rsidP="00C900A5">
      <w:pPr>
        <w:pStyle w:val="Heading2"/>
      </w:pPr>
      <w:r>
        <w:t>7.</w:t>
      </w:r>
      <w:r w:rsidR="007F7763">
        <w:t>1</w:t>
      </w:r>
      <w:r>
        <w:t xml:space="preserve"> Overview</w:t>
      </w:r>
    </w:p>
    <w:p w14:paraId="54974838" w14:textId="3011A2BC" w:rsidR="00B05817" w:rsidRPr="00B05817" w:rsidRDefault="00B05817" w:rsidP="00B05817">
      <w:pPr>
        <w:rPr>
          <w:sz w:val="20"/>
          <w:szCs w:val="20"/>
        </w:rPr>
      </w:pPr>
      <w:r w:rsidRPr="00B05817">
        <w:rPr>
          <w:sz w:val="20"/>
          <w:szCs w:val="20"/>
        </w:rPr>
        <w:t>To prevent a public hospital service being funded more than once, the Addendum to the National Health Reform Agreement</w:t>
      </w:r>
      <w:r w:rsidR="00DC272F">
        <w:rPr>
          <w:sz w:val="20"/>
          <w:szCs w:val="20"/>
        </w:rPr>
        <w:t xml:space="preserve"> (NHRA)</w:t>
      </w:r>
      <w:r w:rsidRPr="00B05817">
        <w:rPr>
          <w:sz w:val="20"/>
          <w:szCs w:val="20"/>
        </w:rPr>
        <w:t xml:space="preserve"> 2020–2</w:t>
      </w:r>
      <w:r w:rsidR="00A35706">
        <w:rPr>
          <w:sz w:val="20"/>
          <w:szCs w:val="20"/>
        </w:rPr>
        <w:t>6</w:t>
      </w:r>
      <w:r w:rsidRPr="00B05817">
        <w:rPr>
          <w:sz w:val="20"/>
          <w:szCs w:val="20"/>
        </w:rPr>
        <w:t xml:space="preserve"> requires the Independent Health and Aged Care Authority (IHACPA) to discount Commonwealth funding provided to public hospitals through programs other than the</w:t>
      </w:r>
      <w:r w:rsidR="00DC272F">
        <w:rPr>
          <w:sz w:val="20"/>
          <w:szCs w:val="20"/>
        </w:rPr>
        <w:t xml:space="preserve"> NHRA.</w:t>
      </w:r>
    </w:p>
    <w:p w14:paraId="4ABA6F53" w14:textId="2F9CDE7E" w:rsidR="00B05817" w:rsidRPr="00B05817" w:rsidRDefault="00B05817" w:rsidP="00B05817">
      <w:pPr>
        <w:rPr>
          <w:sz w:val="20"/>
          <w:szCs w:val="20"/>
        </w:rPr>
      </w:pPr>
      <w:r w:rsidRPr="00B05817">
        <w:rPr>
          <w:sz w:val="20"/>
          <w:szCs w:val="20"/>
        </w:rPr>
        <w:t xml:space="preserve">The </w:t>
      </w:r>
      <w:r w:rsidR="00F95381">
        <w:rPr>
          <w:sz w:val="20"/>
          <w:szCs w:val="20"/>
        </w:rPr>
        <w:t>2</w:t>
      </w:r>
      <w:r w:rsidR="00F95381" w:rsidRPr="00B05817">
        <w:rPr>
          <w:sz w:val="20"/>
          <w:szCs w:val="20"/>
        </w:rPr>
        <w:t xml:space="preserve"> </w:t>
      </w:r>
      <w:r w:rsidRPr="00B05817">
        <w:rPr>
          <w:sz w:val="20"/>
          <w:szCs w:val="20"/>
        </w:rPr>
        <w:t>major programs are blood products (through the National Blood Agreement) and Commonwealth pharmaceutical programs.</w:t>
      </w:r>
    </w:p>
    <w:p w14:paraId="73ECC2C1" w14:textId="2CA2FEDF" w:rsidR="00823A1D" w:rsidRDefault="00B05817" w:rsidP="00B05817">
      <w:pPr>
        <w:rPr>
          <w:sz w:val="20"/>
          <w:szCs w:val="20"/>
        </w:rPr>
      </w:pPr>
      <w:r w:rsidRPr="00B05817">
        <w:rPr>
          <w:sz w:val="20"/>
          <w:szCs w:val="20"/>
        </w:rPr>
        <w:t>Consistent with clauses A9 and A46(e) of the addendum, blood expenditure that has been reported in the National Hospital Cost Data Collection (NHCDC) by states and territories will be removed in determining the national efficient price (NEP), as Commonwealth funding for this program is provided directly to the National Blood Authority.</w:t>
      </w:r>
    </w:p>
    <w:p w14:paraId="2ECBBF30" w14:textId="2A140C42" w:rsidR="00E26328" w:rsidRPr="00E26328" w:rsidRDefault="00866B81" w:rsidP="00E26328">
      <w:pPr>
        <w:rPr>
          <w:sz w:val="20"/>
          <w:szCs w:val="20"/>
        </w:rPr>
      </w:pPr>
      <w:r>
        <w:rPr>
          <w:sz w:val="20"/>
          <w:szCs w:val="20"/>
        </w:rPr>
        <w:t>G</w:t>
      </w:r>
      <w:r w:rsidRPr="00E26328">
        <w:rPr>
          <w:sz w:val="20"/>
          <w:szCs w:val="20"/>
        </w:rPr>
        <w:t>iven that they are already funded separately</w:t>
      </w:r>
      <w:r>
        <w:rPr>
          <w:sz w:val="20"/>
          <w:szCs w:val="20"/>
        </w:rPr>
        <w:t xml:space="preserve">, these </w:t>
      </w:r>
      <w:r w:rsidR="00F3203C">
        <w:rPr>
          <w:sz w:val="20"/>
          <w:szCs w:val="20"/>
        </w:rPr>
        <w:t>Commonwealth</w:t>
      </w:r>
      <w:r w:rsidR="00F30409">
        <w:rPr>
          <w:sz w:val="20"/>
          <w:szCs w:val="20"/>
        </w:rPr>
        <w:t>-</w:t>
      </w:r>
      <w:r w:rsidR="00E26328" w:rsidRPr="00E26328">
        <w:rPr>
          <w:sz w:val="20"/>
          <w:szCs w:val="20"/>
        </w:rPr>
        <w:t>funded pharmaceutical programs will also be removed prior to determining the underlying cost data for the NEP</w:t>
      </w:r>
      <w:r w:rsidR="003703E3">
        <w:rPr>
          <w:sz w:val="20"/>
          <w:szCs w:val="20"/>
        </w:rPr>
        <w:t xml:space="preserve"> D</w:t>
      </w:r>
      <w:r w:rsidR="00E26328" w:rsidRPr="00E26328">
        <w:rPr>
          <w:sz w:val="20"/>
          <w:szCs w:val="20"/>
        </w:rPr>
        <w:t>etermination</w:t>
      </w:r>
      <w:r w:rsidR="003703E3">
        <w:rPr>
          <w:sz w:val="20"/>
          <w:szCs w:val="20"/>
        </w:rPr>
        <w:t xml:space="preserve"> 2026</w:t>
      </w:r>
      <w:r w:rsidR="00695146">
        <w:rPr>
          <w:sz w:val="20"/>
          <w:szCs w:val="20"/>
        </w:rPr>
        <w:t>–27</w:t>
      </w:r>
      <w:r w:rsidR="003703E3">
        <w:rPr>
          <w:sz w:val="20"/>
          <w:szCs w:val="20"/>
        </w:rPr>
        <w:t xml:space="preserve"> (NEP26)</w:t>
      </w:r>
      <w:r w:rsidR="00E26328" w:rsidRPr="00E26328">
        <w:rPr>
          <w:sz w:val="20"/>
          <w:szCs w:val="20"/>
        </w:rPr>
        <w:t>:</w:t>
      </w:r>
    </w:p>
    <w:p w14:paraId="59725FE4" w14:textId="4972D019" w:rsidR="00E26328" w:rsidRPr="00E26328" w:rsidRDefault="00E26328" w:rsidP="00C876F9">
      <w:pPr>
        <w:pStyle w:val="ListParagraph"/>
        <w:numPr>
          <w:ilvl w:val="0"/>
          <w:numId w:val="15"/>
        </w:numPr>
        <w:rPr>
          <w:sz w:val="20"/>
          <w:szCs w:val="20"/>
        </w:rPr>
      </w:pPr>
      <w:r w:rsidRPr="00E26328">
        <w:rPr>
          <w:sz w:val="20"/>
          <w:szCs w:val="20"/>
        </w:rPr>
        <w:t>Highly Specialised Drugs (Section 100 funding)</w:t>
      </w:r>
    </w:p>
    <w:p w14:paraId="13D5844C" w14:textId="5E270C7A" w:rsidR="00E26328" w:rsidRPr="00E26328" w:rsidRDefault="00E26328" w:rsidP="00C876F9">
      <w:pPr>
        <w:pStyle w:val="ListParagraph"/>
        <w:numPr>
          <w:ilvl w:val="0"/>
          <w:numId w:val="15"/>
        </w:numPr>
        <w:rPr>
          <w:sz w:val="20"/>
          <w:szCs w:val="20"/>
        </w:rPr>
      </w:pPr>
      <w:r w:rsidRPr="00E26328">
        <w:rPr>
          <w:sz w:val="20"/>
          <w:szCs w:val="20"/>
        </w:rPr>
        <w:t>Pharmaceutical Reform Agreements – Pharmaceutical Benefits Scheme (PBS) Access Program</w:t>
      </w:r>
    </w:p>
    <w:p w14:paraId="0141229E" w14:textId="73DE3167" w:rsidR="00E26328" w:rsidRPr="00E26328" w:rsidRDefault="00E26328" w:rsidP="00C876F9">
      <w:pPr>
        <w:pStyle w:val="ListParagraph"/>
        <w:numPr>
          <w:ilvl w:val="0"/>
          <w:numId w:val="15"/>
        </w:numPr>
        <w:rPr>
          <w:sz w:val="20"/>
          <w:szCs w:val="20"/>
        </w:rPr>
      </w:pPr>
      <w:r w:rsidRPr="00E26328">
        <w:rPr>
          <w:sz w:val="20"/>
          <w:szCs w:val="20"/>
        </w:rPr>
        <w:t>Pharmaceutical Reform Agreements – Efficient Funding of Chemotherapy (Section 100 funding).</w:t>
      </w:r>
    </w:p>
    <w:p w14:paraId="6B900F5B" w14:textId="1B168F9F" w:rsidR="00C95CA6" w:rsidRDefault="00B22C69" w:rsidP="00B22C69">
      <w:pPr>
        <w:rPr>
          <w:sz w:val="20"/>
          <w:szCs w:val="20"/>
        </w:rPr>
      </w:pPr>
      <w:r w:rsidRPr="00DB0E2A">
        <w:rPr>
          <w:sz w:val="20"/>
          <w:szCs w:val="20"/>
        </w:rPr>
        <w:t xml:space="preserve">IHACPA’s process to remove PBS </w:t>
      </w:r>
      <w:r w:rsidR="0050069A">
        <w:rPr>
          <w:sz w:val="20"/>
          <w:szCs w:val="20"/>
        </w:rPr>
        <w:t>benefits</w:t>
      </w:r>
      <w:r w:rsidR="0050069A" w:rsidRPr="00DB0E2A">
        <w:rPr>
          <w:sz w:val="20"/>
          <w:szCs w:val="20"/>
        </w:rPr>
        <w:t xml:space="preserve"> </w:t>
      </w:r>
      <w:r w:rsidRPr="00DB0E2A">
        <w:rPr>
          <w:sz w:val="20"/>
          <w:szCs w:val="20"/>
        </w:rPr>
        <w:t xml:space="preserve">from the NHCDC </w:t>
      </w:r>
      <w:r w:rsidR="00680899">
        <w:rPr>
          <w:sz w:val="20"/>
          <w:szCs w:val="20"/>
        </w:rPr>
        <w:t>requires</w:t>
      </w:r>
      <w:r w:rsidR="00680899" w:rsidRPr="00DB0E2A">
        <w:rPr>
          <w:sz w:val="20"/>
          <w:szCs w:val="20"/>
        </w:rPr>
        <w:t xml:space="preserve"> </w:t>
      </w:r>
      <w:r w:rsidRPr="00DB0E2A">
        <w:rPr>
          <w:sz w:val="20"/>
          <w:szCs w:val="20"/>
        </w:rPr>
        <w:t xml:space="preserve">linking </w:t>
      </w:r>
      <w:r w:rsidR="0050069A">
        <w:rPr>
          <w:sz w:val="20"/>
          <w:szCs w:val="20"/>
        </w:rPr>
        <w:t>of the payments</w:t>
      </w:r>
      <w:r w:rsidRPr="00DB0E2A">
        <w:rPr>
          <w:sz w:val="20"/>
          <w:szCs w:val="20"/>
        </w:rPr>
        <w:t xml:space="preserve"> to the corresponding hospital episodes where possible, as well as removing aggregate amounts where payments cannot be </w:t>
      </w:r>
      <w:r w:rsidR="00881D8C">
        <w:rPr>
          <w:sz w:val="20"/>
          <w:szCs w:val="20"/>
        </w:rPr>
        <w:t xml:space="preserve">directly </w:t>
      </w:r>
      <w:r w:rsidRPr="00DB0E2A">
        <w:rPr>
          <w:sz w:val="20"/>
          <w:szCs w:val="20"/>
        </w:rPr>
        <w:t>linked.</w:t>
      </w:r>
    </w:p>
    <w:p w14:paraId="416B5A66" w14:textId="1EF46320" w:rsidR="00C95CA6" w:rsidRPr="00E1702C" w:rsidRDefault="00E1702C" w:rsidP="00E1702C">
      <w:pPr>
        <w:pStyle w:val="Heading2"/>
      </w:pPr>
      <w:r w:rsidRPr="00E1702C">
        <w:t xml:space="preserve">7.2 </w:t>
      </w:r>
      <w:r w:rsidR="00C95CA6" w:rsidRPr="00E1702C">
        <w:t>Pharmaceutical Benefits Scheme data linking project</w:t>
      </w:r>
    </w:p>
    <w:p w14:paraId="5E2E2599" w14:textId="42928496" w:rsidR="00C95CA6" w:rsidRDefault="00C95CA6" w:rsidP="00B22C69">
      <w:pPr>
        <w:rPr>
          <w:sz w:val="20"/>
          <w:szCs w:val="20"/>
        </w:rPr>
      </w:pPr>
      <w:r w:rsidRPr="00DD7908">
        <w:rPr>
          <w:sz w:val="20"/>
          <w:szCs w:val="20"/>
        </w:rPr>
        <w:t xml:space="preserve">IHACPA has been conducting a project to improve the linking </w:t>
      </w:r>
      <w:r w:rsidR="00881D8C">
        <w:rPr>
          <w:sz w:val="20"/>
          <w:szCs w:val="20"/>
        </w:rPr>
        <w:t xml:space="preserve">of </w:t>
      </w:r>
      <w:r w:rsidRPr="00DD7908">
        <w:rPr>
          <w:sz w:val="20"/>
          <w:szCs w:val="20"/>
        </w:rPr>
        <w:t>benefits paid under the</w:t>
      </w:r>
      <w:r w:rsidR="00CD3356">
        <w:rPr>
          <w:sz w:val="20"/>
          <w:szCs w:val="20"/>
        </w:rPr>
        <w:t xml:space="preserve"> PBS </w:t>
      </w:r>
      <w:r w:rsidRPr="00DD7908">
        <w:rPr>
          <w:sz w:val="20"/>
          <w:szCs w:val="20"/>
        </w:rPr>
        <w:t>to hospital activity data</w:t>
      </w:r>
      <w:r w:rsidR="000746A6">
        <w:rPr>
          <w:sz w:val="20"/>
          <w:szCs w:val="20"/>
        </w:rPr>
        <w:t xml:space="preserve"> </w:t>
      </w:r>
      <w:r w:rsidR="002D4C3B">
        <w:rPr>
          <w:sz w:val="20"/>
          <w:szCs w:val="20"/>
        </w:rPr>
        <w:t xml:space="preserve">to better reflect the associated PBS payments and in turn, improve the representativeness of the resulting prices. </w:t>
      </w:r>
      <w:r>
        <w:rPr>
          <w:sz w:val="20"/>
          <w:szCs w:val="20"/>
        </w:rPr>
        <w:t xml:space="preserve">The project aims to </w:t>
      </w:r>
      <w:r w:rsidRPr="00DD7908">
        <w:rPr>
          <w:sz w:val="20"/>
          <w:szCs w:val="20"/>
        </w:rPr>
        <w:t xml:space="preserve">more accurately remove PBS </w:t>
      </w:r>
      <w:r w:rsidR="00BD2F0E">
        <w:rPr>
          <w:sz w:val="20"/>
          <w:szCs w:val="20"/>
        </w:rPr>
        <w:t xml:space="preserve">benefits </w:t>
      </w:r>
      <w:r w:rsidR="00C238F0">
        <w:rPr>
          <w:sz w:val="20"/>
          <w:szCs w:val="20"/>
        </w:rPr>
        <w:t>across all</w:t>
      </w:r>
      <w:r w:rsidRPr="00DD7908">
        <w:rPr>
          <w:sz w:val="20"/>
          <w:szCs w:val="20"/>
        </w:rPr>
        <w:t xml:space="preserve"> streams</w:t>
      </w:r>
      <w:r w:rsidR="00C238F0">
        <w:rPr>
          <w:sz w:val="20"/>
          <w:szCs w:val="20"/>
        </w:rPr>
        <w:t xml:space="preserve"> of hospital care</w:t>
      </w:r>
      <w:r w:rsidRPr="00DD7908">
        <w:rPr>
          <w:sz w:val="20"/>
          <w:szCs w:val="20"/>
        </w:rPr>
        <w:t>.</w:t>
      </w:r>
      <w:r>
        <w:rPr>
          <w:sz w:val="20"/>
          <w:szCs w:val="20"/>
        </w:rPr>
        <w:t xml:space="preserve"> </w:t>
      </w:r>
      <w:r w:rsidR="00182E85">
        <w:rPr>
          <w:sz w:val="20"/>
          <w:szCs w:val="20"/>
        </w:rPr>
        <w:t>IHACPA notes that in</w:t>
      </w:r>
      <w:r w:rsidR="00915D50">
        <w:rPr>
          <w:sz w:val="20"/>
          <w:szCs w:val="20"/>
        </w:rPr>
        <w:t xml:space="preserve"> </w:t>
      </w:r>
      <w:r w:rsidR="00182E85">
        <w:rPr>
          <w:sz w:val="20"/>
          <w:szCs w:val="20"/>
        </w:rPr>
        <w:t>implementing change</w:t>
      </w:r>
      <w:r w:rsidR="001E0F1C">
        <w:rPr>
          <w:sz w:val="20"/>
          <w:szCs w:val="20"/>
        </w:rPr>
        <w:t>s to</w:t>
      </w:r>
      <w:r w:rsidR="00915D50">
        <w:rPr>
          <w:sz w:val="20"/>
          <w:szCs w:val="20"/>
        </w:rPr>
        <w:t xml:space="preserve"> </w:t>
      </w:r>
      <w:r>
        <w:rPr>
          <w:sz w:val="20"/>
          <w:szCs w:val="20"/>
        </w:rPr>
        <w:t xml:space="preserve">the </w:t>
      </w:r>
      <w:r w:rsidR="00182E85">
        <w:rPr>
          <w:sz w:val="20"/>
          <w:szCs w:val="20"/>
        </w:rPr>
        <w:t xml:space="preserve">linking </w:t>
      </w:r>
      <w:r>
        <w:rPr>
          <w:sz w:val="20"/>
          <w:szCs w:val="20"/>
        </w:rPr>
        <w:t xml:space="preserve">methodology </w:t>
      </w:r>
      <w:r w:rsidR="00182E85">
        <w:rPr>
          <w:sz w:val="20"/>
          <w:szCs w:val="20"/>
        </w:rPr>
        <w:t xml:space="preserve">there </w:t>
      </w:r>
      <w:r w:rsidR="001E0F1C">
        <w:rPr>
          <w:sz w:val="20"/>
          <w:szCs w:val="20"/>
        </w:rPr>
        <w:t>may</w:t>
      </w:r>
      <w:r>
        <w:rPr>
          <w:sz w:val="20"/>
          <w:szCs w:val="20"/>
        </w:rPr>
        <w:t xml:space="preserve"> </w:t>
      </w:r>
      <w:r w:rsidR="001E0F1C">
        <w:rPr>
          <w:sz w:val="20"/>
          <w:szCs w:val="20"/>
        </w:rPr>
        <w:t>be</w:t>
      </w:r>
      <w:r>
        <w:rPr>
          <w:sz w:val="20"/>
          <w:szCs w:val="20"/>
        </w:rPr>
        <w:t xml:space="preserve"> impact</w:t>
      </w:r>
      <w:r w:rsidR="001E0F1C">
        <w:rPr>
          <w:sz w:val="20"/>
          <w:szCs w:val="20"/>
        </w:rPr>
        <w:t>s</w:t>
      </w:r>
      <w:r>
        <w:rPr>
          <w:sz w:val="20"/>
          <w:szCs w:val="20"/>
        </w:rPr>
        <w:t xml:space="preserve"> </w:t>
      </w:r>
      <w:r w:rsidR="00182E85">
        <w:rPr>
          <w:sz w:val="20"/>
          <w:szCs w:val="20"/>
        </w:rPr>
        <w:t>on</w:t>
      </w:r>
      <w:r>
        <w:rPr>
          <w:sz w:val="20"/>
          <w:szCs w:val="20"/>
        </w:rPr>
        <w:t xml:space="preserve"> all end-class price weights, particularly for chemotherapy</w:t>
      </w:r>
      <w:r w:rsidR="00FE1A7A">
        <w:rPr>
          <w:sz w:val="20"/>
          <w:szCs w:val="20"/>
        </w:rPr>
        <w:t>,</w:t>
      </w:r>
      <w:r w:rsidR="00064351">
        <w:rPr>
          <w:sz w:val="20"/>
          <w:szCs w:val="20"/>
        </w:rPr>
        <w:t xml:space="preserve"> cystic fibrosis</w:t>
      </w:r>
      <w:r w:rsidR="00FE1A7A">
        <w:rPr>
          <w:sz w:val="20"/>
          <w:szCs w:val="20"/>
        </w:rPr>
        <w:t xml:space="preserve"> and multiple sclerosis</w:t>
      </w:r>
      <w:r>
        <w:rPr>
          <w:sz w:val="20"/>
          <w:szCs w:val="20"/>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003F71" w:rsidRPr="0053204D" w14:paraId="4ACFC458" w14:textId="77777777" w:rsidTr="0019067A">
        <w:tc>
          <w:tcPr>
            <w:tcW w:w="851" w:type="dxa"/>
            <w:shd w:val="clear" w:color="auto" w:fill="B5FFE0" w:themeFill="accent4" w:themeFillTint="33"/>
          </w:tcPr>
          <w:p w14:paraId="2B6549A8" w14:textId="77777777" w:rsidR="00003F71" w:rsidRPr="0053204D" w:rsidRDefault="00003F71" w:rsidP="0019067A">
            <w:pPr>
              <w:jc w:val="center"/>
              <w:rPr>
                <w:sz w:val="18"/>
                <w:szCs w:val="18"/>
              </w:rPr>
            </w:pPr>
            <w:r w:rsidRPr="0053204D">
              <w:rPr>
                <w:noProof/>
                <w:sz w:val="18"/>
                <w:szCs w:val="18"/>
              </w:rPr>
              <w:drawing>
                <wp:inline distT="0" distB="0" distL="0" distR="0" wp14:anchorId="1FAC51E4" wp14:editId="30CE5D37">
                  <wp:extent cx="266700" cy="266700"/>
                  <wp:effectExtent l="0" t="0" r="0" b="0"/>
                  <wp:docPr id="850435216" name="Picture 850435216"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B5FFE0" w:themeFill="accent4" w:themeFillTint="33"/>
          </w:tcPr>
          <w:p w14:paraId="67C77B29" w14:textId="77777777" w:rsidR="00003F71" w:rsidRPr="004A7F49" w:rsidRDefault="00003F71" w:rsidP="0019067A">
            <w:pPr>
              <w:pStyle w:val="Heading4"/>
              <w:rPr>
                <w:sz w:val="20"/>
                <w:szCs w:val="20"/>
              </w:rPr>
            </w:pPr>
            <w:r w:rsidRPr="0072273B">
              <w:rPr>
                <w:sz w:val="20"/>
                <w:szCs w:val="20"/>
              </w:rPr>
              <w:t>IHACPA’s decision</w:t>
            </w:r>
          </w:p>
          <w:p w14:paraId="6ACCB885" w14:textId="78148237" w:rsidR="00003F71" w:rsidRPr="002D0DCE" w:rsidRDefault="00003F71" w:rsidP="00F30409">
            <w:pPr>
              <w:spacing w:after="120"/>
              <w:rPr>
                <w:sz w:val="20"/>
                <w:szCs w:val="20"/>
              </w:rPr>
            </w:pPr>
            <w:r>
              <w:rPr>
                <w:sz w:val="20"/>
                <w:szCs w:val="20"/>
              </w:rPr>
              <w:t>For NEP26</w:t>
            </w:r>
            <w:r w:rsidR="003F06D0">
              <w:rPr>
                <w:sz w:val="20"/>
                <w:szCs w:val="20"/>
              </w:rPr>
              <w:t>,</w:t>
            </w:r>
            <w:r>
              <w:rPr>
                <w:sz w:val="20"/>
                <w:szCs w:val="20"/>
              </w:rPr>
              <w:t xml:space="preserve"> IHACPA </w:t>
            </w:r>
            <w:r w:rsidR="002D6378">
              <w:rPr>
                <w:sz w:val="20"/>
                <w:szCs w:val="20"/>
              </w:rPr>
              <w:t xml:space="preserve">intends to </w:t>
            </w:r>
            <w:r>
              <w:rPr>
                <w:sz w:val="20"/>
                <w:szCs w:val="20"/>
              </w:rPr>
              <w:t xml:space="preserve">implement changes to more accurately remove PBS benefits across </w:t>
            </w:r>
            <w:r w:rsidR="00234479">
              <w:rPr>
                <w:sz w:val="20"/>
                <w:szCs w:val="20"/>
              </w:rPr>
              <w:t xml:space="preserve">pricing for </w:t>
            </w:r>
            <w:r>
              <w:rPr>
                <w:sz w:val="20"/>
                <w:szCs w:val="20"/>
              </w:rPr>
              <w:t xml:space="preserve">all streams of </w:t>
            </w:r>
            <w:r w:rsidR="00234479">
              <w:rPr>
                <w:sz w:val="20"/>
                <w:szCs w:val="20"/>
              </w:rPr>
              <w:t>hospital care</w:t>
            </w:r>
            <w:r w:rsidR="007D6DB0">
              <w:rPr>
                <w:sz w:val="20"/>
                <w:szCs w:val="20"/>
              </w:rPr>
              <w:t>.</w:t>
            </w:r>
          </w:p>
        </w:tc>
      </w:tr>
    </w:tbl>
    <w:p w14:paraId="07DA385E" w14:textId="6876C286" w:rsidR="00003F71" w:rsidRPr="00DB0E2A" w:rsidRDefault="00003F71" w:rsidP="00B22C69">
      <w:pPr>
        <w:rPr>
          <w:sz w:val="20"/>
          <w:szCs w:val="20"/>
        </w:rPr>
        <w:sectPr w:rsidR="00003F71" w:rsidRPr="00DB0E2A" w:rsidSect="00823A1D">
          <w:headerReference w:type="default" r:id="rId81"/>
          <w:footerReference w:type="default" r:id="rId82"/>
          <w:pgSz w:w="11906" w:h="16838" w:code="9"/>
          <w:pgMar w:top="1440" w:right="1080" w:bottom="1440" w:left="1080" w:header="708" w:footer="708" w:gutter="0"/>
          <w:cols w:space="720"/>
          <w:docGrid w:linePitch="360"/>
        </w:sectPr>
      </w:pPr>
    </w:p>
    <w:p w14:paraId="59B11CFA" w14:textId="77B65D7B" w:rsidR="00823A1D" w:rsidRPr="00543078" w:rsidRDefault="0033700D" w:rsidP="00823A1D">
      <w:pPr>
        <w:pStyle w:val="ChapterNumber"/>
      </w:pPr>
      <w:r>
        <w:lastRenderedPageBreak/>
        <w:t>8</w:t>
      </w:r>
    </w:p>
    <w:p w14:paraId="7AB190D0" w14:textId="6C85DFB0" w:rsidR="00823A1D" w:rsidRPr="00543078" w:rsidRDefault="0033700D" w:rsidP="00823A1D">
      <w:pPr>
        <w:pStyle w:val="Heading1"/>
      </w:pPr>
      <w:bookmarkStart w:id="25" w:name="_Toc206096203"/>
      <w:bookmarkStart w:id="26" w:name="_Toc214971808"/>
      <w:r>
        <w:t>Future funding models</w:t>
      </w:r>
      <w:bookmarkEnd w:id="25"/>
      <w:bookmarkEnd w:id="26"/>
    </w:p>
    <w:p w14:paraId="090D6E48" w14:textId="77777777" w:rsidR="00823A1D" w:rsidRDefault="00823A1D" w:rsidP="00823A1D">
      <w:pPr>
        <w:rPr>
          <w:sz w:val="16"/>
          <w:szCs w:val="15"/>
        </w:rPr>
      </w:pPr>
    </w:p>
    <w:p w14:paraId="634C773A" w14:textId="77777777" w:rsidR="00823A1D" w:rsidRDefault="00823A1D" w:rsidP="00823A1D">
      <w:pPr>
        <w:rPr>
          <w:sz w:val="16"/>
          <w:szCs w:val="15"/>
        </w:rPr>
      </w:pPr>
    </w:p>
    <w:p w14:paraId="0786D952" w14:textId="77777777" w:rsidR="00823A1D" w:rsidRDefault="00823A1D" w:rsidP="00823A1D">
      <w:pPr>
        <w:sectPr w:rsidR="00823A1D" w:rsidSect="00823A1D">
          <w:headerReference w:type="default" r:id="rId83"/>
          <w:footerReference w:type="default" r:id="rId84"/>
          <w:pgSz w:w="11906" w:h="16838" w:code="9"/>
          <w:pgMar w:top="567" w:right="1440" w:bottom="1440" w:left="1440" w:header="709" w:footer="709" w:gutter="0"/>
          <w:cols w:space="720"/>
          <w:docGrid w:linePitch="360"/>
        </w:sectPr>
      </w:pPr>
    </w:p>
    <w:p w14:paraId="4614BCD4" w14:textId="77777777" w:rsidR="00FB7D89" w:rsidRDefault="00FB7D89" w:rsidP="00277846">
      <w:pPr>
        <w:rPr>
          <w:rFonts w:eastAsiaTheme="majorEastAsia" w:cstheme="majorBidi"/>
          <w:b/>
          <w:color w:val="104F99" w:themeColor="accent2"/>
          <w:sz w:val="36"/>
          <w:szCs w:val="26"/>
        </w:rPr>
      </w:pPr>
    </w:p>
    <w:p w14:paraId="470CF1F8" w14:textId="1E2657FE" w:rsidR="00277846" w:rsidRPr="00300E38" w:rsidRDefault="00277846" w:rsidP="00C900A5">
      <w:pPr>
        <w:pStyle w:val="Heading2"/>
      </w:pPr>
      <w:r>
        <w:t>8.</w:t>
      </w:r>
      <w:r w:rsidR="001E3F88">
        <w:t>1</w:t>
      </w:r>
      <w:r>
        <w:t xml:space="preserve"> Overview</w:t>
      </w:r>
    </w:p>
    <w:p w14:paraId="095818E3" w14:textId="1E3F32AC" w:rsidR="00823A1D" w:rsidRDefault="00EB2967" w:rsidP="00823A1D">
      <w:pPr>
        <w:rPr>
          <w:sz w:val="20"/>
          <w:szCs w:val="20"/>
        </w:rPr>
      </w:pPr>
      <w:r w:rsidRPr="00EB2967">
        <w:rPr>
          <w:sz w:val="20"/>
          <w:szCs w:val="20"/>
        </w:rPr>
        <w:t>Activity based funding (ABF) has been an effective funding mechanism since it was introduced to Australian public hospitals in 2012. By setting a national efficient price (NEP) for each ABF hospital service, it has contributed to creating a more equitable and transparent system of hospital funding across Australia and enabled a stable and sustainable rate of growth in public hospital costs.</w:t>
      </w:r>
    </w:p>
    <w:p w14:paraId="13352260" w14:textId="758403BB" w:rsidR="00EB2967" w:rsidRPr="001D17A9" w:rsidRDefault="00DC272F" w:rsidP="00823A1D">
      <w:pPr>
        <w:rPr>
          <w:sz w:val="20"/>
          <w:szCs w:val="20"/>
        </w:rPr>
      </w:pPr>
      <w:r>
        <w:rPr>
          <w:sz w:val="20"/>
          <w:szCs w:val="20"/>
        </w:rPr>
        <w:t xml:space="preserve">The </w:t>
      </w:r>
      <w:r w:rsidR="00DE2A9F">
        <w:rPr>
          <w:sz w:val="20"/>
          <w:szCs w:val="20"/>
        </w:rPr>
        <w:t>I</w:t>
      </w:r>
      <w:r>
        <w:rPr>
          <w:sz w:val="20"/>
          <w:szCs w:val="20"/>
        </w:rPr>
        <w:t xml:space="preserve">ndependent </w:t>
      </w:r>
      <w:r w:rsidR="00DE2A9F">
        <w:rPr>
          <w:sz w:val="20"/>
          <w:szCs w:val="20"/>
        </w:rPr>
        <w:t>H</w:t>
      </w:r>
      <w:r>
        <w:rPr>
          <w:sz w:val="20"/>
          <w:szCs w:val="20"/>
        </w:rPr>
        <w:t xml:space="preserve">ealth and </w:t>
      </w:r>
      <w:r w:rsidR="00DE2A9F">
        <w:rPr>
          <w:sz w:val="20"/>
          <w:szCs w:val="20"/>
        </w:rPr>
        <w:t>A</w:t>
      </w:r>
      <w:r>
        <w:rPr>
          <w:sz w:val="20"/>
          <w:szCs w:val="20"/>
        </w:rPr>
        <w:t xml:space="preserve">ged </w:t>
      </w:r>
      <w:r w:rsidR="00DE2A9F">
        <w:rPr>
          <w:sz w:val="20"/>
          <w:szCs w:val="20"/>
        </w:rPr>
        <w:t>C</w:t>
      </w:r>
      <w:r>
        <w:rPr>
          <w:sz w:val="20"/>
          <w:szCs w:val="20"/>
        </w:rPr>
        <w:t xml:space="preserve">are </w:t>
      </w:r>
      <w:r w:rsidR="00DE2A9F">
        <w:rPr>
          <w:sz w:val="20"/>
          <w:szCs w:val="20"/>
        </w:rPr>
        <w:t>P</w:t>
      </w:r>
      <w:r>
        <w:rPr>
          <w:sz w:val="20"/>
          <w:szCs w:val="20"/>
        </w:rPr>
        <w:t xml:space="preserve">ricing </w:t>
      </w:r>
      <w:r w:rsidR="00DE2A9F">
        <w:rPr>
          <w:sz w:val="20"/>
          <w:szCs w:val="20"/>
        </w:rPr>
        <w:t>A</w:t>
      </w:r>
      <w:r>
        <w:rPr>
          <w:sz w:val="20"/>
          <w:szCs w:val="20"/>
        </w:rPr>
        <w:t>uthority (IHACPA)</w:t>
      </w:r>
      <w:r w:rsidR="00DE2A9F">
        <w:rPr>
          <w:sz w:val="20"/>
          <w:szCs w:val="20"/>
        </w:rPr>
        <w:t xml:space="preserve"> intends to conduct a review of its pricing approaches following the finalisation of the new multi-year N</w:t>
      </w:r>
      <w:r w:rsidR="00E53D24">
        <w:rPr>
          <w:sz w:val="20"/>
          <w:szCs w:val="20"/>
        </w:rPr>
        <w:t xml:space="preserve">ational </w:t>
      </w:r>
      <w:r w:rsidR="00DE2A9F">
        <w:rPr>
          <w:sz w:val="20"/>
          <w:szCs w:val="20"/>
        </w:rPr>
        <w:t>H</w:t>
      </w:r>
      <w:r w:rsidR="00E53D24">
        <w:rPr>
          <w:sz w:val="20"/>
          <w:szCs w:val="20"/>
        </w:rPr>
        <w:t xml:space="preserve">ealth </w:t>
      </w:r>
      <w:r w:rsidR="00DE2A9F">
        <w:rPr>
          <w:sz w:val="20"/>
          <w:szCs w:val="20"/>
        </w:rPr>
        <w:t>R</w:t>
      </w:r>
      <w:r w:rsidR="00E53D24">
        <w:rPr>
          <w:sz w:val="20"/>
          <w:szCs w:val="20"/>
        </w:rPr>
        <w:t xml:space="preserve">eform </w:t>
      </w:r>
      <w:r w:rsidR="00DE2A9F">
        <w:rPr>
          <w:sz w:val="20"/>
          <w:szCs w:val="20"/>
        </w:rPr>
        <w:t>A</w:t>
      </w:r>
      <w:r w:rsidR="00E53D24">
        <w:rPr>
          <w:sz w:val="20"/>
          <w:szCs w:val="20"/>
        </w:rPr>
        <w:t>greement</w:t>
      </w:r>
      <w:r w:rsidR="00DE2A9F">
        <w:rPr>
          <w:sz w:val="20"/>
          <w:szCs w:val="20"/>
        </w:rPr>
        <w:t xml:space="preserve"> </w:t>
      </w:r>
      <w:r w:rsidR="00E8482A">
        <w:rPr>
          <w:sz w:val="20"/>
          <w:szCs w:val="20"/>
        </w:rPr>
        <w:t xml:space="preserve">(NHRA) </w:t>
      </w:r>
      <w:r w:rsidR="00DE2A9F">
        <w:rPr>
          <w:sz w:val="20"/>
          <w:szCs w:val="20"/>
        </w:rPr>
        <w:t>addendum currently under negotiation.</w:t>
      </w:r>
    </w:p>
    <w:p w14:paraId="7260ED02" w14:textId="400A7574" w:rsidR="005B35F1" w:rsidRPr="00300E38" w:rsidRDefault="005B35F1" w:rsidP="00C900A5">
      <w:pPr>
        <w:pStyle w:val="Heading2"/>
      </w:pPr>
      <w:r>
        <w:t>8.</w:t>
      </w:r>
      <w:r w:rsidR="001E3F88">
        <w:t>2</w:t>
      </w:r>
      <w:r>
        <w:t xml:space="preserve"> Trialling innovative models of care</w:t>
      </w:r>
    </w:p>
    <w:p w14:paraId="2C5CEDE7" w14:textId="0221FFB0" w:rsidR="00B52348" w:rsidRPr="00B52348" w:rsidRDefault="00B52348" w:rsidP="003156FF">
      <w:pPr>
        <w:rPr>
          <w:sz w:val="20"/>
          <w:szCs w:val="20"/>
        </w:rPr>
      </w:pPr>
      <w:r w:rsidRPr="00B52348">
        <w:rPr>
          <w:sz w:val="20"/>
          <w:szCs w:val="20"/>
        </w:rPr>
        <w:t>Clause A99 of the Addendum to the NHRA 2020–2</w:t>
      </w:r>
      <w:r w:rsidR="003C591B">
        <w:rPr>
          <w:sz w:val="20"/>
          <w:szCs w:val="20"/>
        </w:rPr>
        <w:t>6</w:t>
      </w:r>
      <w:r w:rsidR="00DC272F">
        <w:rPr>
          <w:sz w:val="20"/>
          <w:szCs w:val="20"/>
        </w:rPr>
        <w:t xml:space="preserve"> </w:t>
      </w:r>
      <w:r w:rsidRPr="00B52348">
        <w:rPr>
          <w:sz w:val="20"/>
          <w:szCs w:val="20"/>
        </w:rPr>
        <w:t>stipulates that states and territories can seek to trial innovative models of care</w:t>
      </w:r>
      <w:r w:rsidR="003F06D0">
        <w:rPr>
          <w:sz w:val="20"/>
          <w:szCs w:val="20"/>
        </w:rPr>
        <w:t xml:space="preserve"> as</w:t>
      </w:r>
      <w:r w:rsidRPr="00B52348">
        <w:rPr>
          <w:sz w:val="20"/>
          <w:szCs w:val="20"/>
        </w:rPr>
        <w:t>:</w:t>
      </w:r>
    </w:p>
    <w:p w14:paraId="041F8945" w14:textId="33E3D416" w:rsidR="00B52348" w:rsidRPr="00B52348" w:rsidRDefault="00B52348" w:rsidP="00C72953">
      <w:pPr>
        <w:pStyle w:val="Bullets"/>
        <w:numPr>
          <w:ilvl w:val="0"/>
          <w:numId w:val="16"/>
        </w:numPr>
        <w:spacing w:before="0" w:after="160"/>
        <w:rPr>
          <w:sz w:val="20"/>
          <w:szCs w:val="20"/>
        </w:rPr>
      </w:pPr>
      <w:r w:rsidRPr="00B52348">
        <w:rPr>
          <w:sz w:val="20"/>
          <w:szCs w:val="20"/>
        </w:rPr>
        <w:t>an ABF service with shadow pricing, reporting, and appropriate interim block funding arrangements for the trial period</w:t>
      </w:r>
    </w:p>
    <w:p w14:paraId="48E1C115" w14:textId="464C1AD8" w:rsidR="00B52348" w:rsidRPr="00B52348" w:rsidRDefault="00B52348" w:rsidP="00C72953">
      <w:pPr>
        <w:pStyle w:val="Bullets"/>
        <w:numPr>
          <w:ilvl w:val="0"/>
          <w:numId w:val="16"/>
        </w:numPr>
        <w:spacing w:before="0" w:after="160"/>
        <w:rPr>
          <w:sz w:val="20"/>
          <w:szCs w:val="20"/>
        </w:rPr>
      </w:pPr>
      <w:r w:rsidRPr="00B52348">
        <w:rPr>
          <w:sz w:val="20"/>
          <w:szCs w:val="20"/>
        </w:rPr>
        <w:t>a block funded service, with reporting against the national model and program outcomes for the innovative funding model.</w:t>
      </w:r>
    </w:p>
    <w:p w14:paraId="17B91221" w14:textId="6ECCAF9F" w:rsidR="00B52348" w:rsidRPr="00B52348" w:rsidRDefault="00B52348" w:rsidP="00B52348">
      <w:pPr>
        <w:rPr>
          <w:sz w:val="20"/>
          <w:szCs w:val="20"/>
        </w:rPr>
      </w:pPr>
      <w:r w:rsidRPr="00B52348">
        <w:rPr>
          <w:sz w:val="20"/>
          <w:szCs w:val="20"/>
        </w:rPr>
        <w:t>Trials of innovative models of care may occur through a bilateral agreement between the Australian Government and a state or territory, for a fixed period of time under clause A97 of the addendum.</w:t>
      </w:r>
    </w:p>
    <w:p w14:paraId="3463E922" w14:textId="6112CA67" w:rsidR="00823A1D" w:rsidRDefault="00B52348" w:rsidP="00B52348">
      <w:pPr>
        <w:rPr>
          <w:sz w:val="20"/>
          <w:szCs w:val="20"/>
        </w:rPr>
      </w:pPr>
      <w:r w:rsidRPr="00B52348">
        <w:rPr>
          <w:sz w:val="20"/>
          <w:szCs w:val="20"/>
        </w:rPr>
        <w:t>IHACPA’s role</w:t>
      </w:r>
      <w:r w:rsidR="007320C1">
        <w:rPr>
          <w:sz w:val="20"/>
          <w:szCs w:val="20"/>
        </w:rPr>
        <w:t>,</w:t>
      </w:r>
      <w:r w:rsidRPr="00B52348">
        <w:rPr>
          <w:sz w:val="20"/>
          <w:szCs w:val="20"/>
        </w:rPr>
        <w:t xml:space="preserve"> as outlined in the addendum, is to provide advice and facilitate exploration and trial of new and innovative approaches to public hospital funding.</w:t>
      </w:r>
    </w:p>
    <w:p w14:paraId="4079EB27" w14:textId="6D5ABDD4" w:rsidR="00A17200" w:rsidRDefault="001B36C2" w:rsidP="00823A1D">
      <w:pPr>
        <w:rPr>
          <w:sz w:val="20"/>
          <w:szCs w:val="20"/>
        </w:rPr>
      </w:pPr>
      <w:r>
        <w:rPr>
          <w:sz w:val="20"/>
          <w:szCs w:val="20"/>
        </w:rPr>
        <w:t>New South Wales</w:t>
      </w:r>
      <w:r w:rsidR="00DC58DA">
        <w:rPr>
          <w:sz w:val="20"/>
          <w:szCs w:val="20"/>
        </w:rPr>
        <w:t xml:space="preserve"> (NSW)</w:t>
      </w:r>
      <w:r>
        <w:rPr>
          <w:sz w:val="20"/>
          <w:szCs w:val="20"/>
        </w:rPr>
        <w:t xml:space="preserve"> </w:t>
      </w:r>
      <w:r w:rsidR="00A92566">
        <w:rPr>
          <w:sz w:val="20"/>
          <w:szCs w:val="20"/>
        </w:rPr>
        <w:t xml:space="preserve">currently </w:t>
      </w:r>
      <w:r>
        <w:rPr>
          <w:sz w:val="20"/>
          <w:szCs w:val="20"/>
        </w:rPr>
        <w:t>has</w:t>
      </w:r>
      <w:r w:rsidR="008865F9">
        <w:rPr>
          <w:sz w:val="20"/>
          <w:szCs w:val="20"/>
        </w:rPr>
        <w:t xml:space="preserve"> several models </w:t>
      </w:r>
      <w:r w:rsidR="00C949B0">
        <w:rPr>
          <w:sz w:val="20"/>
          <w:szCs w:val="20"/>
        </w:rPr>
        <w:t>that</w:t>
      </w:r>
      <w:r w:rsidR="0031290A">
        <w:rPr>
          <w:sz w:val="20"/>
          <w:szCs w:val="20"/>
        </w:rPr>
        <w:t xml:space="preserve"> have been block</w:t>
      </w:r>
      <w:r w:rsidR="00416E6A">
        <w:rPr>
          <w:sz w:val="20"/>
          <w:szCs w:val="20"/>
        </w:rPr>
        <w:t xml:space="preserve"> </w:t>
      </w:r>
      <w:r w:rsidR="0031290A">
        <w:rPr>
          <w:sz w:val="20"/>
          <w:szCs w:val="20"/>
        </w:rPr>
        <w:t xml:space="preserve">funded through these arrangements under the </w:t>
      </w:r>
      <w:r w:rsidR="005E07EE">
        <w:rPr>
          <w:sz w:val="20"/>
          <w:szCs w:val="20"/>
        </w:rPr>
        <w:t xml:space="preserve">national efficient cost </w:t>
      </w:r>
      <w:r w:rsidR="00870D55">
        <w:rPr>
          <w:sz w:val="20"/>
          <w:szCs w:val="20"/>
        </w:rPr>
        <w:t>(</w:t>
      </w:r>
      <w:r w:rsidR="0031290A">
        <w:rPr>
          <w:sz w:val="20"/>
          <w:szCs w:val="20"/>
        </w:rPr>
        <w:t>NEC</w:t>
      </w:r>
      <w:r w:rsidR="00870D55">
        <w:rPr>
          <w:sz w:val="20"/>
          <w:szCs w:val="20"/>
        </w:rPr>
        <w:t>)</w:t>
      </w:r>
      <w:r w:rsidR="008865F9">
        <w:rPr>
          <w:sz w:val="20"/>
          <w:szCs w:val="20"/>
        </w:rPr>
        <w:t xml:space="preserve">. </w:t>
      </w:r>
      <w:r w:rsidR="00DC58DA">
        <w:rPr>
          <w:sz w:val="20"/>
          <w:szCs w:val="20"/>
        </w:rPr>
        <w:t xml:space="preserve">IHACPA </w:t>
      </w:r>
      <w:r w:rsidR="003F0346">
        <w:rPr>
          <w:sz w:val="20"/>
          <w:szCs w:val="20"/>
        </w:rPr>
        <w:t>will work</w:t>
      </w:r>
      <w:r w:rsidR="00DC58DA">
        <w:rPr>
          <w:sz w:val="20"/>
          <w:szCs w:val="20"/>
        </w:rPr>
        <w:t xml:space="preserve"> with NSW and the </w:t>
      </w:r>
      <w:r w:rsidR="0030062E">
        <w:rPr>
          <w:sz w:val="20"/>
          <w:szCs w:val="20"/>
        </w:rPr>
        <w:t xml:space="preserve">Australian Government </w:t>
      </w:r>
      <w:r w:rsidR="00AA7449">
        <w:rPr>
          <w:sz w:val="20"/>
          <w:szCs w:val="20"/>
        </w:rPr>
        <w:t>to support their review and potential transition into the national model.</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930"/>
      </w:tblGrid>
      <w:tr w:rsidR="00280E1E" w:rsidRPr="007C7991" w14:paraId="61DFE815" w14:textId="77777777" w:rsidTr="00F30409">
        <w:trPr>
          <w:trHeight w:val="2198"/>
        </w:trPr>
        <w:tc>
          <w:tcPr>
            <w:tcW w:w="851" w:type="dxa"/>
            <w:shd w:val="clear" w:color="auto" w:fill="C1DAF8" w:themeFill="accent2" w:themeFillTint="33"/>
          </w:tcPr>
          <w:p w14:paraId="4B0AD57B" w14:textId="77777777" w:rsidR="00280E1E" w:rsidRPr="007C7991" w:rsidRDefault="00280E1E" w:rsidP="00F30409">
            <w:pPr>
              <w:jc w:val="center"/>
              <w:rPr>
                <w:sz w:val="20"/>
                <w:szCs w:val="20"/>
              </w:rPr>
            </w:pPr>
            <w:r w:rsidRPr="007C7991">
              <w:rPr>
                <w:noProof/>
                <w:sz w:val="20"/>
                <w:szCs w:val="20"/>
              </w:rPr>
              <w:drawing>
                <wp:inline distT="0" distB="0" distL="0" distR="0" wp14:anchorId="6F25FE2D" wp14:editId="1F950141">
                  <wp:extent cx="266700" cy="266700"/>
                  <wp:effectExtent l="0" t="0" r="0" b="0"/>
                  <wp:docPr id="1659483614" name="Picture 16594836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930" w:type="dxa"/>
            <w:shd w:val="clear" w:color="auto" w:fill="C1DAF8" w:themeFill="accent2" w:themeFillTint="33"/>
          </w:tcPr>
          <w:p w14:paraId="2A8C473C" w14:textId="4D316561" w:rsidR="00C72953" w:rsidRDefault="00280E1E" w:rsidP="00C72953">
            <w:pPr>
              <w:pStyle w:val="Heading4"/>
              <w:rPr>
                <w:sz w:val="20"/>
                <w:szCs w:val="20"/>
              </w:rPr>
            </w:pPr>
            <w:r w:rsidRPr="00C72953">
              <w:rPr>
                <w:sz w:val="20"/>
                <w:szCs w:val="20"/>
              </w:rPr>
              <w:t>Next steps and future work</w:t>
            </w:r>
          </w:p>
          <w:p w14:paraId="78BB2151" w14:textId="77777777" w:rsidR="00280E1E" w:rsidRDefault="00280E1E" w:rsidP="00C72953">
            <w:pPr>
              <w:spacing w:after="120"/>
              <w:rPr>
                <w:sz w:val="20"/>
                <w:szCs w:val="20"/>
              </w:rPr>
            </w:pPr>
            <w:r w:rsidRPr="003E1C08">
              <w:rPr>
                <w:sz w:val="20"/>
                <w:szCs w:val="20"/>
              </w:rPr>
              <w:t xml:space="preserve">Once </w:t>
            </w:r>
            <w:r w:rsidR="00311E73">
              <w:rPr>
                <w:sz w:val="20"/>
                <w:szCs w:val="20"/>
              </w:rPr>
              <w:t>the</w:t>
            </w:r>
            <w:r w:rsidRPr="003E1C08">
              <w:rPr>
                <w:sz w:val="20"/>
                <w:szCs w:val="20"/>
              </w:rPr>
              <w:t xml:space="preserve"> ne</w:t>
            </w:r>
            <w:r w:rsidR="00311E73">
              <w:rPr>
                <w:sz w:val="20"/>
                <w:szCs w:val="20"/>
              </w:rPr>
              <w:t>xt</w:t>
            </w:r>
            <w:r w:rsidRPr="003E1C08">
              <w:rPr>
                <w:sz w:val="20"/>
                <w:szCs w:val="20"/>
              </w:rPr>
              <w:t xml:space="preserve"> addendum </w:t>
            </w:r>
            <w:r w:rsidR="00311E73">
              <w:rPr>
                <w:sz w:val="20"/>
                <w:szCs w:val="20"/>
              </w:rPr>
              <w:t xml:space="preserve">to the NHRA </w:t>
            </w:r>
            <w:r w:rsidRPr="003E1C08">
              <w:rPr>
                <w:sz w:val="20"/>
                <w:szCs w:val="20"/>
              </w:rPr>
              <w:t>is finalised, IHACPA will work with the parties to the NHRA to review and implement any changes related to the trial of new and innovative approaches to public hospital funding.</w:t>
            </w:r>
          </w:p>
          <w:p w14:paraId="6AF20613" w14:textId="4E3ABD01" w:rsidR="003156FF" w:rsidRPr="00342796" w:rsidRDefault="003156FF" w:rsidP="00C72953">
            <w:pPr>
              <w:spacing w:after="120"/>
              <w:rPr>
                <w:rFonts w:cs="Arial"/>
                <w:sz w:val="20"/>
                <w:szCs w:val="20"/>
              </w:rPr>
            </w:pPr>
            <w:r w:rsidRPr="003E1C08">
              <w:rPr>
                <w:sz w:val="20"/>
                <w:szCs w:val="20"/>
              </w:rPr>
              <w:t>In the interim, IHACPA will continue to work with jurisdictions to develop and provide advisory support for the trialling of innovative models of care.</w:t>
            </w:r>
            <w:r>
              <w:rPr>
                <w:sz w:val="20"/>
                <w:szCs w:val="20"/>
              </w:rPr>
              <w:t xml:space="preserve"> States and territories investigating alternative funding models are encouraged to approach IHACPA and the Australian Government.</w:t>
            </w:r>
          </w:p>
        </w:tc>
      </w:tr>
    </w:tbl>
    <w:p w14:paraId="3CF62C36" w14:textId="77777777" w:rsidR="00280E1E" w:rsidRDefault="00280E1E" w:rsidP="00823A1D">
      <w:pPr>
        <w:rPr>
          <w:sz w:val="20"/>
          <w:szCs w:val="20"/>
        </w:rPr>
      </w:pPr>
    </w:p>
    <w:p w14:paraId="4AAAB79C" w14:textId="77777777" w:rsidR="00823A1D" w:rsidRDefault="00823A1D" w:rsidP="00823A1D">
      <w:pPr>
        <w:rPr>
          <w:sz w:val="16"/>
          <w:szCs w:val="15"/>
        </w:rPr>
        <w:sectPr w:rsidR="00823A1D" w:rsidSect="00823A1D">
          <w:headerReference w:type="default" r:id="rId85"/>
          <w:footerReference w:type="default" r:id="rId86"/>
          <w:pgSz w:w="11906" w:h="16838" w:code="9"/>
          <w:pgMar w:top="1440" w:right="1080" w:bottom="1440" w:left="1080" w:header="708" w:footer="708" w:gutter="0"/>
          <w:cols w:space="720"/>
          <w:docGrid w:linePitch="360"/>
        </w:sectPr>
      </w:pPr>
    </w:p>
    <w:p w14:paraId="1252B810" w14:textId="66D2FDC7" w:rsidR="00823A1D" w:rsidRPr="00543078" w:rsidRDefault="009C7331" w:rsidP="00823A1D">
      <w:pPr>
        <w:pStyle w:val="ChapterNumber"/>
      </w:pPr>
      <w:r>
        <w:lastRenderedPageBreak/>
        <w:t>9</w:t>
      </w:r>
    </w:p>
    <w:p w14:paraId="781ECE31" w14:textId="41436319" w:rsidR="00823A1D" w:rsidRDefault="009C7331" w:rsidP="00E47C13">
      <w:pPr>
        <w:pStyle w:val="Heading1"/>
        <w:sectPr w:rsidR="00823A1D" w:rsidSect="00823A1D">
          <w:headerReference w:type="default" r:id="rId87"/>
          <w:footerReference w:type="default" r:id="rId88"/>
          <w:pgSz w:w="11906" w:h="16838" w:code="9"/>
          <w:pgMar w:top="567" w:right="1440" w:bottom="1440" w:left="1440" w:header="709" w:footer="709" w:gutter="0"/>
          <w:cols w:space="720"/>
          <w:docGrid w:linePitch="360"/>
        </w:sectPr>
      </w:pPr>
      <w:bookmarkStart w:id="27" w:name="_Toc206096204"/>
      <w:bookmarkStart w:id="28" w:name="_Toc214971809"/>
      <w:r>
        <w:t>Pricing and funding for safety and qualit</w:t>
      </w:r>
      <w:bookmarkEnd w:id="27"/>
      <w:bookmarkEnd w:id="28"/>
      <w:r w:rsidR="0012628C">
        <w:t>y</w:t>
      </w:r>
    </w:p>
    <w:p w14:paraId="3940CF6C" w14:textId="77777777" w:rsidR="0093507D" w:rsidRDefault="0093507D" w:rsidP="00C900A5">
      <w:pPr>
        <w:pStyle w:val="Heading2"/>
      </w:pPr>
    </w:p>
    <w:p w14:paraId="7A4ADE0C" w14:textId="74E611AB" w:rsidR="006F5A3E" w:rsidRPr="00300E38" w:rsidRDefault="006F5A3E" w:rsidP="00C900A5">
      <w:pPr>
        <w:pStyle w:val="Heading2"/>
      </w:pPr>
      <w:r>
        <w:t>9.</w:t>
      </w:r>
      <w:r w:rsidR="000916C7">
        <w:t>1</w:t>
      </w:r>
      <w:r>
        <w:t xml:space="preserve"> Overview</w:t>
      </w:r>
    </w:p>
    <w:p w14:paraId="6BD2B409" w14:textId="3D9B0149" w:rsidR="003E5AC6" w:rsidRPr="003E5AC6" w:rsidRDefault="003E5AC6" w:rsidP="003E5AC6">
      <w:pPr>
        <w:rPr>
          <w:sz w:val="20"/>
          <w:szCs w:val="20"/>
        </w:rPr>
      </w:pPr>
      <w:r w:rsidRPr="003E5AC6">
        <w:rPr>
          <w:sz w:val="20"/>
          <w:szCs w:val="20"/>
        </w:rPr>
        <w:t>The Independent Health and Aged Care Pricing Authority</w:t>
      </w:r>
      <w:r w:rsidR="003156FF">
        <w:rPr>
          <w:sz w:val="20"/>
          <w:szCs w:val="20"/>
        </w:rPr>
        <w:t xml:space="preserve"> </w:t>
      </w:r>
      <w:r w:rsidRPr="003E5AC6">
        <w:rPr>
          <w:sz w:val="20"/>
          <w:szCs w:val="20"/>
        </w:rPr>
        <w:t>(IHACPA) and the Australian Commission on Safety and Quality in Health Care (the Commission) follow a collaborative work program to incorporate safety and quality measures into the national efficient price (NEP), as required under the Addendum to the National Health Reform Agreement (NHRA) 2020–2</w:t>
      </w:r>
      <w:r w:rsidR="003C591B">
        <w:rPr>
          <w:sz w:val="20"/>
          <w:szCs w:val="20"/>
        </w:rPr>
        <w:t>6</w:t>
      </w:r>
      <w:r w:rsidRPr="003E5AC6">
        <w:rPr>
          <w:sz w:val="20"/>
          <w:szCs w:val="20"/>
        </w:rPr>
        <w:t>.</w:t>
      </w:r>
    </w:p>
    <w:p w14:paraId="0D51B7B5" w14:textId="15564016" w:rsidR="003E5AC6" w:rsidRPr="003E5AC6" w:rsidRDefault="003E5AC6" w:rsidP="003E5AC6">
      <w:pPr>
        <w:rPr>
          <w:sz w:val="20"/>
          <w:szCs w:val="20"/>
        </w:rPr>
      </w:pPr>
      <w:r w:rsidRPr="003E5AC6">
        <w:rPr>
          <w:sz w:val="20"/>
          <w:szCs w:val="20"/>
        </w:rPr>
        <w:t xml:space="preserve">Under the addendum, IHACPA is required to incorporate safety and quality into the pricing and funding of public hospital services to improve patient outcomes across </w:t>
      </w:r>
      <w:r w:rsidR="00890E24">
        <w:rPr>
          <w:sz w:val="20"/>
          <w:szCs w:val="20"/>
        </w:rPr>
        <w:t>3</w:t>
      </w:r>
      <w:r w:rsidR="00890E24" w:rsidRPr="003E5AC6">
        <w:rPr>
          <w:sz w:val="20"/>
          <w:szCs w:val="20"/>
        </w:rPr>
        <w:t xml:space="preserve"> </w:t>
      </w:r>
      <w:r w:rsidRPr="003E5AC6">
        <w:rPr>
          <w:sz w:val="20"/>
          <w:szCs w:val="20"/>
        </w:rPr>
        <w:t>key areas: sentinel events, hospital acquired complications (HACs) and avoidable hospital readmissions (AHRs).</w:t>
      </w:r>
    </w:p>
    <w:p w14:paraId="50CFC7F6" w14:textId="7B770176" w:rsidR="003E5AC6" w:rsidRDefault="003E5AC6" w:rsidP="003E5AC6">
      <w:pPr>
        <w:rPr>
          <w:sz w:val="20"/>
          <w:szCs w:val="20"/>
        </w:rPr>
      </w:pPr>
      <w:r w:rsidRPr="003E5AC6">
        <w:rPr>
          <w:sz w:val="20"/>
          <w:szCs w:val="20"/>
        </w:rPr>
        <w:t xml:space="preserve">The funding adjustments applied as part of the safety and quality reforms not only act as a price </w:t>
      </w:r>
      <w:r w:rsidR="0050607C" w:rsidRPr="003E5AC6">
        <w:rPr>
          <w:sz w:val="20"/>
          <w:szCs w:val="20"/>
        </w:rPr>
        <w:t>signal but</w:t>
      </w:r>
      <w:r w:rsidRPr="003E5AC6">
        <w:rPr>
          <w:sz w:val="20"/>
          <w:szCs w:val="20"/>
        </w:rPr>
        <w:t xml:space="preserve"> also aim to improve awareness of areas that clinicians and hospital managers can work on to address and improve patient care.</w:t>
      </w:r>
    </w:p>
    <w:p w14:paraId="45C6E069" w14:textId="5D533971" w:rsidR="00E16B3E" w:rsidRPr="006F5A3E" w:rsidRDefault="00E16B3E" w:rsidP="003E5AC6">
      <w:pPr>
        <w:rPr>
          <w:sz w:val="20"/>
          <w:szCs w:val="20"/>
        </w:rPr>
      </w:pPr>
      <w:r>
        <w:rPr>
          <w:sz w:val="20"/>
          <w:szCs w:val="20"/>
        </w:rPr>
        <w:t xml:space="preserve">As outlined in Chapter 4 of the Pricing Framework, IHACPA intends to remove the remaining temporary </w:t>
      </w:r>
      <w:r w:rsidR="00100E1B">
        <w:rPr>
          <w:sz w:val="20"/>
          <w:szCs w:val="20"/>
        </w:rPr>
        <w:t>coronavirus</w:t>
      </w:r>
      <w:r w:rsidR="006A4CD8">
        <w:rPr>
          <w:sz w:val="20"/>
          <w:szCs w:val="20"/>
        </w:rPr>
        <w:t xml:space="preserve"> </w:t>
      </w:r>
      <w:r w:rsidR="00100E1B">
        <w:rPr>
          <w:sz w:val="20"/>
          <w:szCs w:val="20"/>
        </w:rPr>
        <w:t>disease 20</w:t>
      </w:r>
      <w:r w:rsidR="006A4CD8">
        <w:rPr>
          <w:sz w:val="20"/>
          <w:szCs w:val="20"/>
        </w:rPr>
        <w:t>19 (</w:t>
      </w:r>
      <w:r>
        <w:rPr>
          <w:sz w:val="20"/>
          <w:szCs w:val="20"/>
        </w:rPr>
        <w:t>COVID-19</w:t>
      </w:r>
      <w:r w:rsidR="006A4CD8">
        <w:rPr>
          <w:sz w:val="20"/>
          <w:szCs w:val="20"/>
        </w:rPr>
        <w:t>)</w:t>
      </w:r>
      <w:r>
        <w:rPr>
          <w:sz w:val="20"/>
          <w:szCs w:val="20"/>
        </w:rPr>
        <w:t xml:space="preserve"> measures for </w:t>
      </w:r>
      <w:r w:rsidR="005E07EE">
        <w:rPr>
          <w:sz w:val="20"/>
          <w:szCs w:val="20"/>
        </w:rPr>
        <w:t>NEP Determination 2026–27 (</w:t>
      </w:r>
      <w:r>
        <w:rPr>
          <w:sz w:val="20"/>
          <w:szCs w:val="20"/>
        </w:rPr>
        <w:t>NEP26</w:t>
      </w:r>
      <w:r w:rsidR="005E07EE">
        <w:rPr>
          <w:sz w:val="20"/>
          <w:szCs w:val="20"/>
        </w:rPr>
        <w:t>)</w:t>
      </w:r>
      <w:r>
        <w:rPr>
          <w:sz w:val="20"/>
          <w:szCs w:val="20"/>
        </w:rPr>
        <w:t xml:space="preserve"> subject to analysis of pricing model impacts. One of these measures was the suspension</w:t>
      </w:r>
      <w:r w:rsidRPr="00EC1BD4">
        <w:rPr>
          <w:sz w:val="20"/>
          <w:szCs w:val="20"/>
        </w:rPr>
        <w:t xml:space="preserve"> of the safety and quality adjustments for episodes of care with a COVID-19 diagnosis.</w:t>
      </w:r>
      <w:r>
        <w:rPr>
          <w:sz w:val="20"/>
          <w:szCs w:val="20"/>
        </w:rPr>
        <w:t xml:space="preserve"> IHACPA proposes that </w:t>
      </w:r>
      <w:r w:rsidRPr="00BF7154">
        <w:rPr>
          <w:sz w:val="20"/>
          <w:szCs w:val="20"/>
        </w:rPr>
        <w:t xml:space="preserve">the incorporation of COVID-19 </w:t>
      </w:r>
      <w:r>
        <w:rPr>
          <w:sz w:val="20"/>
          <w:szCs w:val="20"/>
        </w:rPr>
        <w:t xml:space="preserve">as a risk factor informing the complexity scoring </w:t>
      </w:r>
      <w:r w:rsidRPr="00BF7154">
        <w:rPr>
          <w:sz w:val="20"/>
          <w:szCs w:val="20"/>
        </w:rPr>
        <w:t xml:space="preserve">of HAC and AHR categories is a </w:t>
      </w:r>
      <w:r w:rsidR="007F26D1">
        <w:rPr>
          <w:sz w:val="20"/>
          <w:szCs w:val="20"/>
        </w:rPr>
        <w:t>more appropriate method to</w:t>
      </w:r>
      <w:r w:rsidR="00DE29B2">
        <w:rPr>
          <w:sz w:val="20"/>
          <w:szCs w:val="20"/>
        </w:rPr>
        <w:t xml:space="preserve"> account for current </w:t>
      </w:r>
      <w:r>
        <w:rPr>
          <w:sz w:val="20"/>
          <w:szCs w:val="20"/>
        </w:rPr>
        <w:t>impact</w:t>
      </w:r>
      <w:r w:rsidR="00DE29B2">
        <w:rPr>
          <w:sz w:val="20"/>
          <w:szCs w:val="20"/>
        </w:rPr>
        <w:t>s</w:t>
      </w:r>
      <w:r>
        <w:rPr>
          <w:sz w:val="20"/>
          <w:szCs w:val="20"/>
        </w:rPr>
        <w:t xml:space="preserve"> of COVID-19 to the blanket exclusion of all such episodes </w:t>
      </w:r>
      <w:r w:rsidRPr="00BF7154">
        <w:rPr>
          <w:sz w:val="20"/>
          <w:szCs w:val="20"/>
        </w:rPr>
        <w:t xml:space="preserve">from the </w:t>
      </w:r>
      <w:r>
        <w:rPr>
          <w:sz w:val="20"/>
          <w:szCs w:val="20"/>
        </w:rPr>
        <w:t>safety and quality</w:t>
      </w:r>
      <w:r w:rsidRPr="00BF7154">
        <w:rPr>
          <w:sz w:val="20"/>
          <w:szCs w:val="20"/>
        </w:rPr>
        <w:t xml:space="preserve"> model.</w:t>
      </w:r>
    </w:p>
    <w:p w14:paraId="2E038C72" w14:textId="2FFA02CA" w:rsidR="003E5AC6" w:rsidRPr="00300E38" w:rsidRDefault="003E5AC6" w:rsidP="00C900A5">
      <w:pPr>
        <w:pStyle w:val="Heading2"/>
      </w:pPr>
      <w:r>
        <w:t>9.</w:t>
      </w:r>
      <w:r w:rsidR="000916C7">
        <w:t>2</w:t>
      </w:r>
      <w:r>
        <w:t xml:space="preserve"> Sentinel events</w:t>
      </w:r>
    </w:p>
    <w:p w14:paraId="578C2979" w14:textId="07A91403" w:rsidR="000911A4" w:rsidRPr="000911A4" w:rsidRDefault="000911A4" w:rsidP="000911A4">
      <w:pPr>
        <w:rPr>
          <w:sz w:val="20"/>
          <w:szCs w:val="20"/>
        </w:rPr>
      </w:pPr>
      <w:r w:rsidRPr="000911A4">
        <w:rPr>
          <w:sz w:val="20"/>
          <w:szCs w:val="20"/>
        </w:rPr>
        <w:t>Sentinel events are defined by the Commission as a subset of adverse patient safety events that are wholly preventable and result in serious harm to, or death of, a patient.</w:t>
      </w:r>
    </w:p>
    <w:p w14:paraId="371FE2E5" w14:textId="7B2062BC" w:rsidR="000911A4" w:rsidRDefault="000911A4" w:rsidP="000911A4">
      <w:pPr>
        <w:rPr>
          <w:sz w:val="20"/>
          <w:szCs w:val="20"/>
        </w:rPr>
      </w:pPr>
      <w:r w:rsidRPr="000911A4">
        <w:rPr>
          <w:sz w:val="20"/>
          <w:szCs w:val="20"/>
        </w:rPr>
        <w:t>Since 1 July 2017, IHACPA has specified that an episode of care including a sentinel event will be assigned a national weighted activity unit (NWAU) of zero. This approach is applied to all hospitals, whether funded on an activity or block funded basis.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363"/>
      </w:tblGrid>
      <w:tr w:rsidR="00627C2B" w:rsidRPr="0053204D" w14:paraId="50341F7B" w14:textId="77777777" w:rsidTr="00B414FC">
        <w:tc>
          <w:tcPr>
            <w:tcW w:w="851" w:type="dxa"/>
            <w:shd w:val="clear" w:color="auto" w:fill="B5FFE0" w:themeFill="accent4" w:themeFillTint="33"/>
          </w:tcPr>
          <w:p w14:paraId="492C487D" w14:textId="77777777" w:rsidR="00627C2B" w:rsidRPr="0053204D" w:rsidRDefault="00627C2B" w:rsidP="0019067A">
            <w:pPr>
              <w:jc w:val="center"/>
              <w:rPr>
                <w:sz w:val="18"/>
                <w:szCs w:val="18"/>
              </w:rPr>
            </w:pPr>
            <w:r w:rsidRPr="0053204D">
              <w:rPr>
                <w:noProof/>
                <w:sz w:val="18"/>
                <w:szCs w:val="18"/>
              </w:rPr>
              <w:drawing>
                <wp:inline distT="0" distB="0" distL="0" distR="0" wp14:anchorId="7AA893EA" wp14:editId="303F6DDF">
                  <wp:extent cx="266700" cy="266700"/>
                  <wp:effectExtent l="0" t="0" r="0" b="0"/>
                  <wp:docPr id="79813916" name="Picture 79813916"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363" w:type="dxa"/>
            <w:shd w:val="clear" w:color="auto" w:fill="B5FFE0" w:themeFill="accent4" w:themeFillTint="33"/>
          </w:tcPr>
          <w:p w14:paraId="42E5B994" w14:textId="77777777" w:rsidR="00627C2B" w:rsidRPr="004A7F49" w:rsidRDefault="00627C2B" w:rsidP="0019067A">
            <w:pPr>
              <w:pStyle w:val="Heading4"/>
              <w:rPr>
                <w:sz w:val="20"/>
                <w:szCs w:val="20"/>
              </w:rPr>
            </w:pPr>
            <w:r w:rsidRPr="0072273B">
              <w:rPr>
                <w:sz w:val="20"/>
                <w:szCs w:val="20"/>
              </w:rPr>
              <w:t>IHACPA’s decision</w:t>
            </w:r>
          </w:p>
          <w:p w14:paraId="020D3843" w14:textId="09455A19" w:rsidR="00627C2B" w:rsidRPr="002D0DCE" w:rsidRDefault="00627C2B" w:rsidP="00C72953">
            <w:pPr>
              <w:spacing w:after="120"/>
              <w:rPr>
                <w:sz w:val="20"/>
                <w:szCs w:val="20"/>
              </w:rPr>
            </w:pPr>
            <w:r w:rsidRPr="000911A4">
              <w:rPr>
                <w:sz w:val="20"/>
                <w:szCs w:val="20"/>
              </w:rPr>
              <w:t>As per the addendum (clauses A165–A166)</w:t>
            </w:r>
            <w:r w:rsidR="00E8482A">
              <w:rPr>
                <w:sz w:val="20"/>
                <w:szCs w:val="20"/>
              </w:rPr>
              <w:t xml:space="preserve"> to the NHRA</w:t>
            </w:r>
            <w:r w:rsidRPr="000911A4">
              <w:rPr>
                <w:sz w:val="20"/>
                <w:szCs w:val="20"/>
              </w:rPr>
              <w:t xml:space="preserve">, </w:t>
            </w:r>
            <w:r w:rsidRPr="000916C7">
              <w:rPr>
                <w:sz w:val="20"/>
                <w:szCs w:val="20"/>
              </w:rPr>
              <w:t xml:space="preserve">IHACPA will continue to apply this funding adjustment for episodes with a sentinel event for NEP26 using </w:t>
            </w:r>
            <w:hyperlink r:id="rId89" w:history="1">
              <w:r w:rsidRPr="00252E17">
                <w:rPr>
                  <w:rStyle w:val="Hyperlink"/>
                  <w:sz w:val="20"/>
                  <w:szCs w:val="20"/>
                </w:rPr>
                <w:t>Version 2.0 of the Australian Sentinel Events List</w:t>
              </w:r>
            </w:hyperlink>
            <w:r w:rsidRPr="000916C7">
              <w:rPr>
                <w:sz w:val="20"/>
                <w:szCs w:val="20"/>
              </w:rPr>
              <w:t xml:space="preserve"> published on the Commission’s website.</w:t>
            </w:r>
          </w:p>
        </w:tc>
      </w:tr>
    </w:tbl>
    <w:p w14:paraId="56511EC4" w14:textId="2549D241" w:rsidR="00840DFD" w:rsidRDefault="00840DFD" w:rsidP="00C72953">
      <w:pPr>
        <w:pStyle w:val="Heading2"/>
      </w:pPr>
      <w:r>
        <w:lastRenderedPageBreak/>
        <w:t>9.</w:t>
      </w:r>
      <w:r w:rsidR="00A444BB">
        <w:t>3</w:t>
      </w:r>
      <w:r>
        <w:t xml:space="preserve"> Hospital acquired complications</w:t>
      </w:r>
    </w:p>
    <w:p w14:paraId="4FE955F3" w14:textId="72C9180A" w:rsidR="00401EC5" w:rsidRPr="00401EC5" w:rsidRDefault="00401EC5" w:rsidP="00C72953">
      <w:pPr>
        <w:keepNext/>
        <w:keepLines/>
        <w:rPr>
          <w:sz w:val="20"/>
          <w:szCs w:val="20"/>
        </w:rPr>
      </w:pPr>
      <w:r w:rsidRPr="00401EC5">
        <w:rPr>
          <w:sz w:val="20"/>
          <w:szCs w:val="20"/>
        </w:rPr>
        <w:t>A HAC is a complication that occurs during a hospital stay and for which clinical risk mitigation strategies may reduce (but not necessarily eliminate) the risk of that complication occurring.</w:t>
      </w:r>
    </w:p>
    <w:p w14:paraId="45932A10" w14:textId="7B0B1247" w:rsidR="00401EC5" w:rsidRPr="00401EC5" w:rsidRDefault="00401EC5" w:rsidP="00C72953">
      <w:pPr>
        <w:keepLines/>
        <w:rPr>
          <w:sz w:val="20"/>
          <w:szCs w:val="20"/>
        </w:rPr>
      </w:pPr>
      <w:r w:rsidRPr="00401EC5">
        <w:rPr>
          <w:sz w:val="20"/>
          <w:szCs w:val="20"/>
        </w:rPr>
        <w:t>The funding adjustment for HACs reduces funding for any episode of admitted acute care where a HAC occurs. This approach incorporates a risk adjustment model and recognises that the presence of a HAC increases the complexity of an episode of care or the length of stay, driving an increase in the cost of care.</w:t>
      </w:r>
    </w:p>
    <w:p w14:paraId="22FF30D7" w14:textId="4E064FDB" w:rsidR="009B1EB4" w:rsidRDefault="00401EC5" w:rsidP="00401EC5">
      <w:pPr>
        <w:rPr>
          <w:sz w:val="20"/>
          <w:szCs w:val="20"/>
        </w:rPr>
      </w:pPr>
      <w:r w:rsidRPr="00401EC5">
        <w:rPr>
          <w:sz w:val="20"/>
          <w:szCs w:val="20"/>
        </w:rPr>
        <w:t xml:space="preserve">Further information on the HACs funding approach is included in the </w:t>
      </w:r>
      <w:hyperlink r:id="rId90" w:history="1">
        <w:r w:rsidRPr="00341756">
          <w:rPr>
            <w:rStyle w:val="Hyperlink"/>
            <w:sz w:val="20"/>
            <w:szCs w:val="20"/>
          </w:rPr>
          <w:t>NEP Determination 2025–26</w:t>
        </w:r>
      </w:hyperlink>
      <w:r w:rsidR="005E07EE" w:rsidRPr="00A8630C">
        <w:t xml:space="preserve"> </w:t>
      </w:r>
      <w:r w:rsidR="0074755A">
        <w:rPr>
          <w:sz w:val="20"/>
          <w:szCs w:val="20"/>
        </w:rPr>
        <w:t xml:space="preserve">(NEP25) </w:t>
      </w:r>
      <w:r w:rsidRPr="00401EC5">
        <w:rPr>
          <w:sz w:val="20"/>
          <w:szCs w:val="20"/>
        </w:rPr>
        <w:t xml:space="preserve">and the </w:t>
      </w:r>
      <w:hyperlink r:id="rId91" w:history="1">
        <w:r w:rsidR="002D35DD" w:rsidRPr="00D01CFE">
          <w:rPr>
            <w:rStyle w:val="Hyperlink"/>
            <w:sz w:val="20"/>
          </w:rPr>
          <w:t>National Pricing Model Technical Specifications 2025–26</w:t>
        </w:r>
      </w:hyperlink>
      <w:r w:rsidRPr="00401EC5">
        <w:rPr>
          <w:sz w:val="20"/>
          <w:szCs w:val="20"/>
        </w:rPr>
        <w:t>.</w:t>
      </w:r>
      <w:r w:rsidR="009B1EB4">
        <w:rPr>
          <w:sz w:val="20"/>
          <w:szCs w:val="20"/>
        </w:rPr>
        <w:t xml:space="preserve"> </w:t>
      </w:r>
    </w:p>
    <w:p w14:paraId="7504FDD7" w14:textId="27AC275A" w:rsidR="009A19E2" w:rsidRDefault="00401EC5" w:rsidP="00401EC5">
      <w:pPr>
        <w:rPr>
          <w:sz w:val="20"/>
          <w:szCs w:val="20"/>
        </w:rPr>
      </w:pPr>
      <w:r w:rsidRPr="00401EC5">
        <w:rPr>
          <w:sz w:val="20"/>
          <w:szCs w:val="20"/>
        </w:rPr>
        <w:t>The Commission is responsible for the ongoing curation of the HACs list to ensure it remains clinically relevant.</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363"/>
      </w:tblGrid>
      <w:tr w:rsidR="00A65A69" w:rsidRPr="0053204D" w14:paraId="3CCA4836" w14:textId="77777777" w:rsidTr="00B414FC">
        <w:tc>
          <w:tcPr>
            <w:tcW w:w="851" w:type="dxa"/>
            <w:shd w:val="clear" w:color="auto" w:fill="B5FFE0" w:themeFill="accent4" w:themeFillTint="33"/>
          </w:tcPr>
          <w:p w14:paraId="0A7ECA4C" w14:textId="77777777" w:rsidR="00A65A69" w:rsidRPr="0053204D" w:rsidRDefault="00A65A69" w:rsidP="0019067A">
            <w:pPr>
              <w:jc w:val="center"/>
              <w:rPr>
                <w:sz w:val="18"/>
                <w:szCs w:val="18"/>
              </w:rPr>
            </w:pPr>
            <w:r w:rsidRPr="0053204D">
              <w:rPr>
                <w:noProof/>
                <w:sz w:val="18"/>
                <w:szCs w:val="18"/>
              </w:rPr>
              <w:drawing>
                <wp:inline distT="0" distB="0" distL="0" distR="0" wp14:anchorId="3741035A" wp14:editId="542A7553">
                  <wp:extent cx="266700" cy="266700"/>
                  <wp:effectExtent l="0" t="0" r="0" b="0"/>
                  <wp:docPr id="248199914" name="Picture 248199914"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363" w:type="dxa"/>
            <w:shd w:val="clear" w:color="auto" w:fill="B5FFE0" w:themeFill="accent4" w:themeFillTint="33"/>
          </w:tcPr>
          <w:p w14:paraId="3D2376FD" w14:textId="77777777" w:rsidR="00A65A69" w:rsidRPr="004A7F49" w:rsidRDefault="00A65A69" w:rsidP="0019067A">
            <w:pPr>
              <w:pStyle w:val="Heading4"/>
              <w:rPr>
                <w:sz w:val="20"/>
                <w:szCs w:val="20"/>
              </w:rPr>
            </w:pPr>
            <w:r w:rsidRPr="0072273B">
              <w:rPr>
                <w:sz w:val="20"/>
                <w:szCs w:val="20"/>
              </w:rPr>
              <w:t>IHACPA’s decision</w:t>
            </w:r>
          </w:p>
          <w:p w14:paraId="1498964A" w14:textId="18AD03CD" w:rsidR="00A65A69" w:rsidRPr="002D0DCE" w:rsidRDefault="004263BE" w:rsidP="00C72953">
            <w:pPr>
              <w:spacing w:after="120"/>
              <w:rPr>
                <w:sz w:val="20"/>
                <w:szCs w:val="20"/>
              </w:rPr>
            </w:pPr>
            <w:r w:rsidRPr="00A444BB">
              <w:rPr>
                <w:sz w:val="20"/>
                <w:szCs w:val="20"/>
              </w:rPr>
              <w:t>For NEP26, IHACPA</w:t>
            </w:r>
            <w:r w:rsidR="00D62432">
              <w:rPr>
                <w:sz w:val="20"/>
                <w:szCs w:val="20"/>
              </w:rPr>
              <w:t xml:space="preserve"> will </w:t>
            </w:r>
            <w:r w:rsidRPr="00A444BB">
              <w:rPr>
                <w:sz w:val="20"/>
                <w:szCs w:val="20"/>
              </w:rPr>
              <w:t xml:space="preserve">use </w:t>
            </w:r>
            <w:hyperlink r:id="rId92" w:history="1">
              <w:r w:rsidRPr="00AC3ED2">
                <w:rPr>
                  <w:rStyle w:val="Hyperlink"/>
                  <w:sz w:val="20"/>
                  <w:szCs w:val="20"/>
                </w:rPr>
                <w:t>Version 3.</w:t>
              </w:r>
              <w:r w:rsidR="00AC3ED2" w:rsidRPr="00AC3ED2">
                <w:rPr>
                  <w:rStyle w:val="Hyperlink"/>
                  <w:sz w:val="20"/>
                  <w:szCs w:val="20"/>
                </w:rPr>
                <w:t>2</w:t>
              </w:r>
              <w:r w:rsidRPr="00AC3ED2">
                <w:rPr>
                  <w:rStyle w:val="Hyperlink"/>
                  <w:sz w:val="20"/>
                  <w:szCs w:val="20"/>
                </w:rPr>
                <w:t xml:space="preserve"> of the HACs list</w:t>
              </w:r>
            </w:hyperlink>
            <w:r w:rsidRPr="00C900A5">
              <w:rPr>
                <w:sz w:val="20"/>
                <w:szCs w:val="20"/>
              </w:rPr>
              <w:t xml:space="preserve"> on the Commission’s website</w:t>
            </w:r>
            <w:r w:rsidRPr="00A444BB">
              <w:rPr>
                <w:sz w:val="20"/>
                <w:szCs w:val="20"/>
              </w:rPr>
              <w:t xml:space="preserve"> to implement the HACs funding adjustment.</w:t>
            </w:r>
            <w:r w:rsidR="00CB6617">
              <w:rPr>
                <w:sz w:val="20"/>
                <w:szCs w:val="20"/>
              </w:rPr>
              <w:t xml:space="preserve"> IHACPA intends to</w:t>
            </w:r>
            <w:r w:rsidR="00C53C9D">
              <w:rPr>
                <w:sz w:val="20"/>
                <w:szCs w:val="20"/>
              </w:rPr>
              <w:t xml:space="preserve"> remove the suspension o</w:t>
            </w:r>
            <w:r w:rsidR="008E55CC">
              <w:rPr>
                <w:sz w:val="20"/>
                <w:szCs w:val="20"/>
              </w:rPr>
              <w:t xml:space="preserve">f HACs from COVID-19 </w:t>
            </w:r>
            <w:r w:rsidR="00DF3BD9">
              <w:rPr>
                <w:sz w:val="20"/>
                <w:szCs w:val="20"/>
              </w:rPr>
              <w:t xml:space="preserve">related </w:t>
            </w:r>
            <w:r w:rsidR="008E55CC">
              <w:rPr>
                <w:sz w:val="20"/>
                <w:szCs w:val="20"/>
              </w:rPr>
              <w:t>episodes and</w:t>
            </w:r>
            <w:r w:rsidR="00CB6617">
              <w:rPr>
                <w:sz w:val="20"/>
                <w:szCs w:val="20"/>
              </w:rPr>
              <w:t xml:space="preserve"> </w:t>
            </w:r>
            <w:r w:rsidR="00C53C9D">
              <w:rPr>
                <w:sz w:val="20"/>
                <w:szCs w:val="20"/>
              </w:rPr>
              <w:t xml:space="preserve">incorporate </w:t>
            </w:r>
            <w:r w:rsidR="00C53C9D" w:rsidRPr="00BF7154">
              <w:rPr>
                <w:sz w:val="20"/>
                <w:szCs w:val="20"/>
              </w:rPr>
              <w:t>COVID-19 into the risk calculations of some HAC categories</w:t>
            </w:r>
            <w:r w:rsidR="00C53C9D">
              <w:rPr>
                <w:sz w:val="20"/>
                <w:szCs w:val="20"/>
              </w:rPr>
              <w:t>.</w:t>
            </w:r>
          </w:p>
        </w:tc>
      </w:tr>
    </w:tbl>
    <w:p w14:paraId="1F1F9D2D" w14:textId="713CA1FE" w:rsidR="007F5F8C" w:rsidRDefault="007F5F8C" w:rsidP="00C72953">
      <w:pPr>
        <w:pStyle w:val="Heading2"/>
        <w:spacing w:before="240"/>
      </w:pPr>
      <w:r>
        <w:t>9.</w:t>
      </w:r>
      <w:r w:rsidR="00A444BB">
        <w:t>4</w:t>
      </w:r>
      <w:r>
        <w:t xml:space="preserve"> Avoidable hospital readmissions</w:t>
      </w:r>
    </w:p>
    <w:p w14:paraId="13EE694D" w14:textId="77777777" w:rsidR="00A51EC7" w:rsidRPr="00A51EC7" w:rsidRDefault="00A51EC7" w:rsidP="00A51EC7">
      <w:pPr>
        <w:rPr>
          <w:sz w:val="20"/>
          <w:szCs w:val="20"/>
        </w:rPr>
      </w:pPr>
      <w:r w:rsidRPr="00A51EC7">
        <w:rPr>
          <w:sz w:val="20"/>
          <w:szCs w:val="20"/>
        </w:rPr>
        <w:t>Unplanned hospital readmissions are a measure of potential issues with the quality, continuity and integration of care provided to patients during or subsequent to their initial hospital admission.</w:t>
      </w:r>
    </w:p>
    <w:p w14:paraId="3C4A5F01" w14:textId="77777777" w:rsidR="00A51EC7" w:rsidRPr="00A51EC7" w:rsidRDefault="00A51EC7" w:rsidP="00D51D1D">
      <w:pPr>
        <w:rPr>
          <w:sz w:val="20"/>
          <w:szCs w:val="20"/>
        </w:rPr>
      </w:pPr>
      <w:r w:rsidRPr="00A51EC7">
        <w:rPr>
          <w:sz w:val="20"/>
          <w:szCs w:val="20"/>
        </w:rPr>
        <w:t>An AHR occurs when a patient who has been discharged from hospital (the index admission) is admitted again within a certain time interval (the readmission), and the readmission is:</w:t>
      </w:r>
    </w:p>
    <w:p w14:paraId="0C2B6D67" w14:textId="097051E7" w:rsidR="00A51EC7" w:rsidRPr="00A51EC7" w:rsidRDefault="00A51EC7" w:rsidP="00C72953">
      <w:pPr>
        <w:pStyle w:val="Bullets"/>
        <w:numPr>
          <w:ilvl w:val="0"/>
          <w:numId w:val="17"/>
        </w:numPr>
        <w:spacing w:before="0" w:after="160"/>
        <w:rPr>
          <w:sz w:val="20"/>
          <w:szCs w:val="20"/>
        </w:rPr>
      </w:pPr>
      <w:r w:rsidRPr="00A51EC7">
        <w:rPr>
          <w:sz w:val="20"/>
          <w:szCs w:val="20"/>
        </w:rPr>
        <w:t>clinically related to the index admission; and</w:t>
      </w:r>
    </w:p>
    <w:p w14:paraId="4ACB9FE9" w14:textId="31126236" w:rsidR="00332491" w:rsidRPr="00332491" w:rsidRDefault="00A51EC7" w:rsidP="00C72953">
      <w:pPr>
        <w:pStyle w:val="Bullets"/>
        <w:numPr>
          <w:ilvl w:val="0"/>
          <w:numId w:val="17"/>
        </w:numPr>
        <w:spacing w:before="0" w:after="160"/>
        <w:rPr>
          <w:sz w:val="20"/>
          <w:szCs w:val="20"/>
        </w:rPr>
      </w:pPr>
      <w:r w:rsidRPr="00A51EC7">
        <w:rPr>
          <w:sz w:val="20"/>
          <w:szCs w:val="20"/>
        </w:rPr>
        <w:t>has the potential to be avoided through either, or both, improved clinical management and appropriate discharge planning in the index admission.</w:t>
      </w:r>
    </w:p>
    <w:p w14:paraId="119D9686" w14:textId="1BF78C45" w:rsidR="00A51EC7" w:rsidRPr="00A51EC7" w:rsidRDefault="00A51EC7" w:rsidP="00D51D1D">
      <w:pPr>
        <w:rPr>
          <w:sz w:val="20"/>
          <w:szCs w:val="20"/>
        </w:rPr>
      </w:pPr>
      <w:r w:rsidRPr="00A51EC7">
        <w:rPr>
          <w:sz w:val="20"/>
          <w:szCs w:val="20"/>
        </w:rPr>
        <w:t xml:space="preserve">From 1 July 2021, IHACPA has implemented a funding adjustment for AHRs. It involves applying a risk adjusted NWAU reduction to the index episode, based on the total NWAU of the readmission episode. This applies where there is a readmission to any hospital within the same </w:t>
      </w:r>
      <w:r w:rsidR="00BD79F0">
        <w:rPr>
          <w:sz w:val="20"/>
          <w:szCs w:val="20"/>
        </w:rPr>
        <w:t>state or territory</w:t>
      </w:r>
      <w:r w:rsidRPr="00A51EC7">
        <w:rPr>
          <w:sz w:val="20"/>
          <w:szCs w:val="20"/>
        </w:rPr>
        <w:t>.</w:t>
      </w:r>
    </w:p>
    <w:p w14:paraId="65A440C2" w14:textId="1BB10D5E" w:rsidR="00A51EC7" w:rsidRPr="00571E9A" w:rsidRDefault="00A51EC7" w:rsidP="00A51EC7">
      <w:pPr>
        <w:rPr>
          <w:sz w:val="20"/>
          <w:szCs w:val="20"/>
        </w:rPr>
      </w:pPr>
      <w:r w:rsidRPr="00A51EC7">
        <w:rPr>
          <w:sz w:val="20"/>
          <w:szCs w:val="20"/>
        </w:rPr>
        <w:t xml:space="preserve">IHACPA developed a discrete risk adjustment model for each readmission condition, which assigns the risk of </w:t>
      </w:r>
      <w:r w:rsidRPr="00571E9A">
        <w:rPr>
          <w:sz w:val="20"/>
          <w:szCs w:val="20"/>
        </w:rPr>
        <w:t>being readmitted for each episode of care.</w:t>
      </w:r>
    </w:p>
    <w:p w14:paraId="69554783" w14:textId="021E316D" w:rsidR="00A51EC7" w:rsidRDefault="00A51EC7" w:rsidP="00A51EC7">
      <w:pPr>
        <w:rPr>
          <w:sz w:val="20"/>
          <w:szCs w:val="20"/>
        </w:rPr>
      </w:pPr>
      <w:r w:rsidRPr="00571E9A">
        <w:rPr>
          <w:sz w:val="20"/>
          <w:szCs w:val="20"/>
        </w:rPr>
        <w:t xml:space="preserve">Further information on the AHRs funding approach is included in the </w:t>
      </w:r>
      <w:hyperlink r:id="rId93" w:history="1">
        <w:r w:rsidRPr="00571E9A">
          <w:rPr>
            <w:rStyle w:val="Hyperlink"/>
            <w:sz w:val="20"/>
            <w:szCs w:val="20"/>
          </w:rPr>
          <w:t>NEP25</w:t>
        </w:r>
      </w:hyperlink>
      <w:r w:rsidRPr="00571E9A">
        <w:rPr>
          <w:sz w:val="20"/>
          <w:szCs w:val="20"/>
        </w:rPr>
        <w:t xml:space="preserve"> and the </w:t>
      </w:r>
      <w:hyperlink r:id="rId94" w:history="1">
        <w:r w:rsidRPr="00571E9A">
          <w:rPr>
            <w:rStyle w:val="Hyperlink"/>
            <w:sz w:val="20"/>
            <w:szCs w:val="20"/>
          </w:rPr>
          <w:t>National Pricing Model Technical Specifications 2025–26</w:t>
        </w:r>
      </w:hyperlink>
      <w:r w:rsidRPr="00571E9A">
        <w:rPr>
          <w:sz w:val="20"/>
          <w:szCs w:val="20"/>
        </w:rPr>
        <w:t>.</w:t>
      </w:r>
    </w:p>
    <w:p w14:paraId="2F8EB0CB" w14:textId="05C17D13" w:rsidR="00C034AE" w:rsidRDefault="008C710A" w:rsidP="00F869EB">
      <w:pPr>
        <w:keepLines/>
        <w:rPr>
          <w:sz w:val="20"/>
          <w:szCs w:val="20"/>
        </w:rPr>
      </w:pPr>
      <w:r>
        <w:rPr>
          <w:sz w:val="20"/>
          <w:szCs w:val="20"/>
        </w:rPr>
        <w:t xml:space="preserve">The tracking of patient journeys through </w:t>
      </w:r>
      <w:r w:rsidR="00C97CBC">
        <w:rPr>
          <w:sz w:val="20"/>
          <w:szCs w:val="20"/>
        </w:rPr>
        <w:t>hospital care is a challenge and IHACPA is largely reliant on the reporting of Medicare</w:t>
      </w:r>
      <w:r w:rsidR="00EE163F">
        <w:rPr>
          <w:sz w:val="20"/>
          <w:szCs w:val="20"/>
        </w:rPr>
        <w:t xml:space="preserve"> </w:t>
      </w:r>
      <w:r w:rsidR="00DD5221">
        <w:rPr>
          <w:sz w:val="20"/>
          <w:szCs w:val="20"/>
        </w:rPr>
        <w:t>P</w:t>
      </w:r>
      <w:r w:rsidR="00EE163F">
        <w:rPr>
          <w:sz w:val="20"/>
          <w:szCs w:val="20"/>
        </w:rPr>
        <w:t xml:space="preserve">ersonal </w:t>
      </w:r>
      <w:r w:rsidR="00DD5221">
        <w:rPr>
          <w:sz w:val="20"/>
          <w:szCs w:val="20"/>
        </w:rPr>
        <w:t>I</w:t>
      </w:r>
      <w:r w:rsidR="00EE163F">
        <w:rPr>
          <w:sz w:val="20"/>
          <w:szCs w:val="20"/>
        </w:rPr>
        <w:t xml:space="preserve">dentification </w:t>
      </w:r>
      <w:r w:rsidR="00DD5221">
        <w:rPr>
          <w:sz w:val="20"/>
          <w:szCs w:val="20"/>
        </w:rPr>
        <w:t>N</w:t>
      </w:r>
      <w:r w:rsidR="00EE163F">
        <w:rPr>
          <w:sz w:val="20"/>
          <w:szCs w:val="20"/>
        </w:rPr>
        <w:t>umbers</w:t>
      </w:r>
      <w:r w:rsidR="00C97CBC">
        <w:rPr>
          <w:sz w:val="20"/>
          <w:szCs w:val="20"/>
        </w:rPr>
        <w:t xml:space="preserve"> for this purpos</w:t>
      </w:r>
      <w:r w:rsidR="00A32E77">
        <w:rPr>
          <w:sz w:val="20"/>
          <w:szCs w:val="20"/>
        </w:rPr>
        <w:t>e. For NEP26 IHACPA intends to</w:t>
      </w:r>
      <w:r w:rsidR="008843C4">
        <w:rPr>
          <w:sz w:val="20"/>
          <w:szCs w:val="20"/>
        </w:rPr>
        <w:t xml:space="preserve"> investigate</w:t>
      </w:r>
      <w:r w:rsidR="00A32E77">
        <w:rPr>
          <w:sz w:val="20"/>
          <w:szCs w:val="20"/>
        </w:rPr>
        <w:t xml:space="preserve"> incorporat</w:t>
      </w:r>
      <w:r w:rsidR="008843C4">
        <w:rPr>
          <w:sz w:val="20"/>
          <w:szCs w:val="20"/>
        </w:rPr>
        <w:t>ing</w:t>
      </w:r>
      <w:r w:rsidR="00A32E77">
        <w:rPr>
          <w:sz w:val="20"/>
          <w:szCs w:val="20"/>
        </w:rPr>
        <w:t xml:space="preserve"> the Individual Healthcare Identifier and Person Identifier</w:t>
      </w:r>
      <w:r w:rsidR="00C6698E">
        <w:rPr>
          <w:sz w:val="20"/>
          <w:szCs w:val="20"/>
        </w:rPr>
        <w:t xml:space="preserve"> as alternative mechanisms. This is expected to increase the sample size of AHR and non</w:t>
      </w:r>
      <w:r w:rsidR="00D51D1D">
        <w:rPr>
          <w:sz w:val="20"/>
          <w:szCs w:val="20"/>
        </w:rPr>
        <w:noBreakHyphen/>
      </w:r>
      <w:r w:rsidR="00C6698E">
        <w:rPr>
          <w:sz w:val="20"/>
          <w:szCs w:val="20"/>
        </w:rPr>
        <w:t>AHR episodes</w:t>
      </w:r>
      <w:r w:rsidR="00044C7C">
        <w:rPr>
          <w:sz w:val="20"/>
          <w:szCs w:val="20"/>
        </w:rPr>
        <w:t xml:space="preserve"> and thereby</w:t>
      </w:r>
      <w:r w:rsidR="008725AE">
        <w:rPr>
          <w:sz w:val="20"/>
          <w:szCs w:val="20"/>
        </w:rPr>
        <w:t xml:space="preserve"> </w:t>
      </w:r>
      <w:r w:rsidR="00546715">
        <w:rPr>
          <w:sz w:val="20"/>
          <w:szCs w:val="20"/>
        </w:rPr>
        <w:t>improv</w:t>
      </w:r>
      <w:r w:rsidR="00044C7C">
        <w:rPr>
          <w:sz w:val="20"/>
          <w:szCs w:val="20"/>
        </w:rPr>
        <w:t>e</w:t>
      </w:r>
      <w:r w:rsidR="00546715">
        <w:rPr>
          <w:sz w:val="20"/>
          <w:szCs w:val="20"/>
        </w:rPr>
        <w:t xml:space="preserve"> </w:t>
      </w:r>
      <w:r w:rsidR="008725AE">
        <w:rPr>
          <w:sz w:val="20"/>
          <w:szCs w:val="20"/>
        </w:rPr>
        <w:t xml:space="preserve">confidence </w:t>
      </w:r>
      <w:r w:rsidR="00546715">
        <w:rPr>
          <w:sz w:val="20"/>
          <w:szCs w:val="20"/>
        </w:rPr>
        <w:t>in modelling outcomes.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851"/>
        <w:gridCol w:w="8363"/>
      </w:tblGrid>
      <w:tr w:rsidR="004263BE" w:rsidRPr="0053204D" w14:paraId="780F7BD1" w14:textId="77777777" w:rsidTr="00B414FC">
        <w:tc>
          <w:tcPr>
            <w:tcW w:w="851" w:type="dxa"/>
            <w:shd w:val="clear" w:color="auto" w:fill="B5FFE0" w:themeFill="accent4" w:themeFillTint="33"/>
          </w:tcPr>
          <w:p w14:paraId="26F4176B" w14:textId="77777777" w:rsidR="004263BE" w:rsidRPr="0053204D" w:rsidRDefault="004263BE" w:rsidP="0019067A">
            <w:pPr>
              <w:jc w:val="center"/>
              <w:rPr>
                <w:sz w:val="18"/>
                <w:szCs w:val="18"/>
              </w:rPr>
            </w:pPr>
            <w:r w:rsidRPr="0053204D">
              <w:rPr>
                <w:noProof/>
                <w:sz w:val="18"/>
                <w:szCs w:val="18"/>
              </w:rPr>
              <w:lastRenderedPageBreak/>
              <w:drawing>
                <wp:inline distT="0" distB="0" distL="0" distR="0" wp14:anchorId="050DEF73" wp14:editId="02A7BF43">
                  <wp:extent cx="266700" cy="266700"/>
                  <wp:effectExtent l="0" t="0" r="0" b="0"/>
                  <wp:docPr id="1110215137" name="Picture 1110215137" descr="A blue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ue check mark in a circ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66700" cy="266700"/>
                          </a:xfrm>
                          <a:prstGeom prst="rect">
                            <a:avLst/>
                          </a:prstGeom>
                          <a:noFill/>
                          <a:ln>
                            <a:noFill/>
                          </a:ln>
                        </pic:spPr>
                      </pic:pic>
                    </a:graphicData>
                  </a:graphic>
                </wp:inline>
              </w:drawing>
            </w:r>
          </w:p>
        </w:tc>
        <w:tc>
          <w:tcPr>
            <w:tcW w:w="8363" w:type="dxa"/>
            <w:shd w:val="clear" w:color="auto" w:fill="B5FFE0" w:themeFill="accent4" w:themeFillTint="33"/>
          </w:tcPr>
          <w:p w14:paraId="7D332AC0" w14:textId="77777777" w:rsidR="004263BE" w:rsidRPr="004A7F49" w:rsidRDefault="004263BE" w:rsidP="0019067A">
            <w:pPr>
              <w:pStyle w:val="Heading4"/>
              <w:rPr>
                <w:sz w:val="20"/>
                <w:szCs w:val="20"/>
              </w:rPr>
            </w:pPr>
            <w:r w:rsidRPr="0072273B">
              <w:rPr>
                <w:sz w:val="20"/>
                <w:szCs w:val="20"/>
              </w:rPr>
              <w:t>IHACPA’s decision</w:t>
            </w:r>
          </w:p>
          <w:p w14:paraId="72FD3CB9" w14:textId="5A2C5D27" w:rsidR="004263BE" w:rsidRPr="002D0DCE" w:rsidRDefault="004263BE" w:rsidP="00C72953">
            <w:pPr>
              <w:spacing w:after="120"/>
              <w:rPr>
                <w:sz w:val="20"/>
                <w:szCs w:val="20"/>
              </w:rPr>
            </w:pPr>
            <w:r w:rsidRPr="00A51EC7">
              <w:rPr>
                <w:sz w:val="20"/>
                <w:szCs w:val="20"/>
              </w:rPr>
              <w:t>For NEP2</w:t>
            </w:r>
            <w:r>
              <w:rPr>
                <w:sz w:val="20"/>
                <w:szCs w:val="20"/>
              </w:rPr>
              <w:t>6</w:t>
            </w:r>
            <w:r w:rsidRPr="00A51EC7">
              <w:rPr>
                <w:sz w:val="20"/>
                <w:szCs w:val="20"/>
              </w:rPr>
              <w:t xml:space="preserve">, IHACPA </w:t>
            </w:r>
            <w:r w:rsidR="00D62432">
              <w:rPr>
                <w:sz w:val="20"/>
                <w:szCs w:val="20"/>
              </w:rPr>
              <w:t xml:space="preserve">will </w:t>
            </w:r>
            <w:r w:rsidRPr="00C900A5">
              <w:rPr>
                <w:sz w:val="20"/>
                <w:szCs w:val="20"/>
              </w:rPr>
              <w:t xml:space="preserve">use </w:t>
            </w:r>
            <w:hyperlink r:id="rId95" w:history="1">
              <w:r w:rsidRPr="000C3B48">
                <w:rPr>
                  <w:rStyle w:val="Hyperlink"/>
                  <w:sz w:val="20"/>
                  <w:szCs w:val="20"/>
                </w:rPr>
                <w:t xml:space="preserve">Version </w:t>
              </w:r>
              <w:r w:rsidR="000C3B48" w:rsidRPr="000C3B48">
                <w:rPr>
                  <w:rStyle w:val="Hyperlink"/>
                  <w:sz w:val="20"/>
                  <w:szCs w:val="20"/>
                </w:rPr>
                <w:t>3</w:t>
              </w:r>
              <w:r w:rsidRPr="000C3B48">
                <w:rPr>
                  <w:rStyle w:val="Hyperlink"/>
                  <w:sz w:val="20"/>
                  <w:szCs w:val="20"/>
                </w:rPr>
                <w:t>.0 of the AHRs list</w:t>
              </w:r>
            </w:hyperlink>
            <w:r w:rsidRPr="00C900A5">
              <w:rPr>
                <w:sz w:val="20"/>
                <w:szCs w:val="20"/>
              </w:rPr>
              <w:t xml:space="preserve"> on the Commission’s website</w:t>
            </w:r>
            <w:r w:rsidRPr="00A444BB">
              <w:rPr>
                <w:sz w:val="20"/>
                <w:szCs w:val="20"/>
              </w:rPr>
              <w:t xml:space="preserve"> to implement</w:t>
            </w:r>
            <w:r w:rsidRPr="00A51EC7">
              <w:rPr>
                <w:sz w:val="20"/>
                <w:szCs w:val="20"/>
              </w:rPr>
              <w:t xml:space="preserve"> the avoidable hospital readmissions funding adjustment.</w:t>
            </w:r>
            <w:r w:rsidR="008E55CC">
              <w:rPr>
                <w:sz w:val="20"/>
                <w:szCs w:val="20"/>
              </w:rPr>
              <w:t xml:space="preserve"> IHACPA intends to remove the suspension of AHRs from COVID-19 </w:t>
            </w:r>
            <w:r w:rsidR="00DF3BD9">
              <w:rPr>
                <w:sz w:val="20"/>
                <w:szCs w:val="20"/>
              </w:rPr>
              <w:t xml:space="preserve">related </w:t>
            </w:r>
            <w:r w:rsidR="008E55CC">
              <w:rPr>
                <w:sz w:val="20"/>
                <w:szCs w:val="20"/>
              </w:rPr>
              <w:t xml:space="preserve">episodes and incorporate </w:t>
            </w:r>
            <w:r w:rsidR="008E55CC" w:rsidRPr="00BF7154">
              <w:rPr>
                <w:sz w:val="20"/>
                <w:szCs w:val="20"/>
              </w:rPr>
              <w:t>COVID</w:t>
            </w:r>
            <w:r w:rsidR="00C72953">
              <w:rPr>
                <w:sz w:val="20"/>
                <w:szCs w:val="20"/>
              </w:rPr>
              <w:noBreakHyphen/>
            </w:r>
            <w:r w:rsidR="008E55CC" w:rsidRPr="00BF7154">
              <w:rPr>
                <w:sz w:val="20"/>
                <w:szCs w:val="20"/>
              </w:rPr>
              <w:t xml:space="preserve">19 into the risk calculations of some </w:t>
            </w:r>
            <w:r w:rsidR="008E55CC">
              <w:rPr>
                <w:sz w:val="20"/>
                <w:szCs w:val="20"/>
              </w:rPr>
              <w:t>AHR</w:t>
            </w:r>
            <w:r w:rsidR="008E55CC" w:rsidRPr="00BF7154">
              <w:rPr>
                <w:sz w:val="20"/>
                <w:szCs w:val="20"/>
              </w:rPr>
              <w:t xml:space="preserve"> categories</w:t>
            </w:r>
            <w:r w:rsidR="008E55CC">
              <w:rPr>
                <w:sz w:val="20"/>
                <w:szCs w:val="20"/>
              </w:rPr>
              <w:t>.</w:t>
            </w:r>
          </w:p>
        </w:tc>
      </w:tr>
    </w:tbl>
    <w:p w14:paraId="62D61DA9" w14:textId="19581A6B" w:rsidR="00CD1BB9" w:rsidRDefault="00B570DD" w:rsidP="00C72953">
      <w:pPr>
        <w:spacing w:before="160"/>
        <w:rPr>
          <w:sz w:val="20"/>
          <w:szCs w:val="20"/>
        </w:rPr>
      </w:pPr>
      <w:r w:rsidRPr="00B570DD">
        <w:rPr>
          <w:sz w:val="20"/>
          <w:szCs w:val="20"/>
        </w:rPr>
        <w:t>In response to the Consultation Paper on the Pricing Framework for Australian Public Hospital Services 202</w:t>
      </w:r>
      <w:r w:rsidR="00813B32">
        <w:rPr>
          <w:sz w:val="20"/>
          <w:szCs w:val="20"/>
        </w:rPr>
        <w:t>6</w:t>
      </w:r>
      <w:r w:rsidRPr="00B570DD">
        <w:rPr>
          <w:sz w:val="20"/>
          <w:szCs w:val="20"/>
        </w:rPr>
        <w:t>–2</w:t>
      </w:r>
      <w:r w:rsidR="00813B32">
        <w:rPr>
          <w:sz w:val="20"/>
          <w:szCs w:val="20"/>
        </w:rPr>
        <w:t>7</w:t>
      </w:r>
      <w:r w:rsidRPr="00B570DD">
        <w:rPr>
          <w:sz w:val="20"/>
          <w:szCs w:val="20"/>
        </w:rPr>
        <w:t xml:space="preserve">, stakeholders asserted that current risk adjustment models are inadequate for paediatric care, as they rely on indicators that overlook paediatric-specific conditions and social </w:t>
      </w:r>
      <w:r w:rsidR="00467468">
        <w:rPr>
          <w:sz w:val="20"/>
          <w:szCs w:val="20"/>
        </w:rPr>
        <w:t>factors</w:t>
      </w:r>
      <w:r w:rsidR="00467468" w:rsidRPr="00B570DD">
        <w:rPr>
          <w:sz w:val="20"/>
          <w:szCs w:val="20"/>
        </w:rPr>
        <w:t xml:space="preserve"> </w:t>
      </w:r>
      <w:r w:rsidRPr="00B570DD">
        <w:rPr>
          <w:sz w:val="20"/>
          <w:szCs w:val="20"/>
        </w:rPr>
        <w:t xml:space="preserve">like </w:t>
      </w:r>
      <w:r w:rsidR="000E6AEA">
        <w:rPr>
          <w:sz w:val="20"/>
          <w:szCs w:val="20"/>
        </w:rPr>
        <w:t>culturally and linguistically diverse</w:t>
      </w:r>
      <w:r w:rsidR="001260EC">
        <w:rPr>
          <w:sz w:val="20"/>
          <w:szCs w:val="20"/>
        </w:rPr>
        <w:t xml:space="preserve"> (CALD)</w:t>
      </w:r>
      <w:r w:rsidR="004B55F8" w:rsidRPr="00B570DD">
        <w:rPr>
          <w:sz w:val="20"/>
          <w:szCs w:val="20"/>
        </w:rPr>
        <w:t xml:space="preserve"> </w:t>
      </w:r>
      <w:r w:rsidRPr="00B570DD">
        <w:rPr>
          <w:sz w:val="20"/>
          <w:szCs w:val="20"/>
        </w:rPr>
        <w:t xml:space="preserve">status, Indigenous background, and geographic location. To improve fairness and accuracy, </w:t>
      </w:r>
      <w:r w:rsidR="00181B48">
        <w:rPr>
          <w:sz w:val="20"/>
          <w:szCs w:val="20"/>
        </w:rPr>
        <w:t xml:space="preserve">stakeholders argued that </w:t>
      </w:r>
      <w:r w:rsidRPr="00B570DD">
        <w:rPr>
          <w:sz w:val="20"/>
          <w:szCs w:val="20"/>
        </w:rPr>
        <w:t>models should incorporate cognitive and frailty measures</w:t>
      </w:r>
      <w:r w:rsidR="00B30C38">
        <w:rPr>
          <w:sz w:val="20"/>
          <w:szCs w:val="20"/>
        </w:rPr>
        <w:t xml:space="preserve"> and </w:t>
      </w:r>
      <w:r w:rsidRPr="00B570DD">
        <w:rPr>
          <w:sz w:val="20"/>
          <w:szCs w:val="20"/>
        </w:rPr>
        <w:t>pharmacy-related risks</w:t>
      </w:r>
      <w:r w:rsidR="00B30C38">
        <w:rPr>
          <w:sz w:val="20"/>
          <w:szCs w:val="20"/>
        </w:rPr>
        <w:t>. They also stressed that models should</w:t>
      </w:r>
      <w:r w:rsidRPr="00B570DD">
        <w:rPr>
          <w:sz w:val="20"/>
          <w:szCs w:val="20"/>
        </w:rPr>
        <w:t xml:space="preserve"> adapt to virtual care settings, with clinical input and post-implementation reviews ensuring transparency and relevance.</w:t>
      </w:r>
      <w:r w:rsidR="00B30C38">
        <w:rPr>
          <w:sz w:val="20"/>
          <w:szCs w:val="20"/>
        </w:rPr>
        <w:t xml:space="preserve"> </w:t>
      </w:r>
      <w:r w:rsidR="00B30C38" w:rsidRPr="005F43A8">
        <w:rPr>
          <w:rFonts w:cs="Arial"/>
          <w:sz w:val="20"/>
          <w:szCs w:val="20"/>
        </w:rPr>
        <w:t>Further information is available in the consultation report.</w:t>
      </w:r>
    </w:p>
    <w:tbl>
      <w:tblPr>
        <w:tblStyle w:val="TableGrid"/>
        <w:tblW w:w="9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BF1" w:themeFill="text2" w:themeFillTint="1A"/>
        <w:tblCellMar>
          <w:top w:w="170" w:type="dxa"/>
          <w:bottom w:w="170" w:type="dxa"/>
        </w:tblCellMar>
        <w:tblLook w:val="04A0" w:firstRow="1" w:lastRow="0" w:firstColumn="1" w:lastColumn="0" w:noHBand="0" w:noVBand="1"/>
      </w:tblPr>
      <w:tblGrid>
        <w:gridCol w:w="730"/>
        <w:gridCol w:w="8502"/>
      </w:tblGrid>
      <w:tr w:rsidR="007B2E8D" w:rsidRPr="007C7991" w14:paraId="7F19F7BB" w14:textId="77777777" w:rsidTr="00F869EB">
        <w:trPr>
          <w:trHeight w:val="261"/>
        </w:trPr>
        <w:tc>
          <w:tcPr>
            <w:tcW w:w="730" w:type="dxa"/>
            <w:shd w:val="clear" w:color="auto" w:fill="C1DAF8" w:themeFill="accent2" w:themeFillTint="33"/>
          </w:tcPr>
          <w:p w14:paraId="343D9B22" w14:textId="77777777" w:rsidR="007B2E8D" w:rsidRPr="007C7991" w:rsidRDefault="007B2E8D" w:rsidP="00F869EB">
            <w:pPr>
              <w:jc w:val="center"/>
              <w:rPr>
                <w:sz w:val="20"/>
                <w:szCs w:val="20"/>
              </w:rPr>
            </w:pPr>
            <w:r w:rsidRPr="007C7991">
              <w:rPr>
                <w:noProof/>
                <w:sz w:val="20"/>
                <w:szCs w:val="20"/>
              </w:rPr>
              <w:drawing>
                <wp:inline distT="0" distB="0" distL="0" distR="0" wp14:anchorId="7F2C64E5" wp14:editId="6527A877">
                  <wp:extent cx="266700" cy="266700"/>
                  <wp:effectExtent l="0" t="0" r="0" b="0"/>
                  <wp:docPr id="1370843746" name="Picture 137084374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502" w:type="dxa"/>
            <w:shd w:val="clear" w:color="auto" w:fill="C1DAF8" w:themeFill="accent2" w:themeFillTint="33"/>
          </w:tcPr>
          <w:p w14:paraId="3F38E7A3" w14:textId="4276DC7B" w:rsidR="007B2E8D" w:rsidRPr="00C72953" w:rsidRDefault="007B2E8D" w:rsidP="00C72953">
            <w:pPr>
              <w:pStyle w:val="Heading4"/>
              <w:rPr>
                <w:sz w:val="20"/>
                <w:szCs w:val="20"/>
              </w:rPr>
            </w:pPr>
            <w:r w:rsidRPr="00C72953">
              <w:rPr>
                <w:sz w:val="20"/>
                <w:szCs w:val="20"/>
              </w:rPr>
              <w:t>Next steps and future work</w:t>
            </w:r>
          </w:p>
          <w:p w14:paraId="58F95E3E" w14:textId="77777777" w:rsidR="009342EC" w:rsidRDefault="0053267F" w:rsidP="00D51D1D">
            <w:pPr>
              <w:spacing w:after="120"/>
              <w:rPr>
                <w:rFonts w:cs="Arial"/>
                <w:sz w:val="20"/>
                <w:szCs w:val="20"/>
              </w:rPr>
            </w:pPr>
            <w:r w:rsidRPr="00155892">
              <w:rPr>
                <w:rFonts w:cs="Arial"/>
                <w:sz w:val="20"/>
                <w:szCs w:val="20"/>
              </w:rPr>
              <w:t xml:space="preserve">IHACPA acknowledges the feedback received regarding risk factors in the adjustment models for HACs and AHRs. </w:t>
            </w:r>
            <w:r w:rsidR="00BB3A15" w:rsidRPr="00BB3A15">
              <w:rPr>
                <w:rFonts w:cs="Arial"/>
                <w:sz w:val="20"/>
                <w:szCs w:val="20"/>
              </w:rPr>
              <w:t>A lack of patient level data around CALD or economic status prevents IHACPA from including these risk factors in the adjustment models for HACs and AHRs. Pharmacy related risks are outside of the current HAC and AHR categories.</w:t>
            </w:r>
          </w:p>
          <w:p w14:paraId="5CB1CF09" w14:textId="2358B728" w:rsidR="00BB3A15" w:rsidRDefault="00BB3A15" w:rsidP="00C72953">
            <w:pPr>
              <w:spacing w:after="120"/>
              <w:rPr>
                <w:rFonts w:cs="Arial"/>
                <w:sz w:val="20"/>
                <w:szCs w:val="20"/>
              </w:rPr>
            </w:pPr>
            <w:r w:rsidRPr="00157D0C">
              <w:rPr>
                <w:rFonts w:cs="Arial"/>
                <w:sz w:val="20"/>
                <w:szCs w:val="20"/>
              </w:rPr>
              <w:t xml:space="preserve">While formal post-implementation reviews are not currently planned, IHACPA welcomes analysis and feedback from </w:t>
            </w:r>
            <w:r w:rsidRPr="00C72953">
              <w:rPr>
                <w:rFonts w:cs="Arial"/>
                <w:sz w:val="20"/>
                <w:szCs w:val="20"/>
              </w:rPr>
              <w:t>states and territories</w:t>
            </w:r>
            <w:r w:rsidRPr="00157D0C">
              <w:rPr>
                <w:rFonts w:cs="Arial"/>
                <w:sz w:val="20"/>
                <w:szCs w:val="20"/>
              </w:rPr>
              <w:t xml:space="preserve"> to inform ongoing refinement of the models.</w:t>
            </w:r>
          </w:p>
          <w:p w14:paraId="051B3056" w14:textId="57CCB9C2" w:rsidR="007B2E8D" w:rsidRPr="00342796" w:rsidRDefault="00954957" w:rsidP="00C72953">
            <w:pPr>
              <w:spacing w:after="120"/>
              <w:rPr>
                <w:rFonts w:cs="Arial"/>
                <w:sz w:val="20"/>
                <w:szCs w:val="20"/>
              </w:rPr>
            </w:pPr>
            <w:r w:rsidRPr="00954957">
              <w:rPr>
                <w:rFonts w:cs="Arial"/>
                <w:sz w:val="20"/>
                <w:szCs w:val="20"/>
              </w:rPr>
              <w:t xml:space="preserve">Future work programs will explore geographic location (via remoteness), paediatric hospitals, indigenous status, cognitive considerations and frailty. </w:t>
            </w:r>
            <w:r w:rsidR="00CE1190" w:rsidRPr="00CE1190">
              <w:rPr>
                <w:rFonts w:cs="Arial"/>
                <w:sz w:val="20"/>
                <w:szCs w:val="20"/>
              </w:rPr>
              <w:t xml:space="preserve">Clinical engagement will continue to be a core component of model development and validation. </w:t>
            </w:r>
            <w:r w:rsidR="00DE31F9">
              <w:rPr>
                <w:rFonts w:cs="Arial"/>
                <w:sz w:val="20"/>
                <w:szCs w:val="20"/>
              </w:rPr>
              <w:t xml:space="preserve">This </w:t>
            </w:r>
            <w:r w:rsidR="00CE1190" w:rsidRPr="00CE1190">
              <w:rPr>
                <w:rFonts w:cs="Arial"/>
                <w:sz w:val="20"/>
                <w:szCs w:val="20"/>
              </w:rPr>
              <w:t xml:space="preserve">will be supported through </w:t>
            </w:r>
            <w:r w:rsidR="003F06D0">
              <w:rPr>
                <w:rFonts w:cs="Arial"/>
                <w:sz w:val="20"/>
                <w:szCs w:val="20"/>
              </w:rPr>
              <w:t xml:space="preserve">IHACPA’s advisory committees and in </w:t>
            </w:r>
            <w:r w:rsidR="00CE1190" w:rsidRPr="00CE1190">
              <w:rPr>
                <w:rFonts w:cs="Arial"/>
                <w:sz w:val="20"/>
                <w:szCs w:val="20"/>
              </w:rPr>
              <w:t xml:space="preserve">collaboration with the Commission. </w:t>
            </w:r>
          </w:p>
        </w:tc>
      </w:tr>
    </w:tbl>
    <w:p w14:paraId="77BDFB00" w14:textId="77777777" w:rsidR="007B2E8D" w:rsidRDefault="007B2E8D" w:rsidP="00081875">
      <w:pPr>
        <w:rPr>
          <w:sz w:val="20"/>
          <w:szCs w:val="20"/>
        </w:rPr>
      </w:pPr>
    </w:p>
    <w:p w14:paraId="65A8EDD8" w14:textId="77777777" w:rsidR="007B2E8D" w:rsidRDefault="007B2E8D" w:rsidP="00081875">
      <w:pPr>
        <w:rPr>
          <w:sz w:val="20"/>
          <w:szCs w:val="20"/>
        </w:rPr>
      </w:pPr>
    </w:p>
    <w:p w14:paraId="4E68C049" w14:textId="7C232C1B" w:rsidR="00CD1BB9" w:rsidRPr="00B570DD" w:rsidRDefault="007B2E8D" w:rsidP="00081875">
      <w:pPr>
        <w:rPr>
          <w:sz w:val="20"/>
          <w:szCs w:val="20"/>
        </w:rPr>
        <w:sectPr w:rsidR="00CD1BB9" w:rsidRPr="00B570DD" w:rsidSect="0093507D">
          <w:headerReference w:type="default" r:id="rId96"/>
          <w:footerReference w:type="default" r:id="rId97"/>
          <w:headerReference w:type="first" r:id="rId98"/>
          <w:pgSz w:w="11906" w:h="16838" w:code="9"/>
          <w:pgMar w:top="1440" w:right="1080" w:bottom="1440" w:left="1080" w:header="709" w:footer="709" w:gutter="0"/>
          <w:cols w:space="720"/>
          <w:titlePg/>
          <w:docGrid w:linePitch="360"/>
        </w:sectPr>
      </w:pPr>
      <w:r>
        <w:rPr>
          <w:sz w:val="20"/>
          <w:szCs w:val="20"/>
        </w:rPr>
        <w:br w:type="textWrapping" w:clear="all"/>
      </w:r>
    </w:p>
    <w:p w14:paraId="4B25BF6F" w14:textId="77777777" w:rsidR="00502A09" w:rsidRDefault="00502A09" w:rsidP="00703939">
      <w:pPr>
        <w:spacing w:before="9840" w:after="360"/>
        <w:rPr>
          <w:color w:val="FFFFFF" w:themeColor="background2"/>
        </w:rPr>
      </w:pPr>
      <w:r>
        <w:rPr>
          <w:noProof/>
          <w:color w:val="FFFFFF" w:themeColor="background2"/>
        </w:rPr>
        <w:lastRenderedPageBreak/>
        <w:drawing>
          <wp:inline distT="0" distB="0" distL="0" distR="0" wp14:anchorId="61525138" wp14:editId="2E02BFCA">
            <wp:extent cx="1764880" cy="396484"/>
            <wp:effectExtent l="0" t="0" r="6985" b="381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99" cstate="print">
                      <a:extLst>
                        <a:ext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bwMode="auto">
                    <a:xfrm>
                      <a:off x="0" y="0"/>
                      <a:ext cx="1764880" cy="396484"/>
                    </a:xfrm>
                    <a:prstGeom prst="rect">
                      <a:avLst/>
                    </a:prstGeom>
                  </pic:spPr>
                </pic:pic>
              </a:graphicData>
            </a:graphic>
          </wp:inline>
        </w:drawing>
      </w:r>
    </w:p>
    <w:p w14:paraId="022DD8A6" w14:textId="77777777" w:rsidR="00502A09" w:rsidRPr="00502A09" w:rsidRDefault="00502A09" w:rsidP="00502A09">
      <w:pPr>
        <w:spacing w:after="360"/>
        <w:rPr>
          <w:color w:val="FFFFFF" w:themeColor="background2"/>
        </w:rPr>
      </w:pPr>
      <w:r w:rsidRPr="00502A09">
        <w:rPr>
          <w:color w:val="FFFFFF" w:themeColor="background2"/>
        </w:rPr>
        <w:t xml:space="preserve">Independent </w:t>
      </w:r>
      <w:r>
        <w:rPr>
          <w:color w:val="FFFFFF" w:themeColor="background2"/>
        </w:rPr>
        <w:t>Health and Aged Care Pricing Authority</w:t>
      </w:r>
    </w:p>
    <w:p w14:paraId="33DD0B2F" w14:textId="77777777" w:rsidR="00502A09" w:rsidRPr="00502A09" w:rsidRDefault="00523515" w:rsidP="00502A09">
      <w:pPr>
        <w:spacing w:after="360"/>
        <w:rPr>
          <w:color w:val="54C1AF" w:themeColor="background1"/>
        </w:rPr>
      </w:pPr>
      <w:r>
        <w:rPr>
          <w:color w:val="54C1AF" w:themeColor="background1"/>
        </w:rPr>
        <w:t xml:space="preserve">Eora Nation, </w:t>
      </w:r>
      <w:r w:rsidR="00502A09" w:rsidRPr="00502A09">
        <w:rPr>
          <w:color w:val="54C1AF" w:themeColor="background1"/>
        </w:rPr>
        <w:t xml:space="preserve">Level </w:t>
      </w:r>
      <w:r w:rsidR="00361E70">
        <w:rPr>
          <w:color w:val="54C1AF" w:themeColor="background1"/>
        </w:rPr>
        <w:t>12</w:t>
      </w:r>
      <w:r w:rsidR="00502A09" w:rsidRPr="00502A09">
        <w:rPr>
          <w:color w:val="54C1AF" w:themeColor="background1"/>
        </w:rPr>
        <w:t>, 1 Oxford Street</w:t>
      </w:r>
      <w:r w:rsidR="00502A09" w:rsidRPr="00502A09">
        <w:rPr>
          <w:color w:val="54C1AF" w:themeColor="background1"/>
        </w:rPr>
        <w:br/>
        <w:t>Sydney NSW 2000</w:t>
      </w:r>
    </w:p>
    <w:p w14:paraId="4202CA5E" w14:textId="77777777" w:rsidR="00502A09" w:rsidRPr="00502A09" w:rsidRDefault="00502A09" w:rsidP="00502A09">
      <w:pPr>
        <w:spacing w:after="360"/>
        <w:rPr>
          <w:color w:val="FFFFFF" w:themeColor="background2"/>
        </w:rPr>
      </w:pPr>
      <w:r w:rsidRPr="00502A09">
        <w:rPr>
          <w:color w:val="FFFFFF" w:themeColor="background2"/>
        </w:rPr>
        <w:t xml:space="preserve">Phone </w:t>
      </w:r>
      <w:r w:rsidRPr="00502A09">
        <w:rPr>
          <w:color w:val="54C1AF" w:themeColor="background1"/>
        </w:rPr>
        <w:t>02 8215 1100</w:t>
      </w:r>
      <w:r w:rsidRPr="00502A09">
        <w:rPr>
          <w:color w:val="FFFFFF" w:themeColor="background2"/>
        </w:rPr>
        <w:br/>
        <w:t xml:space="preserve">Email </w:t>
      </w:r>
      <w:hyperlink r:id="rId101" w:history="1">
        <w:r w:rsidR="0077501E" w:rsidRPr="00D10674">
          <w:rPr>
            <w:rStyle w:val="Hyperlink"/>
          </w:rPr>
          <w:t>enquiries.ihacpa@ihacpa.gov.au</w:t>
        </w:r>
      </w:hyperlink>
      <w:r w:rsidRPr="00502A09">
        <w:rPr>
          <w:color w:val="FFFFFF" w:themeColor="background2"/>
        </w:rPr>
        <w:br/>
      </w:r>
      <w:r w:rsidR="00555913">
        <w:rPr>
          <w:color w:val="FFFFFF" w:themeColor="background2"/>
        </w:rPr>
        <w:t xml:space="preserve"> </w:t>
      </w:r>
    </w:p>
    <w:p w14:paraId="001A3CC9" w14:textId="77777777" w:rsidR="00502A09" w:rsidRPr="00502A09" w:rsidRDefault="00502A09" w:rsidP="00BE47B6">
      <w:pPr>
        <w:spacing w:after="360"/>
        <w:rPr>
          <w:color w:val="104F99" w:themeColor="accent2"/>
        </w:rPr>
      </w:pPr>
      <w:hyperlink r:id="rId102" w:history="1">
        <w:r w:rsidRPr="00D4368B">
          <w:rPr>
            <w:rStyle w:val="Hyperlink"/>
          </w:rPr>
          <w:t>www.ih</w:t>
        </w:r>
        <w:r w:rsidR="00361E70" w:rsidRPr="00D4368B">
          <w:rPr>
            <w:rStyle w:val="Hyperlink"/>
          </w:rPr>
          <w:t>ac</w:t>
        </w:r>
        <w:r w:rsidRPr="00D4368B">
          <w:rPr>
            <w:rStyle w:val="Hyperlink"/>
          </w:rPr>
          <w:t>pa.gov.au</w:t>
        </w:r>
      </w:hyperlink>
    </w:p>
    <w:sectPr w:rsidR="00502A09" w:rsidRPr="00502A09" w:rsidSect="00C5503B">
      <w:headerReference w:type="default" r:id="rId10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55B5" w14:textId="77777777" w:rsidR="004E62E8" w:rsidRDefault="004E62E8" w:rsidP="00DC0458">
      <w:pPr>
        <w:spacing w:after="0" w:line="240" w:lineRule="auto"/>
      </w:pPr>
      <w:r>
        <w:separator/>
      </w:r>
    </w:p>
  </w:endnote>
  <w:endnote w:type="continuationSeparator" w:id="0">
    <w:p w14:paraId="25A492DB" w14:textId="77777777" w:rsidR="004E62E8" w:rsidRDefault="004E62E8" w:rsidP="00DC0458">
      <w:pPr>
        <w:spacing w:after="0" w:line="240" w:lineRule="auto"/>
      </w:pPr>
      <w:r>
        <w:continuationSeparator/>
      </w:r>
    </w:p>
  </w:endnote>
  <w:endnote w:type="continuationNotice" w:id="1">
    <w:p w14:paraId="396451C9" w14:textId="77777777" w:rsidR="004E62E8" w:rsidRDefault="004E6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regular">
    <w:altName w:val="Cambria"/>
    <w:panose1 w:val="00000000000000000000"/>
    <w:charset w:val="00"/>
    <w:family w:val="roman"/>
    <w:notTrueType/>
    <w:pitch w:val="default"/>
  </w:font>
  <w:font w:name="Josefin Sans">
    <w:charset w:val="00"/>
    <w:family w:val="auto"/>
    <w:pitch w:val="variable"/>
    <w:sig w:usb0="A00000FF" w:usb1="4000204B" w:usb2="00000000" w:usb3="00000000" w:csb0="00000193" w:csb1="00000000"/>
  </w:font>
  <w:font w:name="Fira Sans">
    <w:charset w:val="00"/>
    <w:family w:val="swiss"/>
    <w:pitch w:val="variable"/>
    <w:sig w:usb0="600002FF" w:usb1="00000001" w:usb2="00000000" w:usb3="00000000" w:csb0="0000019F" w:csb1="00000000"/>
  </w:font>
  <w:font w:name="Futura PT Book">
    <w:altName w:val="Century Gothic"/>
    <w:panose1 w:val="00000000000000000000"/>
    <w:charset w:val="00"/>
    <w:family w:val="swiss"/>
    <w:notTrueType/>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Josefin Sans Bold">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FBDA" w14:textId="705FC920" w:rsidR="00CC77AB" w:rsidRDefault="00CC77AB">
    <w:pPr>
      <w:pStyle w:val="Footer"/>
    </w:pPr>
    <w:r>
      <w:rPr>
        <w:noProof/>
      </w:rPr>
      <mc:AlternateContent>
        <mc:Choice Requires="wps">
          <w:drawing>
            <wp:anchor distT="0" distB="0" distL="0" distR="0" simplePos="0" relativeHeight="251761664" behindDoc="0" locked="0" layoutInCell="1" allowOverlap="1" wp14:anchorId="25B3C72A" wp14:editId="17BD9090">
              <wp:simplePos x="635" y="635"/>
              <wp:positionH relativeFrom="page">
                <wp:align>center</wp:align>
              </wp:positionH>
              <wp:positionV relativeFrom="page">
                <wp:align>bottom</wp:align>
              </wp:positionV>
              <wp:extent cx="551815" cy="414020"/>
              <wp:effectExtent l="0" t="0" r="635" b="0"/>
              <wp:wrapNone/>
              <wp:docPr id="2143488480"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4FAA5984" w14:textId="5538F152" w:rsidR="00CC77AB" w:rsidRPr="00CC77AB" w:rsidRDefault="00CC77AB" w:rsidP="00CC77AB">
                          <w:pPr>
                            <w:spacing w:after="0"/>
                            <w:rPr>
                              <w:rFonts w:ascii="Calibri" w:eastAsia="Calibri" w:hAnsi="Calibri" w:cs="Calibri"/>
                              <w:noProof/>
                              <w:color w:val="FF0000"/>
                              <w:sz w:val="24"/>
                              <w:szCs w:val="24"/>
                            </w:rPr>
                          </w:pPr>
                          <w:r w:rsidRPr="00CC77A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3C72A" id="_x0000_t202" coordsize="21600,21600" o:spt="202" path="m,l,21600r21600,l21600,xe">
              <v:stroke joinstyle="miter"/>
              <v:path gradientshapeok="t" o:connecttype="rect"/>
            </v:shapetype>
            <v:shape id="Text Box 32" o:spid="_x0000_s1028" type="#_x0000_t202" alt="OFFICIAL" style="position:absolute;margin-left:0;margin-top:0;width:43.45pt;height:32.6pt;z-index:251761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L+DgIAABwEAAAOAAAAZHJzL2Uyb0RvYy54bWysU01v2zAMvQ/YfxB0X2wHzd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" filled="f" stroked="f">
              <v:textbox style="mso-fit-shape-to-text:t" inset="0,0,0,15pt">
                <w:txbxContent>
                  <w:p w14:paraId="4FAA5984" w14:textId="5538F152" w:rsidR="00CC77AB" w:rsidRPr="00CC77AB" w:rsidRDefault="00CC77AB" w:rsidP="00CC77AB">
                    <w:pPr>
                      <w:spacing w:after="0"/>
                      <w:rPr>
                        <w:rFonts w:ascii="Calibri" w:eastAsia="Calibri" w:hAnsi="Calibri" w:cs="Calibri"/>
                        <w:noProof/>
                        <w:color w:val="FF0000"/>
                        <w:sz w:val="24"/>
                        <w:szCs w:val="24"/>
                      </w:rPr>
                    </w:pPr>
                    <w:r w:rsidRPr="00CC77AB">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6282" w14:textId="20E65C9E" w:rsidR="00823A1D" w:rsidRDefault="00D216AA" w:rsidP="00E24D0E">
    <w:pPr>
      <w:pStyle w:val="Footer"/>
      <w:tabs>
        <w:tab w:val="clear" w:pos="4680"/>
        <w:tab w:val="clear" w:pos="9360"/>
        <w:tab w:val="center" w:pos="9498"/>
        <w:tab w:val="right" w:pos="9746"/>
      </w:tabs>
    </w:pPr>
    <w:r w:rsidRPr="00C30249">
      <w:rPr>
        <w:b/>
        <w:bCs/>
        <w:sz w:val="18"/>
        <w:szCs w:val="18"/>
      </w:rPr>
      <w:t>IHACPA</w:t>
    </w:r>
    <w:r w:rsidRPr="00C30249">
      <w:rPr>
        <w:sz w:val="18"/>
        <w:szCs w:val="18"/>
      </w:rPr>
      <w:t xml:space="preserve"> Pricing Framework for Australian Public Hospital Services 2026–27</w:t>
    </w:r>
    <w:r>
      <w:tab/>
    </w:r>
    <w:r>
      <w:fldChar w:fldCharType="begin"/>
    </w:r>
    <w:r>
      <w:instrText xml:space="preserve"> PAGE   \* MERGEFORMAT </w:instrText>
    </w:r>
    <w:r>
      <w:fldChar w:fldCharType="separate"/>
    </w:r>
    <w:r>
      <w:t>6</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9AD6" w14:textId="5DE1333F" w:rsidR="00823A1D" w:rsidRDefault="00823A1D" w:rsidP="00E24D0E">
    <w:pPr>
      <w:pStyle w:val="Footer"/>
      <w:tabs>
        <w:tab w:val="clear" w:pos="4680"/>
        <w:tab w:val="clear" w:pos="9360"/>
        <w:tab w:val="center" w:pos="9498"/>
        <w:tab w:val="right" w:pos="9746"/>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7A60" w14:textId="4BCEC530" w:rsidR="00823A1D" w:rsidRDefault="00D216AA" w:rsidP="00E24D0E">
    <w:pPr>
      <w:pStyle w:val="Footer"/>
      <w:tabs>
        <w:tab w:val="clear" w:pos="4680"/>
        <w:tab w:val="clear" w:pos="9360"/>
        <w:tab w:val="center" w:pos="9498"/>
        <w:tab w:val="right" w:pos="9746"/>
      </w:tabs>
    </w:pPr>
    <w:r w:rsidRPr="00C30249">
      <w:rPr>
        <w:b/>
        <w:bCs/>
        <w:sz w:val="18"/>
        <w:szCs w:val="18"/>
      </w:rPr>
      <w:t>IHACPA</w:t>
    </w:r>
    <w:r w:rsidRPr="00C30249">
      <w:rPr>
        <w:sz w:val="18"/>
        <w:szCs w:val="18"/>
      </w:rPr>
      <w:t xml:space="preserve"> Pricing Framework for Australian Public Hospital Services 2026–27</w:t>
    </w:r>
    <w:r>
      <w:tab/>
    </w:r>
    <w:r>
      <w:fldChar w:fldCharType="begin"/>
    </w:r>
    <w:r>
      <w:instrText xml:space="preserve"> PAGE   \* MERGEFORMAT </w:instrText>
    </w:r>
    <w:r>
      <w:fldChar w:fldCharType="separate"/>
    </w:r>
    <w:r>
      <w:t>6</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DD90" w14:textId="1CD8D92A" w:rsidR="00823A1D" w:rsidRDefault="00823A1D" w:rsidP="00E24D0E">
    <w:pPr>
      <w:pStyle w:val="Footer"/>
      <w:tabs>
        <w:tab w:val="clear" w:pos="4680"/>
        <w:tab w:val="clear" w:pos="9360"/>
        <w:tab w:val="center" w:pos="9498"/>
        <w:tab w:val="right" w:pos="9746"/>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5FA9" w14:textId="1C077130" w:rsidR="00823A1D" w:rsidRPr="00442C42" w:rsidRDefault="00442C42" w:rsidP="00442C42">
    <w:pPr>
      <w:pStyle w:val="Footer"/>
      <w:tabs>
        <w:tab w:val="clear" w:pos="4680"/>
        <w:tab w:val="clear" w:pos="9360"/>
        <w:tab w:val="center" w:pos="9498"/>
        <w:tab w:val="right" w:pos="9746"/>
      </w:tabs>
    </w:pPr>
    <w:r w:rsidRPr="00C30249">
      <w:rPr>
        <w:b/>
        <w:bCs/>
        <w:sz w:val="18"/>
        <w:szCs w:val="18"/>
      </w:rPr>
      <w:t>IHACPA</w:t>
    </w:r>
    <w:r w:rsidRPr="00C30249">
      <w:rPr>
        <w:sz w:val="18"/>
        <w:szCs w:val="18"/>
      </w:rPr>
      <w:t xml:space="preserve"> Pricing Framework for Australian Public Hospital Services 2026–27</w:t>
    </w:r>
    <w:r>
      <w:tab/>
    </w:r>
    <w:r>
      <w:fldChar w:fldCharType="begin"/>
    </w:r>
    <w:r>
      <w:instrText xml:space="preserve"> PAGE   \* MERGEFORMAT </w:instrText>
    </w:r>
    <w:r>
      <w:fldChar w:fldCharType="separate"/>
    </w:r>
    <w:r>
      <w:t>28</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0558" w14:textId="0926F88D" w:rsidR="00823A1D" w:rsidRDefault="00823A1D" w:rsidP="00E24D0E">
    <w:pPr>
      <w:pStyle w:val="Footer"/>
      <w:tabs>
        <w:tab w:val="clear" w:pos="4680"/>
        <w:tab w:val="clear" w:pos="9360"/>
        <w:tab w:val="center" w:pos="9498"/>
        <w:tab w:val="right" w:pos="9746"/>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8268" w14:textId="745634AA" w:rsidR="00823A1D" w:rsidRPr="00442C42" w:rsidRDefault="00442C42" w:rsidP="00442C42">
    <w:pPr>
      <w:pStyle w:val="Footer"/>
      <w:tabs>
        <w:tab w:val="clear" w:pos="4680"/>
        <w:tab w:val="clear" w:pos="9360"/>
        <w:tab w:val="center" w:pos="9498"/>
        <w:tab w:val="right" w:pos="9746"/>
      </w:tabs>
    </w:pPr>
    <w:r w:rsidRPr="00C30249">
      <w:rPr>
        <w:b/>
        <w:bCs/>
        <w:sz w:val="18"/>
        <w:szCs w:val="18"/>
      </w:rPr>
      <w:t>IHACPA</w:t>
    </w:r>
    <w:r w:rsidRPr="00C30249">
      <w:rPr>
        <w:sz w:val="18"/>
        <w:szCs w:val="18"/>
      </w:rPr>
      <w:t xml:space="preserve"> Pricing Framework for Australian Public Hospital Services 2026–27</w:t>
    </w:r>
    <w:r>
      <w:tab/>
    </w:r>
    <w:r>
      <w:fldChar w:fldCharType="begin"/>
    </w:r>
    <w:r>
      <w:instrText xml:space="preserve"> PAGE   \* MERGEFORMAT </w:instrText>
    </w:r>
    <w:r>
      <w:fldChar w:fldCharType="separate"/>
    </w:r>
    <w:r>
      <w:t>28</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CF8B" w14:textId="1627197A" w:rsidR="00823A1D" w:rsidRDefault="00823A1D" w:rsidP="00E24D0E">
    <w:pPr>
      <w:pStyle w:val="Footer"/>
      <w:tabs>
        <w:tab w:val="clear" w:pos="4680"/>
        <w:tab w:val="clear" w:pos="9360"/>
        <w:tab w:val="center" w:pos="9498"/>
        <w:tab w:val="right" w:pos="9746"/>
      </w:tabs>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8F65" w14:textId="1E2BA396" w:rsidR="00823A1D" w:rsidRPr="00442C42" w:rsidRDefault="00442C42" w:rsidP="00442C42">
    <w:pPr>
      <w:pStyle w:val="Footer"/>
      <w:tabs>
        <w:tab w:val="clear" w:pos="4680"/>
        <w:tab w:val="clear" w:pos="9360"/>
        <w:tab w:val="center" w:pos="9498"/>
        <w:tab w:val="right" w:pos="9746"/>
      </w:tabs>
    </w:pPr>
    <w:r w:rsidRPr="00C30249">
      <w:rPr>
        <w:b/>
        <w:bCs/>
        <w:sz w:val="18"/>
        <w:szCs w:val="18"/>
      </w:rPr>
      <w:t>IHACPA</w:t>
    </w:r>
    <w:r w:rsidRPr="00C30249">
      <w:rPr>
        <w:sz w:val="18"/>
        <w:szCs w:val="18"/>
      </w:rPr>
      <w:t xml:space="preserve"> Pricing Framework for Australian Public Hospital Services 2026–27</w:t>
    </w:r>
    <w:r>
      <w:tab/>
    </w:r>
    <w:r>
      <w:fldChar w:fldCharType="begin"/>
    </w:r>
    <w:r>
      <w:instrText xml:space="preserve"> PAGE   \* MERGEFORMAT </w:instrText>
    </w:r>
    <w:r>
      <w:fldChar w:fldCharType="separate"/>
    </w:r>
    <w:r>
      <w:t>28</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9DE7" w14:textId="3DCFEF8D" w:rsidR="00823A1D" w:rsidRDefault="00823A1D" w:rsidP="00E24D0E">
    <w:pPr>
      <w:pStyle w:val="Footer"/>
      <w:tabs>
        <w:tab w:val="clear" w:pos="4680"/>
        <w:tab w:val="clear" w:pos="9360"/>
        <w:tab w:val="center" w:pos="9498"/>
        <w:tab w:val="right" w:pos="974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5192" w14:textId="4A46CAB1" w:rsidR="00FA7324" w:rsidRPr="00DE3A3C" w:rsidRDefault="00FA7324" w:rsidP="00493FE8">
    <w:pPr>
      <w:rPr>
        <w:color w:val="FFFFFF" w:themeColor="background2"/>
        <w:sz w:val="28"/>
        <w:szCs w:val="28"/>
      </w:rPr>
    </w:pPr>
  </w:p>
  <w:p w14:paraId="0BB5E2CA" w14:textId="5D3761E3" w:rsidR="00FA7324" w:rsidRDefault="00C069B8" w:rsidP="00114CB2">
    <w:pPr>
      <w:tabs>
        <w:tab w:val="left" w:pos="2325"/>
        <w:tab w:val="left" w:pos="3360"/>
      </w:tabs>
      <w:rPr>
        <w:color w:val="FFFFFF" w:themeColor="background2"/>
      </w:rPr>
    </w:pPr>
    <w:r>
      <w:rPr>
        <w:color w:val="FFFFFF" w:themeColor="background2"/>
      </w:rPr>
      <w:t xml:space="preserve">December </w:t>
    </w:r>
    <w:r w:rsidR="00FA7324">
      <w:rPr>
        <w:color w:val="FFFFFF" w:themeColor="background2"/>
      </w:rPr>
      <w:t>2025</w:t>
    </w:r>
    <w:r w:rsidR="008C5C45">
      <w:rPr>
        <w:color w:val="FFFFFF" w:themeColor="background2"/>
      </w:rPr>
      <w:tab/>
    </w:r>
    <w:r w:rsidR="00114CB2">
      <w:rPr>
        <w:color w:val="FFFFFF" w:themeColor="background2"/>
      </w:rPr>
      <w:tab/>
    </w:r>
  </w:p>
  <w:p w14:paraId="2D21B43A" w14:textId="1F56BA57" w:rsidR="00493FE8" w:rsidRPr="00DB5BF3" w:rsidRDefault="003365B6" w:rsidP="00114CB2">
    <w:pPr>
      <w:tabs>
        <w:tab w:val="left" w:pos="2325"/>
      </w:tabs>
      <w:rPr>
        <w:color w:val="FFFFFF" w:themeColor="background2"/>
      </w:rPr>
    </w:pPr>
    <w:r>
      <w:rPr>
        <w:color w:val="FFFFFF" w:themeColor="background2"/>
      </w:rPr>
      <w:t xml:space="preserve"> </w:t>
    </w:r>
    <w:r w:rsidR="00114CB2">
      <w:rPr>
        <w:color w:val="FFFFFF" w:themeColor="background2"/>
      </w:rPr>
      <w:tab/>
    </w:r>
    <w:r w:rsidR="00E2607B">
      <w:rPr>
        <w:color w:val="FFFFFF" w:themeColor="background2"/>
      </w:rPr>
      <w:br/>
    </w:r>
    <w:r w:rsidR="00E2607B">
      <w:rPr>
        <w:color w:val="FFFFFF" w:themeColor="background2"/>
      </w:rPr>
      <w:br/>
    </w:r>
    <w:r w:rsidR="00E2607B">
      <w:rPr>
        <w:color w:val="FFFFFF" w:themeColor="background2"/>
      </w:rPr>
      <w:br/>
      <w:t>Independent Health and Aged Care Pricing Authority</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09C5" w14:textId="00119C05" w:rsidR="00823A1D" w:rsidRPr="00442C42" w:rsidRDefault="00442C42" w:rsidP="00442C42">
    <w:pPr>
      <w:pStyle w:val="Footer"/>
      <w:tabs>
        <w:tab w:val="clear" w:pos="4680"/>
        <w:tab w:val="clear" w:pos="9360"/>
        <w:tab w:val="center" w:pos="9498"/>
        <w:tab w:val="right" w:pos="9746"/>
      </w:tabs>
    </w:pPr>
    <w:r w:rsidRPr="00C30249">
      <w:rPr>
        <w:b/>
        <w:bCs/>
        <w:sz w:val="18"/>
        <w:szCs w:val="18"/>
      </w:rPr>
      <w:t>IHACPA</w:t>
    </w:r>
    <w:r w:rsidRPr="00C30249">
      <w:rPr>
        <w:sz w:val="18"/>
        <w:szCs w:val="18"/>
      </w:rPr>
      <w:t xml:space="preserve"> Pricing Framework for Australian Public Hospital Services 2026–27</w:t>
    </w:r>
    <w:r>
      <w:tab/>
    </w:r>
    <w:r>
      <w:fldChar w:fldCharType="begin"/>
    </w:r>
    <w:r>
      <w:instrText xml:space="preserve"> PAGE   \* MERGEFORMAT </w:instrText>
    </w:r>
    <w:r>
      <w:fldChar w:fldCharType="separate"/>
    </w:r>
    <w:r>
      <w:t>28</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007D" w14:textId="5141DBB6" w:rsidR="00823A1D" w:rsidRDefault="00823A1D" w:rsidP="00E24D0E">
    <w:pPr>
      <w:pStyle w:val="Footer"/>
      <w:tabs>
        <w:tab w:val="clear" w:pos="4680"/>
        <w:tab w:val="clear" w:pos="9360"/>
        <w:tab w:val="center" w:pos="9498"/>
        <w:tab w:val="right" w:pos="9746"/>
      </w:tabs>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A1A2" w14:textId="486ACF23" w:rsidR="00055E75" w:rsidRPr="00442C42" w:rsidRDefault="00286FAA" w:rsidP="00442C42">
    <w:pPr>
      <w:pStyle w:val="Footer"/>
      <w:tabs>
        <w:tab w:val="clear" w:pos="4680"/>
        <w:tab w:val="clear" w:pos="9360"/>
        <w:tab w:val="center" w:pos="9498"/>
        <w:tab w:val="right" w:pos="9746"/>
      </w:tabs>
    </w:pPr>
    <w:r w:rsidRPr="00C30249">
      <w:rPr>
        <w:b/>
        <w:bCs/>
        <w:sz w:val="18"/>
        <w:szCs w:val="18"/>
      </w:rPr>
      <w:t>IHACPA</w:t>
    </w:r>
    <w:r w:rsidRPr="00C30249">
      <w:rPr>
        <w:sz w:val="18"/>
        <w:szCs w:val="18"/>
      </w:rPr>
      <w:t xml:space="preserve"> </w:t>
    </w:r>
    <w:r w:rsidRPr="00E30978">
      <w:rPr>
        <w:sz w:val="18"/>
        <w:szCs w:val="18"/>
      </w:rPr>
      <w:t>Pricing Framework for Australian Public Hospital Services 2026–27</w:t>
    </w:r>
    <w:r w:rsidR="00442C42">
      <w:tab/>
    </w:r>
    <w:r w:rsidR="00442C42">
      <w:fldChar w:fldCharType="begin"/>
    </w:r>
    <w:r w:rsidR="00442C42">
      <w:instrText xml:space="preserve"> PAGE   \* MERGEFORMAT </w:instrText>
    </w:r>
    <w:r w:rsidR="00442C42">
      <w:fldChar w:fldCharType="separate"/>
    </w:r>
    <w:r w:rsidR="00442C42">
      <w:t>28</w:t>
    </w:r>
    <w:r w:rsidR="00442C4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5236" w14:textId="125AD9E8" w:rsidR="00442C42" w:rsidRDefault="00442C42" w:rsidP="00442C42">
    <w:pPr>
      <w:pStyle w:val="Footer"/>
      <w:tabs>
        <w:tab w:val="clear" w:pos="4680"/>
        <w:tab w:val="clear" w:pos="9360"/>
        <w:tab w:val="center" w:pos="9498"/>
        <w:tab w:val="right" w:pos="9746"/>
      </w:tabs>
    </w:pPr>
    <w:r w:rsidRPr="00C30249">
      <w:rPr>
        <w:b/>
        <w:bCs/>
        <w:sz w:val="18"/>
        <w:szCs w:val="18"/>
      </w:rPr>
      <w:t>IHACPA</w:t>
    </w:r>
    <w:r w:rsidRPr="00C30249">
      <w:rPr>
        <w:sz w:val="18"/>
        <w:szCs w:val="18"/>
      </w:rPr>
      <w:t xml:space="preserve"> </w:t>
    </w:r>
    <w:r w:rsidR="002D67F4" w:rsidRPr="00E30978">
      <w:rPr>
        <w:sz w:val="18"/>
        <w:szCs w:val="18"/>
      </w:rPr>
      <w:t>Pricing Framework for Australian Public Hospital Services 2026–27</w:t>
    </w:r>
    <w:r>
      <w:tab/>
    </w:r>
    <w:r>
      <w:fldChar w:fldCharType="begin"/>
    </w:r>
    <w:r>
      <w:instrText xml:space="preserve"> PAGE   \* MERGEFORMAT </w:instrText>
    </w:r>
    <w:r>
      <w:fldChar w:fldCharType="separate"/>
    </w:r>
    <w:r>
      <w:t>28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9D44" w14:textId="361CD4A6" w:rsidR="00493FE8" w:rsidRDefault="00493FE8" w:rsidP="00E24D0E">
    <w:pPr>
      <w:pStyle w:val="Footer"/>
      <w:tabs>
        <w:tab w:val="clear" w:pos="4680"/>
        <w:tab w:val="clear" w:pos="9360"/>
        <w:tab w:val="center" w:pos="9498"/>
        <w:tab w:val="right" w:pos="9746"/>
      </w:tabs>
    </w:pPr>
    <w:r w:rsidRPr="00C30249">
      <w:rPr>
        <w:b/>
        <w:bCs/>
        <w:sz w:val="18"/>
        <w:szCs w:val="18"/>
      </w:rPr>
      <w:t>IHACPA</w:t>
    </w:r>
    <w:r w:rsidRPr="00C30249">
      <w:rPr>
        <w:sz w:val="18"/>
        <w:szCs w:val="18"/>
      </w:rPr>
      <w:t xml:space="preserve"> </w:t>
    </w:r>
    <w:r w:rsidR="00E30978" w:rsidRPr="00E30978">
      <w:rPr>
        <w:sz w:val="18"/>
        <w:szCs w:val="18"/>
      </w:rPr>
      <w:t>Pricing Framework for Australian Public Hospital Services 2026–27</w:t>
    </w:r>
    <w:r>
      <w:tab/>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D6D5" w14:textId="21CBAB50" w:rsidR="00D41A80" w:rsidRPr="00531AAB" w:rsidRDefault="00D41A80" w:rsidP="00D216AA">
    <w:pPr>
      <w:pStyle w:val="Footer"/>
      <w:tabs>
        <w:tab w:val="clear" w:pos="4680"/>
        <w:tab w:val="clear" w:pos="9360"/>
        <w:tab w:val="center" w:pos="9498"/>
        <w:tab w:val="right" w:pos="9746"/>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816D" w14:textId="638E6709" w:rsidR="00401D3C" w:rsidRPr="00531AAB" w:rsidRDefault="00401D3C" w:rsidP="00D216AA">
    <w:pPr>
      <w:pStyle w:val="Footer"/>
      <w:tabs>
        <w:tab w:val="clear" w:pos="4680"/>
        <w:tab w:val="clear" w:pos="9360"/>
        <w:tab w:val="center" w:pos="9498"/>
        <w:tab w:val="right" w:pos="9746"/>
      </w:tabs>
    </w:pPr>
    <w:r w:rsidRPr="00C30249">
      <w:rPr>
        <w:b/>
        <w:bCs/>
        <w:sz w:val="18"/>
        <w:szCs w:val="18"/>
      </w:rPr>
      <w:t>IHACPA</w:t>
    </w:r>
    <w:r w:rsidRPr="00C30249">
      <w:rPr>
        <w:sz w:val="18"/>
        <w:szCs w:val="18"/>
      </w:rPr>
      <w:t xml:space="preserve"> </w:t>
    </w:r>
    <w:r w:rsidR="006E2C18" w:rsidRPr="006E2C18">
      <w:rPr>
        <w:sz w:val="18"/>
        <w:szCs w:val="18"/>
      </w:rPr>
      <w:t>Pricing Framework for Australian Public Hospital Services 2026–27</w:t>
    </w:r>
    <w:r>
      <w:tab/>
    </w:r>
    <w:r>
      <w:fldChar w:fldCharType="begin"/>
    </w:r>
    <w:r>
      <w:instrText xml:space="preserve"> PAGE   \* MERGEFORMAT </w:instrText>
    </w:r>
    <w:r>
      <w:fldChar w:fldCharType="separate"/>
    </w:r>
    <w:r>
      <w:t>7</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424C" w14:textId="0FEB80DF" w:rsidR="00993B60" w:rsidRDefault="00993B60" w:rsidP="00E24D0E">
    <w:pPr>
      <w:pStyle w:val="Footer"/>
      <w:tabs>
        <w:tab w:val="clear" w:pos="4680"/>
        <w:tab w:val="clear" w:pos="9360"/>
        <w:tab w:val="center" w:pos="9498"/>
        <w:tab w:val="right" w:pos="9746"/>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9CD5" w14:textId="0B1D9733" w:rsidR="00823A1D" w:rsidRPr="00D216AA" w:rsidRDefault="00D216AA" w:rsidP="00D216AA">
    <w:pPr>
      <w:pStyle w:val="Footer"/>
      <w:tabs>
        <w:tab w:val="clear" w:pos="4680"/>
        <w:tab w:val="clear" w:pos="9360"/>
        <w:tab w:val="center" w:pos="9498"/>
        <w:tab w:val="right" w:pos="9746"/>
      </w:tabs>
    </w:pPr>
    <w:r w:rsidRPr="00C30249">
      <w:rPr>
        <w:b/>
        <w:bCs/>
        <w:sz w:val="18"/>
        <w:szCs w:val="18"/>
      </w:rPr>
      <w:t>IHACPA</w:t>
    </w:r>
    <w:r w:rsidRPr="00C30249">
      <w:rPr>
        <w:sz w:val="18"/>
        <w:szCs w:val="18"/>
      </w:rPr>
      <w:t xml:space="preserve"> Pricing Framework for Australian Public Hospital Services 2026–27</w:t>
    </w:r>
    <w:r>
      <w:tab/>
    </w:r>
    <w:r>
      <w:fldChar w:fldCharType="begin"/>
    </w:r>
    <w:r>
      <w:instrText xml:space="preserve"> PAGE   \* MERGEFORMAT </w:instrText>
    </w:r>
    <w:r>
      <w:fldChar w:fldCharType="separate"/>
    </w:r>
    <w:r>
      <w:t>6</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835A" w14:textId="375F639A" w:rsidR="00823A1D" w:rsidRDefault="00823A1D" w:rsidP="00E24D0E">
    <w:pPr>
      <w:pStyle w:val="Footer"/>
      <w:tabs>
        <w:tab w:val="clear" w:pos="4680"/>
        <w:tab w:val="clear" w:pos="9360"/>
        <w:tab w:val="center" w:pos="9498"/>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B590" w14:textId="77777777" w:rsidR="004E62E8" w:rsidRDefault="004E62E8" w:rsidP="00DC0458">
      <w:pPr>
        <w:spacing w:after="0" w:line="240" w:lineRule="auto"/>
      </w:pPr>
      <w:bookmarkStart w:id="0" w:name="_Hlk214980032"/>
      <w:bookmarkEnd w:id="0"/>
      <w:r>
        <w:separator/>
      </w:r>
    </w:p>
  </w:footnote>
  <w:footnote w:type="continuationSeparator" w:id="0">
    <w:p w14:paraId="021386EE" w14:textId="77777777" w:rsidR="004E62E8" w:rsidRDefault="004E62E8" w:rsidP="00DC0458">
      <w:pPr>
        <w:spacing w:after="0" w:line="240" w:lineRule="auto"/>
      </w:pPr>
      <w:r>
        <w:continuationSeparator/>
      </w:r>
    </w:p>
  </w:footnote>
  <w:footnote w:type="continuationNotice" w:id="1">
    <w:p w14:paraId="30EF2F8D" w14:textId="77777777" w:rsidR="004E62E8" w:rsidRDefault="004E62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EA61" w14:textId="7DE9384A" w:rsidR="00CC77AB" w:rsidRDefault="00CC77AB">
    <w:pPr>
      <w:pStyle w:val="Header"/>
    </w:pPr>
    <w:r>
      <w:rPr>
        <w:noProof/>
      </w:rPr>
      <mc:AlternateContent>
        <mc:Choice Requires="wps">
          <w:drawing>
            <wp:anchor distT="0" distB="0" distL="0" distR="0" simplePos="0" relativeHeight="251730944" behindDoc="0" locked="0" layoutInCell="1" allowOverlap="1" wp14:anchorId="772179A6" wp14:editId="5480A886">
              <wp:simplePos x="635" y="635"/>
              <wp:positionH relativeFrom="page">
                <wp:align>center</wp:align>
              </wp:positionH>
              <wp:positionV relativeFrom="page">
                <wp:align>top</wp:align>
              </wp:positionV>
              <wp:extent cx="551815" cy="414020"/>
              <wp:effectExtent l="0" t="0" r="635" b="5080"/>
              <wp:wrapNone/>
              <wp:docPr id="1370100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30CAA37E" w14:textId="68EEE293" w:rsidR="00CC77AB" w:rsidRPr="00CC77AB" w:rsidRDefault="00CC77AB" w:rsidP="00CC77AB">
                          <w:pPr>
                            <w:spacing w:after="0"/>
                            <w:rPr>
                              <w:rFonts w:ascii="Calibri" w:eastAsia="Calibri" w:hAnsi="Calibri" w:cs="Calibri"/>
                              <w:noProof/>
                              <w:color w:val="FF0000"/>
                              <w:sz w:val="24"/>
                              <w:szCs w:val="24"/>
                            </w:rPr>
                          </w:pPr>
                          <w:r w:rsidRPr="00CC77A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2179A6" id="_x0000_t202" coordsize="21600,21600" o:spt="202" path="m,l,21600r21600,l21600,xe">
              <v:stroke joinstyle="miter"/>
              <v:path gradientshapeok="t" o:connecttype="rect"/>
            </v:shapetype>
            <v:shape id="Text Box 2" o:spid="_x0000_s1026" type="#_x0000_t202" alt="OFFICIAL" style="position:absolute;margin-left:0;margin-top:0;width:43.45pt;height:32.6pt;z-index:251730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" filled="f" stroked="f">
              <v:textbox style="mso-fit-shape-to-text:t" inset="0,15pt,0,0">
                <w:txbxContent>
                  <w:p w14:paraId="30CAA37E" w14:textId="68EEE293" w:rsidR="00CC77AB" w:rsidRPr="00CC77AB" w:rsidRDefault="00CC77AB" w:rsidP="00CC77AB">
                    <w:pPr>
                      <w:spacing w:after="0"/>
                      <w:rPr>
                        <w:rFonts w:ascii="Calibri" w:eastAsia="Calibri" w:hAnsi="Calibri" w:cs="Calibri"/>
                        <w:noProof/>
                        <w:color w:val="FF0000"/>
                        <w:sz w:val="24"/>
                        <w:szCs w:val="24"/>
                      </w:rPr>
                    </w:pPr>
                    <w:r w:rsidRPr="00CC77AB">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014B" w14:textId="404A41A1" w:rsidR="002F51A4" w:rsidRPr="00123095" w:rsidRDefault="002F51A4" w:rsidP="00AD46EA">
    <w:pPr>
      <w:pStyle w:val="Heading1"/>
      <w:spacing w:before="480" w:after="0"/>
      <w:rPr>
        <w:sz w:val="52"/>
        <w:szCs w:val="24"/>
      </w:rPr>
    </w:pPr>
    <w:r w:rsidRPr="00123095">
      <w:rPr>
        <w:noProof/>
        <w:sz w:val="44"/>
        <w:szCs w:val="20"/>
      </w:rPr>
      <w:drawing>
        <wp:anchor distT="0" distB="0" distL="114300" distR="114300" simplePos="0" relativeHeight="251716608" behindDoc="1" locked="0" layoutInCell="1" allowOverlap="1" wp14:anchorId="410960B4" wp14:editId="7BC49D78">
          <wp:simplePos x="0" y="0"/>
          <wp:positionH relativeFrom="page">
            <wp:posOffset>0</wp:posOffset>
          </wp:positionH>
          <wp:positionV relativeFrom="paragraph">
            <wp:posOffset>-449580</wp:posOffset>
          </wp:positionV>
          <wp:extent cx="7562850" cy="1870466"/>
          <wp:effectExtent l="0" t="0" r="0" b="0"/>
          <wp:wrapNone/>
          <wp:docPr id="1709894991" name="Graphic 17098949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4396" r="-30"/>
                  <a:stretch/>
                </pic:blipFill>
                <pic:spPr bwMode="auto">
                  <a:xfrm>
                    <a:off x="0" y="0"/>
                    <a:ext cx="7565121" cy="1871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44"/>
        <w:szCs w:val="20"/>
      </w:rPr>
      <w:t>2. Pricing Guidelines</w:t>
    </w:r>
  </w:p>
  <w:p w14:paraId="4DDD621A" w14:textId="77777777" w:rsidR="002F51A4" w:rsidRDefault="002F51A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8EC5" w14:textId="06FF576C" w:rsidR="00823A1D" w:rsidRPr="00BE47B6" w:rsidRDefault="00823A1D">
    <w:pPr>
      <w:pStyle w:val="Header"/>
    </w:pPr>
    <w:r>
      <w:rPr>
        <w:noProof/>
      </w:rPr>
      <w:drawing>
        <wp:anchor distT="0" distB="0" distL="114300" distR="114300" simplePos="0" relativeHeight="251694080" behindDoc="1" locked="0" layoutInCell="1" allowOverlap="1" wp14:anchorId="6BE21C74" wp14:editId="0CC96E94">
          <wp:simplePos x="0" y="0"/>
          <wp:positionH relativeFrom="page">
            <wp:align>left</wp:align>
          </wp:positionH>
          <wp:positionV relativeFrom="paragraph">
            <wp:posOffset>-445135</wp:posOffset>
          </wp:positionV>
          <wp:extent cx="7560867" cy="10686873"/>
          <wp:effectExtent l="0" t="0" r="2540" b="635"/>
          <wp:wrapNone/>
          <wp:docPr id="1433016549" name="Picture 1433016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867" cy="106868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8B76" w14:textId="2D8E4FFA" w:rsidR="00823A1D" w:rsidRPr="00BE47B6" w:rsidRDefault="00823A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A32E" w14:textId="09D3F454" w:rsidR="002F51A4" w:rsidRPr="00123095" w:rsidRDefault="002F51A4" w:rsidP="00AD46EA">
    <w:pPr>
      <w:pStyle w:val="Heading1"/>
      <w:spacing w:before="480" w:after="0"/>
      <w:rPr>
        <w:sz w:val="52"/>
        <w:szCs w:val="24"/>
      </w:rPr>
    </w:pPr>
    <w:r w:rsidRPr="00123095">
      <w:rPr>
        <w:noProof/>
        <w:sz w:val="44"/>
        <w:szCs w:val="20"/>
      </w:rPr>
      <w:drawing>
        <wp:anchor distT="0" distB="0" distL="114300" distR="114300" simplePos="0" relativeHeight="251718656" behindDoc="1" locked="0" layoutInCell="1" allowOverlap="1" wp14:anchorId="3CB5D1C1" wp14:editId="2350E18E">
          <wp:simplePos x="0" y="0"/>
          <wp:positionH relativeFrom="page">
            <wp:posOffset>-2540</wp:posOffset>
          </wp:positionH>
          <wp:positionV relativeFrom="paragraph">
            <wp:posOffset>-246038</wp:posOffset>
          </wp:positionV>
          <wp:extent cx="7562850" cy="2058653"/>
          <wp:effectExtent l="0" t="0" r="0" b="0"/>
          <wp:wrapNone/>
          <wp:docPr id="232546816" name="Graphic 232546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5192" b="1"/>
                  <a:stretch/>
                </pic:blipFill>
                <pic:spPr bwMode="auto">
                  <a:xfrm>
                    <a:off x="0" y="0"/>
                    <a:ext cx="7562850" cy="20586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44"/>
        <w:szCs w:val="20"/>
      </w:rPr>
      <w:t>3. Classifications used to describe and price public hospital services</w:t>
    </w:r>
  </w:p>
  <w:p w14:paraId="371F0955" w14:textId="77777777" w:rsidR="002F51A4" w:rsidRDefault="002F51A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109B" w14:textId="7AE982EF" w:rsidR="00823A1D" w:rsidRPr="00BE47B6" w:rsidRDefault="00823A1D">
    <w:pPr>
      <w:pStyle w:val="Header"/>
    </w:pPr>
    <w:r>
      <w:rPr>
        <w:noProof/>
      </w:rPr>
      <w:drawing>
        <wp:anchor distT="0" distB="0" distL="114300" distR="114300" simplePos="0" relativeHeight="251696128" behindDoc="1" locked="0" layoutInCell="1" allowOverlap="1" wp14:anchorId="62683B12" wp14:editId="6B50F7EB">
          <wp:simplePos x="0" y="0"/>
          <wp:positionH relativeFrom="page">
            <wp:align>left</wp:align>
          </wp:positionH>
          <wp:positionV relativeFrom="paragraph">
            <wp:posOffset>-445135</wp:posOffset>
          </wp:positionV>
          <wp:extent cx="7560867" cy="10686873"/>
          <wp:effectExtent l="0" t="0" r="2540" b="635"/>
          <wp:wrapNone/>
          <wp:docPr id="1381103250" name="Picture 1381103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867" cy="106868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5B87" w14:textId="56DEE1E6" w:rsidR="00823A1D" w:rsidRPr="00BE47B6" w:rsidRDefault="00823A1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5ACF" w14:textId="6123E6E7" w:rsidR="002F51A4" w:rsidRPr="00123095" w:rsidRDefault="002F51A4" w:rsidP="00AD46EA">
    <w:pPr>
      <w:pStyle w:val="Heading1"/>
      <w:spacing w:before="480" w:after="0"/>
      <w:rPr>
        <w:sz w:val="52"/>
        <w:szCs w:val="24"/>
      </w:rPr>
    </w:pPr>
    <w:r w:rsidRPr="00123095">
      <w:rPr>
        <w:noProof/>
        <w:sz w:val="44"/>
        <w:szCs w:val="20"/>
      </w:rPr>
      <w:drawing>
        <wp:anchor distT="0" distB="0" distL="114300" distR="114300" simplePos="0" relativeHeight="251720704" behindDoc="1" locked="0" layoutInCell="1" allowOverlap="1" wp14:anchorId="3CE6FD54" wp14:editId="395E035C">
          <wp:simplePos x="0" y="0"/>
          <wp:positionH relativeFrom="page">
            <wp:align>right</wp:align>
          </wp:positionH>
          <wp:positionV relativeFrom="paragraph">
            <wp:posOffset>-633193</wp:posOffset>
          </wp:positionV>
          <wp:extent cx="7562850" cy="2058653"/>
          <wp:effectExtent l="0" t="0" r="0" b="0"/>
          <wp:wrapNone/>
          <wp:docPr id="483962150" name="Graphic 483962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5192" b="1"/>
                  <a:stretch/>
                </pic:blipFill>
                <pic:spPr bwMode="auto">
                  <a:xfrm>
                    <a:off x="0" y="0"/>
                    <a:ext cx="7562850" cy="20586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44"/>
        <w:szCs w:val="20"/>
      </w:rPr>
      <w:t>4. Setting the national efficient price</w:t>
    </w:r>
  </w:p>
  <w:p w14:paraId="7835A424" w14:textId="77777777" w:rsidR="002F51A4" w:rsidRDefault="002F51A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7E1C" w14:textId="6FF926E8" w:rsidR="00823A1D" w:rsidRPr="00BE47B6" w:rsidRDefault="00823A1D">
    <w:pPr>
      <w:pStyle w:val="Header"/>
    </w:pPr>
    <w:r>
      <w:rPr>
        <w:noProof/>
      </w:rPr>
      <w:drawing>
        <wp:anchor distT="0" distB="0" distL="114300" distR="114300" simplePos="0" relativeHeight="251698176" behindDoc="1" locked="0" layoutInCell="1" allowOverlap="1" wp14:anchorId="141A58A1" wp14:editId="44568ED0">
          <wp:simplePos x="0" y="0"/>
          <wp:positionH relativeFrom="page">
            <wp:align>left</wp:align>
          </wp:positionH>
          <wp:positionV relativeFrom="paragraph">
            <wp:posOffset>-445135</wp:posOffset>
          </wp:positionV>
          <wp:extent cx="7560867" cy="10686873"/>
          <wp:effectExtent l="0" t="0" r="2540" b="635"/>
          <wp:wrapNone/>
          <wp:docPr id="1045273392" name="Picture 1045273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867" cy="106868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1A8F" w14:textId="4BA32FD3" w:rsidR="00823A1D" w:rsidRPr="00BE47B6" w:rsidRDefault="00823A1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1FBC" w14:textId="157471DF" w:rsidR="002F51A4" w:rsidRPr="00123095" w:rsidRDefault="002F51A4" w:rsidP="00AD46EA">
    <w:pPr>
      <w:pStyle w:val="Heading1"/>
      <w:spacing w:before="480" w:after="0"/>
      <w:rPr>
        <w:sz w:val="52"/>
        <w:szCs w:val="24"/>
      </w:rPr>
    </w:pPr>
    <w:r w:rsidRPr="00123095">
      <w:rPr>
        <w:noProof/>
        <w:sz w:val="44"/>
        <w:szCs w:val="20"/>
      </w:rPr>
      <w:drawing>
        <wp:anchor distT="0" distB="0" distL="114300" distR="114300" simplePos="0" relativeHeight="251722752" behindDoc="1" locked="0" layoutInCell="1" allowOverlap="1" wp14:anchorId="0CB2416B" wp14:editId="2F413143">
          <wp:simplePos x="0" y="0"/>
          <wp:positionH relativeFrom="page">
            <wp:align>right</wp:align>
          </wp:positionH>
          <wp:positionV relativeFrom="paragraph">
            <wp:posOffset>-633193</wp:posOffset>
          </wp:positionV>
          <wp:extent cx="7562850" cy="2058653"/>
          <wp:effectExtent l="0" t="0" r="0" b="0"/>
          <wp:wrapNone/>
          <wp:docPr id="77691895" name="Graphic 776918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5192" b="1"/>
                  <a:stretch/>
                </pic:blipFill>
                <pic:spPr bwMode="auto">
                  <a:xfrm>
                    <a:off x="0" y="0"/>
                    <a:ext cx="7562850" cy="20586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44"/>
        <w:szCs w:val="20"/>
      </w:rPr>
      <w:t>5. Setting the national efficient cost</w:t>
    </w:r>
  </w:p>
  <w:p w14:paraId="34F7422B" w14:textId="77777777" w:rsidR="002F51A4" w:rsidRDefault="002F5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2A70" w14:textId="3A15896C" w:rsidR="00493FE8" w:rsidRDefault="00CC77AB">
    <w:pPr>
      <w:pStyle w:val="Header"/>
    </w:pPr>
    <w:r>
      <w:rPr>
        <w:noProof/>
      </w:rPr>
      <mc:AlternateContent>
        <mc:Choice Requires="wps">
          <w:drawing>
            <wp:anchor distT="0" distB="0" distL="0" distR="0" simplePos="0" relativeHeight="251731968" behindDoc="0" locked="0" layoutInCell="1" allowOverlap="1" wp14:anchorId="289A159A" wp14:editId="62B95A5E">
              <wp:simplePos x="683394" y="452387"/>
              <wp:positionH relativeFrom="page">
                <wp:align>center</wp:align>
              </wp:positionH>
              <wp:positionV relativeFrom="page">
                <wp:align>top</wp:align>
              </wp:positionV>
              <wp:extent cx="551815" cy="414020"/>
              <wp:effectExtent l="0" t="0" r="635" b="5080"/>
              <wp:wrapNone/>
              <wp:docPr id="4789883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47A6171C" w14:textId="1FCB8519" w:rsidR="00CC77AB" w:rsidRPr="00CC77AB" w:rsidRDefault="00CC77AB" w:rsidP="00CC77A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9A159A" id="_x0000_t202" coordsize="21600,21600" o:spt="202" path="m,l,21600r21600,l21600,xe">
              <v:stroke joinstyle="miter"/>
              <v:path gradientshapeok="t" o:connecttype="rect"/>
            </v:shapetype>
            <v:shape id="Text Box 3" o:spid="_x0000_s1027" type="#_x0000_t202" alt="OFFICIAL" style="position:absolute;margin-left:0;margin-top:0;width:43.45pt;height:32.6pt;z-index:251731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" filled="f" stroked="f">
              <v:textbox style="mso-fit-shape-to-text:t" inset="0,15pt,0,0">
                <w:txbxContent>
                  <w:p w14:paraId="47A6171C" w14:textId="1FCB8519" w:rsidR="00CC77AB" w:rsidRPr="00CC77AB" w:rsidRDefault="00CC77AB" w:rsidP="00CC77AB">
                    <w:pPr>
                      <w:spacing w:after="0"/>
                      <w:rPr>
                        <w:rFonts w:ascii="Calibri" w:eastAsia="Calibri" w:hAnsi="Calibri" w:cs="Calibri"/>
                        <w:noProof/>
                        <w:color w:val="FF0000"/>
                        <w:sz w:val="24"/>
                        <w:szCs w:val="24"/>
                      </w:rPr>
                    </w:pPr>
                  </w:p>
                </w:txbxContent>
              </v:textbox>
              <w10:wrap anchorx="page" anchory="page"/>
            </v:shape>
          </w:pict>
        </mc:Fallback>
      </mc:AlternateContent>
    </w:r>
    <w:r w:rsidR="005F67F0" w:rsidRPr="00114CB2">
      <w:rPr>
        <w:noProof/>
        <w:color w:val="FFFFFF" w:themeColor="background2"/>
      </w:rPr>
      <w:drawing>
        <wp:anchor distT="0" distB="0" distL="114300" distR="114300" simplePos="0" relativeHeight="251687936" behindDoc="1" locked="0" layoutInCell="1" allowOverlap="1" wp14:anchorId="0BB8BE93" wp14:editId="090123C7">
          <wp:simplePos x="0" y="0"/>
          <wp:positionH relativeFrom="page">
            <wp:align>left</wp:align>
          </wp:positionH>
          <wp:positionV relativeFrom="paragraph">
            <wp:posOffset>-457835</wp:posOffset>
          </wp:positionV>
          <wp:extent cx="7573924" cy="10712174"/>
          <wp:effectExtent l="0" t="0" r="8255" b="0"/>
          <wp:wrapNone/>
          <wp:docPr id="484310057" name="Picture 484310057" descr="A blue and green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36466" name="Picture 218236466" descr="A blue and green w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3924" cy="1071217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ABA5" w14:textId="0C101473" w:rsidR="00823A1D" w:rsidRPr="00BE47B6" w:rsidRDefault="00823A1D">
    <w:pPr>
      <w:pStyle w:val="Header"/>
    </w:pPr>
    <w:r>
      <w:rPr>
        <w:noProof/>
      </w:rPr>
      <w:drawing>
        <wp:anchor distT="0" distB="0" distL="114300" distR="114300" simplePos="0" relativeHeight="251700224" behindDoc="1" locked="0" layoutInCell="1" allowOverlap="1" wp14:anchorId="78BE3CA8" wp14:editId="5FED28E9">
          <wp:simplePos x="0" y="0"/>
          <wp:positionH relativeFrom="page">
            <wp:align>left</wp:align>
          </wp:positionH>
          <wp:positionV relativeFrom="paragraph">
            <wp:posOffset>-445135</wp:posOffset>
          </wp:positionV>
          <wp:extent cx="7560867" cy="10686873"/>
          <wp:effectExtent l="0" t="0" r="2540" b="635"/>
          <wp:wrapNone/>
          <wp:docPr id="1106222654" name="Picture 11062226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867" cy="106868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DCC7" w14:textId="5B6F72D2" w:rsidR="00823A1D" w:rsidRPr="00BE47B6" w:rsidRDefault="00823A1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7533" w14:textId="0949C7E4" w:rsidR="00CF2DDC" w:rsidRDefault="00CF2DDC" w:rsidP="000671C9">
    <w:pPr>
      <w:pStyle w:val="Heading1"/>
      <w:tabs>
        <w:tab w:val="right" w:pos="9746"/>
      </w:tabs>
      <w:spacing w:before="480" w:after="0"/>
      <w:rPr>
        <w:sz w:val="44"/>
        <w:szCs w:val="20"/>
      </w:rPr>
    </w:pPr>
    <w:r w:rsidRPr="00123095">
      <w:rPr>
        <w:noProof/>
        <w:sz w:val="44"/>
        <w:szCs w:val="20"/>
      </w:rPr>
      <w:drawing>
        <wp:anchor distT="0" distB="0" distL="114300" distR="114300" simplePos="0" relativeHeight="251784192" behindDoc="1" locked="0" layoutInCell="1" allowOverlap="1" wp14:anchorId="210DB850" wp14:editId="40A55A61">
          <wp:simplePos x="0" y="0"/>
          <wp:positionH relativeFrom="page">
            <wp:align>left</wp:align>
          </wp:positionH>
          <wp:positionV relativeFrom="paragraph">
            <wp:posOffset>-525780</wp:posOffset>
          </wp:positionV>
          <wp:extent cx="7562850" cy="2058035"/>
          <wp:effectExtent l="0" t="0" r="0" b="0"/>
          <wp:wrapNone/>
          <wp:docPr id="561981489" name="Graphic 5619814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5192" b="1"/>
                  <a:stretch/>
                </pic:blipFill>
                <pic:spPr bwMode="auto">
                  <a:xfrm>
                    <a:off x="0" y="0"/>
                    <a:ext cx="7562850" cy="2058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152D">
      <w:rPr>
        <w:sz w:val="44"/>
        <w:szCs w:val="20"/>
      </w:rPr>
      <w:t>6</w:t>
    </w:r>
    <w:r w:rsidR="002F51A4">
      <w:rPr>
        <w:sz w:val="44"/>
        <w:szCs w:val="20"/>
      </w:rPr>
      <w:t xml:space="preserve">. </w:t>
    </w:r>
    <w:r w:rsidR="0051152D">
      <w:rPr>
        <w:sz w:val="44"/>
        <w:szCs w:val="20"/>
      </w:rPr>
      <w:t xml:space="preserve">Data </w:t>
    </w:r>
    <w:r w:rsidR="0012628C">
      <w:rPr>
        <w:sz w:val="44"/>
        <w:szCs w:val="20"/>
      </w:rPr>
      <w:t>c</w:t>
    </w:r>
    <w:r w:rsidR="0051152D">
      <w:rPr>
        <w:sz w:val="44"/>
        <w:szCs w:val="20"/>
      </w:rPr>
      <w:t>ollection</w:t>
    </w:r>
    <w:r w:rsidR="000671C9">
      <w:rPr>
        <w:sz w:val="44"/>
        <w:szCs w:val="20"/>
      </w:rPr>
      <w:t xml:space="preserve"> </w:t>
    </w:r>
  </w:p>
  <w:p w14:paraId="59A8D344" w14:textId="77777777" w:rsidR="000671C9" w:rsidRPr="000671C9" w:rsidRDefault="000671C9" w:rsidP="000671C9"/>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D3CF" w14:textId="3570BE10" w:rsidR="00823A1D" w:rsidRPr="00BE47B6" w:rsidRDefault="00823A1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E3F5" w14:textId="7A293EE9" w:rsidR="009A68E6" w:rsidRPr="00123095" w:rsidRDefault="009A68E6" w:rsidP="009A68E6">
    <w:pPr>
      <w:pStyle w:val="Heading1"/>
      <w:spacing w:before="480" w:after="0"/>
      <w:rPr>
        <w:sz w:val="52"/>
        <w:szCs w:val="24"/>
      </w:rPr>
    </w:pPr>
    <w:r w:rsidRPr="00123095">
      <w:rPr>
        <w:noProof/>
        <w:sz w:val="44"/>
        <w:szCs w:val="20"/>
      </w:rPr>
      <w:drawing>
        <wp:anchor distT="0" distB="0" distL="114300" distR="114300" simplePos="0" relativeHeight="251714560" behindDoc="1" locked="0" layoutInCell="1" allowOverlap="1" wp14:anchorId="33205AC1" wp14:editId="1B5F634A">
          <wp:simplePos x="0" y="0"/>
          <wp:positionH relativeFrom="page">
            <wp:align>right</wp:align>
          </wp:positionH>
          <wp:positionV relativeFrom="paragraph">
            <wp:posOffset>-82795</wp:posOffset>
          </wp:positionV>
          <wp:extent cx="7562850" cy="2058653"/>
          <wp:effectExtent l="0" t="0" r="0" b="0"/>
          <wp:wrapNone/>
          <wp:docPr id="940103454" name="Graphic 9401034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5192" b="1"/>
                  <a:stretch/>
                </pic:blipFill>
                <pic:spPr bwMode="auto">
                  <a:xfrm>
                    <a:off x="0" y="0"/>
                    <a:ext cx="7562850" cy="20586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44"/>
        <w:szCs w:val="20"/>
      </w:rPr>
      <w:t>7</w:t>
    </w:r>
    <w:r w:rsidRPr="00123095">
      <w:rPr>
        <w:sz w:val="44"/>
        <w:szCs w:val="20"/>
      </w:rPr>
      <w:t xml:space="preserve">. </w:t>
    </w:r>
    <w:r>
      <w:rPr>
        <w:sz w:val="44"/>
        <w:szCs w:val="20"/>
      </w:rPr>
      <w:t>Treatment of other Commonwealth programs</w:t>
    </w:r>
  </w:p>
  <w:p w14:paraId="08760812" w14:textId="77777777" w:rsidR="009A68E6" w:rsidRDefault="009A68E6" w:rsidP="009A68E6">
    <w:pPr>
      <w:pStyle w:val="Header"/>
    </w:pPr>
  </w:p>
  <w:p w14:paraId="062966AB" w14:textId="77777777" w:rsidR="00823A1D" w:rsidRPr="00BE47B6" w:rsidRDefault="00823A1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0D51" w14:textId="540743FA" w:rsidR="00823A1D" w:rsidRPr="00BE47B6" w:rsidRDefault="00823A1D">
    <w:pPr>
      <w:pStyle w:val="Header"/>
    </w:pPr>
    <w:r>
      <w:rPr>
        <w:noProof/>
      </w:rPr>
      <w:drawing>
        <wp:anchor distT="0" distB="0" distL="114300" distR="114300" simplePos="0" relativeHeight="251704320" behindDoc="1" locked="0" layoutInCell="1" allowOverlap="1" wp14:anchorId="2536F327" wp14:editId="35C7A03E">
          <wp:simplePos x="0" y="0"/>
          <wp:positionH relativeFrom="page">
            <wp:align>left</wp:align>
          </wp:positionH>
          <wp:positionV relativeFrom="paragraph">
            <wp:posOffset>-445135</wp:posOffset>
          </wp:positionV>
          <wp:extent cx="7560867" cy="10686873"/>
          <wp:effectExtent l="0" t="0" r="2540" b="635"/>
          <wp:wrapNone/>
          <wp:docPr id="528878645" name="Picture 5288786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867" cy="106868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1D86" w14:textId="33D785D4" w:rsidR="00DB432A" w:rsidRPr="00123095" w:rsidRDefault="0093507D" w:rsidP="00DB432A">
    <w:pPr>
      <w:pStyle w:val="Heading1"/>
      <w:spacing w:before="480" w:after="0"/>
      <w:rPr>
        <w:sz w:val="52"/>
        <w:szCs w:val="24"/>
      </w:rPr>
    </w:pPr>
    <w:r w:rsidRPr="00123095">
      <w:rPr>
        <w:noProof/>
        <w:sz w:val="44"/>
        <w:szCs w:val="20"/>
      </w:rPr>
      <w:drawing>
        <wp:anchor distT="0" distB="0" distL="114300" distR="114300" simplePos="0" relativeHeight="251712512" behindDoc="1" locked="0" layoutInCell="1" allowOverlap="1" wp14:anchorId="5E6C7223" wp14:editId="631CBA6F">
          <wp:simplePos x="0" y="0"/>
          <wp:positionH relativeFrom="page">
            <wp:align>left</wp:align>
          </wp:positionH>
          <wp:positionV relativeFrom="paragraph">
            <wp:posOffset>-358217</wp:posOffset>
          </wp:positionV>
          <wp:extent cx="7562850" cy="2058653"/>
          <wp:effectExtent l="0" t="0" r="0" b="0"/>
          <wp:wrapNone/>
          <wp:docPr id="46928719" name="Graphic 469287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5192" b="1"/>
                  <a:stretch/>
                </pic:blipFill>
                <pic:spPr bwMode="auto">
                  <a:xfrm>
                    <a:off x="0" y="0"/>
                    <a:ext cx="7562850" cy="20586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7D89">
      <w:rPr>
        <w:sz w:val="44"/>
        <w:szCs w:val="20"/>
      </w:rPr>
      <w:t>8</w:t>
    </w:r>
    <w:r w:rsidR="00DB432A" w:rsidRPr="00123095">
      <w:rPr>
        <w:sz w:val="44"/>
        <w:szCs w:val="20"/>
      </w:rPr>
      <w:t xml:space="preserve">. </w:t>
    </w:r>
    <w:r w:rsidR="00FB7D89">
      <w:rPr>
        <w:sz w:val="44"/>
        <w:szCs w:val="20"/>
      </w:rPr>
      <w:t>Future funding models</w:t>
    </w:r>
  </w:p>
  <w:p w14:paraId="37CD6A1B" w14:textId="77777777" w:rsidR="00DB432A" w:rsidRDefault="00DB432A" w:rsidP="00DB432A">
    <w:pPr>
      <w:pStyle w:val="Header"/>
    </w:pPr>
  </w:p>
  <w:p w14:paraId="3494BEB2" w14:textId="77777777" w:rsidR="009D7A62" w:rsidRDefault="009D7A62" w:rsidP="00DB432A">
    <w:pPr>
      <w:pStyle w:val="Header"/>
    </w:pPr>
  </w:p>
  <w:p w14:paraId="29930785" w14:textId="77777777" w:rsidR="00823A1D" w:rsidRPr="00BE47B6" w:rsidRDefault="00823A1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9C1A" w14:textId="4A4C342F" w:rsidR="00823A1D" w:rsidRPr="00BE47B6" w:rsidRDefault="00823A1D">
    <w:pPr>
      <w:pStyle w:val="Header"/>
    </w:pPr>
    <w:r>
      <w:rPr>
        <w:noProof/>
      </w:rPr>
      <w:drawing>
        <wp:anchor distT="0" distB="0" distL="114300" distR="114300" simplePos="0" relativeHeight="251706368" behindDoc="1" locked="0" layoutInCell="1" allowOverlap="1" wp14:anchorId="2E1F8AF5" wp14:editId="687AD6D9">
          <wp:simplePos x="0" y="0"/>
          <wp:positionH relativeFrom="page">
            <wp:align>left</wp:align>
          </wp:positionH>
          <wp:positionV relativeFrom="paragraph">
            <wp:posOffset>-445135</wp:posOffset>
          </wp:positionV>
          <wp:extent cx="7560867" cy="10686873"/>
          <wp:effectExtent l="0" t="0" r="2540" b="635"/>
          <wp:wrapNone/>
          <wp:docPr id="1655288482" name="Picture 16552884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867" cy="106868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6774" w14:textId="4D6264A2" w:rsidR="00055E75" w:rsidRPr="0050611A" w:rsidRDefault="00055E75" w:rsidP="0050611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E0FE" w14:textId="43DA3DE3" w:rsidR="00B414FC" w:rsidRDefault="0093507D" w:rsidP="00B414FC">
    <w:pPr>
      <w:pStyle w:val="Heading1"/>
      <w:spacing w:before="480" w:after="0"/>
      <w:rPr>
        <w:sz w:val="44"/>
        <w:szCs w:val="20"/>
      </w:rPr>
    </w:pPr>
    <w:r>
      <w:rPr>
        <w:noProof/>
        <w:sz w:val="44"/>
        <w:szCs w:val="20"/>
      </w:rPr>
      <w:drawing>
        <wp:anchor distT="0" distB="0" distL="114300" distR="114300" simplePos="0" relativeHeight="251785216" behindDoc="1" locked="0" layoutInCell="1" allowOverlap="1" wp14:anchorId="0E73EF84" wp14:editId="7BC31177">
          <wp:simplePos x="0" y="0"/>
          <wp:positionH relativeFrom="page">
            <wp:align>left</wp:align>
          </wp:positionH>
          <wp:positionV relativeFrom="paragraph">
            <wp:posOffset>-290195</wp:posOffset>
          </wp:positionV>
          <wp:extent cx="7647761" cy="2080260"/>
          <wp:effectExtent l="0" t="0" r="0" b="0"/>
          <wp:wrapNone/>
          <wp:docPr id="12607539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5394" name="Graphic 126075394"/>
                  <pic:cNvPicPr/>
                </pic:nvPicPr>
                <pic:blipFill>
                  <a:blip r:embed="rId1">
                    <a:extLst>
                      <a:ext uri="{96DAC541-7B7A-43D3-8B79-37D633B846F1}">
                        <asvg:svgBlip xmlns:asvg="http://schemas.microsoft.com/office/drawing/2016/SVG/main" r:embed="rId2"/>
                      </a:ext>
                    </a:extLst>
                  </a:blip>
                  <a:stretch>
                    <a:fillRect/>
                  </a:stretch>
                </pic:blipFill>
                <pic:spPr>
                  <a:xfrm>
                    <a:off x="0" y="0"/>
                    <a:ext cx="7647761" cy="2080260"/>
                  </a:xfrm>
                  <a:prstGeom prst="rect">
                    <a:avLst/>
                  </a:prstGeom>
                </pic:spPr>
              </pic:pic>
            </a:graphicData>
          </a:graphic>
          <wp14:sizeRelH relativeFrom="margin">
            <wp14:pctWidth>0</wp14:pctWidth>
          </wp14:sizeRelH>
          <wp14:sizeRelV relativeFrom="margin">
            <wp14:pctHeight>0</wp14:pctHeight>
          </wp14:sizeRelV>
        </wp:anchor>
      </w:drawing>
    </w:r>
    <w:r w:rsidR="00B414FC">
      <w:rPr>
        <w:sz w:val="44"/>
        <w:szCs w:val="20"/>
      </w:rPr>
      <w:t>9. Pricing and funding for safety and quality</w:t>
    </w:r>
  </w:p>
  <w:p w14:paraId="2367438B" w14:textId="77777777" w:rsidR="0093507D" w:rsidRDefault="0093507D" w:rsidP="0093507D"/>
  <w:p w14:paraId="77229A8C" w14:textId="77777777" w:rsidR="0093507D" w:rsidRPr="0093507D" w:rsidRDefault="0093507D" w:rsidP="009350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FBB9" w14:textId="6EDE406F" w:rsidR="00AD46EA" w:rsidRPr="00123095" w:rsidRDefault="00275972" w:rsidP="00AD46EA">
    <w:pPr>
      <w:pStyle w:val="Heading1"/>
      <w:spacing w:before="480" w:after="0"/>
      <w:rPr>
        <w:sz w:val="52"/>
        <w:szCs w:val="24"/>
      </w:rPr>
    </w:pPr>
    <w:r w:rsidRPr="00123095">
      <w:rPr>
        <w:noProof/>
        <w:sz w:val="44"/>
        <w:szCs w:val="20"/>
      </w:rPr>
      <w:drawing>
        <wp:anchor distT="0" distB="0" distL="114300" distR="114300" simplePos="0" relativeHeight="251728896" behindDoc="1" locked="0" layoutInCell="1" allowOverlap="1" wp14:anchorId="334435DC" wp14:editId="5F5ACDFF">
          <wp:simplePos x="0" y="0"/>
          <wp:positionH relativeFrom="page">
            <wp:posOffset>9525</wp:posOffset>
          </wp:positionH>
          <wp:positionV relativeFrom="paragraph">
            <wp:posOffset>-352425</wp:posOffset>
          </wp:positionV>
          <wp:extent cx="7562850" cy="1870466"/>
          <wp:effectExtent l="0" t="0" r="0" b="0"/>
          <wp:wrapNone/>
          <wp:docPr id="1642040087" name="Graphic 16420400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4396" r="-30"/>
                  <a:stretch/>
                </pic:blipFill>
                <pic:spPr bwMode="auto">
                  <a:xfrm>
                    <a:off x="0" y="0"/>
                    <a:ext cx="7562850" cy="18704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3A1A">
      <w:rPr>
        <w:sz w:val="44"/>
        <w:szCs w:val="20"/>
      </w:rPr>
      <w:t>1</w:t>
    </w:r>
    <w:r w:rsidR="00805A17">
      <w:rPr>
        <w:sz w:val="44"/>
        <w:szCs w:val="20"/>
      </w:rPr>
      <w:t xml:space="preserve">. </w:t>
    </w:r>
    <w:r w:rsidR="00DB3A1A">
      <w:rPr>
        <w:sz w:val="44"/>
        <w:szCs w:val="20"/>
      </w:rPr>
      <w:t>Introduction</w:t>
    </w:r>
  </w:p>
  <w:p w14:paraId="72D5D8E9" w14:textId="77777777" w:rsidR="005B4D93" w:rsidRDefault="005B4D93">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6D77" w14:textId="09387A3F" w:rsidR="00502A09" w:rsidRDefault="00BE47B6" w:rsidP="00114CB2">
    <w:pPr>
      <w:pStyle w:val="Header"/>
      <w:tabs>
        <w:tab w:val="clear" w:pos="4680"/>
        <w:tab w:val="clear" w:pos="9360"/>
        <w:tab w:val="left" w:pos="5490"/>
      </w:tabs>
    </w:pPr>
    <w:r w:rsidRPr="00114CB2">
      <w:rPr>
        <w:noProof/>
        <w:color w:val="FFFFFF" w:themeColor="background2"/>
      </w:rPr>
      <w:drawing>
        <wp:anchor distT="0" distB="0" distL="114300" distR="114300" simplePos="0" relativeHeight="251669504" behindDoc="1" locked="0" layoutInCell="1" allowOverlap="1" wp14:anchorId="62A677ED" wp14:editId="3FB8B859">
          <wp:simplePos x="0" y="0"/>
          <wp:positionH relativeFrom="page">
            <wp:align>left</wp:align>
          </wp:positionH>
          <wp:positionV relativeFrom="paragraph">
            <wp:posOffset>-445135</wp:posOffset>
          </wp:positionV>
          <wp:extent cx="7568131" cy="10699668"/>
          <wp:effectExtent l="0" t="0" r="0" b="6985"/>
          <wp:wrapNone/>
          <wp:docPr id="106" name="Picture 106" descr="A blue and green lines on a dar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A blue and green lines on a dar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131" cy="106996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CB2">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EFFD" w14:textId="787AA798" w:rsidR="00493FE8" w:rsidRDefault="00493F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3C4D" w14:textId="28BB012C" w:rsidR="00BE47B6" w:rsidRPr="00BE47B6" w:rsidRDefault="00BE47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A5E3" w14:textId="3479656D" w:rsidR="00D41A80" w:rsidRPr="00BE47B6" w:rsidRDefault="00D41A80">
    <w:pPr>
      <w:pStyle w:val="Header"/>
    </w:pPr>
    <w:r>
      <w:rPr>
        <w:noProof/>
      </w:rPr>
      <w:drawing>
        <wp:anchor distT="0" distB="0" distL="114300" distR="114300" simplePos="0" relativeHeight="251675648" behindDoc="1" locked="0" layoutInCell="1" allowOverlap="1" wp14:anchorId="6CA5933A" wp14:editId="3034E0D1">
          <wp:simplePos x="0" y="0"/>
          <wp:positionH relativeFrom="page">
            <wp:align>right</wp:align>
          </wp:positionH>
          <wp:positionV relativeFrom="paragraph">
            <wp:posOffset>-355600</wp:posOffset>
          </wp:positionV>
          <wp:extent cx="7560867" cy="10686873"/>
          <wp:effectExtent l="0" t="0" r="2540" b="635"/>
          <wp:wrapNone/>
          <wp:docPr id="1606238717" name="Picture 16062387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867" cy="106868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51AE" w14:textId="23CAB292" w:rsidR="00993B60" w:rsidRPr="00BE47B6" w:rsidRDefault="00993B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775F" w14:textId="744186BC" w:rsidR="00993B60" w:rsidRPr="00BE47B6" w:rsidRDefault="00993B60">
    <w:pPr>
      <w:pStyle w:val="Header"/>
    </w:pPr>
    <w:r>
      <w:rPr>
        <w:noProof/>
      </w:rPr>
      <w:drawing>
        <wp:anchor distT="0" distB="0" distL="114300" distR="114300" simplePos="0" relativeHeight="251689984" behindDoc="1" locked="0" layoutInCell="1" allowOverlap="1" wp14:anchorId="0B460DAF" wp14:editId="10DABD81">
          <wp:simplePos x="0" y="0"/>
          <wp:positionH relativeFrom="page">
            <wp:align>right</wp:align>
          </wp:positionH>
          <wp:positionV relativeFrom="paragraph">
            <wp:posOffset>-355600</wp:posOffset>
          </wp:positionV>
          <wp:extent cx="7560867" cy="10686873"/>
          <wp:effectExtent l="0" t="0" r="2540" b="635"/>
          <wp:wrapNone/>
          <wp:docPr id="654411136" name="Picture 654411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867" cy="106868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4BFC" w14:textId="78439C1C" w:rsidR="00823A1D" w:rsidRPr="00BE47B6" w:rsidRDefault="00823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5CF"/>
    <w:multiLevelType w:val="hybridMultilevel"/>
    <w:tmpl w:val="03EA8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F4D23"/>
    <w:multiLevelType w:val="hybridMultilevel"/>
    <w:tmpl w:val="0DDC1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A40C1"/>
    <w:multiLevelType w:val="hybridMultilevel"/>
    <w:tmpl w:val="ECC62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54872"/>
    <w:multiLevelType w:val="hybridMultilevel"/>
    <w:tmpl w:val="217C14D4"/>
    <w:lvl w:ilvl="0" w:tplc="50C4F78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132EBF"/>
    <w:multiLevelType w:val="multilevel"/>
    <w:tmpl w:val="3626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F04E4F"/>
    <w:multiLevelType w:val="hybridMultilevel"/>
    <w:tmpl w:val="E48A1B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90276D"/>
    <w:multiLevelType w:val="multilevel"/>
    <w:tmpl w:val="8A58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9A0B06"/>
    <w:multiLevelType w:val="hybridMultilevel"/>
    <w:tmpl w:val="299A5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96010"/>
    <w:multiLevelType w:val="hybridMultilevel"/>
    <w:tmpl w:val="39AA9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F22D8B"/>
    <w:multiLevelType w:val="hybridMultilevel"/>
    <w:tmpl w:val="D576B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C17084"/>
    <w:multiLevelType w:val="hybridMultilevel"/>
    <w:tmpl w:val="ABDED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B14B92"/>
    <w:multiLevelType w:val="hybridMultilevel"/>
    <w:tmpl w:val="EC4E1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722D4B"/>
    <w:multiLevelType w:val="hybridMultilevel"/>
    <w:tmpl w:val="BA9A3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D8267A"/>
    <w:multiLevelType w:val="hybridMultilevel"/>
    <w:tmpl w:val="C644D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A84DE0"/>
    <w:multiLevelType w:val="hybridMultilevel"/>
    <w:tmpl w:val="BC36E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4030E6"/>
    <w:multiLevelType w:val="hybridMultilevel"/>
    <w:tmpl w:val="2E803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C94416"/>
    <w:multiLevelType w:val="multilevel"/>
    <w:tmpl w:val="827E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EF43B5"/>
    <w:multiLevelType w:val="multilevel"/>
    <w:tmpl w:val="8F56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596868"/>
    <w:multiLevelType w:val="hybridMultilevel"/>
    <w:tmpl w:val="4A1EED88"/>
    <w:lvl w:ilvl="0" w:tplc="F92CB48C">
      <w:start w:val="1"/>
      <w:numFmt w:val="bullet"/>
      <w:lvlText w:val=""/>
      <w:lvlJc w:val="left"/>
      <w:pPr>
        <w:ind w:left="1020" w:hanging="360"/>
      </w:pPr>
      <w:rPr>
        <w:rFonts w:ascii="Symbol" w:hAnsi="Symbol"/>
      </w:rPr>
    </w:lvl>
    <w:lvl w:ilvl="1" w:tplc="FADA4834">
      <w:start w:val="1"/>
      <w:numFmt w:val="bullet"/>
      <w:lvlText w:val=""/>
      <w:lvlJc w:val="left"/>
      <w:pPr>
        <w:ind w:left="1020" w:hanging="360"/>
      </w:pPr>
      <w:rPr>
        <w:rFonts w:ascii="Symbol" w:hAnsi="Symbol"/>
      </w:rPr>
    </w:lvl>
    <w:lvl w:ilvl="2" w:tplc="55A86B70">
      <w:start w:val="1"/>
      <w:numFmt w:val="bullet"/>
      <w:lvlText w:val=""/>
      <w:lvlJc w:val="left"/>
      <w:pPr>
        <w:ind w:left="1020" w:hanging="360"/>
      </w:pPr>
      <w:rPr>
        <w:rFonts w:ascii="Symbol" w:hAnsi="Symbol"/>
      </w:rPr>
    </w:lvl>
    <w:lvl w:ilvl="3" w:tplc="148490A0">
      <w:start w:val="1"/>
      <w:numFmt w:val="bullet"/>
      <w:lvlText w:val=""/>
      <w:lvlJc w:val="left"/>
      <w:pPr>
        <w:ind w:left="1020" w:hanging="360"/>
      </w:pPr>
      <w:rPr>
        <w:rFonts w:ascii="Symbol" w:hAnsi="Symbol"/>
      </w:rPr>
    </w:lvl>
    <w:lvl w:ilvl="4" w:tplc="F326A72A">
      <w:start w:val="1"/>
      <w:numFmt w:val="bullet"/>
      <w:lvlText w:val=""/>
      <w:lvlJc w:val="left"/>
      <w:pPr>
        <w:ind w:left="1020" w:hanging="360"/>
      </w:pPr>
      <w:rPr>
        <w:rFonts w:ascii="Symbol" w:hAnsi="Symbol"/>
      </w:rPr>
    </w:lvl>
    <w:lvl w:ilvl="5" w:tplc="A0B01F92">
      <w:start w:val="1"/>
      <w:numFmt w:val="bullet"/>
      <w:lvlText w:val=""/>
      <w:lvlJc w:val="left"/>
      <w:pPr>
        <w:ind w:left="1020" w:hanging="360"/>
      </w:pPr>
      <w:rPr>
        <w:rFonts w:ascii="Symbol" w:hAnsi="Symbol"/>
      </w:rPr>
    </w:lvl>
    <w:lvl w:ilvl="6" w:tplc="8D6E2B74">
      <w:start w:val="1"/>
      <w:numFmt w:val="bullet"/>
      <w:lvlText w:val=""/>
      <w:lvlJc w:val="left"/>
      <w:pPr>
        <w:ind w:left="1020" w:hanging="360"/>
      </w:pPr>
      <w:rPr>
        <w:rFonts w:ascii="Symbol" w:hAnsi="Symbol"/>
      </w:rPr>
    </w:lvl>
    <w:lvl w:ilvl="7" w:tplc="4AD061E6">
      <w:start w:val="1"/>
      <w:numFmt w:val="bullet"/>
      <w:lvlText w:val=""/>
      <w:lvlJc w:val="left"/>
      <w:pPr>
        <w:ind w:left="1020" w:hanging="360"/>
      </w:pPr>
      <w:rPr>
        <w:rFonts w:ascii="Symbol" w:hAnsi="Symbol"/>
      </w:rPr>
    </w:lvl>
    <w:lvl w:ilvl="8" w:tplc="4F7EE712">
      <w:start w:val="1"/>
      <w:numFmt w:val="bullet"/>
      <w:lvlText w:val=""/>
      <w:lvlJc w:val="left"/>
      <w:pPr>
        <w:ind w:left="1020" w:hanging="360"/>
      </w:pPr>
      <w:rPr>
        <w:rFonts w:ascii="Symbol" w:hAnsi="Symbol"/>
      </w:rPr>
    </w:lvl>
  </w:abstractNum>
  <w:abstractNum w:abstractNumId="19" w15:restartNumberingAfterBreak="0">
    <w:nsid w:val="406643E0"/>
    <w:multiLevelType w:val="hybridMultilevel"/>
    <w:tmpl w:val="32203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494996"/>
    <w:multiLevelType w:val="multilevel"/>
    <w:tmpl w:val="6260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4506F2"/>
    <w:multiLevelType w:val="multilevel"/>
    <w:tmpl w:val="4A84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E212A7"/>
    <w:multiLevelType w:val="hybridMultilevel"/>
    <w:tmpl w:val="F758A8C0"/>
    <w:lvl w:ilvl="0" w:tplc="72B4D3B2">
      <w:numFmt w:val="bullet"/>
      <w:pStyle w:val="Bullets"/>
      <w:lvlText w:val="•"/>
      <w:lvlJc w:val="left"/>
      <w:pPr>
        <w:ind w:left="3131" w:hanging="720"/>
      </w:pPr>
      <w:rPr>
        <w:rFonts w:ascii="Arial" w:eastAsiaTheme="minorHAnsi" w:hAnsi="Arial" w:cs="Arial" w:hint="default"/>
      </w:rPr>
    </w:lvl>
    <w:lvl w:ilvl="1" w:tplc="110694E2">
      <w:start w:val="1"/>
      <w:numFmt w:val="bullet"/>
      <w:pStyle w:val="BulletL2"/>
      <w:lvlText w:val="o"/>
      <w:lvlJc w:val="left"/>
      <w:pPr>
        <w:ind w:left="2121" w:hanging="360"/>
      </w:pPr>
      <w:rPr>
        <w:rFonts w:ascii="Courier New" w:hAnsi="Courier New" w:cs="Courier New" w:hint="default"/>
      </w:rPr>
    </w:lvl>
    <w:lvl w:ilvl="2" w:tplc="34090005" w:tentative="1">
      <w:start w:val="1"/>
      <w:numFmt w:val="bullet"/>
      <w:lvlText w:val=""/>
      <w:lvlJc w:val="left"/>
      <w:pPr>
        <w:ind w:left="2841" w:hanging="360"/>
      </w:pPr>
      <w:rPr>
        <w:rFonts w:ascii="Wingdings" w:hAnsi="Wingdings" w:hint="default"/>
      </w:rPr>
    </w:lvl>
    <w:lvl w:ilvl="3" w:tplc="34090001" w:tentative="1">
      <w:start w:val="1"/>
      <w:numFmt w:val="bullet"/>
      <w:lvlText w:val=""/>
      <w:lvlJc w:val="left"/>
      <w:pPr>
        <w:ind w:left="3561" w:hanging="360"/>
      </w:pPr>
      <w:rPr>
        <w:rFonts w:ascii="Symbol" w:hAnsi="Symbol" w:hint="default"/>
      </w:rPr>
    </w:lvl>
    <w:lvl w:ilvl="4" w:tplc="34090003" w:tentative="1">
      <w:start w:val="1"/>
      <w:numFmt w:val="bullet"/>
      <w:lvlText w:val="o"/>
      <w:lvlJc w:val="left"/>
      <w:pPr>
        <w:ind w:left="4281" w:hanging="360"/>
      </w:pPr>
      <w:rPr>
        <w:rFonts w:ascii="Courier New" w:hAnsi="Courier New" w:cs="Courier New" w:hint="default"/>
      </w:rPr>
    </w:lvl>
    <w:lvl w:ilvl="5" w:tplc="34090005" w:tentative="1">
      <w:start w:val="1"/>
      <w:numFmt w:val="bullet"/>
      <w:lvlText w:val=""/>
      <w:lvlJc w:val="left"/>
      <w:pPr>
        <w:ind w:left="5001" w:hanging="360"/>
      </w:pPr>
      <w:rPr>
        <w:rFonts w:ascii="Wingdings" w:hAnsi="Wingdings" w:hint="default"/>
      </w:rPr>
    </w:lvl>
    <w:lvl w:ilvl="6" w:tplc="34090001" w:tentative="1">
      <w:start w:val="1"/>
      <w:numFmt w:val="bullet"/>
      <w:lvlText w:val=""/>
      <w:lvlJc w:val="left"/>
      <w:pPr>
        <w:ind w:left="5721" w:hanging="360"/>
      </w:pPr>
      <w:rPr>
        <w:rFonts w:ascii="Symbol" w:hAnsi="Symbol" w:hint="default"/>
      </w:rPr>
    </w:lvl>
    <w:lvl w:ilvl="7" w:tplc="34090003" w:tentative="1">
      <w:start w:val="1"/>
      <w:numFmt w:val="bullet"/>
      <w:lvlText w:val="o"/>
      <w:lvlJc w:val="left"/>
      <w:pPr>
        <w:ind w:left="6441" w:hanging="360"/>
      </w:pPr>
      <w:rPr>
        <w:rFonts w:ascii="Courier New" w:hAnsi="Courier New" w:cs="Courier New" w:hint="default"/>
      </w:rPr>
    </w:lvl>
    <w:lvl w:ilvl="8" w:tplc="34090005" w:tentative="1">
      <w:start w:val="1"/>
      <w:numFmt w:val="bullet"/>
      <w:lvlText w:val=""/>
      <w:lvlJc w:val="left"/>
      <w:pPr>
        <w:ind w:left="7161" w:hanging="360"/>
      </w:pPr>
      <w:rPr>
        <w:rFonts w:ascii="Wingdings" w:hAnsi="Wingdings" w:hint="default"/>
      </w:rPr>
    </w:lvl>
  </w:abstractNum>
  <w:abstractNum w:abstractNumId="23" w15:restartNumberingAfterBreak="0">
    <w:nsid w:val="5E6A44D8"/>
    <w:multiLevelType w:val="multilevel"/>
    <w:tmpl w:val="86B0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10630C"/>
    <w:multiLevelType w:val="hybridMultilevel"/>
    <w:tmpl w:val="77B04070"/>
    <w:lvl w:ilvl="0" w:tplc="FFFFFFFF">
      <w:numFmt w:val="bullet"/>
      <w:lvlText w:val="–"/>
      <w:lvlJc w:val="left"/>
      <w:pPr>
        <w:ind w:left="720" w:hanging="720"/>
      </w:pPr>
      <w:rPr>
        <w:rFonts w:ascii="Fira Sans regular" w:eastAsiaTheme="minorHAnsi" w:hAnsi="Fira Sans regular" w:cstheme="minorBidi" w:hint="default"/>
      </w:rPr>
    </w:lvl>
    <w:lvl w:ilvl="1" w:tplc="7B109AAC">
      <w:start w:val="1"/>
      <w:numFmt w:val="bullet"/>
      <w:pStyle w:val="ListLeve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2895DE0"/>
    <w:multiLevelType w:val="multilevel"/>
    <w:tmpl w:val="6910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4513EA"/>
    <w:multiLevelType w:val="hybridMultilevel"/>
    <w:tmpl w:val="7BB2F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AE0346"/>
    <w:multiLevelType w:val="multilevel"/>
    <w:tmpl w:val="93E8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AA27B9"/>
    <w:multiLevelType w:val="hybridMultilevel"/>
    <w:tmpl w:val="1BE2340A"/>
    <w:lvl w:ilvl="0" w:tplc="FFFFFFFF">
      <w:numFmt w:val="bullet"/>
      <w:lvlText w:val="–"/>
      <w:lvlJc w:val="left"/>
      <w:pPr>
        <w:ind w:left="720" w:hanging="720"/>
      </w:pPr>
      <w:rPr>
        <w:rFonts w:ascii="Fira Sans regular" w:eastAsiaTheme="minorHAnsi" w:hAnsi="Fira Sans regular" w:cstheme="minorBidi" w:hint="default"/>
      </w:rPr>
    </w:lvl>
    <w:lvl w:ilvl="1" w:tplc="AFEEE5DC">
      <w:start w:val="1"/>
      <w:numFmt w:val="bullet"/>
      <w:pStyle w:val="ListLevel1"/>
      <w:lvlText w:val=""/>
      <w:lvlJc w:val="left"/>
      <w:pPr>
        <w:ind w:left="1080" w:hanging="360"/>
      </w:pPr>
      <w:rPr>
        <w:rFonts w:ascii="Symbol" w:hAnsi="Symbol"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8E55F91"/>
    <w:multiLevelType w:val="hybridMultilevel"/>
    <w:tmpl w:val="2FAAD6C4"/>
    <w:lvl w:ilvl="0" w:tplc="E01EA39E">
      <w:start w:val="1"/>
      <w:numFmt w:val="bullet"/>
      <w:lvlText w:val=""/>
      <w:lvlJc w:val="left"/>
      <w:pPr>
        <w:ind w:left="1020" w:hanging="360"/>
      </w:pPr>
      <w:rPr>
        <w:rFonts w:ascii="Symbol" w:hAnsi="Symbol"/>
      </w:rPr>
    </w:lvl>
    <w:lvl w:ilvl="1" w:tplc="629C7962">
      <w:start w:val="1"/>
      <w:numFmt w:val="bullet"/>
      <w:lvlText w:val=""/>
      <w:lvlJc w:val="left"/>
      <w:pPr>
        <w:ind w:left="1020" w:hanging="360"/>
      </w:pPr>
      <w:rPr>
        <w:rFonts w:ascii="Symbol" w:hAnsi="Symbol"/>
      </w:rPr>
    </w:lvl>
    <w:lvl w:ilvl="2" w:tplc="0456AC16">
      <w:start w:val="1"/>
      <w:numFmt w:val="bullet"/>
      <w:lvlText w:val=""/>
      <w:lvlJc w:val="left"/>
      <w:pPr>
        <w:ind w:left="1020" w:hanging="360"/>
      </w:pPr>
      <w:rPr>
        <w:rFonts w:ascii="Symbol" w:hAnsi="Symbol"/>
      </w:rPr>
    </w:lvl>
    <w:lvl w:ilvl="3" w:tplc="650E6A10">
      <w:start w:val="1"/>
      <w:numFmt w:val="bullet"/>
      <w:lvlText w:val=""/>
      <w:lvlJc w:val="left"/>
      <w:pPr>
        <w:ind w:left="1020" w:hanging="360"/>
      </w:pPr>
      <w:rPr>
        <w:rFonts w:ascii="Symbol" w:hAnsi="Symbol"/>
      </w:rPr>
    </w:lvl>
    <w:lvl w:ilvl="4" w:tplc="3ECEBC42">
      <w:start w:val="1"/>
      <w:numFmt w:val="bullet"/>
      <w:lvlText w:val=""/>
      <w:lvlJc w:val="left"/>
      <w:pPr>
        <w:ind w:left="1020" w:hanging="360"/>
      </w:pPr>
      <w:rPr>
        <w:rFonts w:ascii="Symbol" w:hAnsi="Symbol"/>
      </w:rPr>
    </w:lvl>
    <w:lvl w:ilvl="5" w:tplc="C9A66858">
      <w:start w:val="1"/>
      <w:numFmt w:val="bullet"/>
      <w:lvlText w:val=""/>
      <w:lvlJc w:val="left"/>
      <w:pPr>
        <w:ind w:left="1020" w:hanging="360"/>
      </w:pPr>
      <w:rPr>
        <w:rFonts w:ascii="Symbol" w:hAnsi="Symbol"/>
      </w:rPr>
    </w:lvl>
    <w:lvl w:ilvl="6" w:tplc="63866CA0">
      <w:start w:val="1"/>
      <w:numFmt w:val="bullet"/>
      <w:lvlText w:val=""/>
      <w:lvlJc w:val="left"/>
      <w:pPr>
        <w:ind w:left="1020" w:hanging="360"/>
      </w:pPr>
      <w:rPr>
        <w:rFonts w:ascii="Symbol" w:hAnsi="Symbol"/>
      </w:rPr>
    </w:lvl>
    <w:lvl w:ilvl="7" w:tplc="A6D60402">
      <w:start w:val="1"/>
      <w:numFmt w:val="bullet"/>
      <w:lvlText w:val=""/>
      <w:lvlJc w:val="left"/>
      <w:pPr>
        <w:ind w:left="1020" w:hanging="360"/>
      </w:pPr>
      <w:rPr>
        <w:rFonts w:ascii="Symbol" w:hAnsi="Symbol"/>
      </w:rPr>
    </w:lvl>
    <w:lvl w:ilvl="8" w:tplc="377AD188">
      <w:start w:val="1"/>
      <w:numFmt w:val="bullet"/>
      <w:lvlText w:val=""/>
      <w:lvlJc w:val="left"/>
      <w:pPr>
        <w:ind w:left="1020" w:hanging="360"/>
      </w:pPr>
      <w:rPr>
        <w:rFonts w:ascii="Symbol" w:hAnsi="Symbol"/>
      </w:rPr>
    </w:lvl>
  </w:abstractNum>
  <w:abstractNum w:abstractNumId="30" w15:restartNumberingAfterBreak="0">
    <w:nsid w:val="6ABF7B2D"/>
    <w:multiLevelType w:val="hybridMultilevel"/>
    <w:tmpl w:val="8166B200"/>
    <w:lvl w:ilvl="0" w:tplc="1C6A92D2">
      <w:start w:val="1"/>
      <w:numFmt w:val="bullet"/>
      <w:lvlText w:val=""/>
      <w:lvlJc w:val="left"/>
      <w:pPr>
        <w:ind w:left="1020" w:hanging="360"/>
      </w:pPr>
      <w:rPr>
        <w:rFonts w:ascii="Symbol" w:hAnsi="Symbol"/>
      </w:rPr>
    </w:lvl>
    <w:lvl w:ilvl="1" w:tplc="F558B7D0">
      <w:start w:val="1"/>
      <w:numFmt w:val="bullet"/>
      <w:lvlText w:val=""/>
      <w:lvlJc w:val="left"/>
      <w:pPr>
        <w:ind w:left="1020" w:hanging="360"/>
      </w:pPr>
      <w:rPr>
        <w:rFonts w:ascii="Symbol" w:hAnsi="Symbol"/>
      </w:rPr>
    </w:lvl>
    <w:lvl w:ilvl="2" w:tplc="260267F8">
      <w:start w:val="1"/>
      <w:numFmt w:val="bullet"/>
      <w:lvlText w:val=""/>
      <w:lvlJc w:val="left"/>
      <w:pPr>
        <w:ind w:left="1020" w:hanging="360"/>
      </w:pPr>
      <w:rPr>
        <w:rFonts w:ascii="Symbol" w:hAnsi="Symbol"/>
      </w:rPr>
    </w:lvl>
    <w:lvl w:ilvl="3" w:tplc="ED94CEA8">
      <w:start w:val="1"/>
      <w:numFmt w:val="bullet"/>
      <w:lvlText w:val=""/>
      <w:lvlJc w:val="left"/>
      <w:pPr>
        <w:ind w:left="1020" w:hanging="360"/>
      </w:pPr>
      <w:rPr>
        <w:rFonts w:ascii="Symbol" w:hAnsi="Symbol"/>
      </w:rPr>
    </w:lvl>
    <w:lvl w:ilvl="4" w:tplc="A5E00C9C">
      <w:start w:val="1"/>
      <w:numFmt w:val="bullet"/>
      <w:lvlText w:val=""/>
      <w:lvlJc w:val="left"/>
      <w:pPr>
        <w:ind w:left="1020" w:hanging="360"/>
      </w:pPr>
      <w:rPr>
        <w:rFonts w:ascii="Symbol" w:hAnsi="Symbol"/>
      </w:rPr>
    </w:lvl>
    <w:lvl w:ilvl="5" w:tplc="F9C80A4C">
      <w:start w:val="1"/>
      <w:numFmt w:val="bullet"/>
      <w:lvlText w:val=""/>
      <w:lvlJc w:val="left"/>
      <w:pPr>
        <w:ind w:left="1020" w:hanging="360"/>
      </w:pPr>
      <w:rPr>
        <w:rFonts w:ascii="Symbol" w:hAnsi="Symbol"/>
      </w:rPr>
    </w:lvl>
    <w:lvl w:ilvl="6" w:tplc="55AAEE18">
      <w:start w:val="1"/>
      <w:numFmt w:val="bullet"/>
      <w:lvlText w:val=""/>
      <w:lvlJc w:val="left"/>
      <w:pPr>
        <w:ind w:left="1020" w:hanging="360"/>
      </w:pPr>
      <w:rPr>
        <w:rFonts w:ascii="Symbol" w:hAnsi="Symbol"/>
      </w:rPr>
    </w:lvl>
    <w:lvl w:ilvl="7" w:tplc="CBC261A8">
      <w:start w:val="1"/>
      <w:numFmt w:val="bullet"/>
      <w:lvlText w:val=""/>
      <w:lvlJc w:val="left"/>
      <w:pPr>
        <w:ind w:left="1020" w:hanging="360"/>
      </w:pPr>
      <w:rPr>
        <w:rFonts w:ascii="Symbol" w:hAnsi="Symbol"/>
      </w:rPr>
    </w:lvl>
    <w:lvl w:ilvl="8" w:tplc="E8ACB80A">
      <w:start w:val="1"/>
      <w:numFmt w:val="bullet"/>
      <w:lvlText w:val=""/>
      <w:lvlJc w:val="left"/>
      <w:pPr>
        <w:ind w:left="1020" w:hanging="360"/>
      </w:pPr>
      <w:rPr>
        <w:rFonts w:ascii="Symbol" w:hAnsi="Symbol"/>
      </w:rPr>
    </w:lvl>
  </w:abstractNum>
  <w:abstractNum w:abstractNumId="31" w15:restartNumberingAfterBreak="0">
    <w:nsid w:val="6E3F3E85"/>
    <w:multiLevelType w:val="multilevel"/>
    <w:tmpl w:val="6366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D40A69"/>
    <w:multiLevelType w:val="hybridMultilevel"/>
    <w:tmpl w:val="27B22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673099"/>
    <w:multiLevelType w:val="hybridMultilevel"/>
    <w:tmpl w:val="51D6D01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4" w15:restartNumberingAfterBreak="0">
    <w:nsid w:val="7E9A1EE4"/>
    <w:multiLevelType w:val="hybridMultilevel"/>
    <w:tmpl w:val="74F2D0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F2F0356"/>
    <w:multiLevelType w:val="hybridMultilevel"/>
    <w:tmpl w:val="3272B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8014712">
    <w:abstractNumId w:val="28"/>
  </w:num>
  <w:num w:numId="2" w16cid:durableId="305819475">
    <w:abstractNumId w:val="24"/>
  </w:num>
  <w:num w:numId="3" w16cid:durableId="754594017">
    <w:abstractNumId w:val="22"/>
  </w:num>
  <w:num w:numId="4" w16cid:durableId="371997983">
    <w:abstractNumId w:val="0"/>
  </w:num>
  <w:num w:numId="5" w16cid:durableId="691805889">
    <w:abstractNumId w:val="35"/>
  </w:num>
  <w:num w:numId="6" w16cid:durableId="940138101">
    <w:abstractNumId w:val="1"/>
  </w:num>
  <w:num w:numId="7" w16cid:durableId="1215696643">
    <w:abstractNumId w:val="14"/>
  </w:num>
  <w:num w:numId="8" w16cid:durableId="1409570417">
    <w:abstractNumId w:val="3"/>
  </w:num>
  <w:num w:numId="9" w16cid:durableId="1132749963">
    <w:abstractNumId w:val="5"/>
  </w:num>
  <w:num w:numId="10" w16cid:durableId="2042782047">
    <w:abstractNumId w:val="19"/>
  </w:num>
  <w:num w:numId="11" w16cid:durableId="2047439763">
    <w:abstractNumId w:val="10"/>
  </w:num>
  <w:num w:numId="12" w16cid:durableId="1989284124">
    <w:abstractNumId w:val="11"/>
  </w:num>
  <w:num w:numId="13" w16cid:durableId="495269741">
    <w:abstractNumId w:val="12"/>
  </w:num>
  <w:num w:numId="14" w16cid:durableId="1462730463">
    <w:abstractNumId w:val="9"/>
  </w:num>
  <w:num w:numId="15" w16cid:durableId="1145975251">
    <w:abstractNumId w:val="15"/>
  </w:num>
  <w:num w:numId="16" w16cid:durableId="1461530373">
    <w:abstractNumId w:val="2"/>
  </w:num>
  <w:num w:numId="17" w16cid:durableId="1865241272">
    <w:abstractNumId w:val="8"/>
  </w:num>
  <w:num w:numId="18" w16cid:durableId="1053428075">
    <w:abstractNumId w:val="7"/>
  </w:num>
  <w:num w:numId="19" w16cid:durableId="719786300">
    <w:abstractNumId w:val="26"/>
  </w:num>
  <w:num w:numId="20" w16cid:durableId="1665814567">
    <w:abstractNumId w:val="6"/>
  </w:num>
  <w:num w:numId="21" w16cid:durableId="549195769">
    <w:abstractNumId w:val="17"/>
  </w:num>
  <w:num w:numId="22" w16cid:durableId="1372725451">
    <w:abstractNumId w:val="27"/>
  </w:num>
  <w:num w:numId="23" w16cid:durableId="46297178">
    <w:abstractNumId w:val="23"/>
  </w:num>
  <w:num w:numId="24" w16cid:durableId="513349724">
    <w:abstractNumId w:val="20"/>
  </w:num>
  <w:num w:numId="25" w16cid:durableId="197932470">
    <w:abstractNumId w:val="16"/>
  </w:num>
  <w:num w:numId="26" w16cid:durableId="1909028988">
    <w:abstractNumId w:val="4"/>
  </w:num>
  <w:num w:numId="27" w16cid:durableId="1730223710">
    <w:abstractNumId w:val="13"/>
  </w:num>
  <w:num w:numId="28" w16cid:durableId="963344208">
    <w:abstractNumId w:val="25"/>
  </w:num>
  <w:num w:numId="29" w16cid:durableId="818182833">
    <w:abstractNumId w:val="21"/>
  </w:num>
  <w:num w:numId="30" w16cid:durableId="1699577854">
    <w:abstractNumId w:val="31"/>
  </w:num>
  <w:num w:numId="31" w16cid:durableId="1141918365">
    <w:abstractNumId w:val="34"/>
  </w:num>
  <w:num w:numId="32" w16cid:durableId="1529836160">
    <w:abstractNumId w:val="32"/>
  </w:num>
  <w:num w:numId="33" w16cid:durableId="353000930">
    <w:abstractNumId w:val="33"/>
  </w:num>
  <w:num w:numId="34" w16cid:durableId="468980298">
    <w:abstractNumId w:val="18"/>
  </w:num>
  <w:num w:numId="35" w16cid:durableId="1848011916">
    <w:abstractNumId w:val="30"/>
  </w:num>
  <w:num w:numId="36" w16cid:durableId="1687173234">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3F"/>
    <w:rsid w:val="000002FF"/>
    <w:rsid w:val="00000477"/>
    <w:rsid w:val="000005C5"/>
    <w:rsid w:val="00000C47"/>
    <w:rsid w:val="00000C95"/>
    <w:rsid w:val="000012D5"/>
    <w:rsid w:val="00002DCC"/>
    <w:rsid w:val="00002DD0"/>
    <w:rsid w:val="00002F99"/>
    <w:rsid w:val="00003205"/>
    <w:rsid w:val="0000353B"/>
    <w:rsid w:val="0000396B"/>
    <w:rsid w:val="00003F71"/>
    <w:rsid w:val="000045B4"/>
    <w:rsid w:val="0000486B"/>
    <w:rsid w:val="0000493D"/>
    <w:rsid w:val="000049F7"/>
    <w:rsid w:val="00004B9B"/>
    <w:rsid w:val="000052AE"/>
    <w:rsid w:val="0000550F"/>
    <w:rsid w:val="00005614"/>
    <w:rsid w:val="00005884"/>
    <w:rsid w:val="00005B4E"/>
    <w:rsid w:val="00005EFC"/>
    <w:rsid w:val="0000607A"/>
    <w:rsid w:val="00006557"/>
    <w:rsid w:val="00006565"/>
    <w:rsid w:val="000067FB"/>
    <w:rsid w:val="00006835"/>
    <w:rsid w:val="00006952"/>
    <w:rsid w:val="00006A09"/>
    <w:rsid w:val="00007005"/>
    <w:rsid w:val="0000728E"/>
    <w:rsid w:val="0000766F"/>
    <w:rsid w:val="00007CB5"/>
    <w:rsid w:val="00007EAD"/>
    <w:rsid w:val="00010237"/>
    <w:rsid w:val="000108F7"/>
    <w:rsid w:val="00010DBE"/>
    <w:rsid w:val="00011092"/>
    <w:rsid w:val="00011889"/>
    <w:rsid w:val="00011AD0"/>
    <w:rsid w:val="000123A1"/>
    <w:rsid w:val="00012575"/>
    <w:rsid w:val="000129A4"/>
    <w:rsid w:val="00012AED"/>
    <w:rsid w:val="00012EF1"/>
    <w:rsid w:val="00013382"/>
    <w:rsid w:val="00013393"/>
    <w:rsid w:val="000134D8"/>
    <w:rsid w:val="000142B8"/>
    <w:rsid w:val="00014352"/>
    <w:rsid w:val="00014CAA"/>
    <w:rsid w:val="00014F35"/>
    <w:rsid w:val="00014FE9"/>
    <w:rsid w:val="000157F5"/>
    <w:rsid w:val="000158F2"/>
    <w:rsid w:val="00015986"/>
    <w:rsid w:val="00016A96"/>
    <w:rsid w:val="00016D77"/>
    <w:rsid w:val="00017106"/>
    <w:rsid w:val="000171B2"/>
    <w:rsid w:val="00017436"/>
    <w:rsid w:val="00017476"/>
    <w:rsid w:val="000175BE"/>
    <w:rsid w:val="00020765"/>
    <w:rsid w:val="000212D7"/>
    <w:rsid w:val="00022C89"/>
    <w:rsid w:val="000234B8"/>
    <w:rsid w:val="00023E55"/>
    <w:rsid w:val="00023E71"/>
    <w:rsid w:val="00023F70"/>
    <w:rsid w:val="000244A3"/>
    <w:rsid w:val="000247AD"/>
    <w:rsid w:val="00024BF3"/>
    <w:rsid w:val="00025133"/>
    <w:rsid w:val="000258DA"/>
    <w:rsid w:val="00025D6E"/>
    <w:rsid w:val="00025F14"/>
    <w:rsid w:val="0002635A"/>
    <w:rsid w:val="00026419"/>
    <w:rsid w:val="00026606"/>
    <w:rsid w:val="00026696"/>
    <w:rsid w:val="0002751C"/>
    <w:rsid w:val="000279D7"/>
    <w:rsid w:val="00030088"/>
    <w:rsid w:val="000306BF"/>
    <w:rsid w:val="00030D6C"/>
    <w:rsid w:val="0003128B"/>
    <w:rsid w:val="00031450"/>
    <w:rsid w:val="000314AF"/>
    <w:rsid w:val="00031FBE"/>
    <w:rsid w:val="000322EE"/>
    <w:rsid w:val="00033308"/>
    <w:rsid w:val="00033410"/>
    <w:rsid w:val="000335F8"/>
    <w:rsid w:val="0003396A"/>
    <w:rsid w:val="00034001"/>
    <w:rsid w:val="00034159"/>
    <w:rsid w:val="000341F3"/>
    <w:rsid w:val="00034550"/>
    <w:rsid w:val="000346A3"/>
    <w:rsid w:val="00035283"/>
    <w:rsid w:val="000359EB"/>
    <w:rsid w:val="00036A90"/>
    <w:rsid w:val="00036F34"/>
    <w:rsid w:val="00036F85"/>
    <w:rsid w:val="00037BE1"/>
    <w:rsid w:val="000402F9"/>
    <w:rsid w:val="00040659"/>
    <w:rsid w:val="00040667"/>
    <w:rsid w:val="0004091D"/>
    <w:rsid w:val="000409BB"/>
    <w:rsid w:val="000409E4"/>
    <w:rsid w:val="000409F5"/>
    <w:rsid w:val="00040AB1"/>
    <w:rsid w:val="00040B61"/>
    <w:rsid w:val="00040BED"/>
    <w:rsid w:val="00040D06"/>
    <w:rsid w:val="00040EEB"/>
    <w:rsid w:val="00040F25"/>
    <w:rsid w:val="00040FC5"/>
    <w:rsid w:val="00041243"/>
    <w:rsid w:val="000418BD"/>
    <w:rsid w:val="000418C4"/>
    <w:rsid w:val="00041AC0"/>
    <w:rsid w:val="00041B6E"/>
    <w:rsid w:val="0004222F"/>
    <w:rsid w:val="00042339"/>
    <w:rsid w:val="000430B7"/>
    <w:rsid w:val="00043771"/>
    <w:rsid w:val="00043857"/>
    <w:rsid w:val="00043A92"/>
    <w:rsid w:val="00043ACD"/>
    <w:rsid w:val="00043B92"/>
    <w:rsid w:val="00044C1A"/>
    <w:rsid w:val="00044C7C"/>
    <w:rsid w:val="00044EA4"/>
    <w:rsid w:val="00044F41"/>
    <w:rsid w:val="0004528A"/>
    <w:rsid w:val="00045D92"/>
    <w:rsid w:val="00045E62"/>
    <w:rsid w:val="00045F0A"/>
    <w:rsid w:val="00045FEC"/>
    <w:rsid w:val="00046005"/>
    <w:rsid w:val="0004645D"/>
    <w:rsid w:val="00046470"/>
    <w:rsid w:val="00046BC6"/>
    <w:rsid w:val="00047177"/>
    <w:rsid w:val="00047369"/>
    <w:rsid w:val="00047886"/>
    <w:rsid w:val="00050BB3"/>
    <w:rsid w:val="00050C39"/>
    <w:rsid w:val="00051041"/>
    <w:rsid w:val="000514C2"/>
    <w:rsid w:val="00051D3F"/>
    <w:rsid w:val="00051F28"/>
    <w:rsid w:val="00052329"/>
    <w:rsid w:val="00052BE8"/>
    <w:rsid w:val="00052D5D"/>
    <w:rsid w:val="000535D8"/>
    <w:rsid w:val="000536FA"/>
    <w:rsid w:val="00053DE3"/>
    <w:rsid w:val="00053EAD"/>
    <w:rsid w:val="0005404E"/>
    <w:rsid w:val="00054CF9"/>
    <w:rsid w:val="00054D10"/>
    <w:rsid w:val="00054EE4"/>
    <w:rsid w:val="000552BC"/>
    <w:rsid w:val="000554E5"/>
    <w:rsid w:val="00055E75"/>
    <w:rsid w:val="00056399"/>
    <w:rsid w:val="000563E7"/>
    <w:rsid w:val="00056550"/>
    <w:rsid w:val="00056577"/>
    <w:rsid w:val="0005676D"/>
    <w:rsid w:val="00056A67"/>
    <w:rsid w:val="00056AC9"/>
    <w:rsid w:val="00056BA2"/>
    <w:rsid w:val="000574C4"/>
    <w:rsid w:val="000578D5"/>
    <w:rsid w:val="00057C50"/>
    <w:rsid w:val="00057D65"/>
    <w:rsid w:val="00057EBB"/>
    <w:rsid w:val="000601F2"/>
    <w:rsid w:val="00060E29"/>
    <w:rsid w:val="00061123"/>
    <w:rsid w:val="00061649"/>
    <w:rsid w:val="00061CF3"/>
    <w:rsid w:val="00061E49"/>
    <w:rsid w:val="000624C9"/>
    <w:rsid w:val="0006255F"/>
    <w:rsid w:val="00062BBA"/>
    <w:rsid w:val="00062E2C"/>
    <w:rsid w:val="00063824"/>
    <w:rsid w:val="00063DA5"/>
    <w:rsid w:val="00063F76"/>
    <w:rsid w:val="00064351"/>
    <w:rsid w:val="00064789"/>
    <w:rsid w:val="00064E6A"/>
    <w:rsid w:val="000657D6"/>
    <w:rsid w:val="000658AF"/>
    <w:rsid w:val="00065F09"/>
    <w:rsid w:val="0006620D"/>
    <w:rsid w:val="000663F3"/>
    <w:rsid w:val="000667B3"/>
    <w:rsid w:val="00066B17"/>
    <w:rsid w:val="000671C9"/>
    <w:rsid w:val="0006740D"/>
    <w:rsid w:val="000677BD"/>
    <w:rsid w:val="00067D69"/>
    <w:rsid w:val="00067E3F"/>
    <w:rsid w:val="000706E1"/>
    <w:rsid w:val="0007080C"/>
    <w:rsid w:val="00070D3C"/>
    <w:rsid w:val="00070E82"/>
    <w:rsid w:val="00071502"/>
    <w:rsid w:val="00071531"/>
    <w:rsid w:val="000720ED"/>
    <w:rsid w:val="0007215D"/>
    <w:rsid w:val="00072859"/>
    <w:rsid w:val="00072C42"/>
    <w:rsid w:val="00073F06"/>
    <w:rsid w:val="00074091"/>
    <w:rsid w:val="000740D0"/>
    <w:rsid w:val="000746A6"/>
    <w:rsid w:val="000746EC"/>
    <w:rsid w:val="00074A20"/>
    <w:rsid w:val="00074B33"/>
    <w:rsid w:val="00074B6C"/>
    <w:rsid w:val="00075263"/>
    <w:rsid w:val="000757CF"/>
    <w:rsid w:val="00075882"/>
    <w:rsid w:val="00075AFE"/>
    <w:rsid w:val="00076085"/>
    <w:rsid w:val="0007650C"/>
    <w:rsid w:val="00076618"/>
    <w:rsid w:val="00076DDD"/>
    <w:rsid w:val="00076DDE"/>
    <w:rsid w:val="0007721B"/>
    <w:rsid w:val="000777C5"/>
    <w:rsid w:val="0007797B"/>
    <w:rsid w:val="00077CF5"/>
    <w:rsid w:val="0008006D"/>
    <w:rsid w:val="00080372"/>
    <w:rsid w:val="000808C8"/>
    <w:rsid w:val="00080D02"/>
    <w:rsid w:val="0008150D"/>
    <w:rsid w:val="00081875"/>
    <w:rsid w:val="00081D11"/>
    <w:rsid w:val="00081F1C"/>
    <w:rsid w:val="00082566"/>
    <w:rsid w:val="000828FF"/>
    <w:rsid w:val="00082FE3"/>
    <w:rsid w:val="00083630"/>
    <w:rsid w:val="000843C0"/>
    <w:rsid w:val="000843D6"/>
    <w:rsid w:val="00084C78"/>
    <w:rsid w:val="000854A7"/>
    <w:rsid w:val="00085B3D"/>
    <w:rsid w:val="00085E83"/>
    <w:rsid w:val="00086E3D"/>
    <w:rsid w:val="00087264"/>
    <w:rsid w:val="0008741D"/>
    <w:rsid w:val="000902B8"/>
    <w:rsid w:val="00090376"/>
    <w:rsid w:val="000906DC"/>
    <w:rsid w:val="00090D34"/>
    <w:rsid w:val="00090E7F"/>
    <w:rsid w:val="00090E9E"/>
    <w:rsid w:val="00091020"/>
    <w:rsid w:val="000910F3"/>
    <w:rsid w:val="000911A4"/>
    <w:rsid w:val="00091554"/>
    <w:rsid w:val="000916C7"/>
    <w:rsid w:val="00091884"/>
    <w:rsid w:val="000918DD"/>
    <w:rsid w:val="000921B6"/>
    <w:rsid w:val="00092E6E"/>
    <w:rsid w:val="00093629"/>
    <w:rsid w:val="000937E1"/>
    <w:rsid w:val="00093B17"/>
    <w:rsid w:val="00093DC6"/>
    <w:rsid w:val="00094517"/>
    <w:rsid w:val="00094F78"/>
    <w:rsid w:val="00095329"/>
    <w:rsid w:val="000953D6"/>
    <w:rsid w:val="00095624"/>
    <w:rsid w:val="000956CD"/>
    <w:rsid w:val="0009580D"/>
    <w:rsid w:val="00095CEC"/>
    <w:rsid w:val="00096469"/>
    <w:rsid w:val="00096736"/>
    <w:rsid w:val="00096970"/>
    <w:rsid w:val="000975E0"/>
    <w:rsid w:val="00097613"/>
    <w:rsid w:val="000979A3"/>
    <w:rsid w:val="00097D2D"/>
    <w:rsid w:val="000A1754"/>
    <w:rsid w:val="000A1964"/>
    <w:rsid w:val="000A1990"/>
    <w:rsid w:val="000A1A08"/>
    <w:rsid w:val="000A2403"/>
    <w:rsid w:val="000A24C7"/>
    <w:rsid w:val="000A2691"/>
    <w:rsid w:val="000A2A64"/>
    <w:rsid w:val="000A2BC3"/>
    <w:rsid w:val="000A33DC"/>
    <w:rsid w:val="000A3556"/>
    <w:rsid w:val="000A3D84"/>
    <w:rsid w:val="000A40D1"/>
    <w:rsid w:val="000A4161"/>
    <w:rsid w:val="000A448E"/>
    <w:rsid w:val="000A451A"/>
    <w:rsid w:val="000A46CD"/>
    <w:rsid w:val="000A4BEA"/>
    <w:rsid w:val="000A4C7C"/>
    <w:rsid w:val="000A51F8"/>
    <w:rsid w:val="000A59FD"/>
    <w:rsid w:val="000A633C"/>
    <w:rsid w:val="000A6479"/>
    <w:rsid w:val="000A64B5"/>
    <w:rsid w:val="000A64E6"/>
    <w:rsid w:val="000A6A11"/>
    <w:rsid w:val="000A716C"/>
    <w:rsid w:val="000A79C8"/>
    <w:rsid w:val="000A7A85"/>
    <w:rsid w:val="000A7B51"/>
    <w:rsid w:val="000B08F8"/>
    <w:rsid w:val="000B0BC0"/>
    <w:rsid w:val="000B0E12"/>
    <w:rsid w:val="000B0F0E"/>
    <w:rsid w:val="000B13BA"/>
    <w:rsid w:val="000B173F"/>
    <w:rsid w:val="000B176C"/>
    <w:rsid w:val="000B194E"/>
    <w:rsid w:val="000B2125"/>
    <w:rsid w:val="000B259F"/>
    <w:rsid w:val="000B26D5"/>
    <w:rsid w:val="000B29D4"/>
    <w:rsid w:val="000B36B3"/>
    <w:rsid w:val="000B38A1"/>
    <w:rsid w:val="000B40D7"/>
    <w:rsid w:val="000B40DE"/>
    <w:rsid w:val="000B4206"/>
    <w:rsid w:val="000B46D9"/>
    <w:rsid w:val="000B4AB3"/>
    <w:rsid w:val="000B4AEF"/>
    <w:rsid w:val="000B4CC6"/>
    <w:rsid w:val="000B4F9E"/>
    <w:rsid w:val="000B5066"/>
    <w:rsid w:val="000B5583"/>
    <w:rsid w:val="000B5951"/>
    <w:rsid w:val="000B5BAC"/>
    <w:rsid w:val="000B5FAE"/>
    <w:rsid w:val="000B662B"/>
    <w:rsid w:val="000B6D16"/>
    <w:rsid w:val="000B7680"/>
    <w:rsid w:val="000C01F9"/>
    <w:rsid w:val="000C03CE"/>
    <w:rsid w:val="000C0942"/>
    <w:rsid w:val="000C0F0F"/>
    <w:rsid w:val="000C11B6"/>
    <w:rsid w:val="000C139B"/>
    <w:rsid w:val="000C1B16"/>
    <w:rsid w:val="000C1FB2"/>
    <w:rsid w:val="000C23E9"/>
    <w:rsid w:val="000C269A"/>
    <w:rsid w:val="000C27DF"/>
    <w:rsid w:val="000C2A29"/>
    <w:rsid w:val="000C2AAF"/>
    <w:rsid w:val="000C3372"/>
    <w:rsid w:val="000C37FD"/>
    <w:rsid w:val="000C39D8"/>
    <w:rsid w:val="000C3B48"/>
    <w:rsid w:val="000C3EF3"/>
    <w:rsid w:val="000C4B8A"/>
    <w:rsid w:val="000C4C95"/>
    <w:rsid w:val="000C4F26"/>
    <w:rsid w:val="000C5106"/>
    <w:rsid w:val="000C52A4"/>
    <w:rsid w:val="000C5706"/>
    <w:rsid w:val="000C5859"/>
    <w:rsid w:val="000C58C2"/>
    <w:rsid w:val="000C7364"/>
    <w:rsid w:val="000C762E"/>
    <w:rsid w:val="000C7CE6"/>
    <w:rsid w:val="000C7EE6"/>
    <w:rsid w:val="000D0AF5"/>
    <w:rsid w:val="000D169A"/>
    <w:rsid w:val="000D1D55"/>
    <w:rsid w:val="000D294D"/>
    <w:rsid w:val="000D2CDE"/>
    <w:rsid w:val="000D30BD"/>
    <w:rsid w:val="000D325B"/>
    <w:rsid w:val="000D3278"/>
    <w:rsid w:val="000D330A"/>
    <w:rsid w:val="000D33A8"/>
    <w:rsid w:val="000D34BC"/>
    <w:rsid w:val="000D3A3A"/>
    <w:rsid w:val="000D3FBD"/>
    <w:rsid w:val="000D4517"/>
    <w:rsid w:val="000D4E2D"/>
    <w:rsid w:val="000D4F4C"/>
    <w:rsid w:val="000D4FB0"/>
    <w:rsid w:val="000D53CD"/>
    <w:rsid w:val="000D53D9"/>
    <w:rsid w:val="000D55DC"/>
    <w:rsid w:val="000D5ABE"/>
    <w:rsid w:val="000D5CE8"/>
    <w:rsid w:val="000D6960"/>
    <w:rsid w:val="000D6C57"/>
    <w:rsid w:val="000D7225"/>
    <w:rsid w:val="000D72AA"/>
    <w:rsid w:val="000D74B7"/>
    <w:rsid w:val="000D787A"/>
    <w:rsid w:val="000E021D"/>
    <w:rsid w:val="000E02CF"/>
    <w:rsid w:val="000E05B8"/>
    <w:rsid w:val="000E0739"/>
    <w:rsid w:val="000E1150"/>
    <w:rsid w:val="000E1193"/>
    <w:rsid w:val="000E150C"/>
    <w:rsid w:val="000E1524"/>
    <w:rsid w:val="000E18DB"/>
    <w:rsid w:val="000E1BB2"/>
    <w:rsid w:val="000E204C"/>
    <w:rsid w:val="000E20AE"/>
    <w:rsid w:val="000E21DA"/>
    <w:rsid w:val="000E27AF"/>
    <w:rsid w:val="000E280C"/>
    <w:rsid w:val="000E2CF3"/>
    <w:rsid w:val="000E3EE2"/>
    <w:rsid w:val="000E477D"/>
    <w:rsid w:val="000E49A4"/>
    <w:rsid w:val="000E4E36"/>
    <w:rsid w:val="000E5087"/>
    <w:rsid w:val="000E6765"/>
    <w:rsid w:val="000E6AEA"/>
    <w:rsid w:val="000E6BEF"/>
    <w:rsid w:val="000E70F8"/>
    <w:rsid w:val="000E75C6"/>
    <w:rsid w:val="000E7B86"/>
    <w:rsid w:val="000E7D55"/>
    <w:rsid w:val="000F07FA"/>
    <w:rsid w:val="000F0863"/>
    <w:rsid w:val="000F125B"/>
    <w:rsid w:val="000F141D"/>
    <w:rsid w:val="000F145B"/>
    <w:rsid w:val="000F2438"/>
    <w:rsid w:val="000F24C2"/>
    <w:rsid w:val="000F3067"/>
    <w:rsid w:val="000F3DB4"/>
    <w:rsid w:val="000F4323"/>
    <w:rsid w:val="000F4441"/>
    <w:rsid w:val="000F54AE"/>
    <w:rsid w:val="000F62E6"/>
    <w:rsid w:val="000F62EF"/>
    <w:rsid w:val="000F6D81"/>
    <w:rsid w:val="000F6F11"/>
    <w:rsid w:val="000F73E9"/>
    <w:rsid w:val="000F7D59"/>
    <w:rsid w:val="000F7E1F"/>
    <w:rsid w:val="001009AB"/>
    <w:rsid w:val="00100E1B"/>
    <w:rsid w:val="00101540"/>
    <w:rsid w:val="0010183A"/>
    <w:rsid w:val="00101E92"/>
    <w:rsid w:val="00102135"/>
    <w:rsid w:val="00102ACE"/>
    <w:rsid w:val="00102CA8"/>
    <w:rsid w:val="00102E4E"/>
    <w:rsid w:val="00102FFC"/>
    <w:rsid w:val="0010359A"/>
    <w:rsid w:val="001035A0"/>
    <w:rsid w:val="00103870"/>
    <w:rsid w:val="00103A84"/>
    <w:rsid w:val="00103C7C"/>
    <w:rsid w:val="0010472C"/>
    <w:rsid w:val="00104C69"/>
    <w:rsid w:val="00104CB6"/>
    <w:rsid w:val="00105050"/>
    <w:rsid w:val="00105054"/>
    <w:rsid w:val="001054C9"/>
    <w:rsid w:val="0010556D"/>
    <w:rsid w:val="0010565E"/>
    <w:rsid w:val="00105893"/>
    <w:rsid w:val="00105C7C"/>
    <w:rsid w:val="00105E86"/>
    <w:rsid w:val="0010600C"/>
    <w:rsid w:val="001061B8"/>
    <w:rsid w:val="00106DE4"/>
    <w:rsid w:val="00106F64"/>
    <w:rsid w:val="0010713A"/>
    <w:rsid w:val="00107752"/>
    <w:rsid w:val="00107BB7"/>
    <w:rsid w:val="00107D9E"/>
    <w:rsid w:val="00107F78"/>
    <w:rsid w:val="00110412"/>
    <w:rsid w:val="0011046D"/>
    <w:rsid w:val="001106A6"/>
    <w:rsid w:val="001106C7"/>
    <w:rsid w:val="00110764"/>
    <w:rsid w:val="00110E33"/>
    <w:rsid w:val="001116FE"/>
    <w:rsid w:val="00112041"/>
    <w:rsid w:val="001127F0"/>
    <w:rsid w:val="00112C92"/>
    <w:rsid w:val="00112DC5"/>
    <w:rsid w:val="00113AE4"/>
    <w:rsid w:val="00113E1B"/>
    <w:rsid w:val="00114225"/>
    <w:rsid w:val="00114298"/>
    <w:rsid w:val="00114886"/>
    <w:rsid w:val="00114CB2"/>
    <w:rsid w:val="001155F7"/>
    <w:rsid w:val="00115614"/>
    <w:rsid w:val="00115712"/>
    <w:rsid w:val="00115A39"/>
    <w:rsid w:val="00115E0D"/>
    <w:rsid w:val="00115EB1"/>
    <w:rsid w:val="00116B9E"/>
    <w:rsid w:val="0011772D"/>
    <w:rsid w:val="001177B5"/>
    <w:rsid w:val="00117F4F"/>
    <w:rsid w:val="00120000"/>
    <w:rsid w:val="00120AA0"/>
    <w:rsid w:val="0012157E"/>
    <w:rsid w:val="0012162C"/>
    <w:rsid w:val="001218F9"/>
    <w:rsid w:val="00121AB9"/>
    <w:rsid w:val="00121C0A"/>
    <w:rsid w:val="00121CC0"/>
    <w:rsid w:val="00122552"/>
    <w:rsid w:val="001227A1"/>
    <w:rsid w:val="001229D7"/>
    <w:rsid w:val="00122DF8"/>
    <w:rsid w:val="00122F27"/>
    <w:rsid w:val="00123095"/>
    <w:rsid w:val="00123BE3"/>
    <w:rsid w:val="00123C1E"/>
    <w:rsid w:val="001249B8"/>
    <w:rsid w:val="0012528E"/>
    <w:rsid w:val="001257D5"/>
    <w:rsid w:val="00125948"/>
    <w:rsid w:val="00125970"/>
    <w:rsid w:val="00125FC2"/>
    <w:rsid w:val="001260EC"/>
    <w:rsid w:val="0012622F"/>
    <w:rsid w:val="0012628C"/>
    <w:rsid w:val="00126791"/>
    <w:rsid w:val="0012730F"/>
    <w:rsid w:val="00127C15"/>
    <w:rsid w:val="00127EF2"/>
    <w:rsid w:val="00130902"/>
    <w:rsid w:val="00130B59"/>
    <w:rsid w:val="00131D58"/>
    <w:rsid w:val="001325CE"/>
    <w:rsid w:val="00132ACC"/>
    <w:rsid w:val="001330D9"/>
    <w:rsid w:val="00133603"/>
    <w:rsid w:val="00133A9D"/>
    <w:rsid w:val="00134256"/>
    <w:rsid w:val="001346C6"/>
    <w:rsid w:val="001349F4"/>
    <w:rsid w:val="00134C46"/>
    <w:rsid w:val="00135098"/>
    <w:rsid w:val="0013552B"/>
    <w:rsid w:val="00136235"/>
    <w:rsid w:val="00136266"/>
    <w:rsid w:val="00136CE7"/>
    <w:rsid w:val="001371B3"/>
    <w:rsid w:val="00137236"/>
    <w:rsid w:val="001402D3"/>
    <w:rsid w:val="00140485"/>
    <w:rsid w:val="00140581"/>
    <w:rsid w:val="00140758"/>
    <w:rsid w:val="00140EFF"/>
    <w:rsid w:val="00140FD7"/>
    <w:rsid w:val="00141044"/>
    <w:rsid w:val="001410FB"/>
    <w:rsid w:val="0014151D"/>
    <w:rsid w:val="001416E4"/>
    <w:rsid w:val="001420C2"/>
    <w:rsid w:val="001421EE"/>
    <w:rsid w:val="00142264"/>
    <w:rsid w:val="0014251C"/>
    <w:rsid w:val="00142533"/>
    <w:rsid w:val="0014302B"/>
    <w:rsid w:val="00143717"/>
    <w:rsid w:val="00143718"/>
    <w:rsid w:val="001439B6"/>
    <w:rsid w:val="00143B4F"/>
    <w:rsid w:val="00143B63"/>
    <w:rsid w:val="001442A9"/>
    <w:rsid w:val="001444CE"/>
    <w:rsid w:val="00144C7F"/>
    <w:rsid w:val="001455E9"/>
    <w:rsid w:val="00145666"/>
    <w:rsid w:val="00145809"/>
    <w:rsid w:val="001458F8"/>
    <w:rsid w:val="00145922"/>
    <w:rsid w:val="00145929"/>
    <w:rsid w:val="00146068"/>
    <w:rsid w:val="0014656E"/>
    <w:rsid w:val="00146A02"/>
    <w:rsid w:val="00146C98"/>
    <w:rsid w:val="00146DC8"/>
    <w:rsid w:val="00147165"/>
    <w:rsid w:val="0014796A"/>
    <w:rsid w:val="00151083"/>
    <w:rsid w:val="001514B1"/>
    <w:rsid w:val="00151991"/>
    <w:rsid w:val="00151AD3"/>
    <w:rsid w:val="00151DAD"/>
    <w:rsid w:val="00152022"/>
    <w:rsid w:val="001520F6"/>
    <w:rsid w:val="00152136"/>
    <w:rsid w:val="0015267F"/>
    <w:rsid w:val="00152BB0"/>
    <w:rsid w:val="0015316E"/>
    <w:rsid w:val="001534D3"/>
    <w:rsid w:val="001539EB"/>
    <w:rsid w:val="00153BD5"/>
    <w:rsid w:val="0015407D"/>
    <w:rsid w:val="00154304"/>
    <w:rsid w:val="00154D17"/>
    <w:rsid w:val="001563A1"/>
    <w:rsid w:val="0015695F"/>
    <w:rsid w:val="00156A59"/>
    <w:rsid w:val="00156EB3"/>
    <w:rsid w:val="00156FF5"/>
    <w:rsid w:val="00157AED"/>
    <w:rsid w:val="00160648"/>
    <w:rsid w:val="00160C77"/>
    <w:rsid w:val="00160FD7"/>
    <w:rsid w:val="00161013"/>
    <w:rsid w:val="00161110"/>
    <w:rsid w:val="00161161"/>
    <w:rsid w:val="00161977"/>
    <w:rsid w:val="00161FFD"/>
    <w:rsid w:val="00162F94"/>
    <w:rsid w:val="001634F8"/>
    <w:rsid w:val="00163E02"/>
    <w:rsid w:val="00163F37"/>
    <w:rsid w:val="001644E5"/>
    <w:rsid w:val="00164FC3"/>
    <w:rsid w:val="001650A8"/>
    <w:rsid w:val="001655E4"/>
    <w:rsid w:val="00165889"/>
    <w:rsid w:val="00165ACC"/>
    <w:rsid w:val="00165C7D"/>
    <w:rsid w:val="00165D3D"/>
    <w:rsid w:val="00166534"/>
    <w:rsid w:val="00166737"/>
    <w:rsid w:val="001668C9"/>
    <w:rsid w:val="00166DC2"/>
    <w:rsid w:val="00167021"/>
    <w:rsid w:val="001679F0"/>
    <w:rsid w:val="00167C4C"/>
    <w:rsid w:val="00167E05"/>
    <w:rsid w:val="00167EC3"/>
    <w:rsid w:val="00170253"/>
    <w:rsid w:val="0017029D"/>
    <w:rsid w:val="0017043D"/>
    <w:rsid w:val="001704A2"/>
    <w:rsid w:val="00170AFC"/>
    <w:rsid w:val="00170B42"/>
    <w:rsid w:val="001716E9"/>
    <w:rsid w:val="0017194C"/>
    <w:rsid w:val="00171A05"/>
    <w:rsid w:val="00171F2D"/>
    <w:rsid w:val="00172754"/>
    <w:rsid w:val="00172CEC"/>
    <w:rsid w:val="00172D8F"/>
    <w:rsid w:val="00172D94"/>
    <w:rsid w:val="001730AE"/>
    <w:rsid w:val="0017335B"/>
    <w:rsid w:val="001738A5"/>
    <w:rsid w:val="001740DC"/>
    <w:rsid w:val="001742B5"/>
    <w:rsid w:val="001742CF"/>
    <w:rsid w:val="001744C1"/>
    <w:rsid w:val="001744EA"/>
    <w:rsid w:val="00174665"/>
    <w:rsid w:val="00174DBC"/>
    <w:rsid w:val="00175042"/>
    <w:rsid w:val="001754C5"/>
    <w:rsid w:val="00175A9B"/>
    <w:rsid w:val="00176B63"/>
    <w:rsid w:val="00176D5C"/>
    <w:rsid w:val="00176E7A"/>
    <w:rsid w:val="00176FF5"/>
    <w:rsid w:val="001773FD"/>
    <w:rsid w:val="001777F0"/>
    <w:rsid w:val="00177B62"/>
    <w:rsid w:val="00180607"/>
    <w:rsid w:val="00180744"/>
    <w:rsid w:val="0018093F"/>
    <w:rsid w:val="00180B3F"/>
    <w:rsid w:val="00180D3F"/>
    <w:rsid w:val="00180DAB"/>
    <w:rsid w:val="0018156E"/>
    <w:rsid w:val="001815BD"/>
    <w:rsid w:val="001816DD"/>
    <w:rsid w:val="00181975"/>
    <w:rsid w:val="001819B1"/>
    <w:rsid w:val="001819E7"/>
    <w:rsid w:val="00181A7A"/>
    <w:rsid w:val="00181B48"/>
    <w:rsid w:val="0018260A"/>
    <w:rsid w:val="001829AA"/>
    <w:rsid w:val="00182D18"/>
    <w:rsid w:val="00182E85"/>
    <w:rsid w:val="00182F0A"/>
    <w:rsid w:val="00183021"/>
    <w:rsid w:val="00183678"/>
    <w:rsid w:val="00183F48"/>
    <w:rsid w:val="0018404A"/>
    <w:rsid w:val="001847F9"/>
    <w:rsid w:val="00184BB1"/>
    <w:rsid w:val="00185757"/>
    <w:rsid w:val="0018577C"/>
    <w:rsid w:val="001858E4"/>
    <w:rsid w:val="00185BD0"/>
    <w:rsid w:val="00186778"/>
    <w:rsid w:val="00186B5F"/>
    <w:rsid w:val="00186E5A"/>
    <w:rsid w:val="0018701F"/>
    <w:rsid w:val="0018719C"/>
    <w:rsid w:val="00187703"/>
    <w:rsid w:val="00187773"/>
    <w:rsid w:val="00187DB8"/>
    <w:rsid w:val="0019051A"/>
    <w:rsid w:val="0019067A"/>
    <w:rsid w:val="00190D13"/>
    <w:rsid w:val="00190D8D"/>
    <w:rsid w:val="00190E8D"/>
    <w:rsid w:val="00190F5A"/>
    <w:rsid w:val="00191048"/>
    <w:rsid w:val="00191541"/>
    <w:rsid w:val="00191D59"/>
    <w:rsid w:val="00191E6F"/>
    <w:rsid w:val="00191E71"/>
    <w:rsid w:val="00193064"/>
    <w:rsid w:val="0019322D"/>
    <w:rsid w:val="0019345E"/>
    <w:rsid w:val="00193464"/>
    <w:rsid w:val="0019391F"/>
    <w:rsid w:val="00193B42"/>
    <w:rsid w:val="00193B6A"/>
    <w:rsid w:val="00193F67"/>
    <w:rsid w:val="0019409E"/>
    <w:rsid w:val="00194481"/>
    <w:rsid w:val="0019463E"/>
    <w:rsid w:val="0019497E"/>
    <w:rsid w:val="00194B0D"/>
    <w:rsid w:val="00194B93"/>
    <w:rsid w:val="00195476"/>
    <w:rsid w:val="001956CE"/>
    <w:rsid w:val="0019581D"/>
    <w:rsid w:val="001959D6"/>
    <w:rsid w:val="00196463"/>
    <w:rsid w:val="001965B6"/>
    <w:rsid w:val="00196A5E"/>
    <w:rsid w:val="00196DC4"/>
    <w:rsid w:val="00196DFD"/>
    <w:rsid w:val="0019770C"/>
    <w:rsid w:val="00197807"/>
    <w:rsid w:val="001A01F7"/>
    <w:rsid w:val="001A0419"/>
    <w:rsid w:val="001A09F1"/>
    <w:rsid w:val="001A0F70"/>
    <w:rsid w:val="001A143A"/>
    <w:rsid w:val="001A1560"/>
    <w:rsid w:val="001A1A08"/>
    <w:rsid w:val="001A1AE7"/>
    <w:rsid w:val="001A1B28"/>
    <w:rsid w:val="001A1DF7"/>
    <w:rsid w:val="001A297A"/>
    <w:rsid w:val="001A36A8"/>
    <w:rsid w:val="001A39DD"/>
    <w:rsid w:val="001A3F7B"/>
    <w:rsid w:val="001A3FEB"/>
    <w:rsid w:val="001A4DB6"/>
    <w:rsid w:val="001A4E5B"/>
    <w:rsid w:val="001A54B5"/>
    <w:rsid w:val="001A5950"/>
    <w:rsid w:val="001A6773"/>
    <w:rsid w:val="001A6B1F"/>
    <w:rsid w:val="001A6F76"/>
    <w:rsid w:val="001A6FAC"/>
    <w:rsid w:val="001A7069"/>
    <w:rsid w:val="001A747E"/>
    <w:rsid w:val="001A77CE"/>
    <w:rsid w:val="001B058A"/>
    <w:rsid w:val="001B0BA7"/>
    <w:rsid w:val="001B0CD4"/>
    <w:rsid w:val="001B182F"/>
    <w:rsid w:val="001B1AA2"/>
    <w:rsid w:val="001B2057"/>
    <w:rsid w:val="001B23EC"/>
    <w:rsid w:val="001B29EE"/>
    <w:rsid w:val="001B2CB1"/>
    <w:rsid w:val="001B2EA8"/>
    <w:rsid w:val="001B3000"/>
    <w:rsid w:val="001B36C2"/>
    <w:rsid w:val="001B38AA"/>
    <w:rsid w:val="001B3A24"/>
    <w:rsid w:val="001B3BF1"/>
    <w:rsid w:val="001B412F"/>
    <w:rsid w:val="001B42C2"/>
    <w:rsid w:val="001B4CBA"/>
    <w:rsid w:val="001B52CA"/>
    <w:rsid w:val="001B5621"/>
    <w:rsid w:val="001B56C3"/>
    <w:rsid w:val="001B59A7"/>
    <w:rsid w:val="001B5A38"/>
    <w:rsid w:val="001B5F09"/>
    <w:rsid w:val="001B654E"/>
    <w:rsid w:val="001B6698"/>
    <w:rsid w:val="001B6770"/>
    <w:rsid w:val="001B6D02"/>
    <w:rsid w:val="001B6E3A"/>
    <w:rsid w:val="001B6E4F"/>
    <w:rsid w:val="001B6FD3"/>
    <w:rsid w:val="001B747A"/>
    <w:rsid w:val="001C0251"/>
    <w:rsid w:val="001C037B"/>
    <w:rsid w:val="001C075E"/>
    <w:rsid w:val="001C0961"/>
    <w:rsid w:val="001C0C6D"/>
    <w:rsid w:val="001C0C93"/>
    <w:rsid w:val="001C10FD"/>
    <w:rsid w:val="001C11FA"/>
    <w:rsid w:val="001C1472"/>
    <w:rsid w:val="001C1A42"/>
    <w:rsid w:val="001C25D7"/>
    <w:rsid w:val="001C34B3"/>
    <w:rsid w:val="001C3F87"/>
    <w:rsid w:val="001C40BA"/>
    <w:rsid w:val="001C415E"/>
    <w:rsid w:val="001C41E9"/>
    <w:rsid w:val="001C4273"/>
    <w:rsid w:val="001C43DE"/>
    <w:rsid w:val="001C4421"/>
    <w:rsid w:val="001C44C8"/>
    <w:rsid w:val="001C4AD5"/>
    <w:rsid w:val="001C4DAC"/>
    <w:rsid w:val="001C50D8"/>
    <w:rsid w:val="001C52C0"/>
    <w:rsid w:val="001C5884"/>
    <w:rsid w:val="001C5B4E"/>
    <w:rsid w:val="001C62F4"/>
    <w:rsid w:val="001C65FF"/>
    <w:rsid w:val="001C67EF"/>
    <w:rsid w:val="001C6815"/>
    <w:rsid w:val="001C6AAA"/>
    <w:rsid w:val="001C6B7F"/>
    <w:rsid w:val="001C7075"/>
    <w:rsid w:val="001C71D8"/>
    <w:rsid w:val="001C7489"/>
    <w:rsid w:val="001C7543"/>
    <w:rsid w:val="001C7CC5"/>
    <w:rsid w:val="001C7D91"/>
    <w:rsid w:val="001D02C9"/>
    <w:rsid w:val="001D0336"/>
    <w:rsid w:val="001D06DF"/>
    <w:rsid w:val="001D0B81"/>
    <w:rsid w:val="001D0C93"/>
    <w:rsid w:val="001D0F06"/>
    <w:rsid w:val="001D121A"/>
    <w:rsid w:val="001D153A"/>
    <w:rsid w:val="001D1709"/>
    <w:rsid w:val="001D17A9"/>
    <w:rsid w:val="001D1817"/>
    <w:rsid w:val="001D19B2"/>
    <w:rsid w:val="001D1B9D"/>
    <w:rsid w:val="001D1C48"/>
    <w:rsid w:val="001D1D02"/>
    <w:rsid w:val="001D1F9D"/>
    <w:rsid w:val="001D21A5"/>
    <w:rsid w:val="001D279C"/>
    <w:rsid w:val="001D27BD"/>
    <w:rsid w:val="001D30F3"/>
    <w:rsid w:val="001D43B1"/>
    <w:rsid w:val="001D4ACE"/>
    <w:rsid w:val="001D4C41"/>
    <w:rsid w:val="001D4F5E"/>
    <w:rsid w:val="001D50C7"/>
    <w:rsid w:val="001D5141"/>
    <w:rsid w:val="001D528E"/>
    <w:rsid w:val="001D53D9"/>
    <w:rsid w:val="001D5BBA"/>
    <w:rsid w:val="001D5DF5"/>
    <w:rsid w:val="001D6300"/>
    <w:rsid w:val="001D6333"/>
    <w:rsid w:val="001D6342"/>
    <w:rsid w:val="001D6381"/>
    <w:rsid w:val="001D63AE"/>
    <w:rsid w:val="001D6483"/>
    <w:rsid w:val="001D6660"/>
    <w:rsid w:val="001D6C23"/>
    <w:rsid w:val="001D6FFB"/>
    <w:rsid w:val="001D7EE8"/>
    <w:rsid w:val="001E0439"/>
    <w:rsid w:val="001E06E3"/>
    <w:rsid w:val="001E0F1C"/>
    <w:rsid w:val="001E28F6"/>
    <w:rsid w:val="001E3239"/>
    <w:rsid w:val="001E377F"/>
    <w:rsid w:val="001E3F88"/>
    <w:rsid w:val="001E429A"/>
    <w:rsid w:val="001E43E3"/>
    <w:rsid w:val="001E4A3F"/>
    <w:rsid w:val="001E4C2B"/>
    <w:rsid w:val="001E5462"/>
    <w:rsid w:val="001E594E"/>
    <w:rsid w:val="001E5951"/>
    <w:rsid w:val="001E5EEB"/>
    <w:rsid w:val="001E621D"/>
    <w:rsid w:val="001E63B3"/>
    <w:rsid w:val="001E6554"/>
    <w:rsid w:val="001E7164"/>
    <w:rsid w:val="001E7B41"/>
    <w:rsid w:val="001E7D9C"/>
    <w:rsid w:val="001E7E7C"/>
    <w:rsid w:val="001F0022"/>
    <w:rsid w:val="001F018A"/>
    <w:rsid w:val="001F0D15"/>
    <w:rsid w:val="001F0DB4"/>
    <w:rsid w:val="001F0F91"/>
    <w:rsid w:val="001F164D"/>
    <w:rsid w:val="001F1A20"/>
    <w:rsid w:val="001F1C70"/>
    <w:rsid w:val="001F2664"/>
    <w:rsid w:val="001F26B7"/>
    <w:rsid w:val="001F27B2"/>
    <w:rsid w:val="001F2D49"/>
    <w:rsid w:val="001F2F81"/>
    <w:rsid w:val="001F34B0"/>
    <w:rsid w:val="001F35BF"/>
    <w:rsid w:val="001F3745"/>
    <w:rsid w:val="001F3962"/>
    <w:rsid w:val="001F409E"/>
    <w:rsid w:val="001F4298"/>
    <w:rsid w:val="001F4410"/>
    <w:rsid w:val="001F4588"/>
    <w:rsid w:val="001F4C3B"/>
    <w:rsid w:val="001F4CE9"/>
    <w:rsid w:val="001F4EC1"/>
    <w:rsid w:val="001F56F6"/>
    <w:rsid w:val="001F5796"/>
    <w:rsid w:val="001F5B34"/>
    <w:rsid w:val="001F5B3D"/>
    <w:rsid w:val="001F6233"/>
    <w:rsid w:val="001F6656"/>
    <w:rsid w:val="001F66F2"/>
    <w:rsid w:val="001F6B8C"/>
    <w:rsid w:val="001F71EC"/>
    <w:rsid w:val="001F7265"/>
    <w:rsid w:val="001F7F4F"/>
    <w:rsid w:val="001F7FE0"/>
    <w:rsid w:val="00200B2A"/>
    <w:rsid w:val="00200F44"/>
    <w:rsid w:val="002015B2"/>
    <w:rsid w:val="00201BB4"/>
    <w:rsid w:val="0020207B"/>
    <w:rsid w:val="002023E0"/>
    <w:rsid w:val="002025DA"/>
    <w:rsid w:val="00202628"/>
    <w:rsid w:val="00202BB8"/>
    <w:rsid w:val="00202C6B"/>
    <w:rsid w:val="00202C98"/>
    <w:rsid w:val="00203227"/>
    <w:rsid w:val="002034A3"/>
    <w:rsid w:val="00203632"/>
    <w:rsid w:val="002038DA"/>
    <w:rsid w:val="00204436"/>
    <w:rsid w:val="002046FA"/>
    <w:rsid w:val="0020653D"/>
    <w:rsid w:val="00206989"/>
    <w:rsid w:val="00206E56"/>
    <w:rsid w:val="00206EC1"/>
    <w:rsid w:val="0020703B"/>
    <w:rsid w:val="002074A9"/>
    <w:rsid w:val="00207702"/>
    <w:rsid w:val="00207DD1"/>
    <w:rsid w:val="00207EE4"/>
    <w:rsid w:val="002100F4"/>
    <w:rsid w:val="0021033A"/>
    <w:rsid w:val="00210383"/>
    <w:rsid w:val="002104D9"/>
    <w:rsid w:val="002105CE"/>
    <w:rsid w:val="00210710"/>
    <w:rsid w:val="0021097C"/>
    <w:rsid w:val="00210A62"/>
    <w:rsid w:val="002110B6"/>
    <w:rsid w:val="00211A7D"/>
    <w:rsid w:val="00211B7E"/>
    <w:rsid w:val="00211BE9"/>
    <w:rsid w:val="00211EB3"/>
    <w:rsid w:val="002122DF"/>
    <w:rsid w:val="002125F3"/>
    <w:rsid w:val="0021322E"/>
    <w:rsid w:val="00213265"/>
    <w:rsid w:val="002136CD"/>
    <w:rsid w:val="002138CA"/>
    <w:rsid w:val="00213A63"/>
    <w:rsid w:val="00213EF3"/>
    <w:rsid w:val="0021434D"/>
    <w:rsid w:val="00214818"/>
    <w:rsid w:val="00214B79"/>
    <w:rsid w:val="00215070"/>
    <w:rsid w:val="00215436"/>
    <w:rsid w:val="0021555D"/>
    <w:rsid w:val="00216188"/>
    <w:rsid w:val="0021618A"/>
    <w:rsid w:val="00216215"/>
    <w:rsid w:val="002166A9"/>
    <w:rsid w:val="0021674E"/>
    <w:rsid w:val="00216C2C"/>
    <w:rsid w:val="002176D4"/>
    <w:rsid w:val="00217826"/>
    <w:rsid w:val="002179EB"/>
    <w:rsid w:val="0022072D"/>
    <w:rsid w:val="00220B89"/>
    <w:rsid w:val="00220F45"/>
    <w:rsid w:val="002214BD"/>
    <w:rsid w:val="00221AE6"/>
    <w:rsid w:val="00221FD4"/>
    <w:rsid w:val="00222917"/>
    <w:rsid w:val="00222BA0"/>
    <w:rsid w:val="00222E4F"/>
    <w:rsid w:val="00223285"/>
    <w:rsid w:val="0022391E"/>
    <w:rsid w:val="00223A01"/>
    <w:rsid w:val="00223BCF"/>
    <w:rsid w:val="00224016"/>
    <w:rsid w:val="002243BA"/>
    <w:rsid w:val="00224C9D"/>
    <w:rsid w:val="00225605"/>
    <w:rsid w:val="00225610"/>
    <w:rsid w:val="00225DC3"/>
    <w:rsid w:val="0022699F"/>
    <w:rsid w:val="00226C6C"/>
    <w:rsid w:val="0022758A"/>
    <w:rsid w:val="00227BCF"/>
    <w:rsid w:val="00227DE9"/>
    <w:rsid w:val="002301F9"/>
    <w:rsid w:val="0023025E"/>
    <w:rsid w:val="002303B9"/>
    <w:rsid w:val="00230426"/>
    <w:rsid w:val="00230443"/>
    <w:rsid w:val="00230A9A"/>
    <w:rsid w:val="00230DA7"/>
    <w:rsid w:val="00230F4E"/>
    <w:rsid w:val="0023173A"/>
    <w:rsid w:val="0023224F"/>
    <w:rsid w:val="002324E7"/>
    <w:rsid w:val="0023276C"/>
    <w:rsid w:val="00232A01"/>
    <w:rsid w:val="002336E3"/>
    <w:rsid w:val="00233D00"/>
    <w:rsid w:val="00233D23"/>
    <w:rsid w:val="00234479"/>
    <w:rsid w:val="0023462C"/>
    <w:rsid w:val="0023478A"/>
    <w:rsid w:val="00235210"/>
    <w:rsid w:val="00235649"/>
    <w:rsid w:val="00235836"/>
    <w:rsid w:val="0023605D"/>
    <w:rsid w:val="002360E3"/>
    <w:rsid w:val="00236104"/>
    <w:rsid w:val="00236481"/>
    <w:rsid w:val="002364B6"/>
    <w:rsid w:val="0023661B"/>
    <w:rsid w:val="00236E9E"/>
    <w:rsid w:val="00237000"/>
    <w:rsid w:val="002372B7"/>
    <w:rsid w:val="002376E0"/>
    <w:rsid w:val="002378AC"/>
    <w:rsid w:val="00237B78"/>
    <w:rsid w:val="00240609"/>
    <w:rsid w:val="00240B14"/>
    <w:rsid w:val="00240C56"/>
    <w:rsid w:val="00240CF5"/>
    <w:rsid w:val="00241D49"/>
    <w:rsid w:val="002423E8"/>
    <w:rsid w:val="002425FE"/>
    <w:rsid w:val="00242990"/>
    <w:rsid w:val="00242A82"/>
    <w:rsid w:val="00242B9D"/>
    <w:rsid w:val="0024313D"/>
    <w:rsid w:val="002433F7"/>
    <w:rsid w:val="00243D34"/>
    <w:rsid w:val="0024401C"/>
    <w:rsid w:val="00244020"/>
    <w:rsid w:val="0024484A"/>
    <w:rsid w:val="00244B5C"/>
    <w:rsid w:val="00244C39"/>
    <w:rsid w:val="00245341"/>
    <w:rsid w:val="00245964"/>
    <w:rsid w:val="00246E94"/>
    <w:rsid w:val="00246F11"/>
    <w:rsid w:val="00246F1E"/>
    <w:rsid w:val="00247DD1"/>
    <w:rsid w:val="00250632"/>
    <w:rsid w:val="002509C7"/>
    <w:rsid w:val="00251246"/>
    <w:rsid w:val="00251AA3"/>
    <w:rsid w:val="00251DB4"/>
    <w:rsid w:val="00252694"/>
    <w:rsid w:val="00252B61"/>
    <w:rsid w:val="00252E17"/>
    <w:rsid w:val="00252E9D"/>
    <w:rsid w:val="00252F22"/>
    <w:rsid w:val="00253211"/>
    <w:rsid w:val="0025354D"/>
    <w:rsid w:val="00253584"/>
    <w:rsid w:val="0025435D"/>
    <w:rsid w:val="002546ED"/>
    <w:rsid w:val="002547E7"/>
    <w:rsid w:val="00254A95"/>
    <w:rsid w:val="00254B9D"/>
    <w:rsid w:val="00254F9B"/>
    <w:rsid w:val="00255238"/>
    <w:rsid w:val="002557A2"/>
    <w:rsid w:val="00256156"/>
    <w:rsid w:val="00256274"/>
    <w:rsid w:val="002562A0"/>
    <w:rsid w:val="00256378"/>
    <w:rsid w:val="00256890"/>
    <w:rsid w:val="00256B8A"/>
    <w:rsid w:val="00257900"/>
    <w:rsid w:val="00257DF1"/>
    <w:rsid w:val="00257DF2"/>
    <w:rsid w:val="00257E52"/>
    <w:rsid w:val="00257E67"/>
    <w:rsid w:val="0026019B"/>
    <w:rsid w:val="002602D4"/>
    <w:rsid w:val="002606B5"/>
    <w:rsid w:val="002606BB"/>
    <w:rsid w:val="00260B9A"/>
    <w:rsid w:val="00260CF6"/>
    <w:rsid w:val="00260F6F"/>
    <w:rsid w:val="00261470"/>
    <w:rsid w:val="00261D25"/>
    <w:rsid w:val="00261EBE"/>
    <w:rsid w:val="002620FA"/>
    <w:rsid w:val="00262282"/>
    <w:rsid w:val="0026263D"/>
    <w:rsid w:val="002626A0"/>
    <w:rsid w:val="002627B1"/>
    <w:rsid w:val="00262F5B"/>
    <w:rsid w:val="00264D19"/>
    <w:rsid w:val="00264E0F"/>
    <w:rsid w:val="00264FCD"/>
    <w:rsid w:val="002651B6"/>
    <w:rsid w:val="0026576A"/>
    <w:rsid w:val="0026585A"/>
    <w:rsid w:val="00265DE4"/>
    <w:rsid w:val="002668B9"/>
    <w:rsid w:val="00266A38"/>
    <w:rsid w:val="00266B67"/>
    <w:rsid w:val="00266F16"/>
    <w:rsid w:val="00267A05"/>
    <w:rsid w:val="00267A10"/>
    <w:rsid w:val="00267A80"/>
    <w:rsid w:val="00267C10"/>
    <w:rsid w:val="002707E2"/>
    <w:rsid w:val="00271268"/>
    <w:rsid w:val="002712E6"/>
    <w:rsid w:val="00271352"/>
    <w:rsid w:val="002715C7"/>
    <w:rsid w:val="00271BA2"/>
    <w:rsid w:val="002723C7"/>
    <w:rsid w:val="00272833"/>
    <w:rsid w:val="002732A0"/>
    <w:rsid w:val="0027364F"/>
    <w:rsid w:val="00273669"/>
    <w:rsid w:val="00273679"/>
    <w:rsid w:val="00273D76"/>
    <w:rsid w:val="00273E8B"/>
    <w:rsid w:val="0027402E"/>
    <w:rsid w:val="00274242"/>
    <w:rsid w:val="00274B97"/>
    <w:rsid w:val="00275972"/>
    <w:rsid w:val="0027599F"/>
    <w:rsid w:val="002763AC"/>
    <w:rsid w:val="002766A4"/>
    <w:rsid w:val="00276876"/>
    <w:rsid w:val="00276A82"/>
    <w:rsid w:val="00276A95"/>
    <w:rsid w:val="00277330"/>
    <w:rsid w:val="00277846"/>
    <w:rsid w:val="00277A3E"/>
    <w:rsid w:val="00277B3A"/>
    <w:rsid w:val="00277D2D"/>
    <w:rsid w:val="00277DD4"/>
    <w:rsid w:val="00277F74"/>
    <w:rsid w:val="0028080F"/>
    <w:rsid w:val="0028090B"/>
    <w:rsid w:val="00280BF6"/>
    <w:rsid w:val="00280E1E"/>
    <w:rsid w:val="002818DA"/>
    <w:rsid w:val="002818DF"/>
    <w:rsid w:val="00281968"/>
    <w:rsid w:val="0028196C"/>
    <w:rsid w:val="002819EB"/>
    <w:rsid w:val="00281D6B"/>
    <w:rsid w:val="00282866"/>
    <w:rsid w:val="0028324A"/>
    <w:rsid w:val="002837A7"/>
    <w:rsid w:val="00283A90"/>
    <w:rsid w:val="00283F00"/>
    <w:rsid w:val="00284024"/>
    <w:rsid w:val="00284EFF"/>
    <w:rsid w:val="002853A9"/>
    <w:rsid w:val="00285545"/>
    <w:rsid w:val="00285E2D"/>
    <w:rsid w:val="002865D6"/>
    <w:rsid w:val="00286DCC"/>
    <w:rsid w:val="00286FAA"/>
    <w:rsid w:val="00287347"/>
    <w:rsid w:val="0028773F"/>
    <w:rsid w:val="00287CED"/>
    <w:rsid w:val="00287DA1"/>
    <w:rsid w:val="00287FC4"/>
    <w:rsid w:val="00290202"/>
    <w:rsid w:val="0029126C"/>
    <w:rsid w:val="00291F0F"/>
    <w:rsid w:val="00292863"/>
    <w:rsid w:val="00292D3A"/>
    <w:rsid w:val="002934CD"/>
    <w:rsid w:val="00293D2C"/>
    <w:rsid w:val="002944A4"/>
    <w:rsid w:val="0029453C"/>
    <w:rsid w:val="00294692"/>
    <w:rsid w:val="00294A81"/>
    <w:rsid w:val="00294EC1"/>
    <w:rsid w:val="00295184"/>
    <w:rsid w:val="002959B7"/>
    <w:rsid w:val="00295CD6"/>
    <w:rsid w:val="00295CFC"/>
    <w:rsid w:val="00295D34"/>
    <w:rsid w:val="00295DE0"/>
    <w:rsid w:val="00296406"/>
    <w:rsid w:val="002969E7"/>
    <w:rsid w:val="00296B5B"/>
    <w:rsid w:val="0029700F"/>
    <w:rsid w:val="00297329"/>
    <w:rsid w:val="00297BDE"/>
    <w:rsid w:val="002A070A"/>
    <w:rsid w:val="002A0DC4"/>
    <w:rsid w:val="002A0E21"/>
    <w:rsid w:val="002A13BF"/>
    <w:rsid w:val="002A14D2"/>
    <w:rsid w:val="002A1A8C"/>
    <w:rsid w:val="002A2046"/>
    <w:rsid w:val="002A2ACB"/>
    <w:rsid w:val="002A2DAB"/>
    <w:rsid w:val="002A306C"/>
    <w:rsid w:val="002A3A17"/>
    <w:rsid w:val="002A3F80"/>
    <w:rsid w:val="002A4461"/>
    <w:rsid w:val="002A4634"/>
    <w:rsid w:val="002A50D4"/>
    <w:rsid w:val="002A5276"/>
    <w:rsid w:val="002A528A"/>
    <w:rsid w:val="002A538A"/>
    <w:rsid w:val="002A56FD"/>
    <w:rsid w:val="002A59EB"/>
    <w:rsid w:val="002A5D45"/>
    <w:rsid w:val="002A5D6F"/>
    <w:rsid w:val="002A5E27"/>
    <w:rsid w:val="002A5E7B"/>
    <w:rsid w:val="002A5FEC"/>
    <w:rsid w:val="002A63D7"/>
    <w:rsid w:val="002A72D4"/>
    <w:rsid w:val="002A7CE3"/>
    <w:rsid w:val="002A7F49"/>
    <w:rsid w:val="002B0F10"/>
    <w:rsid w:val="002B11AF"/>
    <w:rsid w:val="002B11B1"/>
    <w:rsid w:val="002B1668"/>
    <w:rsid w:val="002B1B42"/>
    <w:rsid w:val="002B1C7E"/>
    <w:rsid w:val="002B2DE1"/>
    <w:rsid w:val="002B335C"/>
    <w:rsid w:val="002B39D4"/>
    <w:rsid w:val="002B40E3"/>
    <w:rsid w:val="002B4486"/>
    <w:rsid w:val="002B4CAC"/>
    <w:rsid w:val="002B5436"/>
    <w:rsid w:val="002B5610"/>
    <w:rsid w:val="002B562A"/>
    <w:rsid w:val="002B585E"/>
    <w:rsid w:val="002B660B"/>
    <w:rsid w:val="002B6855"/>
    <w:rsid w:val="002B6C6A"/>
    <w:rsid w:val="002B7095"/>
    <w:rsid w:val="002B71CF"/>
    <w:rsid w:val="002B7BD8"/>
    <w:rsid w:val="002B7E66"/>
    <w:rsid w:val="002C012C"/>
    <w:rsid w:val="002C0525"/>
    <w:rsid w:val="002C0D90"/>
    <w:rsid w:val="002C0F85"/>
    <w:rsid w:val="002C1548"/>
    <w:rsid w:val="002C1AD7"/>
    <w:rsid w:val="002C1B15"/>
    <w:rsid w:val="002C1CB1"/>
    <w:rsid w:val="002C1D74"/>
    <w:rsid w:val="002C212D"/>
    <w:rsid w:val="002C2139"/>
    <w:rsid w:val="002C2244"/>
    <w:rsid w:val="002C23C3"/>
    <w:rsid w:val="002C25DC"/>
    <w:rsid w:val="002C2A2B"/>
    <w:rsid w:val="002C2D6F"/>
    <w:rsid w:val="002C30B5"/>
    <w:rsid w:val="002C3447"/>
    <w:rsid w:val="002C3895"/>
    <w:rsid w:val="002C4059"/>
    <w:rsid w:val="002C416C"/>
    <w:rsid w:val="002C46CB"/>
    <w:rsid w:val="002C4777"/>
    <w:rsid w:val="002C4B20"/>
    <w:rsid w:val="002C4CE7"/>
    <w:rsid w:val="002C50A4"/>
    <w:rsid w:val="002C5643"/>
    <w:rsid w:val="002C607F"/>
    <w:rsid w:val="002C6372"/>
    <w:rsid w:val="002C6A3B"/>
    <w:rsid w:val="002C6E6F"/>
    <w:rsid w:val="002C6FF5"/>
    <w:rsid w:val="002C77BD"/>
    <w:rsid w:val="002C7CF9"/>
    <w:rsid w:val="002D02BC"/>
    <w:rsid w:val="002D037D"/>
    <w:rsid w:val="002D0DCE"/>
    <w:rsid w:val="002D0FBF"/>
    <w:rsid w:val="002D14F9"/>
    <w:rsid w:val="002D17E9"/>
    <w:rsid w:val="002D1843"/>
    <w:rsid w:val="002D1980"/>
    <w:rsid w:val="002D1BF2"/>
    <w:rsid w:val="002D1CB3"/>
    <w:rsid w:val="002D1D44"/>
    <w:rsid w:val="002D2180"/>
    <w:rsid w:val="002D2429"/>
    <w:rsid w:val="002D24D9"/>
    <w:rsid w:val="002D324D"/>
    <w:rsid w:val="002D3481"/>
    <w:rsid w:val="002D359C"/>
    <w:rsid w:val="002D35DD"/>
    <w:rsid w:val="002D4C3B"/>
    <w:rsid w:val="002D5B7F"/>
    <w:rsid w:val="002D6378"/>
    <w:rsid w:val="002D66DE"/>
    <w:rsid w:val="002D6777"/>
    <w:rsid w:val="002D67A8"/>
    <w:rsid w:val="002D67F4"/>
    <w:rsid w:val="002D6A32"/>
    <w:rsid w:val="002D71A3"/>
    <w:rsid w:val="002D75D6"/>
    <w:rsid w:val="002D7C00"/>
    <w:rsid w:val="002E0444"/>
    <w:rsid w:val="002E055C"/>
    <w:rsid w:val="002E0994"/>
    <w:rsid w:val="002E0B75"/>
    <w:rsid w:val="002E12A0"/>
    <w:rsid w:val="002E163A"/>
    <w:rsid w:val="002E1935"/>
    <w:rsid w:val="002E1A7F"/>
    <w:rsid w:val="002E1CD4"/>
    <w:rsid w:val="002E1FE7"/>
    <w:rsid w:val="002E2C32"/>
    <w:rsid w:val="002E363B"/>
    <w:rsid w:val="002E38A6"/>
    <w:rsid w:val="002E38DC"/>
    <w:rsid w:val="002E3BEE"/>
    <w:rsid w:val="002E3F98"/>
    <w:rsid w:val="002E4263"/>
    <w:rsid w:val="002E472D"/>
    <w:rsid w:val="002E4A32"/>
    <w:rsid w:val="002E4E0E"/>
    <w:rsid w:val="002E5416"/>
    <w:rsid w:val="002E5453"/>
    <w:rsid w:val="002E58B8"/>
    <w:rsid w:val="002E5B0A"/>
    <w:rsid w:val="002E5CC2"/>
    <w:rsid w:val="002E6054"/>
    <w:rsid w:val="002E61BE"/>
    <w:rsid w:val="002E6512"/>
    <w:rsid w:val="002E6586"/>
    <w:rsid w:val="002E6CE3"/>
    <w:rsid w:val="002E7443"/>
    <w:rsid w:val="002E75D1"/>
    <w:rsid w:val="002E795D"/>
    <w:rsid w:val="002E79AB"/>
    <w:rsid w:val="002F0157"/>
    <w:rsid w:val="002F1695"/>
    <w:rsid w:val="002F173D"/>
    <w:rsid w:val="002F174B"/>
    <w:rsid w:val="002F1838"/>
    <w:rsid w:val="002F1AF0"/>
    <w:rsid w:val="002F1B73"/>
    <w:rsid w:val="002F1BAC"/>
    <w:rsid w:val="002F1D62"/>
    <w:rsid w:val="002F1FA1"/>
    <w:rsid w:val="002F25C3"/>
    <w:rsid w:val="002F28C7"/>
    <w:rsid w:val="002F32E3"/>
    <w:rsid w:val="002F33C4"/>
    <w:rsid w:val="002F33D6"/>
    <w:rsid w:val="002F3524"/>
    <w:rsid w:val="002F3AE1"/>
    <w:rsid w:val="002F3E98"/>
    <w:rsid w:val="002F437C"/>
    <w:rsid w:val="002F43AE"/>
    <w:rsid w:val="002F43FB"/>
    <w:rsid w:val="002F4A9D"/>
    <w:rsid w:val="002F4B7D"/>
    <w:rsid w:val="002F4CF0"/>
    <w:rsid w:val="002F4E6A"/>
    <w:rsid w:val="002F4E7E"/>
    <w:rsid w:val="002F51A4"/>
    <w:rsid w:val="002F55DD"/>
    <w:rsid w:val="002F5F2F"/>
    <w:rsid w:val="002F6141"/>
    <w:rsid w:val="002F61BF"/>
    <w:rsid w:val="002F6A5D"/>
    <w:rsid w:val="002F6BB3"/>
    <w:rsid w:val="002F704E"/>
    <w:rsid w:val="002F7265"/>
    <w:rsid w:val="002F72D9"/>
    <w:rsid w:val="002F7301"/>
    <w:rsid w:val="002F771D"/>
    <w:rsid w:val="002F7D4B"/>
    <w:rsid w:val="0030062E"/>
    <w:rsid w:val="00300660"/>
    <w:rsid w:val="00300D23"/>
    <w:rsid w:val="00300E38"/>
    <w:rsid w:val="003015F6"/>
    <w:rsid w:val="00301706"/>
    <w:rsid w:val="0030184B"/>
    <w:rsid w:val="0030199A"/>
    <w:rsid w:val="003023A2"/>
    <w:rsid w:val="0030259B"/>
    <w:rsid w:val="00302E94"/>
    <w:rsid w:val="00302F6A"/>
    <w:rsid w:val="0030308C"/>
    <w:rsid w:val="003031BC"/>
    <w:rsid w:val="00303764"/>
    <w:rsid w:val="00303852"/>
    <w:rsid w:val="00303FBD"/>
    <w:rsid w:val="003045D1"/>
    <w:rsid w:val="00304AA5"/>
    <w:rsid w:val="0030510D"/>
    <w:rsid w:val="00305902"/>
    <w:rsid w:val="00305D5D"/>
    <w:rsid w:val="00305DBE"/>
    <w:rsid w:val="0030653B"/>
    <w:rsid w:val="0030681D"/>
    <w:rsid w:val="00306B36"/>
    <w:rsid w:val="00307BEA"/>
    <w:rsid w:val="00310290"/>
    <w:rsid w:val="00310341"/>
    <w:rsid w:val="00310866"/>
    <w:rsid w:val="00310927"/>
    <w:rsid w:val="00310C34"/>
    <w:rsid w:val="0031139F"/>
    <w:rsid w:val="00311E73"/>
    <w:rsid w:val="0031249F"/>
    <w:rsid w:val="0031290A"/>
    <w:rsid w:val="003134D7"/>
    <w:rsid w:val="0031414E"/>
    <w:rsid w:val="00314DDE"/>
    <w:rsid w:val="00314EEF"/>
    <w:rsid w:val="00315340"/>
    <w:rsid w:val="003156FF"/>
    <w:rsid w:val="00315BC8"/>
    <w:rsid w:val="00317270"/>
    <w:rsid w:val="00317427"/>
    <w:rsid w:val="00317526"/>
    <w:rsid w:val="00317666"/>
    <w:rsid w:val="00317BBD"/>
    <w:rsid w:val="00320A04"/>
    <w:rsid w:val="00320C2D"/>
    <w:rsid w:val="00320C67"/>
    <w:rsid w:val="00321427"/>
    <w:rsid w:val="00322655"/>
    <w:rsid w:val="00322825"/>
    <w:rsid w:val="00322873"/>
    <w:rsid w:val="00322A29"/>
    <w:rsid w:val="00322BA5"/>
    <w:rsid w:val="0032351F"/>
    <w:rsid w:val="0032358C"/>
    <w:rsid w:val="0032395F"/>
    <w:rsid w:val="00323EE1"/>
    <w:rsid w:val="0032411A"/>
    <w:rsid w:val="00324476"/>
    <w:rsid w:val="003244A7"/>
    <w:rsid w:val="00324978"/>
    <w:rsid w:val="00324DF1"/>
    <w:rsid w:val="00324E3A"/>
    <w:rsid w:val="0032574A"/>
    <w:rsid w:val="003258B6"/>
    <w:rsid w:val="0032654C"/>
    <w:rsid w:val="003266BF"/>
    <w:rsid w:val="00326EFC"/>
    <w:rsid w:val="003273E0"/>
    <w:rsid w:val="003279C0"/>
    <w:rsid w:val="00327DA5"/>
    <w:rsid w:val="003300A7"/>
    <w:rsid w:val="003301CB"/>
    <w:rsid w:val="003303D2"/>
    <w:rsid w:val="003303DE"/>
    <w:rsid w:val="00330473"/>
    <w:rsid w:val="0033087F"/>
    <w:rsid w:val="003308CE"/>
    <w:rsid w:val="00330E15"/>
    <w:rsid w:val="00330F41"/>
    <w:rsid w:val="003317A1"/>
    <w:rsid w:val="003320C8"/>
    <w:rsid w:val="00332491"/>
    <w:rsid w:val="003325F3"/>
    <w:rsid w:val="00332B85"/>
    <w:rsid w:val="003334F5"/>
    <w:rsid w:val="00333F49"/>
    <w:rsid w:val="00333F67"/>
    <w:rsid w:val="0033457C"/>
    <w:rsid w:val="00334880"/>
    <w:rsid w:val="00334AFD"/>
    <w:rsid w:val="00334DBC"/>
    <w:rsid w:val="00334EF0"/>
    <w:rsid w:val="00335D2E"/>
    <w:rsid w:val="0033641A"/>
    <w:rsid w:val="003365B6"/>
    <w:rsid w:val="00336A2F"/>
    <w:rsid w:val="0033700D"/>
    <w:rsid w:val="00337E9D"/>
    <w:rsid w:val="003408AE"/>
    <w:rsid w:val="00340BB9"/>
    <w:rsid w:val="00341192"/>
    <w:rsid w:val="00341283"/>
    <w:rsid w:val="00341345"/>
    <w:rsid w:val="00341756"/>
    <w:rsid w:val="00341A41"/>
    <w:rsid w:val="00341C2D"/>
    <w:rsid w:val="00342050"/>
    <w:rsid w:val="00342225"/>
    <w:rsid w:val="00342340"/>
    <w:rsid w:val="00342796"/>
    <w:rsid w:val="00342C39"/>
    <w:rsid w:val="00343002"/>
    <w:rsid w:val="00343758"/>
    <w:rsid w:val="003439EE"/>
    <w:rsid w:val="00343D96"/>
    <w:rsid w:val="00343F96"/>
    <w:rsid w:val="003445CE"/>
    <w:rsid w:val="00344905"/>
    <w:rsid w:val="00344AB0"/>
    <w:rsid w:val="00345898"/>
    <w:rsid w:val="00345BFD"/>
    <w:rsid w:val="0034652F"/>
    <w:rsid w:val="003470C6"/>
    <w:rsid w:val="003470D2"/>
    <w:rsid w:val="0034743B"/>
    <w:rsid w:val="00347560"/>
    <w:rsid w:val="00347BAC"/>
    <w:rsid w:val="003503E0"/>
    <w:rsid w:val="00350B81"/>
    <w:rsid w:val="00351264"/>
    <w:rsid w:val="0035149D"/>
    <w:rsid w:val="00351799"/>
    <w:rsid w:val="00351CB7"/>
    <w:rsid w:val="003524FB"/>
    <w:rsid w:val="00352587"/>
    <w:rsid w:val="00352DFF"/>
    <w:rsid w:val="00352F75"/>
    <w:rsid w:val="0035359F"/>
    <w:rsid w:val="00353764"/>
    <w:rsid w:val="00353F2A"/>
    <w:rsid w:val="00353FAE"/>
    <w:rsid w:val="00354038"/>
    <w:rsid w:val="00354FD2"/>
    <w:rsid w:val="00355292"/>
    <w:rsid w:val="00355FC6"/>
    <w:rsid w:val="00356279"/>
    <w:rsid w:val="0035651A"/>
    <w:rsid w:val="00356E4E"/>
    <w:rsid w:val="00357161"/>
    <w:rsid w:val="00357191"/>
    <w:rsid w:val="003575F6"/>
    <w:rsid w:val="00357804"/>
    <w:rsid w:val="00357DD8"/>
    <w:rsid w:val="00357E41"/>
    <w:rsid w:val="00360755"/>
    <w:rsid w:val="00360839"/>
    <w:rsid w:val="00360B27"/>
    <w:rsid w:val="00361115"/>
    <w:rsid w:val="00361E70"/>
    <w:rsid w:val="0036231C"/>
    <w:rsid w:val="0036257D"/>
    <w:rsid w:val="003629A0"/>
    <w:rsid w:val="00362ED1"/>
    <w:rsid w:val="00363055"/>
    <w:rsid w:val="00363135"/>
    <w:rsid w:val="003631EB"/>
    <w:rsid w:val="0036384F"/>
    <w:rsid w:val="00363CD0"/>
    <w:rsid w:val="00363E6C"/>
    <w:rsid w:val="0036451C"/>
    <w:rsid w:val="0036492E"/>
    <w:rsid w:val="00364A73"/>
    <w:rsid w:val="00364B56"/>
    <w:rsid w:val="003653FF"/>
    <w:rsid w:val="003658D6"/>
    <w:rsid w:val="00365E66"/>
    <w:rsid w:val="00365EF6"/>
    <w:rsid w:val="0036606E"/>
    <w:rsid w:val="00366819"/>
    <w:rsid w:val="00366AA5"/>
    <w:rsid w:val="00366B56"/>
    <w:rsid w:val="00366CAF"/>
    <w:rsid w:val="00366E01"/>
    <w:rsid w:val="0036703C"/>
    <w:rsid w:val="00367497"/>
    <w:rsid w:val="00367558"/>
    <w:rsid w:val="003675A1"/>
    <w:rsid w:val="003675FB"/>
    <w:rsid w:val="003676DD"/>
    <w:rsid w:val="00367CA8"/>
    <w:rsid w:val="003703E3"/>
    <w:rsid w:val="00370470"/>
    <w:rsid w:val="00370626"/>
    <w:rsid w:val="003706D7"/>
    <w:rsid w:val="003712CA"/>
    <w:rsid w:val="00371471"/>
    <w:rsid w:val="00371EAC"/>
    <w:rsid w:val="003727FD"/>
    <w:rsid w:val="00372CE4"/>
    <w:rsid w:val="003732A7"/>
    <w:rsid w:val="0037341F"/>
    <w:rsid w:val="00373A60"/>
    <w:rsid w:val="00373E59"/>
    <w:rsid w:val="00374155"/>
    <w:rsid w:val="00374812"/>
    <w:rsid w:val="00374901"/>
    <w:rsid w:val="00374BB7"/>
    <w:rsid w:val="00374EA9"/>
    <w:rsid w:val="00374EB1"/>
    <w:rsid w:val="00374FBD"/>
    <w:rsid w:val="003751AB"/>
    <w:rsid w:val="00376662"/>
    <w:rsid w:val="003773A8"/>
    <w:rsid w:val="0038083F"/>
    <w:rsid w:val="003808BA"/>
    <w:rsid w:val="00380B02"/>
    <w:rsid w:val="00380E7A"/>
    <w:rsid w:val="00380F51"/>
    <w:rsid w:val="003813A0"/>
    <w:rsid w:val="00381527"/>
    <w:rsid w:val="00381A6C"/>
    <w:rsid w:val="00382857"/>
    <w:rsid w:val="00383A4E"/>
    <w:rsid w:val="00383B9E"/>
    <w:rsid w:val="00384790"/>
    <w:rsid w:val="00384CB3"/>
    <w:rsid w:val="00384F4C"/>
    <w:rsid w:val="00385258"/>
    <w:rsid w:val="0038542E"/>
    <w:rsid w:val="0038552D"/>
    <w:rsid w:val="003857F1"/>
    <w:rsid w:val="0038584B"/>
    <w:rsid w:val="003858AE"/>
    <w:rsid w:val="0038594C"/>
    <w:rsid w:val="00385AAB"/>
    <w:rsid w:val="00385AE6"/>
    <w:rsid w:val="00386065"/>
    <w:rsid w:val="00387312"/>
    <w:rsid w:val="00387B70"/>
    <w:rsid w:val="00390135"/>
    <w:rsid w:val="00390542"/>
    <w:rsid w:val="003907C8"/>
    <w:rsid w:val="00390BE7"/>
    <w:rsid w:val="003911BF"/>
    <w:rsid w:val="003915B4"/>
    <w:rsid w:val="00391BF7"/>
    <w:rsid w:val="00391E77"/>
    <w:rsid w:val="00391F43"/>
    <w:rsid w:val="00393068"/>
    <w:rsid w:val="00393D4A"/>
    <w:rsid w:val="0039426F"/>
    <w:rsid w:val="00394565"/>
    <w:rsid w:val="003948FC"/>
    <w:rsid w:val="00395068"/>
    <w:rsid w:val="003953F8"/>
    <w:rsid w:val="0039556E"/>
    <w:rsid w:val="0039566E"/>
    <w:rsid w:val="003956AE"/>
    <w:rsid w:val="00395B42"/>
    <w:rsid w:val="003962E5"/>
    <w:rsid w:val="00396519"/>
    <w:rsid w:val="00396EAC"/>
    <w:rsid w:val="003970EC"/>
    <w:rsid w:val="00397183"/>
    <w:rsid w:val="00397599"/>
    <w:rsid w:val="003977A5"/>
    <w:rsid w:val="00397818"/>
    <w:rsid w:val="00397FBB"/>
    <w:rsid w:val="003A02AF"/>
    <w:rsid w:val="003A030E"/>
    <w:rsid w:val="003A08CC"/>
    <w:rsid w:val="003A0B8A"/>
    <w:rsid w:val="003A0E60"/>
    <w:rsid w:val="003A1345"/>
    <w:rsid w:val="003A17C8"/>
    <w:rsid w:val="003A1A4F"/>
    <w:rsid w:val="003A1B89"/>
    <w:rsid w:val="003A1E41"/>
    <w:rsid w:val="003A1F42"/>
    <w:rsid w:val="003A2504"/>
    <w:rsid w:val="003A2695"/>
    <w:rsid w:val="003A2991"/>
    <w:rsid w:val="003A2F29"/>
    <w:rsid w:val="003A34F1"/>
    <w:rsid w:val="003A3998"/>
    <w:rsid w:val="003A39F9"/>
    <w:rsid w:val="003A3B51"/>
    <w:rsid w:val="003A3D19"/>
    <w:rsid w:val="003A3FB5"/>
    <w:rsid w:val="003A3FDB"/>
    <w:rsid w:val="003A4160"/>
    <w:rsid w:val="003A45A4"/>
    <w:rsid w:val="003A498B"/>
    <w:rsid w:val="003A4E75"/>
    <w:rsid w:val="003A4EA5"/>
    <w:rsid w:val="003A4F83"/>
    <w:rsid w:val="003A51F8"/>
    <w:rsid w:val="003A5249"/>
    <w:rsid w:val="003A5788"/>
    <w:rsid w:val="003A58A1"/>
    <w:rsid w:val="003A64D9"/>
    <w:rsid w:val="003A65FF"/>
    <w:rsid w:val="003A6653"/>
    <w:rsid w:val="003A6800"/>
    <w:rsid w:val="003A6AF4"/>
    <w:rsid w:val="003A716C"/>
    <w:rsid w:val="003A755E"/>
    <w:rsid w:val="003A76B8"/>
    <w:rsid w:val="003A7C48"/>
    <w:rsid w:val="003A7FC9"/>
    <w:rsid w:val="003B0012"/>
    <w:rsid w:val="003B0284"/>
    <w:rsid w:val="003B02DB"/>
    <w:rsid w:val="003B042E"/>
    <w:rsid w:val="003B09C0"/>
    <w:rsid w:val="003B1451"/>
    <w:rsid w:val="003B17DD"/>
    <w:rsid w:val="003B1D9B"/>
    <w:rsid w:val="003B1E9C"/>
    <w:rsid w:val="003B24B2"/>
    <w:rsid w:val="003B2520"/>
    <w:rsid w:val="003B285A"/>
    <w:rsid w:val="003B32F0"/>
    <w:rsid w:val="003B3B4B"/>
    <w:rsid w:val="003B47C5"/>
    <w:rsid w:val="003B4CB3"/>
    <w:rsid w:val="003B53EF"/>
    <w:rsid w:val="003B5ABD"/>
    <w:rsid w:val="003B681C"/>
    <w:rsid w:val="003B7248"/>
    <w:rsid w:val="003B7394"/>
    <w:rsid w:val="003B748F"/>
    <w:rsid w:val="003B74D2"/>
    <w:rsid w:val="003B7736"/>
    <w:rsid w:val="003C1030"/>
    <w:rsid w:val="003C14BB"/>
    <w:rsid w:val="003C1E48"/>
    <w:rsid w:val="003C2F02"/>
    <w:rsid w:val="003C2F1A"/>
    <w:rsid w:val="003C314F"/>
    <w:rsid w:val="003C35AD"/>
    <w:rsid w:val="003C35E5"/>
    <w:rsid w:val="003C360C"/>
    <w:rsid w:val="003C392A"/>
    <w:rsid w:val="003C3997"/>
    <w:rsid w:val="003C3A3A"/>
    <w:rsid w:val="003C442F"/>
    <w:rsid w:val="003C591B"/>
    <w:rsid w:val="003C59E1"/>
    <w:rsid w:val="003C5F17"/>
    <w:rsid w:val="003C6197"/>
    <w:rsid w:val="003C61F1"/>
    <w:rsid w:val="003C68F3"/>
    <w:rsid w:val="003C6A2E"/>
    <w:rsid w:val="003C6B81"/>
    <w:rsid w:val="003C6DE0"/>
    <w:rsid w:val="003C6DEF"/>
    <w:rsid w:val="003C71CD"/>
    <w:rsid w:val="003C7508"/>
    <w:rsid w:val="003C7622"/>
    <w:rsid w:val="003C76F2"/>
    <w:rsid w:val="003C7734"/>
    <w:rsid w:val="003C7C8D"/>
    <w:rsid w:val="003C7DFC"/>
    <w:rsid w:val="003D0374"/>
    <w:rsid w:val="003D03F3"/>
    <w:rsid w:val="003D0923"/>
    <w:rsid w:val="003D09A8"/>
    <w:rsid w:val="003D0A89"/>
    <w:rsid w:val="003D0F72"/>
    <w:rsid w:val="003D1412"/>
    <w:rsid w:val="003D1CE8"/>
    <w:rsid w:val="003D1DF9"/>
    <w:rsid w:val="003D21C3"/>
    <w:rsid w:val="003D284F"/>
    <w:rsid w:val="003D2AD0"/>
    <w:rsid w:val="003D2B75"/>
    <w:rsid w:val="003D2C2F"/>
    <w:rsid w:val="003D327D"/>
    <w:rsid w:val="003D37B0"/>
    <w:rsid w:val="003D3EC5"/>
    <w:rsid w:val="003D45C0"/>
    <w:rsid w:val="003D4C73"/>
    <w:rsid w:val="003D4E01"/>
    <w:rsid w:val="003D4E30"/>
    <w:rsid w:val="003D50F1"/>
    <w:rsid w:val="003D52BF"/>
    <w:rsid w:val="003D56D6"/>
    <w:rsid w:val="003D58E8"/>
    <w:rsid w:val="003D5C36"/>
    <w:rsid w:val="003D61E1"/>
    <w:rsid w:val="003D628E"/>
    <w:rsid w:val="003D62BF"/>
    <w:rsid w:val="003D64C6"/>
    <w:rsid w:val="003D67AA"/>
    <w:rsid w:val="003D70DD"/>
    <w:rsid w:val="003D75EA"/>
    <w:rsid w:val="003D7CBB"/>
    <w:rsid w:val="003E0274"/>
    <w:rsid w:val="003E034B"/>
    <w:rsid w:val="003E0387"/>
    <w:rsid w:val="003E0421"/>
    <w:rsid w:val="003E0A03"/>
    <w:rsid w:val="003E106E"/>
    <w:rsid w:val="003E1591"/>
    <w:rsid w:val="003E169A"/>
    <w:rsid w:val="003E18A1"/>
    <w:rsid w:val="003E1C08"/>
    <w:rsid w:val="003E1C29"/>
    <w:rsid w:val="003E1DB1"/>
    <w:rsid w:val="003E1F88"/>
    <w:rsid w:val="003E2819"/>
    <w:rsid w:val="003E2AB2"/>
    <w:rsid w:val="003E2C21"/>
    <w:rsid w:val="003E2E25"/>
    <w:rsid w:val="003E34B1"/>
    <w:rsid w:val="003E369C"/>
    <w:rsid w:val="003E39B2"/>
    <w:rsid w:val="003E39D2"/>
    <w:rsid w:val="003E3B86"/>
    <w:rsid w:val="003E40A5"/>
    <w:rsid w:val="003E417F"/>
    <w:rsid w:val="003E4897"/>
    <w:rsid w:val="003E49F0"/>
    <w:rsid w:val="003E52ED"/>
    <w:rsid w:val="003E585E"/>
    <w:rsid w:val="003E5A47"/>
    <w:rsid w:val="003E5AC6"/>
    <w:rsid w:val="003E5F8D"/>
    <w:rsid w:val="003E6729"/>
    <w:rsid w:val="003E6C72"/>
    <w:rsid w:val="003E6CC6"/>
    <w:rsid w:val="003E6EB6"/>
    <w:rsid w:val="003E710E"/>
    <w:rsid w:val="003E7571"/>
    <w:rsid w:val="003E7708"/>
    <w:rsid w:val="003E7856"/>
    <w:rsid w:val="003E7CB6"/>
    <w:rsid w:val="003F021E"/>
    <w:rsid w:val="003F0346"/>
    <w:rsid w:val="003F0363"/>
    <w:rsid w:val="003F04BF"/>
    <w:rsid w:val="003F0653"/>
    <w:rsid w:val="003F06D0"/>
    <w:rsid w:val="003F0D84"/>
    <w:rsid w:val="003F127D"/>
    <w:rsid w:val="003F12AB"/>
    <w:rsid w:val="003F12DA"/>
    <w:rsid w:val="003F1F4B"/>
    <w:rsid w:val="003F2718"/>
    <w:rsid w:val="003F2DDE"/>
    <w:rsid w:val="003F32C0"/>
    <w:rsid w:val="003F374E"/>
    <w:rsid w:val="003F4E0E"/>
    <w:rsid w:val="003F5712"/>
    <w:rsid w:val="003F5741"/>
    <w:rsid w:val="003F5866"/>
    <w:rsid w:val="003F59C8"/>
    <w:rsid w:val="003F5A8A"/>
    <w:rsid w:val="003F5C83"/>
    <w:rsid w:val="003F5F58"/>
    <w:rsid w:val="003F5FE5"/>
    <w:rsid w:val="003F639A"/>
    <w:rsid w:val="003F6C07"/>
    <w:rsid w:val="003F6C7F"/>
    <w:rsid w:val="003F6CD2"/>
    <w:rsid w:val="003F71C0"/>
    <w:rsid w:val="0040091B"/>
    <w:rsid w:val="00400E83"/>
    <w:rsid w:val="00401034"/>
    <w:rsid w:val="004010FD"/>
    <w:rsid w:val="0040119A"/>
    <w:rsid w:val="0040125F"/>
    <w:rsid w:val="004012E2"/>
    <w:rsid w:val="004015C6"/>
    <w:rsid w:val="00401A73"/>
    <w:rsid w:val="00401CCB"/>
    <w:rsid w:val="00401D3C"/>
    <w:rsid w:val="00401EC5"/>
    <w:rsid w:val="004024C7"/>
    <w:rsid w:val="004026A1"/>
    <w:rsid w:val="00402728"/>
    <w:rsid w:val="00402898"/>
    <w:rsid w:val="004030C8"/>
    <w:rsid w:val="004034B1"/>
    <w:rsid w:val="00403761"/>
    <w:rsid w:val="00403EA5"/>
    <w:rsid w:val="00404158"/>
    <w:rsid w:val="0040469E"/>
    <w:rsid w:val="00404942"/>
    <w:rsid w:val="004049D3"/>
    <w:rsid w:val="00404B94"/>
    <w:rsid w:val="00405153"/>
    <w:rsid w:val="0040538A"/>
    <w:rsid w:val="004054A7"/>
    <w:rsid w:val="00405E2C"/>
    <w:rsid w:val="004060D9"/>
    <w:rsid w:val="0040664D"/>
    <w:rsid w:val="00406A4E"/>
    <w:rsid w:val="00406B6B"/>
    <w:rsid w:val="00406DCB"/>
    <w:rsid w:val="00407D3D"/>
    <w:rsid w:val="00407E3F"/>
    <w:rsid w:val="00407E48"/>
    <w:rsid w:val="00407E5B"/>
    <w:rsid w:val="004102B1"/>
    <w:rsid w:val="004102B4"/>
    <w:rsid w:val="00410312"/>
    <w:rsid w:val="00410EA9"/>
    <w:rsid w:val="0041104E"/>
    <w:rsid w:val="0041142E"/>
    <w:rsid w:val="00411AB6"/>
    <w:rsid w:val="00411C05"/>
    <w:rsid w:val="00411F89"/>
    <w:rsid w:val="00412E17"/>
    <w:rsid w:val="004135A3"/>
    <w:rsid w:val="00413FC6"/>
    <w:rsid w:val="00414531"/>
    <w:rsid w:val="00414577"/>
    <w:rsid w:val="00414596"/>
    <w:rsid w:val="004147E5"/>
    <w:rsid w:val="00415066"/>
    <w:rsid w:val="00415639"/>
    <w:rsid w:val="004156F7"/>
    <w:rsid w:val="004157EC"/>
    <w:rsid w:val="00415BE9"/>
    <w:rsid w:val="00416618"/>
    <w:rsid w:val="00416E6A"/>
    <w:rsid w:val="0041721F"/>
    <w:rsid w:val="00417295"/>
    <w:rsid w:val="00417867"/>
    <w:rsid w:val="00417D8E"/>
    <w:rsid w:val="00420738"/>
    <w:rsid w:val="0042132B"/>
    <w:rsid w:val="00421784"/>
    <w:rsid w:val="00421C9C"/>
    <w:rsid w:val="00421F27"/>
    <w:rsid w:val="00421FA3"/>
    <w:rsid w:val="00422B25"/>
    <w:rsid w:val="00422D17"/>
    <w:rsid w:val="004230BF"/>
    <w:rsid w:val="0042337B"/>
    <w:rsid w:val="00423AB0"/>
    <w:rsid w:val="00423E87"/>
    <w:rsid w:val="00423F2B"/>
    <w:rsid w:val="00423F63"/>
    <w:rsid w:val="00424168"/>
    <w:rsid w:val="00424567"/>
    <w:rsid w:val="00424849"/>
    <w:rsid w:val="00424AC3"/>
    <w:rsid w:val="00425005"/>
    <w:rsid w:val="004254DD"/>
    <w:rsid w:val="00425800"/>
    <w:rsid w:val="00425FBA"/>
    <w:rsid w:val="00426395"/>
    <w:rsid w:val="004263BE"/>
    <w:rsid w:val="00426871"/>
    <w:rsid w:val="004274A0"/>
    <w:rsid w:val="00427638"/>
    <w:rsid w:val="004276D0"/>
    <w:rsid w:val="004276E7"/>
    <w:rsid w:val="00427B90"/>
    <w:rsid w:val="00427E3F"/>
    <w:rsid w:val="00430006"/>
    <w:rsid w:val="0043006F"/>
    <w:rsid w:val="004300DD"/>
    <w:rsid w:val="00430283"/>
    <w:rsid w:val="0043084F"/>
    <w:rsid w:val="004315A1"/>
    <w:rsid w:val="004317B7"/>
    <w:rsid w:val="00431F06"/>
    <w:rsid w:val="004320A6"/>
    <w:rsid w:val="004326A2"/>
    <w:rsid w:val="00432A41"/>
    <w:rsid w:val="00433165"/>
    <w:rsid w:val="00433218"/>
    <w:rsid w:val="0043325D"/>
    <w:rsid w:val="00433376"/>
    <w:rsid w:val="0043398B"/>
    <w:rsid w:val="00433F34"/>
    <w:rsid w:val="004340AB"/>
    <w:rsid w:val="004349CC"/>
    <w:rsid w:val="00434C24"/>
    <w:rsid w:val="00435596"/>
    <w:rsid w:val="00435C0F"/>
    <w:rsid w:val="00436201"/>
    <w:rsid w:val="004363AA"/>
    <w:rsid w:val="0043676F"/>
    <w:rsid w:val="00436B33"/>
    <w:rsid w:val="0043707F"/>
    <w:rsid w:val="004372E7"/>
    <w:rsid w:val="00437BDE"/>
    <w:rsid w:val="00437CC9"/>
    <w:rsid w:val="00437EFF"/>
    <w:rsid w:val="00440889"/>
    <w:rsid w:val="00440ABC"/>
    <w:rsid w:val="00440C31"/>
    <w:rsid w:val="00440D77"/>
    <w:rsid w:val="00440D8E"/>
    <w:rsid w:val="00440E98"/>
    <w:rsid w:val="00441A26"/>
    <w:rsid w:val="00441DFC"/>
    <w:rsid w:val="00441F68"/>
    <w:rsid w:val="00442C42"/>
    <w:rsid w:val="00442CF3"/>
    <w:rsid w:val="00442E3B"/>
    <w:rsid w:val="00442EBC"/>
    <w:rsid w:val="004430FA"/>
    <w:rsid w:val="004443C5"/>
    <w:rsid w:val="004448DF"/>
    <w:rsid w:val="00444961"/>
    <w:rsid w:val="00445904"/>
    <w:rsid w:val="0044594B"/>
    <w:rsid w:val="00445B47"/>
    <w:rsid w:val="00445B84"/>
    <w:rsid w:val="00445DDE"/>
    <w:rsid w:val="00445FAC"/>
    <w:rsid w:val="0044611C"/>
    <w:rsid w:val="00446444"/>
    <w:rsid w:val="0044648E"/>
    <w:rsid w:val="0044703B"/>
    <w:rsid w:val="0044714D"/>
    <w:rsid w:val="0044749E"/>
    <w:rsid w:val="00447CC9"/>
    <w:rsid w:val="00447F55"/>
    <w:rsid w:val="004509DE"/>
    <w:rsid w:val="00450A97"/>
    <w:rsid w:val="0045116F"/>
    <w:rsid w:val="00451341"/>
    <w:rsid w:val="004518AB"/>
    <w:rsid w:val="00451BEB"/>
    <w:rsid w:val="004520B8"/>
    <w:rsid w:val="00452C0D"/>
    <w:rsid w:val="0045315D"/>
    <w:rsid w:val="00453195"/>
    <w:rsid w:val="00453450"/>
    <w:rsid w:val="00453665"/>
    <w:rsid w:val="0045383B"/>
    <w:rsid w:val="00453B6F"/>
    <w:rsid w:val="00453DB2"/>
    <w:rsid w:val="00453EE4"/>
    <w:rsid w:val="00453F83"/>
    <w:rsid w:val="00453FA2"/>
    <w:rsid w:val="00454372"/>
    <w:rsid w:val="0045519E"/>
    <w:rsid w:val="004558BE"/>
    <w:rsid w:val="00455E7B"/>
    <w:rsid w:val="00456458"/>
    <w:rsid w:val="00456621"/>
    <w:rsid w:val="004568A6"/>
    <w:rsid w:val="00456B5A"/>
    <w:rsid w:val="004577D9"/>
    <w:rsid w:val="0045792C"/>
    <w:rsid w:val="00457978"/>
    <w:rsid w:val="00457AB5"/>
    <w:rsid w:val="00457C2D"/>
    <w:rsid w:val="00457C65"/>
    <w:rsid w:val="00457ED9"/>
    <w:rsid w:val="00457F3E"/>
    <w:rsid w:val="00460491"/>
    <w:rsid w:val="004605C6"/>
    <w:rsid w:val="0046193F"/>
    <w:rsid w:val="00461A38"/>
    <w:rsid w:val="00461E23"/>
    <w:rsid w:val="004620AD"/>
    <w:rsid w:val="004623A3"/>
    <w:rsid w:val="00463093"/>
    <w:rsid w:val="00463B17"/>
    <w:rsid w:val="00463D49"/>
    <w:rsid w:val="00463D5C"/>
    <w:rsid w:val="00464296"/>
    <w:rsid w:val="0046577F"/>
    <w:rsid w:val="00465AC8"/>
    <w:rsid w:val="00465D92"/>
    <w:rsid w:val="004662A0"/>
    <w:rsid w:val="004669C9"/>
    <w:rsid w:val="00466A67"/>
    <w:rsid w:val="00466B16"/>
    <w:rsid w:val="00466C28"/>
    <w:rsid w:val="004673F6"/>
    <w:rsid w:val="00467468"/>
    <w:rsid w:val="00467965"/>
    <w:rsid w:val="00467CD1"/>
    <w:rsid w:val="00467E61"/>
    <w:rsid w:val="004701D3"/>
    <w:rsid w:val="00470593"/>
    <w:rsid w:val="00470A21"/>
    <w:rsid w:val="00470C0B"/>
    <w:rsid w:val="004710DA"/>
    <w:rsid w:val="0047122E"/>
    <w:rsid w:val="0047139A"/>
    <w:rsid w:val="00471C38"/>
    <w:rsid w:val="00471C5D"/>
    <w:rsid w:val="00472A1D"/>
    <w:rsid w:val="00472B13"/>
    <w:rsid w:val="00472BFB"/>
    <w:rsid w:val="00472F02"/>
    <w:rsid w:val="004731CE"/>
    <w:rsid w:val="004737FD"/>
    <w:rsid w:val="004741A3"/>
    <w:rsid w:val="00474397"/>
    <w:rsid w:val="004743D1"/>
    <w:rsid w:val="0047489F"/>
    <w:rsid w:val="00475090"/>
    <w:rsid w:val="004751DE"/>
    <w:rsid w:val="00475CC3"/>
    <w:rsid w:val="0047693C"/>
    <w:rsid w:val="00477002"/>
    <w:rsid w:val="00477156"/>
    <w:rsid w:val="0047783F"/>
    <w:rsid w:val="004778A2"/>
    <w:rsid w:val="00477C41"/>
    <w:rsid w:val="004804E3"/>
    <w:rsid w:val="00480599"/>
    <w:rsid w:val="00480A6E"/>
    <w:rsid w:val="004810B9"/>
    <w:rsid w:val="004812E0"/>
    <w:rsid w:val="004815C3"/>
    <w:rsid w:val="00481727"/>
    <w:rsid w:val="00481CFF"/>
    <w:rsid w:val="00481E4B"/>
    <w:rsid w:val="00481FAA"/>
    <w:rsid w:val="00482523"/>
    <w:rsid w:val="00482642"/>
    <w:rsid w:val="00482C75"/>
    <w:rsid w:val="00483423"/>
    <w:rsid w:val="00483863"/>
    <w:rsid w:val="00483D91"/>
    <w:rsid w:val="00483EA3"/>
    <w:rsid w:val="00484022"/>
    <w:rsid w:val="004841AA"/>
    <w:rsid w:val="004844BD"/>
    <w:rsid w:val="004846EB"/>
    <w:rsid w:val="00484EE5"/>
    <w:rsid w:val="004853DB"/>
    <w:rsid w:val="004859EF"/>
    <w:rsid w:val="00485D13"/>
    <w:rsid w:val="00486D6A"/>
    <w:rsid w:val="00486E33"/>
    <w:rsid w:val="004871EB"/>
    <w:rsid w:val="0048728F"/>
    <w:rsid w:val="004873C5"/>
    <w:rsid w:val="004873FC"/>
    <w:rsid w:val="00487AB4"/>
    <w:rsid w:val="00487BCD"/>
    <w:rsid w:val="00487BFE"/>
    <w:rsid w:val="00490293"/>
    <w:rsid w:val="004904D7"/>
    <w:rsid w:val="00490C48"/>
    <w:rsid w:val="00490E13"/>
    <w:rsid w:val="00490EA5"/>
    <w:rsid w:val="00490ECB"/>
    <w:rsid w:val="004912CF"/>
    <w:rsid w:val="00491472"/>
    <w:rsid w:val="0049178C"/>
    <w:rsid w:val="004918D2"/>
    <w:rsid w:val="00491A46"/>
    <w:rsid w:val="00491BB1"/>
    <w:rsid w:val="00491D79"/>
    <w:rsid w:val="00491ED1"/>
    <w:rsid w:val="00492553"/>
    <w:rsid w:val="00492598"/>
    <w:rsid w:val="00492CFB"/>
    <w:rsid w:val="00492F42"/>
    <w:rsid w:val="004930EE"/>
    <w:rsid w:val="00493236"/>
    <w:rsid w:val="00493324"/>
    <w:rsid w:val="004934DF"/>
    <w:rsid w:val="00493FE8"/>
    <w:rsid w:val="00494095"/>
    <w:rsid w:val="00494491"/>
    <w:rsid w:val="004945E0"/>
    <w:rsid w:val="00495136"/>
    <w:rsid w:val="004953FE"/>
    <w:rsid w:val="0049577A"/>
    <w:rsid w:val="00495C91"/>
    <w:rsid w:val="00495E70"/>
    <w:rsid w:val="004968F8"/>
    <w:rsid w:val="0049698F"/>
    <w:rsid w:val="00496F03"/>
    <w:rsid w:val="00497094"/>
    <w:rsid w:val="00497E58"/>
    <w:rsid w:val="00497F9E"/>
    <w:rsid w:val="004A0DF1"/>
    <w:rsid w:val="004A15CE"/>
    <w:rsid w:val="004A16AD"/>
    <w:rsid w:val="004A1789"/>
    <w:rsid w:val="004A257E"/>
    <w:rsid w:val="004A2EE2"/>
    <w:rsid w:val="004A31D5"/>
    <w:rsid w:val="004A3784"/>
    <w:rsid w:val="004A4058"/>
    <w:rsid w:val="004A40B4"/>
    <w:rsid w:val="004A465E"/>
    <w:rsid w:val="004A495E"/>
    <w:rsid w:val="004A5498"/>
    <w:rsid w:val="004A54AA"/>
    <w:rsid w:val="004A66B2"/>
    <w:rsid w:val="004A6733"/>
    <w:rsid w:val="004A6B93"/>
    <w:rsid w:val="004A7E82"/>
    <w:rsid w:val="004A7F49"/>
    <w:rsid w:val="004B026E"/>
    <w:rsid w:val="004B0E8F"/>
    <w:rsid w:val="004B16CD"/>
    <w:rsid w:val="004B1E8B"/>
    <w:rsid w:val="004B208D"/>
    <w:rsid w:val="004B29D7"/>
    <w:rsid w:val="004B3289"/>
    <w:rsid w:val="004B37F8"/>
    <w:rsid w:val="004B3B61"/>
    <w:rsid w:val="004B40AA"/>
    <w:rsid w:val="004B4228"/>
    <w:rsid w:val="004B447D"/>
    <w:rsid w:val="004B4B40"/>
    <w:rsid w:val="004B4BCA"/>
    <w:rsid w:val="004B4DE9"/>
    <w:rsid w:val="004B4F40"/>
    <w:rsid w:val="004B5192"/>
    <w:rsid w:val="004B53C8"/>
    <w:rsid w:val="004B55F8"/>
    <w:rsid w:val="004B57C5"/>
    <w:rsid w:val="004B5EB1"/>
    <w:rsid w:val="004B605A"/>
    <w:rsid w:val="004B6334"/>
    <w:rsid w:val="004B6823"/>
    <w:rsid w:val="004B68DA"/>
    <w:rsid w:val="004B6954"/>
    <w:rsid w:val="004B7AE4"/>
    <w:rsid w:val="004B7FC0"/>
    <w:rsid w:val="004C007F"/>
    <w:rsid w:val="004C03BF"/>
    <w:rsid w:val="004C042B"/>
    <w:rsid w:val="004C05A3"/>
    <w:rsid w:val="004C06D9"/>
    <w:rsid w:val="004C07DD"/>
    <w:rsid w:val="004C07E7"/>
    <w:rsid w:val="004C0E00"/>
    <w:rsid w:val="004C0F43"/>
    <w:rsid w:val="004C0FAD"/>
    <w:rsid w:val="004C1093"/>
    <w:rsid w:val="004C17BD"/>
    <w:rsid w:val="004C1B67"/>
    <w:rsid w:val="004C1C7D"/>
    <w:rsid w:val="004C1C9F"/>
    <w:rsid w:val="004C26D9"/>
    <w:rsid w:val="004C28B8"/>
    <w:rsid w:val="004C2CDE"/>
    <w:rsid w:val="004C329C"/>
    <w:rsid w:val="004C3338"/>
    <w:rsid w:val="004C33EC"/>
    <w:rsid w:val="004C34E8"/>
    <w:rsid w:val="004C357E"/>
    <w:rsid w:val="004C3A4A"/>
    <w:rsid w:val="004C4151"/>
    <w:rsid w:val="004C415C"/>
    <w:rsid w:val="004C41E3"/>
    <w:rsid w:val="004C4273"/>
    <w:rsid w:val="004C43E9"/>
    <w:rsid w:val="004C4A52"/>
    <w:rsid w:val="004C4C84"/>
    <w:rsid w:val="004C54E3"/>
    <w:rsid w:val="004C5810"/>
    <w:rsid w:val="004C6D42"/>
    <w:rsid w:val="004C7C65"/>
    <w:rsid w:val="004C7D6A"/>
    <w:rsid w:val="004C7DC7"/>
    <w:rsid w:val="004D02DC"/>
    <w:rsid w:val="004D037B"/>
    <w:rsid w:val="004D20ED"/>
    <w:rsid w:val="004D2968"/>
    <w:rsid w:val="004D29D7"/>
    <w:rsid w:val="004D2F08"/>
    <w:rsid w:val="004D3199"/>
    <w:rsid w:val="004D3272"/>
    <w:rsid w:val="004D35B8"/>
    <w:rsid w:val="004D35FE"/>
    <w:rsid w:val="004D3E0A"/>
    <w:rsid w:val="004D3EC5"/>
    <w:rsid w:val="004D4198"/>
    <w:rsid w:val="004D49D5"/>
    <w:rsid w:val="004D5AB0"/>
    <w:rsid w:val="004D5C91"/>
    <w:rsid w:val="004D5E13"/>
    <w:rsid w:val="004D5EC6"/>
    <w:rsid w:val="004D6197"/>
    <w:rsid w:val="004D6535"/>
    <w:rsid w:val="004D68F6"/>
    <w:rsid w:val="004D73CC"/>
    <w:rsid w:val="004D7A70"/>
    <w:rsid w:val="004D7B5B"/>
    <w:rsid w:val="004D7DD4"/>
    <w:rsid w:val="004E0210"/>
    <w:rsid w:val="004E0930"/>
    <w:rsid w:val="004E0B4A"/>
    <w:rsid w:val="004E0EB0"/>
    <w:rsid w:val="004E0F08"/>
    <w:rsid w:val="004E1139"/>
    <w:rsid w:val="004E115D"/>
    <w:rsid w:val="004E23F2"/>
    <w:rsid w:val="004E23FC"/>
    <w:rsid w:val="004E24CD"/>
    <w:rsid w:val="004E2552"/>
    <w:rsid w:val="004E2ABB"/>
    <w:rsid w:val="004E3469"/>
    <w:rsid w:val="004E34E4"/>
    <w:rsid w:val="004E37D1"/>
    <w:rsid w:val="004E386B"/>
    <w:rsid w:val="004E39A8"/>
    <w:rsid w:val="004E3A0D"/>
    <w:rsid w:val="004E3B71"/>
    <w:rsid w:val="004E3BDC"/>
    <w:rsid w:val="004E3ECA"/>
    <w:rsid w:val="004E3EEF"/>
    <w:rsid w:val="004E4520"/>
    <w:rsid w:val="004E4C52"/>
    <w:rsid w:val="004E4F79"/>
    <w:rsid w:val="004E50A2"/>
    <w:rsid w:val="004E5BEF"/>
    <w:rsid w:val="004E62E8"/>
    <w:rsid w:val="004E63BB"/>
    <w:rsid w:val="004E66E3"/>
    <w:rsid w:val="004E6CDA"/>
    <w:rsid w:val="004E6CE2"/>
    <w:rsid w:val="004E6F11"/>
    <w:rsid w:val="004E70A9"/>
    <w:rsid w:val="004E7821"/>
    <w:rsid w:val="004E7EB4"/>
    <w:rsid w:val="004F063C"/>
    <w:rsid w:val="004F0B4D"/>
    <w:rsid w:val="004F0CB2"/>
    <w:rsid w:val="004F1AE9"/>
    <w:rsid w:val="004F1B76"/>
    <w:rsid w:val="004F1C97"/>
    <w:rsid w:val="004F1F86"/>
    <w:rsid w:val="004F2032"/>
    <w:rsid w:val="004F22A5"/>
    <w:rsid w:val="004F257B"/>
    <w:rsid w:val="004F2BF8"/>
    <w:rsid w:val="004F2C21"/>
    <w:rsid w:val="004F2C4D"/>
    <w:rsid w:val="004F3AD9"/>
    <w:rsid w:val="004F3D07"/>
    <w:rsid w:val="004F403E"/>
    <w:rsid w:val="004F40D2"/>
    <w:rsid w:val="004F4189"/>
    <w:rsid w:val="004F4CAD"/>
    <w:rsid w:val="004F4ED2"/>
    <w:rsid w:val="004F54F0"/>
    <w:rsid w:val="004F558C"/>
    <w:rsid w:val="004F55A6"/>
    <w:rsid w:val="004F5802"/>
    <w:rsid w:val="004F5CAE"/>
    <w:rsid w:val="004F6602"/>
    <w:rsid w:val="004F6659"/>
    <w:rsid w:val="004F671E"/>
    <w:rsid w:val="004F6994"/>
    <w:rsid w:val="004F7FAC"/>
    <w:rsid w:val="004F7FCB"/>
    <w:rsid w:val="005000D3"/>
    <w:rsid w:val="0050069A"/>
    <w:rsid w:val="005006DE"/>
    <w:rsid w:val="00500723"/>
    <w:rsid w:val="00500B35"/>
    <w:rsid w:val="00500D49"/>
    <w:rsid w:val="00500E9A"/>
    <w:rsid w:val="005015B5"/>
    <w:rsid w:val="00502A09"/>
    <w:rsid w:val="00502DB2"/>
    <w:rsid w:val="00502E75"/>
    <w:rsid w:val="00502FF0"/>
    <w:rsid w:val="0050358B"/>
    <w:rsid w:val="005037D5"/>
    <w:rsid w:val="0050393C"/>
    <w:rsid w:val="00504282"/>
    <w:rsid w:val="005043A5"/>
    <w:rsid w:val="005051FD"/>
    <w:rsid w:val="00505A25"/>
    <w:rsid w:val="0050607C"/>
    <w:rsid w:val="0050611A"/>
    <w:rsid w:val="00506231"/>
    <w:rsid w:val="00506262"/>
    <w:rsid w:val="005062CC"/>
    <w:rsid w:val="0050650F"/>
    <w:rsid w:val="00506903"/>
    <w:rsid w:val="00506D86"/>
    <w:rsid w:val="00506EAD"/>
    <w:rsid w:val="0050725D"/>
    <w:rsid w:val="005073E4"/>
    <w:rsid w:val="005075B6"/>
    <w:rsid w:val="00507890"/>
    <w:rsid w:val="0051012B"/>
    <w:rsid w:val="005101C2"/>
    <w:rsid w:val="00510B48"/>
    <w:rsid w:val="00511007"/>
    <w:rsid w:val="005110CE"/>
    <w:rsid w:val="0051152D"/>
    <w:rsid w:val="0051166C"/>
    <w:rsid w:val="005116CD"/>
    <w:rsid w:val="00511891"/>
    <w:rsid w:val="00511A4E"/>
    <w:rsid w:val="00511A7A"/>
    <w:rsid w:val="00511AC7"/>
    <w:rsid w:val="0051284C"/>
    <w:rsid w:val="00512C9B"/>
    <w:rsid w:val="00512CA0"/>
    <w:rsid w:val="00513347"/>
    <w:rsid w:val="005133F9"/>
    <w:rsid w:val="00513514"/>
    <w:rsid w:val="0051405C"/>
    <w:rsid w:val="00514C95"/>
    <w:rsid w:val="00514EF0"/>
    <w:rsid w:val="00515036"/>
    <w:rsid w:val="005151C4"/>
    <w:rsid w:val="0051529C"/>
    <w:rsid w:val="005153A4"/>
    <w:rsid w:val="005153F1"/>
    <w:rsid w:val="00515862"/>
    <w:rsid w:val="00515EEF"/>
    <w:rsid w:val="00515F28"/>
    <w:rsid w:val="00515FCB"/>
    <w:rsid w:val="005164EA"/>
    <w:rsid w:val="00516587"/>
    <w:rsid w:val="005169F6"/>
    <w:rsid w:val="00516C96"/>
    <w:rsid w:val="005175D6"/>
    <w:rsid w:val="0051768C"/>
    <w:rsid w:val="00517A32"/>
    <w:rsid w:val="00517A60"/>
    <w:rsid w:val="00517A74"/>
    <w:rsid w:val="00517B90"/>
    <w:rsid w:val="00520017"/>
    <w:rsid w:val="00520471"/>
    <w:rsid w:val="0052087D"/>
    <w:rsid w:val="00520C5E"/>
    <w:rsid w:val="00520D23"/>
    <w:rsid w:val="00520DFB"/>
    <w:rsid w:val="0052148B"/>
    <w:rsid w:val="00521A24"/>
    <w:rsid w:val="00521BFF"/>
    <w:rsid w:val="00521DD7"/>
    <w:rsid w:val="00522228"/>
    <w:rsid w:val="005224D9"/>
    <w:rsid w:val="0052259C"/>
    <w:rsid w:val="00522A2C"/>
    <w:rsid w:val="00522D6E"/>
    <w:rsid w:val="00522D9E"/>
    <w:rsid w:val="00523241"/>
    <w:rsid w:val="0052342E"/>
    <w:rsid w:val="00523515"/>
    <w:rsid w:val="00523645"/>
    <w:rsid w:val="005239FE"/>
    <w:rsid w:val="00523A0E"/>
    <w:rsid w:val="00523DC7"/>
    <w:rsid w:val="005241CD"/>
    <w:rsid w:val="005246FE"/>
    <w:rsid w:val="005249BB"/>
    <w:rsid w:val="00525111"/>
    <w:rsid w:val="00525F81"/>
    <w:rsid w:val="00526BBD"/>
    <w:rsid w:val="00527042"/>
    <w:rsid w:val="00527348"/>
    <w:rsid w:val="005274AF"/>
    <w:rsid w:val="00527B1C"/>
    <w:rsid w:val="00527D77"/>
    <w:rsid w:val="00527E38"/>
    <w:rsid w:val="00527E75"/>
    <w:rsid w:val="00530175"/>
    <w:rsid w:val="00530233"/>
    <w:rsid w:val="0053084F"/>
    <w:rsid w:val="00531477"/>
    <w:rsid w:val="00531AAB"/>
    <w:rsid w:val="0053267F"/>
    <w:rsid w:val="00532730"/>
    <w:rsid w:val="0053296C"/>
    <w:rsid w:val="00532D3C"/>
    <w:rsid w:val="00533510"/>
    <w:rsid w:val="00533685"/>
    <w:rsid w:val="00534274"/>
    <w:rsid w:val="0053434B"/>
    <w:rsid w:val="00534648"/>
    <w:rsid w:val="0053477E"/>
    <w:rsid w:val="00534836"/>
    <w:rsid w:val="00534846"/>
    <w:rsid w:val="0053517A"/>
    <w:rsid w:val="0053521E"/>
    <w:rsid w:val="00535785"/>
    <w:rsid w:val="00535FC1"/>
    <w:rsid w:val="00535FDF"/>
    <w:rsid w:val="00536375"/>
    <w:rsid w:val="00536C42"/>
    <w:rsid w:val="00536E0E"/>
    <w:rsid w:val="00537242"/>
    <w:rsid w:val="005372CE"/>
    <w:rsid w:val="005373E9"/>
    <w:rsid w:val="00537A2A"/>
    <w:rsid w:val="00537D3F"/>
    <w:rsid w:val="005406E7"/>
    <w:rsid w:val="0054191A"/>
    <w:rsid w:val="00541AC1"/>
    <w:rsid w:val="00541C67"/>
    <w:rsid w:val="005422EF"/>
    <w:rsid w:val="005427FD"/>
    <w:rsid w:val="00542901"/>
    <w:rsid w:val="00542C1C"/>
    <w:rsid w:val="00543703"/>
    <w:rsid w:val="00543958"/>
    <w:rsid w:val="00543DD2"/>
    <w:rsid w:val="00544F96"/>
    <w:rsid w:val="005465E0"/>
    <w:rsid w:val="0054665A"/>
    <w:rsid w:val="00546715"/>
    <w:rsid w:val="005469D6"/>
    <w:rsid w:val="00546E6C"/>
    <w:rsid w:val="00546FDC"/>
    <w:rsid w:val="005476B8"/>
    <w:rsid w:val="00547B9A"/>
    <w:rsid w:val="00547C98"/>
    <w:rsid w:val="00550333"/>
    <w:rsid w:val="0055047A"/>
    <w:rsid w:val="00550F98"/>
    <w:rsid w:val="0055117A"/>
    <w:rsid w:val="00551975"/>
    <w:rsid w:val="00551C63"/>
    <w:rsid w:val="005521AA"/>
    <w:rsid w:val="00552B50"/>
    <w:rsid w:val="0055307B"/>
    <w:rsid w:val="00553202"/>
    <w:rsid w:val="0055352D"/>
    <w:rsid w:val="00554504"/>
    <w:rsid w:val="00554B67"/>
    <w:rsid w:val="00554F1C"/>
    <w:rsid w:val="005554E0"/>
    <w:rsid w:val="00555913"/>
    <w:rsid w:val="005559E4"/>
    <w:rsid w:val="00556083"/>
    <w:rsid w:val="005560AA"/>
    <w:rsid w:val="00556751"/>
    <w:rsid w:val="00556CB7"/>
    <w:rsid w:val="00556F0B"/>
    <w:rsid w:val="0055723D"/>
    <w:rsid w:val="00560CEC"/>
    <w:rsid w:val="00560DFA"/>
    <w:rsid w:val="00560EC5"/>
    <w:rsid w:val="00560FE3"/>
    <w:rsid w:val="005612FC"/>
    <w:rsid w:val="0056187F"/>
    <w:rsid w:val="00561F20"/>
    <w:rsid w:val="00562542"/>
    <w:rsid w:val="005625CA"/>
    <w:rsid w:val="00562629"/>
    <w:rsid w:val="00562801"/>
    <w:rsid w:val="00562DB4"/>
    <w:rsid w:val="00562EEB"/>
    <w:rsid w:val="00562FF6"/>
    <w:rsid w:val="00564209"/>
    <w:rsid w:val="00564836"/>
    <w:rsid w:val="00564A03"/>
    <w:rsid w:val="0056590C"/>
    <w:rsid w:val="005660EE"/>
    <w:rsid w:val="005668A5"/>
    <w:rsid w:val="0056690B"/>
    <w:rsid w:val="00566A26"/>
    <w:rsid w:val="00566B1F"/>
    <w:rsid w:val="00566B22"/>
    <w:rsid w:val="005672BA"/>
    <w:rsid w:val="005707DD"/>
    <w:rsid w:val="00570A8D"/>
    <w:rsid w:val="00570AB9"/>
    <w:rsid w:val="00570CC3"/>
    <w:rsid w:val="00571252"/>
    <w:rsid w:val="00571649"/>
    <w:rsid w:val="005719E4"/>
    <w:rsid w:val="00571E9A"/>
    <w:rsid w:val="0057218E"/>
    <w:rsid w:val="00572B25"/>
    <w:rsid w:val="00572C30"/>
    <w:rsid w:val="00572C37"/>
    <w:rsid w:val="00572EA0"/>
    <w:rsid w:val="00573607"/>
    <w:rsid w:val="00573808"/>
    <w:rsid w:val="00573C6F"/>
    <w:rsid w:val="005742C4"/>
    <w:rsid w:val="0057495F"/>
    <w:rsid w:val="00574E53"/>
    <w:rsid w:val="00574EA3"/>
    <w:rsid w:val="00574EA5"/>
    <w:rsid w:val="005751CC"/>
    <w:rsid w:val="00575655"/>
    <w:rsid w:val="00575F15"/>
    <w:rsid w:val="0057613D"/>
    <w:rsid w:val="0057664C"/>
    <w:rsid w:val="00576CC1"/>
    <w:rsid w:val="00576ECC"/>
    <w:rsid w:val="00577138"/>
    <w:rsid w:val="005774DB"/>
    <w:rsid w:val="00577521"/>
    <w:rsid w:val="005800B1"/>
    <w:rsid w:val="0058034A"/>
    <w:rsid w:val="005809FE"/>
    <w:rsid w:val="00580F9D"/>
    <w:rsid w:val="00581043"/>
    <w:rsid w:val="0058170F"/>
    <w:rsid w:val="005817F1"/>
    <w:rsid w:val="0058185B"/>
    <w:rsid w:val="00581C1C"/>
    <w:rsid w:val="00581CDF"/>
    <w:rsid w:val="0058248F"/>
    <w:rsid w:val="005825C3"/>
    <w:rsid w:val="00582A09"/>
    <w:rsid w:val="005830C3"/>
    <w:rsid w:val="00583415"/>
    <w:rsid w:val="005836AC"/>
    <w:rsid w:val="005840B3"/>
    <w:rsid w:val="0058443F"/>
    <w:rsid w:val="0058469C"/>
    <w:rsid w:val="00584C0C"/>
    <w:rsid w:val="00584CDF"/>
    <w:rsid w:val="005850E2"/>
    <w:rsid w:val="00585495"/>
    <w:rsid w:val="005856AE"/>
    <w:rsid w:val="005860F0"/>
    <w:rsid w:val="00586105"/>
    <w:rsid w:val="005866EC"/>
    <w:rsid w:val="00587069"/>
    <w:rsid w:val="005872B7"/>
    <w:rsid w:val="0058796F"/>
    <w:rsid w:val="00590296"/>
    <w:rsid w:val="0059035A"/>
    <w:rsid w:val="00590C60"/>
    <w:rsid w:val="00590FB8"/>
    <w:rsid w:val="0059124F"/>
    <w:rsid w:val="0059180D"/>
    <w:rsid w:val="005919C1"/>
    <w:rsid w:val="00591F4F"/>
    <w:rsid w:val="0059260F"/>
    <w:rsid w:val="00592C88"/>
    <w:rsid w:val="00592CDC"/>
    <w:rsid w:val="0059390A"/>
    <w:rsid w:val="005946CA"/>
    <w:rsid w:val="005947C6"/>
    <w:rsid w:val="00594AB7"/>
    <w:rsid w:val="00594E20"/>
    <w:rsid w:val="00595672"/>
    <w:rsid w:val="005957D9"/>
    <w:rsid w:val="00596F8C"/>
    <w:rsid w:val="005970C0"/>
    <w:rsid w:val="005979C4"/>
    <w:rsid w:val="00597F2E"/>
    <w:rsid w:val="005A00B3"/>
    <w:rsid w:val="005A00B4"/>
    <w:rsid w:val="005A01A0"/>
    <w:rsid w:val="005A01FA"/>
    <w:rsid w:val="005A01FB"/>
    <w:rsid w:val="005A0549"/>
    <w:rsid w:val="005A05B7"/>
    <w:rsid w:val="005A06DA"/>
    <w:rsid w:val="005A08A2"/>
    <w:rsid w:val="005A0A14"/>
    <w:rsid w:val="005A0A60"/>
    <w:rsid w:val="005A0C80"/>
    <w:rsid w:val="005A185F"/>
    <w:rsid w:val="005A1BBA"/>
    <w:rsid w:val="005A1C26"/>
    <w:rsid w:val="005A234A"/>
    <w:rsid w:val="005A293F"/>
    <w:rsid w:val="005A2C7D"/>
    <w:rsid w:val="005A2F00"/>
    <w:rsid w:val="005A337B"/>
    <w:rsid w:val="005A3914"/>
    <w:rsid w:val="005A402B"/>
    <w:rsid w:val="005A4171"/>
    <w:rsid w:val="005A4566"/>
    <w:rsid w:val="005A4BCE"/>
    <w:rsid w:val="005A4ED3"/>
    <w:rsid w:val="005A5835"/>
    <w:rsid w:val="005A5985"/>
    <w:rsid w:val="005A686D"/>
    <w:rsid w:val="005A70E8"/>
    <w:rsid w:val="005A756A"/>
    <w:rsid w:val="005A77A1"/>
    <w:rsid w:val="005A7D0B"/>
    <w:rsid w:val="005A7D14"/>
    <w:rsid w:val="005B000D"/>
    <w:rsid w:val="005B01E3"/>
    <w:rsid w:val="005B060C"/>
    <w:rsid w:val="005B06F8"/>
    <w:rsid w:val="005B07E0"/>
    <w:rsid w:val="005B0DFB"/>
    <w:rsid w:val="005B2521"/>
    <w:rsid w:val="005B27DA"/>
    <w:rsid w:val="005B2D72"/>
    <w:rsid w:val="005B31C0"/>
    <w:rsid w:val="005B34BA"/>
    <w:rsid w:val="005B35F1"/>
    <w:rsid w:val="005B37CD"/>
    <w:rsid w:val="005B3FF1"/>
    <w:rsid w:val="005B4D93"/>
    <w:rsid w:val="005B51AE"/>
    <w:rsid w:val="005B63AA"/>
    <w:rsid w:val="005B69FB"/>
    <w:rsid w:val="005B6C2A"/>
    <w:rsid w:val="005B7326"/>
    <w:rsid w:val="005B7C71"/>
    <w:rsid w:val="005B7F92"/>
    <w:rsid w:val="005C0132"/>
    <w:rsid w:val="005C05D8"/>
    <w:rsid w:val="005C063E"/>
    <w:rsid w:val="005C0953"/>
    <w:rsid w:val="005C0BF3"/>
    <w:rsid w:val="005C0FD2"/>
    <w:rsid w:val="005C100E"/>
    <w:rsid w:val="005C11B0"/>
    <w:rsid w:val="005C146F"/>
    <w:rsid w:val="005C1925"/>
    <w:rsid w:val="005C1A55"/>
    <w:rsid w:val="005C28E2"/>
    <w:rsid w:val="005C2F01"/>
    <w:rsid w:val="005C2F52"/>
    <w:rsid w:val="005C31C8"/>
    <w:rsid w:val="005C356D"/>
    <w:rsid w:val="005C3F80"/>
    <w:rsid w:val="005C4111"/>
    <w:rsid w:val="005C4232"/>
    <w:rsid w:val="005C4BD5"/>
    <w:rsid w:val="005C4D08"/>
    <w:rsid w:val="005C5115"/>
    <w:rsid w:val="005C5295"/>
    <w:rsid w:val="005C5689"/>
    <w:rsid w:val="005C58FD"/>
    <w:rsid w:val="005C5B36"/>
    <w:rsid w:val="005C5C34"/>
    <w:rsid w:val="005C5CB6"/>
    <w:rsid w:val="005C5D7F"/>
    <w:rsid w:val="005C5E50"/>
    <w:rsid w:val="005C6E9F"/>
    <w:rsid w:val="005C71A9"/>
    <w:rsid w:val="005C794B"/>
    <w:rsid w:val="005C7DAE"/>
    <w:rsid w:val="005C7DB8"/>
    <w:rsid w:val="005D009C"/>
    <w:rsid w:val="005D05E7"/>
    <w:rsid w:val="005D132E"/>
    <w:rsid w:val="005D1459"/>
    <w:rsid w:val="005D1494"/>
    <w:rsid w:val="005D1531"/>
    <w:rsid w:val="005D166D"/>
    <w:rsid w:val="005D17EB"/>
    <w:rsid w:val="005D1D91"/>
    <w:rsid w:val="005D22CE"/>
    <w:rsid w:val="005D23AF"/>
    <w:rsid w:val="005D29EE"/>
    <w:rsid w:val="005D29FF"/>
    <w:rsid w:val="005D36CD"/>
    <w:rsid w:val="005D3807"/>
    <w:rsid w:val="005D4036"/>
    <w:rsid w:val="005D4D7B"/>
    <w:rsid w:val="005D5317"/>
    <w:rsid w:val="005D53D2"/>
    <w:rsid w:val="005D552C"/>
    <w:rsid w:val="005D55C7"/>
    <w:rsid w:val="005D5933"/>
    <w:rsid w:val="005D5A94"/>
    <w:rsid w:val="005D6217"/>
    <w:rsid w:val="005D6729"/>
    <w:rsid w:val="005D6CFA"/>
    <w:rsid w:val="005D6E95"/>
    <w:rsid w:val="005D79DF"/>
    <w:rsid w:val="005D7BF9"/>
    <w:rsid w:val="005E0093"/>
    <w:rsid w:val="005E07EE"/>
    <w:rsid w:val="005E07F5"/>
    <w:rsid w:val="005E09FC"/>
    <w:rsid w:val="005E15A6"/>
    <w:rsid w:val="005E1BED"/>
    <w:rsid w:val="005E1BFD"/>
    <w:rsid w:val="005E1DC3"/>
    <w:rsid w:val="005E1EC7"/>
    <w:rsid w:val="005E2482"/>
    <w:rsid w:val="005E35EF"/>
    <w:rsid w:val="005E43DB"/>
    <w:rsid w:val="005E474E"/>
    <w:rsid w:val="005E4861"/>
    <w:rsid w:val="005E48CF"/>
    <w:rsid w:val="005E4BD7"/>
    <w:rsid w:val="005E56BF"/>
    <w:rsid w:val="005E608F"/>
    <w:rsid w:val="005E611C"/>
    <w:rsid w:val="005E61AA"/>
    <w:rsid w:val="005E640E"/>
    <w:rsid w:val="005E66DC"/>
    <w:rsid w:val="005E672B"/>
    <w:rsid w:val="005E6B09"/>
    <w:rsid w:val="005E6B90"/>
    <w:rsid w:val="005E6BF3"/>
    <w:rsid w:val="005E7C9E"/>
    <w:rsid w:val="005E7DC5"/>
    <w:rsid w:val="005E7E79"/>
    <w:rsid w:val="005F01A4"/>
    <w:rsid w:val="005F072A"/>
    <w:rsid w:val="005F0FA6"/>
    <w:rsid w:val="005F10B7"/>
    <w:rsid w:val="005F1235"/>
    <w:rsid w:val="005F13E2"/>
    <w:rsid w:val="005F1596"/>
    <w:rsid w:val="005F16B6"/>
    <w:rsid w:val="005F1CD7"/>
    <w:rsid w:val="005F2057"/>
    <w:rsid w:val="005F206F"/>
    <w:rsid w:val="005F26E7"/>
    <w:rsid w:val="005F281F"/>
    <w:rsid w:val="005F29A5"/>
    <w:rsid w:val="005F308B"/>
    <w:rsid w:val="005F3100"/>
    <w:rsid w:val="005F35B3"/>
    <w:rsid w:val="005F3A6B"/>
    <w:rsid w:val="005F41C7"/>
    <w:rsid w:val="005F43A8"/>
    <w:rsid w:val="005F4533"/>
    <w:rsid w:val="005F47C2"/>
    <w:rsid w:val="005F484C"/>
    <w:rsid w:val="005F4902"/>
    <w:rsid w:val="005F5CFF"/>
    <w:rsid w:val="005F67F0"/>
    <w:rsid w:val="005F77CA"/>
    <w:rsid w:val="005F7854"/>
    <w:rsid w:val="005F7B39"/>
    <w:rsid w:val="006003CD"/>
    <w:rsid w:val="00600845"/>
    <w:rsid w:val="00600AF3"/>
    <w:rsid w:val="006018A9"/>
    <w:rsid w:val="00601E6E"/>
    <w:rsid w:val="0060210D"/>
    <w:rsid w:val="00602D4A"/>
    <w:rsid w:val="006033FA"/>
    <w:rsid w:val="0060357E"/>
    <w:rsid w:val="00603693"/>
    <w:rsid w:val="0060372C"/>
    <w:rsid w:val="006037E1"/>
    <w:rsid w:val="006039A5"/>
    <w:rsid w:val="00603A81"/>
    <w:rsid w:val="00603B1E"/>
    <w:rsid w:val="00603C62"/>
    <w:rsid w:val="00604088"/>
    <w:rsid w:val="0060467C"/>
    <w:rsid w:val="006047FD"/>
    <w:rsid w:val="00604993"/>
    <w:rsid w:val="0060561D"/>
    <w:rsid w:val="006058CF"/>
    <w:rsid w:val="00605979"/>
    <w:rsid w:val="006059C6"/>
    <w:rsid w:val="00605C0A"/>
    <w:rsid w:val="00606473"/>
    <w:rsid w:val="0060684E"/>
    <w:rsid w:val="006069D4"/>
    <w:rsid w:val="00606ACE"/>
    <w:rsid w:val="0060755C"/>
    <w:rsid w:val="0060785D"/>
    <w:rsid w:val="00607A79"/>
    <w:rsid w:val="00607BDB"/>
    <w:rsid w:val="00607F5F"/>
    <w:rsid w:val="00610273"/>
    <w:rsid w:val="006103B5"/>
    <w:rsid w:val="0061073A"/>
    <w:rsid w:val="006107BE"/>
    <w:rsid w:val="0061098B"/>
    <w:rsid w:val="0061112A"/>
    <w:rsid w:val="006111C9"/>
    <w:rsid w:val="00611294"/>
    <w:rsid w:val="00611B2E"/>
    <w:rsid w:val="00611F3C"/>
    <w:rsid w:val="00611F8C"/>
    <w:rsid w:val="00612350"/>
    <w:rsid w:val="006123AB"/>
    <w:rsid w:val="006123FD"/>
    <w:rsid w:val="00612455"/>
    <w:rsid w:val="0061286E"/>
    <w:rsid w:val="00612D58"/>
    <w:rsid w:val="00613296"/>
    <w:rsid w:val="006133CF"/>
    <w:rsid w:val="00614FBD"/>
    <w:rsid w:val="00614FF7"/>
    <w:rsid w:val="006150E9"/>
    <w:rsid w:val="006152E3"/>
    <w:rsid w:val="00615829"/>
    <w:rsid w:val="0061628B"/>
    <w:rsid w:val="0061635F"/>
    <w:rsid w:val="00616D49"/>
    <w:rsid w:val="00616DDB"/>
    <w:rsid w:val="00617710"/>
    <w:rsid w:val="00617BF6"/>
    <w:rsid w:val="00617D8E"/>
    <w:rsid w:val="00620059"/>
    <w:rsid w:val="00620334"/>
    <w:rsid w:val="00620B8A"/>
    <w:rsid w:val="00621516"/>
    <w:rsid w:val="006222DA"/>
    <w:rsid w:val="006223FD"/>
    <w:rsid w:val="006226E9"/>
    <w:rsid w:val="00622828"/>
    <w:rsid w:val="00622914"/>
    <w:rsid w:val="00622EBF"/>
    <w:rsid w:val="0062342C"/>
    <w:rsid w:val="00623CFD"/>
    <w:rsid w:val="00624422"/>
    <w:rsid w:val="006245A7"/>
    <w:rsid w:val="00624BE3"/>
    <w:rsid w:val="00625084"/>
    <w:rsid w:val="00625256"/>
    <w:rsid w:val="0062536E"/>
    <w:rsid w:val="0062593F"/>
    <w:rsid w:val="00625DF5"/>
    <w:rsid w:val="00625EA3"/>
    <w:rsid w:val="00626327"/>
    <w:rsid w:val="00626416"/>
    <w:rsid w:val="00626643"/>
    <w:rsid w:val="00627235"/>
    <w:rsid w:val="00627A45"/>
    <w:rsid w:val="00627AA1"/>
    <w:rsid w:val="00627C2B"/>
    <w:rsid w:val="00627DF3"/>
    <w:rsid w:val="00630151"/>
    <w:rsid w:val="00630382"/>
    <w:rsid w:val="006304A1"/>
    <w:rsid w:val="006304A9"/>
    <w:rsid w:val="00630785"/>
    <w:rsid w:val="00630A45"/>
    <w:rsid w:val="00631736"/>
    <w:rsid w:val="00631D95"/>
    <w:rsid w:val="00631F8F"/>
    <w:rsid w:val="006324CB"/>
    <w:rsid w:val="00632D18"/>
    <w:rsid w:val="00632E8E"/>
    <w:rsid w:val="00632EA0"/>
    <w:rsid w:val="00633FB6"/>
    <w:rsid w:val="00633FBA"/>
    <w:rsid w:val="00634E94"/>
    <w:rsid w:val="006357CA"/>
    <w:rsid w:val="00635E93"/>
    <w:rsid w:val="006360D8"/>
    <w:rsid w:val="0063613D"/>
    <w:rsid w:val="006365AA"/>
    <w:rsid w:val="00636846"/>
    <w:rsid w:val="006369E4"/>
    <w:rsid w:val="0063702B"/>
    <w:rsid w:val="00637183"/>
    <w:rsid w:val="00637A3B"/>
    <w:rsid w:val="00637D72"/>
    <w:rsid w:val="006402A5"/>
    <w:rsid w:val="0064051D"/>
    <w:rsid w:val="00640D40"/>
    <w:rsid w:val="00641080"/>
    <w:rsid w:val="006412AC"/>
    <w:rsid w:val="00641565"/>
    <w:rsid w:val="00641B9D"/>
    <w:rsid w:val="00641D62"/>
    <w:rsid w:val="00641F9A"/>
    <w:rsid w:val="0064231F"/>
    <w:rsid w:val="0064246C"/>
    <w:rsid w:val="00642639"/>
    <w:rsid w:val="006426C2"/>
    <w:rsid w:val="00642895"/>
    <w:rsid w:val="006429B3"/>
    <w:rsid w:val="00642A5A"/>
    <w:rsid w:val="00643084"/>
    <w:rsid w:val="006430CE"/>
    <w:rsid w:val="006433C1"/>
    <w:rsid w:val="006436ED"/>
    <w:rsid w:val="006439A4"/>
    <w:rsid w:val="00643A1C"/>
    <w:rsid w:val="00643D5D"/>
    <w:rsid w:val="00644130"/>
    <w:rsid w:val="0064439D"/>
    <w:rsid w:val="00644F21"/>
    <w:rsid w:val="006450C7"/>
    <w:rsid w:val="00645317"/>
    <w:rsid w:val="006454B6"/>
    <w:rsid w:val="00646837"/>
    <w:rsid w:val="00646AD8"/>
    <w:rsid w:val="00647020"/>
    <w:rsid w:val="0064798F"/>
    <w:rsid w:val="00647EF7"/>
    <w:rsid w:val="00650BC4"/>
    <w:rsid w:val="00650CE4"/>
    <w:rsid w:val="00650CE8"/>
    <w:rsid w:val="00651122"/>
    <w:rsid w:val="00651287"/>
    <w:rsid w:val="00651A17"/>
    <w:rsid w:val="0065208B"/>
    <w:rsid w:val="006520DB"/>
    <w:rsid w:val="0065213E"/>
    <w:rsid w:val="0065232C"/>
    <w:rsid w:val="00652820"/>
    <w:rsid w:val="00652C41"/>
    <w:rsid w:val="00653006"/>
    <w:rsid w:val="00653035"/>
    <w:rsid w:val="006534AA"/>
    <w:rsid w:val="006536B2"/>
    <w:rsid w:val="006536ED"/>
    <w:rsid w:val="006543E1"/>
    <w:rsid w:val="006547A9"/>
    <w:rsid w:val="00654E6F"/>
    <w:rsid w:val="006550C3"/>
    <w:rsid w:val="006554E4"/>
    <w:rsid w:val="00655CDE"/>
    <w:rsid w:val="00655CF1"/>
    <w:rsid w:val="006568B2"/>
    <w:rsid w:val="0065694A"/>
    <w:rsid w:val="00656A4D"/>
    <w:rsid w:val="00656F31"/>
    <w:rsid w:val="00657741"/>
    <w:rsid w:val="00657B9A"/>
    <w:rsid w:val="006602DA"/>
    <w:rsid w:val="00660412"/>
    <w:rsid w:val="006604FD"/>
    <w:rsid w:val="0066086E"/>
    <w:rsid w:val="00660CFD"/>
    <w:rsid w:val="00660EF2"/>
    <w:rsid w:val="00661177"/>
    <w:rsid w:val="006617F0"/>
    <w:rsid w:val="00661EB1"/>
    <w:rsid w:val="0066244B"/>
    <w:rsid w:val="00662EE2"/>
    <w:rsid w:val="00663A79"/>
    <w:rsid w:val="00663B3C"/>
    <w:rsid w:val="00664236"/>
    <w:rsid w:val="006644F3"/>
    <w:rsid w:val="00664A26"/>
    <w:rsid w:val="00664E7D"/>
    <w:rsid w:val="0066572F"/>
    <w:rsid w:val="00665731"/>
    <w:rsid w:val="00665A73"/>
    <w:rsid w:val="00665D0D"/>
    <w:rsid w:val="00665DDE"/>
    <w:rsid w:val="00666156"/>
    <w:rsid w:val="00666183"/>
    <w:rsid w:val="0066618F"/>
    <w:rsid w:val="00666981"/>
    <w:rsid w:val="00666999"/>
    <w:rsid w:val="00666B36"/>
    <w:rsid w:val="00666C3B"/>
    <w:rsid w:val="00666D57"/>
    <w:rsid w:val="00667458"/>
    <w:rsid w:val="00670621"/>
    <w:rsid w:val="00670C77"/>
    <w:rsid w:val="006717A0"/>
    <w:rsid w:val="0067181B"/>
    <w:rsid w:val="006721DB"/>
    <w:rsid w:val="00672A62"/>
    <w:rsid w:val="00672D6F"/>
    <w:rsid w:val="00672E25"/>
    <w:rsid w:val="0067341F"/>
    <w:rsid w:val="00673587"/>
    <w:rsid w:val="00674127"/>
    <w:rsid w:val="0067426A"/>
    <w:rsid w:val="006746D2"/>
    <w:rsid w:val="00674FF0"/>
    <w:rsid w:val="00675308"/>
    <w:rsid w:val="00675822"/>
    <w:rsid w:val="00675EC0"/>
    <w:rsid w:val="00675F5F"/>
    <w:rsid w:val="006763BB"/>
    <w:rsid w:val="00676894"/>
    <w:rsid w:val="00676A38"/>
    <w:rsid w:val="00676AD1"/>
    <w:rsid w:val="00676B8B"/>
    <w:rsid w:val="00676D84"/>
    <w:rsid w:val="00677428"/>
    <w:rsid w:val="00677DD0"/>
    <w:rsid w:val="00680736"/>
    <w:rsid w:val="00680899"/>
    <w:rsid w:val="00680915"/>
    <w:rsid w:val="00680C6A"/>
    <w:rsid w:val="00680D9B"/>
    <w:rsid w:val="00680F55"/>
    <w:rsid w:val="00682147"/>
    <w:rsid w:val="006823D6"/>
    <w:rsid w:val="0068253E"/>
    <w:rsid w:val="00682598"/>
    <w:rsid w:val="00682808"/>
    <w:rsid w:val="00682A8A"/>
    <w:rsid w:val="00682D9E"/>
    <w:rsid w:val="00683ED1"/>
    <w:rsid w:val="00683FBD"/>
    <w:rsid w:val="00684976"/>
    <w:rsid w:val="006849A2"/>
    <w:rsid w:val="006849E6"/>
    <w:rsid w:val="00685236"/>
    <w:rsid w:val="006853C3"/>
    <w:rsid w:val="006853D0"/>
    <w:rsid w:val="006859A5"/>
    <w:rsid w:val="00685B86"/>
    <w:rsid w:val="00685E62"/>
    <w:rsid w:val="00685FB0"/>
    <w:rsid w:val="00686014"/>
    <w:rsid w:val="00686212"/>
    <w:rsid w:val="00686288"/>
    <w:rsid w:val="0068645B"/>
    <w:rsid w:val="00686B9C"/>
    <w:rsid w:val="00686BEB"/>
    <w:rsid w:val="00686CE4"/>
    <w:rsid w:val="0068703B"/>
    <w:rsid w:val="006870EB"/>
    <w:rsid w:val="00687832"/>
    <w:rsid w:val="00687EB2"/>
    <w:rsid w:val="00690211"/>
    <w:rsid w:val="00690247"/>
    <w:rsid w:val="00690388"/>
    <w:rsid w:val="00690478"/>
    <w:rsid w:val="00690561"/>
    <w:rsid w:val="00690658"/>
    <w:rsid w:val="00690EAA"/>
    <w:rsid w:val="00691A9B"/>
    <w:rsid w:val="00691DC1"/>
    <w:rsid w:val="00691EEF"/>
    <w:rsid w:val="00692261"/>
    <w:rsid w:val="0069270D"/>
    <w:rsid w:val="0069277A"/>
    <w:rsid w:val="00692936"/>
    <w:rsid w:val="00692ABD"/>
    <w:rsid w:val="00692E20"/>
    <w:rsid w:val="006931FE"/>
    <w:rsid w:val="00693D59"/>
    <w:rsid w:val="00693FAB"/>
    <w:rsid w:val="0069410C"/>
    <w:rsid w:val="0069485B"/>
    <w:rsid w:val="00694862"/>
    <w:rsid w:val="00694A7F"/>
    <w:rsid w:val="00695146"/>
    <w:rsid w:val="006953F2"/>
    <w:rsid w:val="0069595E"/>
    <w:rsid w:val="006959A6"/>
    <w:rsid w:val="00695B37"/>
    <w:rsid w:val="0069635D"/>
    <w:rsid w:val="0069655F"/>
    <w:rsid w:val="006967FC"/>
    <w:rsid w:val="00696B38"/>
    <w:rsid w:val="00696B64"/>
    <w:rsid w:val="00696C57"/>
    <w:rsid w:val="00697397"/>
    <w:rsid w:val="00697807"/>
    <w:rsid w:val="0069787A"/>
    <w:rsid w:val="00697D3A"/>
    <w:rsid w:val="00697F3D"/>
    <w:rsid w:val="00697F84"/>
    <w:rsid w:val="006A03CF"/>
    <w:rsid w:val="006A0C2D"/>
    <w:rsid w:val="006A1A7C"/>
    <w:rsid w:val="006A1BC9"/>
    <w:rsid w:val="006A2092"/>
    <w:rsid w:val="006A2192"/>
    <w:rsid w:val="006A223C"/>
    <w:rsid w:val="006A2E33"/>
    <w:rsid w:val="006A3A0F"/>
    <w:rsid w:val="006A4CD8"/>
    <w:rsid w:val="006A5724"/>
    <w:rsid w:val="006A57FE"/>
    <w:rsid w:val="006A5C4B"/>
    <w:rsid w:val="006A5C62"/>
    <w:rsid w:val="006A6578"/>
    <w:rsid w:val="006A768B"/>
    <w:rsid w:val="006A7ED7"/>
    <w:rsid w:val="006B02D3"/>
    <w:rsid w:val="006B0759"/>
    <w:rsid w:val="006B0883"/>
    <w:rsid w:val="006B08A0"/>
    <w:rsid w:val="006B0B9E"/>
    <w:rsid w:val="006B0D4C"/>
    <w:rsid w:val="006B0DAB"/>
    <w:rsid w:val="006B0EAD"/>
    <w:rsid w:val="006B10C6"/>
    <w:rsid w:val="006B12A3"/>
    <w:rsid w:val="006B178B"/>
    <w:rsid w:val="006B18AD"/>
    <w:rsid w:val="006B1DBD"/>
    <w:rsid w:val="006B1E62"/>
    <w:rsid w:val="006B2343"/>
    <w:rsid w:val="006B2881"/>
    <w:rsid w:val="006B2D80"/>
    <w:rsid w:val="006B2D90"/>
    <w:rsid w:val="006B352A"/>
    <w:rsid w:val="006B3985"/>
    <w:rsid w:val="006B3CED"/>
    <w:rsid w:val="006B3FD6"/>
    <w:rsid w:val="006B40F7"/>
    <w:rsid w:val="006B47C6"/>
    <w:rsid w:val="006B5076"/>
    <w:rsid w:val="006B555A"/>
    <w:rsid w:val="006B5B00"/>
    <w:rsid w:val="006B6026"/>
    <w:rsid w:val="006B65E4"/>
    <w:rsid w:val="006B6736"/>
    <w:rsid w:val="006B685C"/>
    <w:rsid w:val="006B69A3"/>
    <w:rsid w:val="006B7DB7"/>
    <w:rsid w:val="006B7FEC"/>
    <w:rsid w:val="006C0F3D"/>
    <w:rsid w:val="006C1920"/>
    <w:rsid w:val="006C1AC4"/>
    <w:rsid w:val="006C1D84"/>
    <w:rsid w:val="006C2264"/>
    <w:rsid w:val="006C2C67"/>
    <w:rsid w:val="006C33D9"/>
    <w:rsid w:val="006C33FA"/>
    <w:rsid w:val="006C3AD4"/>
    <w:rsid w:val="006C3D49"/>
    <w:rsid w:val="006C4002"/>
    <w:rsid w:val="006C444A"/>
    <w:rsid w:val="006C47CB"/>
    <w:rsid w:val="006C54BE"/>
    <w:rsid w:val="006C5A84"/>
    <w:rsid w:val="006C5B5F"/>
    <w:rsid w:val="006C67E4"/>
    <w:rsid w:val="006C715E"/>
    <w:rsid w:val="006C7475"/>
    <w:rsid w:val="006C77C8"/>
    <w:rsid w:val="006D0096"/>
    <w:rsid w:val="006D0587"/>
    <w:rsid w:val="006D06C6"/>
    <w:rsid w:val="006D08A1"/>
    <w:rsid w:val="006D0A0E"/>
    <w:rsid w:val="006D1A06"/>
    <w:rsid w:val="006D240A"/>
    <w:rsid w:val="006D2DA0"/>
    <w:rsid w:val="006D31FC"/>
    <w:rsid w:val="006D3548"/>
    <w:rsid w:val="006D366C"/>
    <w:rsid w:val="006D36EF"/>
    <w:rsid w:val="006D3AD9"/>
    <w:rsid w:val="006D4283"/>
    <w:rsid w:val="006D4455"/>
    <w:rsid w:val="006D45AE"/>
    <w:rsid w:val="006D46E4"/>
    <w:rsid w:val="006D4E7F"/>
    <w:rsid w:val="006D531F"/>
    <w:rsid w:val="006D55DB"/>
    <w:rsid w:val="006D6058"/>
    <w:rsid w:val="006D6144"/>
    <w:rsid w:val="006D63EB"/>
    <w:rsid w:val="006D6506"/>
    <w:rsid w:val="006D6699"/>
    <w:rsid w:val="006D681E"/>
    <w:rsid w:val="006D6A2C"/>
    <w:rsid w:val="006D6F22"/>
    <w:rsid w:val="006D704D"/>
    <w:rsid w:val="006D756B"/>
    <w:rsid w:val="006D7E54"/>
    <w:rsid w:val="006E0374"/>
    <w:rsid w:val="006E056C"/>
    <w:rsid w:val="006E0D80"/>
    <w:rsid w:val="006E0EAD"/>
    <w:rsid w:val="006E0EC5"/>
    <w:rsid w:val="006E10CA"/>
    <w:rsid w:val="006E1132"/>
    <w:rsid w:val="006E172A"/>
    <w:rsid w:val="006E1ADF"/>
    <w:rsid w:val="006E1EE0"/>
    <w:rsid w:val="006E2198"/>
    <w:rsid w:val="006E2C18"/>
    <w:rsid w:val="006E351D"/>
    <w:rsid w:val="006E353F"/>
    <w:rsid w:val="006E36AF"/>
    <w:rsid w:val="006E38C6"/>
    <w:rsid w:val="006E3E86"/>
    <w:rsid w:val="006E4351"/>
    <w:rsid w:val="006E452C"/>
    <w:rsid w:val="006E4A41"/>
    <w:rsid w:val="006E597E"/>
    <w:rsid w:val="006E5CAE"/>
    <w:rsid w:val="006E5CD8"/>
    <w:rsid w:val="006E5F3F"/>
    <w:rsid w:val="006E60C0"/>
    <w:rsid w:val="006E6403"/>
    <w:rsid w:val="006E64BB"/>
    <w:rsid w:val="006E65CA"/>
    <w:rsid w:val="006E671B"/>
    <w:rsid w:val="006E6A30"/>
    <w:rsid w:val="006E6FFD"/>
    <w:rsid w:val="006E75A3"/>
    <w:rsid w:val="006E79C9"/>
    <w:rsid w:val="006E7B29"/>
    <w:rsid w:val="006F01E9"/>
    <w:rsid w:val="006F069F"/>
    <w:rsid w:val="006F06B9"/>
    <w:rsid w:val="006F06F5"/>
    <w:rsid w:val="006F0A72"/>
    <w:rsid w:val="006F1649"/>
    <w:rsid w:val="006F1A06"/>
    <w:rsid w:val="006F1A22"/>
    <w:rsid w:val="006F1FCC"/>
    <w:rsid w:val="006F26F7"/>
    <w:rsid w:val="006F2DA9"/>
    <w:rsid w:val="006F2EFC"/>
    <w:rsid w:val="006F38E8"/>
    <w:rsid w:val="006F3B31"/>
    <w:rsid w:val="006F44C4"/>
    <w:rsid w:val="006F4925"/>
    <w:rsid w:val="006F498F"/>
    <w:rsid w:val="006F553D"/>
    <w:rsid w:val="006F5A3E"/>
    <w:rsid w:val="006F5C93"/>
    <w:rsid w:val="006F67D2"/>
    <w:rsid w:val="006F6BF2"/>
    <w:rsid w:val="006F6F26"/>
    <w:rsid w:val="006F73C5"/>
    <w:rsid w:val="006F7491"/>
    <w:rsid w:val="006F75D7"/>
    <w:rsid w:val="006F784A"/>
    <w:rsid w:val="006F787B"/>
    <w:rsid w:val="006F79A7"/>
    <w:rsid w:val="006F7C55"/>
    <w:rsid w:val="006F7D1E"/>
    <w:rsid w:val="00700084"/>
    <w:rsid w:val="007007DF"/>
    <w:rsid w:val="00700BA1"/>
    <w:rsid w:val="00701490"/>
    <w:rsid w:val="007014C5"/>
    <w:rsid w:val="00701DF3"/>
    <w:rsid w:val="00702261"/>
    <w:rsid w:val="00702521"/>
    <w:rsid w:val="00702A91"/>
    <w:rsid w:val="00702DFD"/>
    <w:rsid w:val="00702F6E"/>
    <w:rsid w:val="0070301B"/>
    <w:rsid w:val="007031B8"/>
    <w:rsid w:val="0070362D"/>
    <w:rsid w:val="00703939"/>
    <w:rsid w:val="007040B5"/>
    <w:rsid w:val="007045C2"/>
    <w:rsid w:val="00704B76"/>
    <w:rsid w:val="0070596E"/>
    <w:rsid w:val="007060E0"/>
    <w:rsid w:val="007069FA"/>
    <w:rsid w:val="00706EA6"/>
    <w:rsid w:val="00706FF0"/>
    <w:rsid w:val="00707138"/>
    <w:rsid w:val="00707A91"/>
    <w:rsid w:val="00707D7A"/>
    <w:rsid w:val="00710EBE"/>
    <w:rsid w:val="00711E5A"/>
    <w:rsid w:val="0071277D"/>
    <w:rsid w:val="00712B1D"/>
    <w:rsid w:val="00712BB2"/>
    <w:rsid w:val="00712E41"/>
    <w:rsid w:val="007131D4"/>
    <w:rsid w:val="0071379D"/>
    <w:rsid w:val="00713F2C"/>
    <w:rsid w:val="00714001"/>
    <w:rsid w:val="007141F9"/>
    <w:rsid w:val="007145CE"/>
    <w:rsid w:val="00714C8D"/>
    <w:rsid w:val="00715411"/>
    <w:rsid w:val="00715466"/>
    <w:rsid w:val="00715C5F"/>
    <w:rsid w:val="00715CFF"/>
    <w:rsid w:val="0071616A"/>
    <w:rsid w:val="00716796"/>
    <w:rsid w:val="00716836"/>
    <w:rsid w:val="00716C42"/>
    <w:rsid w:val="00716F82"/>
    <w:rsid w:val="00717055"/>
    <w:rsid w:val="007170AB"/>
    <w:rsid w:val="007171DD"/>
    <w:rsid w:val="00717FCC"/>
    <w:rsid w:val="007205B6"/>
    <w:rsid w:val="007206EF"/>
    <w:rsid w:val="00720F5E"/>
    <w:rsid w:val="00721286"/>
    <w:rsid w:val="0072137B"/>
    <w:rsid w:val="00721B32"/>
    <w:rsid w:val="00721C66"/>
    <w:rsid w:val="00721DFC"/>
    <w:rsid w:val="00721F77"/>
    <w:rsid w:val="00722077"/>
    <w:rsid w:val="007222EB"/>
    <w:rsid w:val="0072273B"/>
    <w:rsid w:val="00722A2A"/>
    <w:rsid w:val="00723113"/>
    <w:rsid w:val="0072347F"/>
    <w:rsid w:val="007235F1"/>
    <w:rsid w:val="00723601"/>
    <w:rsid w:val="00723A1B"/>
    <w:rsid w:val="00723B6C"/>
    <w:rsid w:val="00724067"/>
    <w:rsid w:val="00724314"/>
    <w:rsid w:val="00724413"/>
    <w:rsid w:val="0072456C"/>
    <w:rsid w:val="007248DD"/>
    <w:rsid w:val="00724DA9"/>
    <w:rsid w:val="007250E5"/>
    <w:rsid w:val="007259D4"/>
    <w:rsid w:val="00726499"/>
    <w:rsid w:val="0072672A"/>
    <w:rsid w:val="0072695A"/>
    <w:rsid w:val="007271BE"/>
    <w:rsid w:val="00727248"/>
    <w:rsid w:val="007272BF"/>
    <w:rsid w:val="00727392"/>
    <w:rsid w:val="0072755A"/>
    <w:rsid w:val="007276F9"/>
    <w:rsid w:val="00727EC5"/>
    <w:rsid w:val="0073028C"/>
    <w:rsid w:val="0073106A"/>
    <w:rsid w:val="0073139E"/>
    <w:rsid w:val="007320C1"/>
    <w:rsid w:val="00732907"/>
    <w:rsid w:val="00732AA7"/>
    <w:rsid w:val="0073306D"/>
    <w:rsid w:val="00733319"/>
    <w:rsid w:val="0073355D"/>
    <w:rsid w:val="00733E73"/>
    <w:rsid w:val="00734174"/>
    <w:rsid w:val="0073419B"/>
    <w:rsid w:val="007347B8"/>
    <w:rsid w:val="00735269"/>
    <w:rsid w:val="00735353"/>
    <w:rsid w:val="007354D6"/>
    <w:rsid w:val="00735542"/>
    <w:rsid w:val="00736A99"/>
    <w:rsid w:val="00737558"/>
    <w:rsid w:val="0073778B"/>
    <w:rsid w:val="007406BB"/>
    <w:rsid w:val="007407D9"/>
    <w:rsid w:val="007409E9"/>
    <w:rsid w:val="00740A6E"/>
    <w:rsid w:val="0074155D"/>
    <w:rsid w:val="0074193B"/>
    <w:rsid w:val="00741A2C"/>
    <w:rsid w:val="00741FE3"/>
    <w:rsid w:val="0074264D"/>
    <w:rsid w:val="00742DED"/>
    <w:rsid w:val="00742EAD"/>
    <w:rsid w:val="00742EEF"/>
    <w:rsid w:val="00743C81"/>
    <w:rsid w:val="00743D0A"/>
    <w:rsid w:val="00743D8F"/>
    <w:rsid w:val="00743E34"/>
    <w:rsid w:val="007445CF"/>
    <w:rsid w:val="00744948"/>
    <w:rsid w:val="00744975"/>
    <w:rsid w:val="007449C2"/>
    <w:rsid w:val="00744FD9"/>
    <w:rsid w:val="0074560A"/>
    <w:rsid w:val="0074563A"/>
    <w:rsid w:val="007460DE"/>
    <w:rsid w:val="0074630D"/>
    <w:rsid w:val="0074721B"/>
    <w:rsid w:val="0074755A"/>
    <w:rsid w:val="007478E5"/>
    <w:rsid w:val="00747A72"/>
    <w:rsid w:val="00747BF6"/>
    <w:rsid w:val="00747CEB"/>
    <w:rsid w:val="0075004B"/>
    <w:rsid w:val="007506B6"/>
    <w:rsid w:val="00750EC7"/>
    <w:rsid w:val="00750F0E"/>
    <w:rsid w:val="00750F81"/>
    <w:rsid w:val="00750FE0"/>
    <w:rsid w:val="00751212"/>
    <w:rsid w:val="00752050"/>
    <w:rsid w:val="00752602"/>
    <w:rsid w:val="00752695"/>
    <w:rsid w:val="00752D14"/>
    <w:rsid w:val="00752E47"/>
    <w:rsid w:val="007530AC"/>
    <w:rsid w:val="00753403"/>
    <w:rsid w:val="00753745"/>
    <w:rsid w:val="00753C93"/>
    <w:rsid w:val="0075436A"/>
    <w:rsid w:val="0075518A"/>
    <w:rsid w:val="007555E3"/>
    <w:rsid w:val="0075561F"/>
    <w:rsid w:val="00755E22"/>
    <w:rsid w:val="00755E4E"/>
    <w:rsid w:val="0075668A"/>
    <w:rsid w:val="00756AA4"/>
    <w:rsid w:val="00756C19"/>
    <w:rsid w:val="00756CD6"/>
    <w:rsid w:val="0075721D"/>
    <w:rsid w:val="007574F6"/>
    <w:rsid w:val="00757C61"/>
    <w:rsid w:val="00757CD9"/>
    <w:rsid w:val="007603D2"/>
    <w:rsid w:val="00760654"/>
    <w:rsid w:val="007609D3"/>
    <w:rsid w:val="007611C5"/>
    <w:rsid w:val="0076131A"/>
    <w:rsid w:val="0076152B"/>
    <w:rsid w:val="00761BE0"/>
    <w:rsid w:val="00761DA2"/>
    <w:rsid w:val="00761E6B"/>
    <w:rsid w:val="007620E3"/>
    <w:rsid w:val="007624EB"/>
    <w:rsid w:val="00762DC9"/>
    <w:rsid w:val="00763481"/>
    <w:rsid w:val="00763552"/>
    <w:rsid w:val="007636FE"/>
    <w:rsid w:val="00763DDE"/>
    <w:rsid w:val="0076407C"/>
    <w:rsid w:val="00764273"/>
    <w:rsid w:val="007647B0"/>
    <w:rsid w:val="00764B1A"/>
    <w:rsid w:val="0076503C"/>
    <w:rsid w:val="00765526"/>
    <w:rsid w:val="0076563D"/>
    <w:rsid w:val="00765C82"/>
    <w:rsid w:val="00766B95"/>
    <w:rsid w:val="00766FC0"/>
    <w:rsid w:val="007671E8"/>
    <w:rsid w:val="0076778D"/>
    <w:rsid w:val="007677EB"/>
    <w:rsid w:val="007679B4"/>
    <w:rsid w:val="00767ADB"/>
    <w:rsid w:val="00767C53"/>
    <w:rsid w:val="00767C88"/>
    <w:rsid w:val="00767D47"/>
    <w:rsid w:val="007706A5"/>
    <w:rsid w:val="00770868"/>
    <w:rsid w:val="00770BCE"/>
    <w:rsid w:val="00770DAD"/>
    <w:rsid w:val="00770E3E"/>
    <w:rsid w:val="0077147D"/>
    <w:rsid w:val="00771C66"/>
    <w:rsid w:val="0077202C"/>
    <w:rsid w:val="007720C7"/>
    <w:rsid w:val="0077211D"/>
    <w:rsid w:val="0077245A"/>
    <w:rsid w:val="00773819"/>
    <w:rsid w:val="00773AC7"/>
    <w:rsid w:val="007741C3"/>
    <w:rsid w:val="00774222"/>
    <w:rsid w:val="0077450F"/>
    <w:rsid w:val="007748AB"/>
    <w:rsid w:val="00774919"/>
    <w:rsid w:val="00774973"/>
    <w:rsid w:val="00774AA1"/>
    <w:rsid w:val="00774B80"/>
    <w:rsid w:val="0077501E"/>
    <w:rsid w:val="00775178"/>
    <w:rsid w:val="0077520E"/>
    <w:rsid w:val="0077556B"/>
    <w:rsid w:val="00775C59"/>
    <w:rsid w:val="00775CC6"/>
    <w:rsid w:val="00775E24"/>
    <w:rsid w:val="00775E50"/>
    <w:rsid w:val="00775FB0"/>
    <w:rsid w:val="007764C1"/>
    <w:rsid w:val="00777B59"/>
    <w:rsid w:val="00777D5B"/>
    <w:rsid w:val="00777F33"/>
    <w:rsid w:val="007809E2"/>
    <w:rsid w:val="007811AF"/>
    <w:rsid w:val="0078162D"/>
    <w:rsid w:val="00781797"/>
    <w:rsid w:val="0078197E"/>
    <w:rsid w:val="00781B5E"/>
    <w:rsid w:val="00781FEB"/>
    <w:rsid w:val="0078249C"/>
    <w:rsid w:val="0078279A"/>
    <w:rsid w:val="007829D7"/>
    <w:rsid w:val="00782A7B"/>
    <w:rsid w:val="00782C6E"/>
    <w:rsid w:val="007835FD"/>
    <w:rsid w:val="00783647"/>
    <w:rsid w:val="00783A85"/>
    <w:rsid w:val="00783B3A"/>
    <w:rsid w:val="00783F78"/>
    <w:rsid w:val="0078485A"/>
    <w:rsid w:val="00784BB7"/>
    <w:rsid w:val="00784F24"/>
    <w:rsid w:val="007858AD"/>
    <w:rsid w:val="00785A8F"/>
    <w:rsid w:val="007865E2"/>
    <w:rsid w:val="00786D5A"/>
    <w:rsid w:val="00786EAA"/>
    <w:rsid w:val="00787A0B"/>
    <w:rsid w:val="007902BC"/>
    <w:rsid w:val="007906A2"/>
    <w:rsid w:val="00790912"/>
    <w:rsid w:val="00790C87"/>
    <w:rsid w:val="00791A32"/>
    <w:rsid w:val="00792302"/>
    <w:rsid w:val="00792704"/>
    <w:rsid w:val="007928E5"/>
    <w:rsid w:val="00792C23"/>
    <w:rsid w:val="00793315"/>
    <w:rsid w:val="0079355B"/>
    <w:rsid w:val="0079372D"/>
    <w:rsid w:val="0079375C"/>
    <w:rsid w:val="0079376C"/>
    <w:rsid w:val="00794633"/>
    <w:rsid w:val="0079496C"/>
    <w:rsid w:val="00794E61"/>
    <w:rsid w:val="007951B9"/>
    <w:rsid w:val="00795451"/>
    <w:rsid w:val="00795BE8"/>
    <w:rsid w:val="00796777"/>
    <w:rsid w:val="007973DA"/>
    <w:rsid w:val="007974D5"/>
    <w:rsid w:val="007978E2"/>
    <w:rsid w:val="00797B6B"/>
    <w:rsid w:val="00797CDD"/>
    <w:rsid w:val="007A0421"/>
    <w:rsid w:val="007A054C"/>
    <w:rsid w:val="007A0D6F"/>
    <w:rsid w:val="007A2F37"/>
    <w:rsid w:val="007A3331"/>
    <w:rsid w:val="007A3498"/>
    <w:rsid w:val="007A37EB"/>
    <w:rsid w:val="007A3A9B"/>
    <w:rsid w:val="007A3C7F"/>
    <w:rsid w:val="007A3F65"/>
    <w:rsid w:val="007A4799"/>
    <w:rsid w:val="007A4B0A"/>
    <w:rsid w:val="007A5182"/>
    <w:rsid w:val="007A577E"/>
    <w:rsid w:val="007A5BE7"/>
    <w:rsid w:val="007A5E1C"/>
    <w:rsid w:val="007A672A"/>
    <w:rsid w:val="007A679F"/>
    <w:rsid w:val="007A6869"/>
    <w:rsid w:val="007A6D9D"/>
    <w:rsid w:val="007A71AE"/>
    <w:rsid w:val="007A72FD"/>
    <w:rsid w:val="007A7342"/>
    <w:rsid w:val="007A7C49"/>
    <w:rsid w:val="007A7E8F"/>
    <w:rsid w:val="007B06D3"/>
    <w:rsid w:val="007B0965"/>
    <w:rsid w:val="007B0B27"/>
    <w:rsid w:val="007B0B81"/>
    <w:rsid w:val="007B0ECF"/>
    <w:rsid w:val="007B16FE"/>
    <w:rsid w:val="007B1A06"/>
    <w:rsid w:val="007B1EA7"/>
    <w:rsid w:val="007B2CE0"/>
    <w:rsid w:val="007B2E8D"/>
    <w:rsid w:val="007B3278"/>
    <w:rsid w:val="007B35CC"/>
    <w:rsid w:val="007B387A"/>
    <w:rsid w:val="007B396D"/>
    <w:rsid w:val="007B4406"/>
    <w:rsid w:val="007B4BAD"/>
    <w:rsid w:val="007B4CD9"/>
    <w:rsid w:val="007B4F61"/>
    <w:rsid w:val="007B5115"/>
    <w:rsid w:val="007B547B"/>
    <w:rsid w:val="007B5518"/>
    <w:rsid w:val="007B5568"/>
    <w:rsid w:val="007B58F9"/>
    <w:rsid w:val="007B5FDA"/>
    <w:rsid w:val="007B62D8"/>
    <w:rsid w:val="007B64D4"/>
    <w:rsid w:val="007B6F7D"/>
    <w:rsid w:val="007B7A91"/>
    <w:rsid w:val="007C0102"/>
    <w:rsid w:val="007C0171"/>
    <w:rsid w:val="007C08F4"/>
    <w:rsid w:val="007C0AF4"/>
    <w:rsid w:val="007C0E1E"/>
    <w:rsid w:val="007C17D8"/>
    <w:rsid w:val="007C1D3D"/>
    <w:rsid w:val="007C1ED9"/>
    <w:rsid w:val="007C2560"/>
    <w:rsid w:val="007C2C9A"/>
    <w:rsid w:val="007C2D2F"/>
    <w:rsid w:val="007C2EDB"/>
    <w:rsid w:val="007C3212"/>
    <w:rsid w:val="007C3397"/>
    <w:rsid w:val="007C38BC"/>
    <w:rsid w:val="007C396D"/>
    <w:rsid w:val="007C3B80"/>
    <w:rsid w:val="007C3C67"/>
    <w:rsid w:val="007C436A"/>
    <w:rsid w:val="007C4677"/>
    <w:rsid w:val="007C4AC6"/>
    <w:rsid w:val="007C4D20"/>
    <w:rsid w:val="007C59F3"/>
    <w:rsid w:val="007C5B16"/>
    <w:rsid w:val="007C6450"/>
    <w:rsid w:val="007C6695"/>
    <w:rsid w:val="007C698D"/>
    <w:rsid w:val="007C7172"/>
    <w:rsid w:val="007C75BF"/>
    <w:rsid w:val="007C7959"/>
    <w:rsid w:val="007C7991"/>
    <w:rsid w:val="007C7B6B"/>
    <w:rsid w:val="007D0176"/>
    <w:rsid w:val="007D0829"/>
    <w:rsid w:val="007D086E"/>
    <w:rsid w:val="007D14E2"/>
    <w:rsid w:val="007D15A6"/>
    <w:rsid w:val="007D189F"/>
    <w:rsid w:val="007D1BEE"/>
    <w:rsid w:val="007D1C3F"/>
    <w:rsid w:val="007D21A6"/>
    <w:rsid w:val="007D26AA"/>
    <w:rsid w:val="007D2917"/>
    <w:rsid w:val="007D2A86"/>
    <w:rsid w:val="007D3D02"/>
    <w:rsid w:val="007D3F9F"/>
    <w:rsid w:val="007D4197"/>
    <w:rsid w:val="007D4366"/>
    <w:rsid w:val="007D45FD"/>
    <w:rsid w:val="007D4CBE"/>
    <w:rsid w:val="007D4E42"/>
    <w:rsid w:val="007D4EAA"/>
    <w:rsid w:val="007D51D5"/>
    <w:rsid w:val="007D541F"/>
    <w:rsid w:val="007D600D"/>
    <w:rsid w:val="007D649A"/>
    <w:rsid w:val="007D6A31"/>
    <w:rsid w:val="007D6B28"/>
    <w:rsid w:val="007D6DB0"/>
    <w:rsid w:val="007D6FF0"/>
    <w:rsid w:val="007D7023"/>
    <w:rsid w:val="007D73E6"/>
    <w:rsid w:val="007D75ED"/>
    <w:rsid w:val="007D7B29"/>
    <w:rsid w:val="007D7C4C"/>
    <w:rsid w:val="007E0459"/>
    <w:rsid w:val="007E0851"/>
    <w:rsid w:val="007E15D2"/>
    <w:rsid w:val="007E19D0"/>
    <w:rsid w:val="007E224C"/>
    <w:rsid w:val="007E255E"/>
    <w:rsid w:val="007E2D4D"/>
    <w:rsid w:val="007E4355"/>
    <w:rsid w:val="007E4EAE"/>
    <w:rsid w:val="007E51BD"/>
    <w:rsid w:val="007E5C7F"/>
    <w:rsid w:val="007E5E75"/>
    <w:rsid w:val="007E6773"/>
    <w:rsid w:val="007E6884"/>
    <w:rsid w:val="007E6BA0"/>
    <w:rsid w:val="007E6D20"/>
    <w:rsid w:val="007E6D78"/>
    <w:rsid w:val="007E6FD0"/>
    <w:rsid w:val="007E724A"/>
    <w:rsid w:val="007E72DD"/>
    <w:rsid w:val="007E7B56"/>
    <w:rsid w:val="007F00EC"/>
    <w:rsid w:val="007F017C"/>
    <w:rsid w:val="007F019E"/>
    <w:rsid w:val="007F050A"/>
    <w:rsid w:val="007F07CE"/>
    <w:rsid w:val="007F0880"/>
    <w:rsid w:val="007F0996"/>
    <w:rsid w:val="007F0C18"/>
    <w:rsid w:val="007F0DC1"/>
    <w:rsid w:val="007F1512"/>
    <w:rsid w:val="007F1530"/>
    <w:rsid w:val="007F1545"/>
    <w:rsid w:val="007F19F9"/>
    <w:rsid w:val="007F21F2"/>
    <w:rsid w:val="007F25FF"/>
    <w:rsid w:val="007F26D1"/>
    <w:rsid w:val="007F27DD"/>
    <w:rsid w:val="007F341E"/>
    <w:rsid w:val="007F34B7"/>
    <w:rsid w:val="007F3DF6"/>
    <w:rsid w:val="007F557B"/>
    <w:rsid w:val="007F57CE"/>
    <w:rsid w:val="007F57E6"/>
    <w:rsid w:val="007F5ADA"/>
    <w:rsid w:val="007F5D2C"/>
    <w:rsid w:val="007F5F8C"/>
    <w:rsid w:val="007F604D"/>
    <w:rsid w:val="007F6FDD"/>
    <w:rsid w:val="007F728B"/>
    <w:rsid w:val="007F72C2"/>
    <w:rsid w:val="007F7763"/>
    <w:rsid w:val="008002ED"/>
    <w:rsid w:val="00800498"/>
    <w:rsid w:val="008005EB"/>
    <w:rsid w:val="00800758"/>
    <w:rsid w:val="00800E55"/>
    <w:rsid w:val="0080171C"/>
    <w:rsid w:val="00801B78"/>
    <w:rsid w:val="00801DF8"/>
    <w:rsid w:val="00802032"/>
    <w:rsid w:val="008020CC"/>
    <w:rsid w:val="008028A9"/>
    <w:rsid w:val="00802C79"/>
    <w:rsid w:val="00802DF5"/>
    <w:rsid w:val="008031DE"/>
    <w:rsid w:val="0080336E"/>
    <w:rsid w:val="00803777"/>
    <w:rsid w:val="008044A3"/>
    <w:rsid w:val="0080486D"/>
    <w:rsid w:val="008048AA"/>
    <w:rsid w:val="008055F7"/>
    <w:rsid w:val="00805A17"/>
    <w:rsid w:val="00805DE7"/>
    <w:rsid w:val="008066EA"/>
    <w:rsid w:val="00806B26"/>
    <w:rsid w:val="008071D5"/>
    <w:rsid w:val="008071D7"/>
    <w:rsid w:val="00807BB9"/>
    <w:rsid w:val="008101EA"/>
    <w:rsid w:val="008104F5"/>
    <w:rsid w:val="008107B6"/>
    <w:rsid w:val="0081089B"/>
    <w:rsid w:val="008109C8"/>
    <w:rsid w:val="00810A5E"/>
    <w:rsid w:val="00810B4A"/>
    <w:rsid w:val="00811072"/>
    <w:rsid w:val="00811109"/>
    <w:rsid w:val="008115A3"/>
    <w:rsid w:val="008116B1"/>
    <w:rsid w:val="00811E53"/>
    <w:rsid w:val="00812431"/>
    <w:rsid w:val="00813608"/>
    <w:rsid w:val="00813B32"/>
    <w:rsid w:val="00813E27"/>
    <w:rsid w:val="00814233"/>
    <w:rsid w:val="0081475E"/>
    <w:rsid w:val="0081508C"/>
    <w:rsid w:val="00815302"/>
    <w:rsid w:val="008155D6"/>
    <w:rsid w:val="00815860"/>
    <w:rsid w:val="00815986"/>
    <w:rsid w:val="00815A8B"/>
    <w:rsid w:val="00815DF1"/>
    <w:rsid w:val="00815F23"/>
    <w:rsid w:val="0081603A"/>
    <w:rsid w:val="00816260"/>
    <w:rsid w:val="00816449"/>
    <w:rsid w:val="00817C86"/>
    <w:rsid w:val="008201DD"/>
    <w:rsid w:val="00820444"/>
    <w:rsid w:val="00820954"/>
    <w:rsid w:val="00820A26"/>
    <w:rsid w:val="00820E6B"/>
    <w:rsid w:val="0082102A"/>
    <w:rsid w:val="008210BB"/>
    <w:rsid w:val="00821459"/>
    <w:rsid w:val="00821613"/>
    <w:rsid w:val="00821B71"/>
    <w:rsid w:val="00821ED0"/>
    <w:rsid w:val="00822913"/>
    <w:rsid w:val="00822AB0"/>
    <w:rsid w:val="00822B10"/>
    <w:rsid w:val="00822C1C"/>
    <w:rsid w:val="00822F3E"/>
    <w:rsid w:val="0082314D"/>
    <w:rsid w:val="0082397E"/>
    <w:rsid w:val="00823A1D"/>
    <w:rsid w:val="00823E1B"/>
    <w:rsid w:val="00824354"/>
    <w:rsid w:val="00824BFB"/>
    <w:rsid w:val="00825E07"/>
    <w:rsid w:val="00825F98"/>
    <w:rsid w:val="00826107"/>
    <w:rsid w:val="00826275"/>
    <w:rsid w:val="00826391"/>
    <w:rsid w:val="00826A23"/>
    <w:rsid w:val="00826CBF"/>
    <w:rsid w:val="00826E5C"/>
    <w:rsid w:val="008271FB"/>
    <w:rsid w:val="008304CA"/>
    <w:rsid w:val="0083060C"/>
    <w:rsid w:val="0083089F"/>
    <w:rsid w:val="00830A26"/>
    <w:rsid w:val="00830BA8"/>
    <w:rsid w:val="00830C0B"/>
    <w:rsid w:val="0083110A"/>
    <w:rsid w:val="0083175A"/>
    <w:rsid w:val="008323FB"/>
    <w:rsid w:val="0083343A"/>
    <w:rsid w:val="008334B8"/>
    <w:rsid w:val="00833C2A"/>
    <w:rsid w:val="0083404B"/>
    <w:rsid w:val="00834146"/>
    <w:rsid w:val="008344CB"/>
    <w:rsid w:val="00834FBB"/>
    <w:rsid w:val="00835664"/>
    <w:rsid w:val="00835C0E"/>
    <w:rsid w:val="008362D2"/>
    <w:rsid w:val="008362D3"/>
    <w:rsid w:val="00836545"/>
    <w:rsid w:val="008371DB"/>
    <w:rsid w:val="00837BAE"/>
    <w:rsid w:val="00837D59"/>
    <w:rsid w:val="0084005B"/>
    <w:rsid w:val="0084010A"/>
    <w:rsid w:val="008402D1"/>
    <w:rsid w:val="008404DC"/>
    <w:rsid w:val="00840A5F"/>
    <w:rsid w:val="00840DFD"/>
    <w:rsid w:val="00840ED8"/>
    <w:rsid w:val="00840F32"/>
    <w:rsid w:val="008413F8"/>
    <w:rsid w:val="008414FC"/>
    <w:rsid w:val="00841524"/>
    <w:rsid w:val="008415A1"/>
    <w:rsid w:val="008420B1"/>
    <w:rsid w:val="00842380"/>
    <w:rsid w:val="008431CB"/>
    <w:rsid w:val="0084333C"/>
    <w:rsid w:val="008434A3"/>
    <w:rsid w:val="00843714"/>
    <w:rsid w:val="00844860"/>
    <w:rsid w:val="00844D7D"/>
    <w:rsid w:val="00844DB0"/>
    <w:rsid w:val="008452BC"/>
    <w:rsid w:val="00845459"/>
    <w:rsid w:val="008455F2"/>
    <w:rsid w:val="00845729"/>
    <w:rsid w:val="00845B9F"/>
    <w:rsid w:val="0084648C"/>
    <w:rsid w:val="00846605"/>
    <w:rsid w:val="008472E0"/>
    <w:rsid w:val="00847CFA"/>
    <w:rsid w:val="00850110"/>
    <w:rsid w:val="008504C5"/>
    <w:rsid w:val="00850FD9"/>
    <w:rsid w:val="008510C7"/>
    <w:rsid w:val="0085117E"/>
    <w:rsid w:val="0085174E"/>
    <w:rsid w:val="00851A23"/>
    <w:rsid w:val="00851D66"/>
    <w:rsid w:val="00851D97"/>
    <w:rsid w:val="00851DE1"/>
    <w:rsid w:val="00852484"/>
    <w:rsid w:val="008526F5"/>
    <w:rsid w:val="008527AF"/>
    <w:rsid w:val="00852F77"/>
    <w:rsid w:val="008533B3"/>
    <w:rsid w:val="008533DA"/>
    <w:rsid w:val="0085347C"/>
    <w:rsid w:val="0085369C"/>
    <w:rsid w:val="008536F9"/>
    <w:rsid w:val="008537B6"/>
    <w:rsid w:val="00853886"/>
    <w:rsid w:val="00853A3A"/>
    <w:rsid w:val="00853AA3"/>
    <w:rsid w:val="00853EB2"/>
    <w:rsid w:val="00853FB7"/>
    <w:rsid w:val="008540A8"/>
    <w:rsid w:val="00854145"/>
    <w:rsid w:val="0085445F"/>
    <w:rsid w:val="00854858"/>
    <w:rsid w:val="00854B59"/>
    <w:rsid w:val="00854BBD"/>
    <w:rsid w:val="00854D77"/>
    <w:rsid w:val="00854D81"/>
    <w:rsid w:val="008554A6"/>
    <w:rsid w:val="008557AD"/>
    <w:rsid w:val="00856D2C"/>
    <w:rsid w:val="0085708D"/>
    <w:rsid w:val="008571B7"/>
    <w:rsid w:val="008571FD"/>
    <w:rsid w:val="008572F8"/>
    <w:rsid w:val="00857550"/>
    <w:rsid w:val="008606D1"/>
    <w:rsid w:val="00860778"/>
    <w:rsid w:val="00860840"/>
    <w:rsid w:val="00860E28"/>
    <w:rsid w:val="00860F0A"/>
    <w:rsid w:val="0086145D"/>
    <w:rsid w:val="0086176D"/>
    <w:rsid w:val="00861B2C"/>
    <w:rsid w:val="008621DD"/>
    <w:rsid w:val="00862281"/>
    <w:rsid w:val="00862BD7"/>
    <w:rsid w:val="00863776"/>
    <w:rsid w:val="00863AFD"/>
    <w:rsid w:val="00863F53"/>
    <w:rsid w:val="00864831"/>
    <w:rsid w:val="00864C35"/>
    <w:rsid w:val="00864F17"/>
    <w:rsid w:val="00864F71"/>
    <w:rsid w:val="008651F3"/>
    <w:rsid w:val="00865ACC"/>
    <w:rsid w:val="00865ADA"/>
    <w:rsid w:val="00865C03"/>
    <w:rsid w:val="00865E02"/>
    <w:rsid w:val="008661EA"/>
    <w:rsid w:val="008665FD"/>
    <w:rsid w:val="00866B81"/>
    <w:rsid w:val="00866FCC"/>
    <w:rsid w:val="008670F5"/>
    <w:rsid w:val="0086716B"/>
    <w:rsid w:val="00867803"/>
    <w:rsid w:val="00870004"/>
    <w:rsid w:val="00870D55"/>
    <w:rsid w:val="00870E79"/>
    <w:rsid w:val="00871041"/>
    <w:rsid w:val="008713C2"/>
    <w:rsid w:val="00871435"/>
    <w:rsid w:val="00871591"/>
    <w:rsid w:val="00871687"/>
    <w:rsid w:val="0087195B"/>
    <w:rsid w:val="008719A7"/>
    <w:rsid w:val="00871DFA"/>
    <w:rsid w:val="0087209E"/>
    <w:rsid w:val="008725AE"/>
    <w:rsid w:val="00872766"/>
    <w:rsid w:val="008732FB"/>
    <w:rsid w:val="0087370F"/>
    <w:rsid w:val="00873A72"/>
    <w:rsid w:val="00873C16"/>
    <w:rsid w:val="00873F4F"/>
    <w:rsid w:val="008743AA"/>
    <w:rsid w:val="008746F2"/>
    <w:rsid w:val="008752DF"/>
    <w:rsid w:val="008756D9"/>
    <w:rsid w:val="008759BA"/>
    <w:rsid w:val="00875C17"/>
    <w:rsid w:val="008764C8"/>
    <w:rsid w:val="008765F5"/>
    <w:rsid w:val="00876DF3"/>
    <w:rsid w:val="00876E92"/>
    <w:rsid w:val="0087701E"/>
    <w:rsid w:val="0087757E"/>
    <w:rsid w:val="0087776F"/>
    <w:rsid w:val="00880081"/>
    <w:rsid w:val="008803F6"/>
    <w:rsid w:val="0088063D"/>
    <w:rsid w:val="008808DB"/>
    <w:rsid w:val="00880FB9"/>
    <w:rsid w:val="00881501"/>
    <w:rsid w:val="00881540"/>
    <w:rsid w:val="0088169C"/>
    <w:rsid w:val="00881B1E"/>
    <w:rsid w:val="00881D8C"/>
    <w:rsid w:val="008825C5"/>
    <w:rsid w:val="008832AF"/>
    <w:rsid w:val="008833B6"/>
    <w:rsid w:val="00883B8D"/>
    <w:rsid w:val="00883D49"/>
    <w:rsid w:val="008842E7"/>
    <w:rsid w:val="00884365"/>
    <w:rsid w:val="008843C4"/>
    <w:rsid w:val="00884679"/>
    <w:rsid w:val="00884708"/>
    <w:rsid w:val="008851C7"/>
    <w:rsid w:val="008857F9"/>
    <w:rsid w:val="00885FCD"/>
    <w:rsid w:val="008864AC"/>
    <w:rsid w:val="008865F9"/>
    <w:rsid w:val="00886883"/>
    <w:rsid w:val="00886AEC"/>
    <w:rsid w:val="00886B04"/>
    <w:rsid w:val="00886DDE"/>
    <w:rsid w:val="00886E2E"/>
    <w:rsid w:val="008871DF"/>
    <w:rsid w:val="008872B3"/>
    <w:rsid w:val="00887980"/>
    <w:rsid w:val="00887A4E"/>
    <w:rsid w:val="00887C95"/>
    <w:rsid w:val="008901C0"/>
    <w:rsid w:val="008902B1"/>
    <w:rsid w:val="008903E8"/>
    <w:rsid w:val="00890591"/>
    <w:rsid w:val="0089072D"/>
    <w:rsid w:val="00890B0E"/>
    <w:rsid w:val="00890E24"/>
    <w:rsid w:val="00890E86"/>
    <w:rsid w:val="008910E7"/>
    <w:rsid w:val="0089135E"/>
    <w:rsid w:val="00891EF9"/>
    <w:rsid w:val="00891FA8"/>
    <w:rsid w:val="0089246C"/>
    <w:rsid w:val="00892576"/>
    <w:rsid w:val="008927DE"/>
    <w:rsid w:val="008929B6"/>
    <w:rsid w:val="00892B50"/>
    <w:rsid w:val="00892F99"/>
    <w:rsid w:val="008931A9"/>
    <w:rsid w:val="00893F32"/>
    <w:rsid w:val="00894A94"/>
    <w:rsid w:val="00895496"/>
    <w:rsid w:val="00895B00"/>
    <w:rsid w:val="00895CD4"/>
    <w:rsid w:val="00895E31"/>
    <w:rsid w:val="0089603D"/>
    <w:rsid w:val="00896097"/>
    <w:rsid w:val="0089609D"/>
    <w:rsid w:val="008965A2"/>
    <w:rsid w:val="0089662E"/>
    <w:rsid w:val="0089687C"/>
    <w:rsid w:val="008978B8"/>
    <w:rsid w:val="00897AD8"/>
    <w:rsid w:val="00897AE2"/>
    <w:rsid w:val="00897AEE"/>
    <w:rsid w:val="00897BF3"/>
    <w:rsid w:val="00897D43"/>
    <w:rsid w:val="00897D64"/>
    <w:rsid w:val="00897FB0"/>
    <w:rsid w:val="008A0031"/>
    <w:rsid w:val="008A0648"/>
    <w:rsid w:val="008A11E3"/>
    <w:rsid w:val="008A13C4"/>
    <w:rsid w:val="008A1E68"/>
    <w:rsid w:val="008A20F0"/>
    <w:rsid w:val="008A2581"/>
    <w:rsid w:val="008A2822"/>
    <w:rsid w:val="008A28A1"/>
    <w:rsid w:val="008A2C9D"/>
    <w:rsid w:val="008A3456"/>
    <w:rsid w:val="008A3CCA"/>
    <w:rsid w:val="008A41AF"/>
    <w:rsid w:val="008A502B"/>
    <w:rsid w:val="008A5201"/>
    <w:rsid w:val="008A5999"/>
    <w:rsid w:val="008A5DC6"/>
    <w:rsid w:val="008A5EF2"/>
    <w:rsid w:val="008A6067"/>
    <w:rsid w:val="008A6493"/>
    <w:rsid w:val="008A6637"/>
    <w:rsid w:val="008A69E2"/>
    <w:rsid w:val="008A6C21"/>
    <w:rsid w:val="008A6EA6"/>
    <w:rsid w:val="008A70FD"/>
    <w:rsid w:val="008A74DE"/>
    <w:rsid w:val="008A7912"/>
    <w:rsid w:val="008A7F51"/>
    <w:rsid w:val="008B010C"/>
    <w:rsid w:val="008B01B0"/>
    <w:rsid w:val="008B0254"/>
    <w:rsid w:val="008B02F8"/>
    <w:rsid w:val="008B03AE"/>
    <w:rsid w:val="008B0956"/>
    <w:rsid w:val="008B0980"/>
    <w:rsid w:val="008B0ED3"/>
    <w:rsid w:val="008B12B1"/>
    <w:rsid w:val="008B1472"/>
    <w:rsid w:val="008B153B"/>
    <w:rsid w:val="008B1988"/>
    <w:rsid w:val="008B1D13"/>
    <w:rsid w:val="008B1D5C"/>
    <w:rsid w:val="008B200F"/>
    <w:rsid w:val="008B2592"/>
    <w:rsid w:val="008B264D"/>
    <w:rsid w:val="008B27FA"/>
    <w:rsid w:val="008B2E8F"/>
    <w:rsid w:val="008B2F16"/>
    <w:rsid w:val="008B30C0"/>
    <w:rsid w:val="008B3B59"/>
    <w:rsid w:val="008B43F5"/>
    <w:rsid w:val="008B468F"/>
    <w:rsid w:val="008B5178"/>
    <w:rsid w:val="008B5C4D"/>
    <w:rsid w:val="008B5CA2"/>
    <w:rsid w:val="008B5ED2"/>
    <w:rsid w:val="008B6437"/>
    <w:rsid w:val="008B656A"/>
    <w:rsid w:val="008B6AF1"/>
    <w:rsid w:val="008B79F8"/>
    <w:rsid w:val="008B7DD8"/>
    <w:rsid w:val="008C039F"/>
    <w:rsid w:val="008C06C9"/>
    <w:rsid w:val="008C07B0"/>
    <w:rsid w:val="008C0A3E"/>
    <w:rsid w:val="008C0AA9"/>
    <w:rsid w:val="008C0BC3"/>
    <w:rsid w:val="008C1060"/>
    <w:rsid w:val="008C1EE7"/>
    <w:rsid w:val="008C1F31"/>
    <w:rsid w:val="008C2253"/>
    <w:rsid w:val="008C2756"/>
    <w:rsid w:val="008C2D21"/>
    <w:rsid w:val="008C2F0E"/>
    <w:rsid w:val="008C39F1"/>
    <w:rsid w:val="008C3D4A"/>
    <w:rsid w:val="008C3F13"/>
    <w:rsid w:val="008C40EF"/>
    <w:rsid w:val="008C4901"/>
    <w:rsid w:val="008C49F9"/>
    <w:rsid w:val="008C4A33"/>
    <w:rsid w:val="008C4A66"/>
    <w:rsid w:val="008C5032"/>
    <w:rsid w:val="008C5133"/>
    <w:rsid w:val="008C5407"/>
    <w:rsid w:val="008C5C45"/>
    <w:rsid w:val="008C5F07"/>
    <w:rsid w:val="008C6256"/>
    <w:rsid w:val="008C695A"/>
    <w:rsid w:val="008C6A08"/>
    <w:rsid w:val="008C6B27"/>
    <w:rsid w:val="008C6C49"/>
    <w:rsid w:val="008C6D09"/>
    <w:rsid w:val="008C6D35"/>
    <w:rsid w:val="008C710A"/>
    <w:rsid w:val="008C73B6"/>
    <w:rsid w:val="008C74CF"/>
    <w:rsid w:val="008C7570"/>
    <w:rsid w:val="008C771C"/>
    <w:rsid w:val="008C77A4"/>
    <w:rsid w:val="008C7C81"/>
    <w:rsid w:val="008D0161"/>
    <w:rsid w:val="008D0249"/>
    <w:rsid w:val="008D03F3"/>
    <w:rsid w:val="008D0450"/>
    <w:rsid w:val="008D0816"/>
    <w:rsid w:val="008D0DE1"/>
    <w:rsid w:val="008D1391"/>
    <w:rsid w:val="008D16C5"/>
    <w:rsid w:val="008D1985"/>
    <w:rsid w:val="008D1F9B"/>
    <w:rsid w:val="008D25CC"/>
    <w:rsid w:val="008D2DF1"/>
    <w:rsid w:val="008D3054"/>
    <w:rsid w:val="008D3900"/>
    <w:rsid w:val="008D39BB"/>
    <w:rsid w:val="008D3BCE"/>
    <w:rsid w:val="008D3EA1"/>
    <w:rsid w:val="008D3F1E"/>
    <w:rsid w:val="008D4E70"/>
    <w:rsid w:val="008D58C1"/>
    <w:rsid w:val="008D601A"/>
    <w:rsid w:val="008D633F"/>
    <w:rsid w:val="008D652E"/>
    <w:rsid w:val="008D6577"/>
    <w:rsid w:val="008D6A2F"/>
    <w:rsid w:val="008D6B08"/>
    <w:rsid w:val="008D6B0C"/>
    <w:rsid w:val="008D71E0"/>
    <w:rsid w:val="008D784C"/>
    <w:rsid w:val="008D797B"/>
    <w:rsid w:val="008D7E4A"/>
    <w:rsid w:val="008E0220"/>
    <w:rsid w:val="008E0A28"/>
    <w:rsid w:val="008E0F0A"/>
    <w:rsid w:val="008E1122"/>
    <w:rsid w:val="008E1150"/>
    <w:rsid w:val="008E16B6"/>
    <w:rsid w:val="008E174D"/>
    <w:rsid w:val="008E2B31"/>
    <w:rsid w:val="008E332A"/>
    <w:rsid w:val="008E3400"/>
    <w:rsid w:val="008E3873"/>
    <w:rsid w:val="008E392F"/>
    <w:rsid w:val="008E4121"/>
    <w:rsid w:val="008E47E8"/>
    <w:rsid w:val="008E4E60"/>
    <w:rsid w:val="008E4F0B"/>
    <w:rsid w:val="008E522F"/>
    <w:rsid w:val="008E5537"/>
    <w:rsid w:val="008E55CC"/>
    <w:rsid w:val="008E5712"/>
    <w:rsid w:val="008E5CEF"/>
    <w:rsid w:val="008E5DB0"/>
    <w:rsid w:val="008E7133"/>
    <w:rsid w:val="008E7509"/>
    <w:rsid w:val="008E7932"/>
    <w:rsid w:val="008E7DCC"/>
    <w:rsid w:val="008F1160"/>
    <w:rsid w:val="008F1D32"/>
    <w:rsid w:val="008F226F"/>
    <w:rsid w:val="008F229D"/>
    <w:rsid w:val="008F27E6"/>
    <w:rsid w:val="008F2D26"/>
    <w:rsid w:val="008F37EA"/>
    <w:rsid w:val="008F45F3"/>
    <w:rsid w:val="008F46D0"/>
    <w:rsid w:val="008F4C00"/>
    <w:rsid w:val="008F4D5F"/>
    <w:rsid w:val="008F52BF"/>
    <w:rsid w:val="008F5DB0"/>
    <w:rsid w:val="008F654E"/>
    <w:rsid w:val="008F6840"/>
    <w:rsid w:val="008F68D5"/>
    <w:rsid w:val="008F6D68"/>
    <w:rsid w:val="008F6F54"/>
    <w:rsid w:val="008F71ED"/>
    <w:rsid w:val="008F7573"/>
    <w:rsid w:val="008F7614"/>
    <w:rsid w:val="008F767A"/>
    <w:rsid w:val="008F790F"/>
    <w:rsid w:val="008F7F49"/>
    <w:rsid w:val="0090003F"/>
    <w:rsid w:val="0090106A"/>
    <w:rsid w:val="00901F59"/>
    <w:rsid w:val="00902553"/>
    <w:rsid w:val="009025AA"/>
    <w:rsid w:val="009033B0"/>
    <w:rsid w:val="0090367E"/>
    <w:rsid w:val="0090377C"/>
    <w:rsid w:val="00904074"/>
    <w:rsid w:val="009045C5"/>
    <w:rsid w:val="009045FA"/>
    <w:rsid w:val="009054DB"/>
    <w:rsid w:val="00905AB0"/>
    <w:rsid w:val="009064B8"/>
    <w:rsid w:val="0090685E"/>
    <w:rsid w:val="00906BBD"/>
    <w:rsid w:val="00906D38"/>
    <w:rsid w:val="00906E20"/>
    <w:rsid w:val="00907C6C"/>
    <w:rsid w:val="00907D26"/>
    <w:rsid w:val="009100BF"/>
    <w:rsid w:val="009102FB"/>
    <w:rsid w:val="00910537"/>
    <w:rsid w:val="00910724"/>
    <w:rsid w:val="00910DB8"/>
    <w:rsid w:val="00911299"/>
    <w:rsid w:val="00911F53"/>
    <w:rsid w:val="0091223B"/>
    <w:rsid w:val="0091235B"/>
    <w:rsid w:val="009125C1"/>
    <w:rsid w:val="0091285E"/>
    <w:rsid w:val="00912C93"/>
    <w:rsid w:val="00912E40"/>
    <w:rsid w:val="00912E81"/>
    <w:rsid w:val="00912EE2"/>
    <w:rsid w:val="00913200"/>
    <w:rsid w:val="00913649"/>
    <w:rsid w:val="0091366F"/>
    <w:rsid w:val="00913D9A"/>
    <w:rsid w:val="00914373"/>
    <w:rsid w:val="0091500A"/>
    <w:rsid w:val="009150CE"/>
    <w:rsid w:val="009150E6"/>
    <w:rsid w:val="0091589D"/>
    <w:rsid w:val="00915D50"/>
    <w:rsid w:val="009163A2"/>
    <w:rsid w:val="00917283"/>
    <w:rsid w:val="0091749E"/>
    <w:rsid w:val="009177EE"/>
    <w:rsid w:val="009204A0"/>
    <w:rsid w:val="00921294"/>
    <w:rsid w:val="00921401"/>
    <w:rsid w:val="009215D4"/>
    <w:rsid w:val="00921763"/>
    <w:rsid w:val="0092211A"/>
    <w:rsid w:val="0092212C"/>
    <w:rsid w:val="00922715"/>
    <w:rsid w:val="0092305C"/>
    <w:rsid w:val="009236FA"/>
    <w:rsid w:val="00923ABE"/>
    <w:rsid w:val="00923D6C"/>
    <w:rsid w:val="009240ED"/>
    <w:rsid w:val="009244DD"/>
    <w:rsid w:val="00924694"/>
    <w:rsid w:val="00924D41"/>
    <w:rsid w:val="00925499"/>
    <w:rsid w:val="00925A1A"/>
    <w:rsid w:val="00925A48"/>
    <w:rsid w:val="00925BFD"/>
    <w:rsid w:val="00925DE8"/>
    <w:rsid w:val="00925FE0"/>
    <w:rsid w:val="00926237"/>
    <w:rsid w:val="0092650C"/>
    <w:rsid w:val="00926D75"/>
    <w:rsid w:val="00926E3D"/>
    <w:rsid w:val="00930040"/>
    <w:rsid w:val="00930C39"/>
    <w:rsid w:val="00930E54"/>
    <w:rsid w:val="009314FB"/>
    <w:rsid w:val="009315FA"/>
    <w:rsid w:val="00931A54"/>
    <w:rsid w:val="00931EF9"/>
    <w:rsid w:val="00932B67"/>
    <w:rsid w:val="00933078"/>
    <w:rsid w:val="0093396B"/>
    <w:rsid w:val="00933DA3"/>
    <w:rsid w:val="00933F4B"/>
    <w:rsid w:val="009342EC"/>
    <w:rsid w:val="009344E4"/>
    <w:rsid w:val="009346B6"/>
    <w:rsid w:val="00934CAC"/>
    <w:rsid w:val="00934F78"/>
    <w:rsid w:val="0093507D"/>
    <w:rsid w:val="0093534E"/>
    <w:rsid w:val="009355F7"/>
    <w:rsid w:val="009359A9"/>
    <w:rsid w:val="00935E21"/>
    <w:rsid w:val="00935E25"/>
    <w:rsid w:val="00936B40"/>
    <w:rsid w:val="00936FE0"/>
    <w:rsid w:val="009371AF"/>
    <w:rsid w:val="009374EB"/>
    <w:rsid w:val="00937785"/>
    <w:rsid w:val="009401A8"/>
    <w:rsid w:val="009403A8"/>
    <w:rsid w:val="00940488"/>
    <w:rsid w:val="00940AAA"/>
    <w:rsid w:val="00940BE5"/>
    <w:rsid w:val="00940EBA"/>
    <w:rsid w:val="009413E6"/>
    <w:rsid w:val="00941A57"/>
    <w:rsid w:val="00941A92"/>
    <w:rsid w:val="00941E91"/>
    <w:rsid w:val="00941FC4"/>
    <w:rsid w:val="009420FB"/>
    <w:rsid w:val="009426CA"/>
    <w:rsid w:val="00942838"/>
    <w:rsid w:val="00942AB6"/>
    <w:rsid w:val="00942C33"/>
    <w:rsid w:val="00942FAA"/>
    <w:rsid w:val="009435D4"/>
    <w:rsid w:val="009442A1"/>
    <w:rsid w:val="009442C4"/>
    <w:rsid w:val="00944493"/>
    <w:rsid w:val="0094495A"/>
    <w:rsid w:val="0094509F"/>
    <w:rsid w:val="00945164"/>
    <w:rsid w:val="0094531A"/>
    <w:rsid w:val="00946295"/>
    <w:rsid w:val="009462FF"/>
    <w:rsid w:val="009463A2"/>
    <w:rsid w:val="00946439"/>
    <w:rsid w:val="009467E6"/>
    <w:rsid w:val="00946A83"/>
    <w:rsid w:val="0094736F"/>
    <w:rsid w:val="009476E7"/>
    <w:rsid w:val="00947715"/>
    <w:rsid w:val="009477FB"/>
    <w:rsid w:val="00947AB1"/>
    <w:rsid w:val="00947AE0"/>
    <w:rsid w:val="00947D26"/>
    <w:rsid w:val="00947E79"/>
    <w:rsid w:val="00951199"/>
    <w:rsid w:val="00951908"/>
    <w:rsid w:val="00951B91"/>
    <w:rsid w:val="00951DD2"/>
    <w:rsid w:val="00951F9A"/>
    <w:rsid w:val="00951FCD"/>
    <w:rsid w:val="009521E6"/>
    <w:rsid w:val="00952681"/>
    <w:rsid w:val="00952CA7"/>
    <w:rsid w:val="00952D72"/>
    <w:rsid w:val="009531B4"/>
    <w:rsid w:val="00953993"/>
    <w:rsid w:val="00954488"/>
    <w:rsid w:val="0095449E"/>
    <w:rsid w:val="009548C2"/>
    <w:rsid w:val="00954957"/>
    <w:rsid w:val="00954A6B"/>
    <w:rsid w:val="00954BD3"/>
    <w:rsid w:val="0095551F"/>
    <w:rsid w:val="00955D97"/>
    <w:rsid w:val="00956406"/>
    <w:rsid w:val="00956709"/>
    <w:rsid w:val="00956A10"/>
    <w:rsid w:val="00956EC7"/>
    <w:rsid w:val="0095731D"/>
    <w:rsid w:val="00957517"/>
    <w:rsid w:val="00957E9C"/>
    <w:rsid w:val="009603A8"/>
    <w:rsid w:val="009607A2"/>
    <w:rsid w:val="009608C9"/>
    <w:rsid w:val="00960B66"/>
    <w:rsid w:val="00960FC4"/>
    <w:rsid w:val="009611E0"/>
    <w:rsid w:val="009615E8"/>
    <w:rsid w:val="00961B25"/>
    <w:rsid w:val="00961F9C"/>
    <w:rsid w:val="0096240C"/>
    <w:rsid w:val="00962CA0"/>
    <w:rsid w:val="00962CC5"/>
    <w:rsid w:val="00962E13"/>
    <w:rsid w:val="00963347"/>
    <w:rsid w:val="00963907"/>
    <w:rsid w:val="00963BB2"/>
    <w:rsid w:val="00963C32"/>
    <w:rsid w:val="00963CFD"/>
    <w:rsid w:val="00964407"/>
    <w:rsid w:val="009645FA"/>
    <w:rsid w:val="009647F4"/>
    <w:rsid w:val="009649A0"/>
    <w:rsid w:val="00964EDD"/>
    <w:rsid w:val="00965767"/>
    <w:rsid w:val="009657E5"/>
    <w:rsid w:val="00965903"/>
    <w:rsid w:val="00965982"/>
    <w:rsid w:val="00966391"/>
    <w:rsid w:val="0096689D"/>
    <w:rsid w:val="009670AF"/>
    <w:rsid w:val="00967576"/>
    <w:rsid w:val="00967A1E"/>
    <w:rsid w:val="00967C63"/>
    <w:rsid w:val="00967D46"/>
    <w:rsid w:val="00970780"/>
    <w:rsid w:val="009713F1"/>
    <w:rsid w:val="0097153C"/>
    <w:rsid w:val="009721F9"/>
    <w:rsid w:val="00972456"/>
    <w:rsid w:val="00972896"/>
    <w:rsid w:val="00972AC4"/>
    <w:rsid w:val="00972C8C"/>
    <w:rsid w:val="009734F3"/>
    <w:rsid w:val="00973B90"/>
    <w:rsid w:val="00973D47"/>
    <w:rsid w:val="00973ECC"/>
    <w:rsid w:val="009742AF"/>
    <w:rsid w:val="009744A6"/>
    <w:rsid w:val="00974BF1"/>
    <w:rsid w:val="00974CDB"/>
    <w:rsid w:val="00974FC7"/>
    <w:rsid w:val="0097508F"/>
    <w:rsid w:val="00975467"/>
    <w:rsid w:val="00976285"/>
    <w:rsid w:val="00976621"/>
    <w:rsid w:val="00976FBA"/>
    <w:rsid w:val="009772A9"/>
    <w:rsid w:val="00977503"/>
    <w:rsid w:val="009775B8"/>
    <w:rsid w:val="009777B6"/>
    <w:rsid w:val="009779E6"/>
    <w:rsid w:val="00977A3E"/>
    <w:rsid w:val="00977B8A"/>
    <w:rsid w:val="00977E06"/>
    <w:rsid w:val="00977FE3"/>
    <w:rsid w:val="00980984"/>
    <w:rsid w:val="00980A7F"/>
    <w:rsid w:val="00980CD8"/>
    <w:rsid w:val="00980E87"/>
    <w:rsid w:val="0098123B"/>
    <w:rsid w:val="00981662"/>
    <w:rsid w:val="009818BE"/>
    <w:rsid w:val="00981CB4"/>
    <w:rsid w:val="00982452"/>
    <w:rsid w:val="00982697"/>
    <w:rsid w:val="00982855"/>
    <w:rsid w:val="00982DDF"/>
    <w:rsid w:val="00983195"/>
    <w:rsid w:val="009836B6"/>
    <w:rsid w:val="00983B82"/>
    <w:rsid w:val="00983BFA"/>
    <w:rsid w:val="00983C18"/>
    <w:rsid w:val="00983DC2"/>
    <w:rsid w:val="00984AD2"/>
    <w:rsid w:val="00984CBE"/>
    <w:rsid w:val="00984FC6"/>
    <w:rsid w:val="00985040"/>
    <w:rsid w:val="0098525C"/>
    <w:rsid w:val="00985680"/>
    <w:rsid w:val="00985888"/>
    <w:rsid w:val="00985909"/>
    <w:rsid w:val="00985AE9"/>
    <w:rsid w:val="00985BA7"/>
    <w:rsid w:val="00985BFE"/>
    <w:rsid w:val="009864A7"/>
    <w:rsid w:val="0098676E"/>
    <w:rsid w:val="00986B67"/>
    <w:rsid w:val="0098704D"/>
    <w:rsid w:val="00987297"/>
    <w:rsid w:val="00987D6E"/>
    <w:rsid w:val="00987D8B"/>
    <w:rsid w:val="00990319"/>
    <w:rsid w:val="009903DD"/>
    <w:rsid w:val="009904A8"/>
    <w:rsid w:val="0099104C"/>
    <w:rsid w:val="009913E2"/>
    <w:rsid w:val="00991A4F"/>
    <w:rsid w:val="0099263D"/>
    <w:rsid w:val="00992745"/>
    <w:rsid w:val="009928CE"/>
    <w:rsid w:val="00992B96"/>
    <w:rsid w:val="0099375C"/>
    <w:rsid w:val="00993949"/>
    <w:rsid w:val="00993A82"/>
    <w:rsid w:val="00993AC0"/>
    <w:rsid w:val="00993AE1"/>
    <w:rsid w:val="00993B60"/>
    <w:rsid w:val="0099448D"/>
    <w:rsid w:val="0099474A"/>
    <w:rsid w:val="009947E3"/>
    <w:rsid w:val="00994A79"/>
    <w:rsid w:val="00995269"/>
    <w:rsid w:val="0099527B"/>
    <w:rsid w:val="00996383"/>
    <w:rsid w:val="00996521"/>
    <w:rsid w:val="00996B14"/>
    <w:rsid w:val="00996B9D"/>
    <w:rsid w:val="0099737D"/>
    <w:rsid w:val="00997569"/>
    <w:rsid w:val="009975CC"/>
    <w:rsid w:val="00997B86"/>
    <w:rsid w:val="00997C3E"/>
    <w:rsid w:val="009A0A10"/>
    <w:rsid w:val="009A0B7A"/>
    <w:rsid w:val="009A1610"/>
    <w:rsid w:val="009A19AC"/>
    <w:rsid w:val="009A19E2"/>
    <w:rsid w:val="009A19E7"/>
    <w:rsid w:val="009A1A20"/>
    <w:rsid w:val="009A1F54"/>
    <w:rsid w:val="009A1F85"/>
    <w:rsid w:val="009A20D8"/>
    <w:rsid w:val="009A211D"/>
    <w:rsid w:val="009A2442"/>
    <w:rsid w:val="009A2920"/>
    <w:rsid w:val="009A2B36"/>
    <w:rsid w:val="009A2C32"/>
    <w:rsid w:val="009A2E25"/>
    <w:rsid w:val="009A366A"/>
    <w:rsid w:val="009A3A55"/>
    <w:rsid w:val="009A3D3F"/>
    <w:rsid w:val="009A4538"/>
    <w:rsid w:val="009A45F2"/>
    <w:rsid w:val="009A4AAB"/>
    <w:rsid w:val="009A4AD0"/>
    <w:rsid w:val="009A4C1F"/>
    <w:rsid w:val="009A4D37"/>
    <w:rsid w:val="009A515D"/>
    <w:rsid w:val="009A5690"/>
    <w:rsid w:val="009A571B"/>
    <w:rsid w:val="009A68E6"/>
    <w:rsid w:val="009A6DEF"/>
    <w:rsid w:val="009A7245"/>
    <w:rsid w:val="009A77AC"/>
    <w:rsid w:val="009A79A7"/>
    <w:rsid w:val="009A7C7C"/>
    <w:rsid w:val="009B084A"/>
    <w:rsid w:val="009B0CC5"/>
    <w:rsid w:val="009B16D1"/>
    <w:rsid w:val="009B1761"/>
    <w:rsid w:val="009B19A3"/>
    <w:rsid w:val="009B1A86"/>
    <w:rsid w:val="009B1EB4"/>
    <w:rsid w:val="009B24D5"/>
    <w:rsid w:val="009B283D"/>
    <w:rsid w:val="009B2879"/>
    <w:rsid w:val="009B30FE"/>
    <w:rsid w:val="009B3652"/>
    <w:rsid w:val="009B40DA"/>
    <w:rsid w:val="009B43FC"/>
    <w:rsid w:val="009B47AF"/>
    <w:rsid w:val="009B4DEF"/>
    <w:rsid w:val="009B55B9"/>
    <w:rsid w:val="009B5A64"/>
    <w:rsid w:val="009B5DA6"/>
    <w:rsid w:val="009B5F8F"/>
    <w:rsid w:val="009B68A0"/>
    <w:rsid w:val="009B6914"/>
    <w:rsid w:val="009B695F"/>
    <w:rsid w:val="009B6B8D"/>
    <w:rsid w:val="009B71F6"/>
    <w:rsid w:val="009B7326"/>
    <w:rsid w:val="009B791B"/>
    <w:rsid w:val="009B7B30"/>
    <w:rsid w:val="009C000C"/>
    <w:rsid w:val="009C0520"/>
    <w:rsid w:val="009C0ADE"/>
    <w:rsid w:val="009C11E2"/>
    <w:rsid w:val="009C16DA"/>
    <w:rsid w:val="009C1D25"/>
    <w:rsid w:val="009C210B"/>
    <w:rsid w:val="009C23A8"/>
    <w:rsid w:val="009C2461"/>
    <w:rsid w:val="009C253D"/>
    <w:rsid w:val="009C2838"/>
    <w:rsid w:val="009C2F2A"/>
    <w:rsid w:val="009C31CF"/>
    <w:rsid w:val="009C38AF"/>
    <w:rsid w:val="009C42C1"/>
    <w:rsid w:val="009C4461"/>
    <w:rsid w:val="009C4520"/>
    <w:rsid w:val="009C4F8A"/>
    <w:rsid w:val="009C53B1"/>
    <w:rsid w:val="009C55A8"/>
    <w:rsid w:val="009C5F38"/>
    <w:rsid w:val="009C624D"/>
    <w:rsid w:val="009C670C"/>
    <w:rsid w:val="009C672A"/>
    <w:rsid w:val="009C6E87"/>
    <w:rsid w:val="009C7331"/>
    <w:rsid w:val="009C7418"/>
    <w:rsid w:val="009D0B33"/>
    <w:rsid w:val="009D0E8C"/>
    <w:rsid w:val="009D1413"/>
    <w:rsid w:val="009D168C"/>
    <w:rsid w:val="009D16DB"/>
    <w:rsid w:val="009D1AED"/>
    <w:rsid w:val="009D1EC6"/>
    <w:rsid w:val="009D1FD5"/>
    <w:rsid w:val="009D21C9"/>
    <w:rsid w:val="009D25FF"/>
    <w:rsid w:val="009D2ECF"/>
    <w:rsid w:val="009D3663"/>
    <w:rsid w:val="009D36AC"/>
    <w:rsid w:val="009D3F36"/>
    <w:rsid w:val="009D4663"/>
    <w:rsid w:val="009D5429"/>
    <w:rsid w:val="009D579E"/>
    <w:rsid w:val="009D59EA"/>
    <w:rsid w:val="009D5C89"/>
    <w:rsid w:val="009D66E0"/>
    <w:rsid w:val="009D6895"/>
    <w:rsid w:val="009D737C"/>
    <w:rsid w:val="009D7406"/>
    <w:rsid w:val="009D75D2"/>
    <w:rsid w:val="009D76DD"/>
    <w:rsid w:val="009D7A62"/>
    <w:rsid w:val="009D7F6D"/>
    <w:rsid w:val="009E0BB0"/>
    <w:rsid w:val="009E0DB2"/>
    <w:rsid w:val="009E1183"/>
    <w:rsid w:val="009E11ED"/>
    <w:rsid w:val="009E192E"/>
    <w:rsid w:val="009E1AE8"/>
    <w:rsid w:val="009E1AFC"/>
    <w:rsid w:val="009E27DE"/>
    <w:rsid w:val="009E27FC"/>
    <w:rsid w:val="009E2966"/>
    <w:rsid w:val="009E2CDE"/>
    <w:rsid w:val="009E2FEB"/>
    <w:rsid w:val="009E3212"/>
    <w:rsid w:val="009E3311"/>
    <w:rsid w:val="009E35B8"/>
    <w:rsid w:val="009E3761"/>
    <w:rsid w:val="009E386D"/>
    <w:rsid w:val="009E3E81"/>
    <w:rsid w:val="009E4B5E"/>
    <w:rsid w:val="009E580E"/>
    <w:rsid w:val="009E5FB4"/>
    <w:rsid w:val="009E62F3"/>
    <w:rsid w:val="009E63E9"/>
    <w:rsid w:val="009E67B7"/>
    <w:rsid w:val="009E680E"/>
    <w:rsid w:val="009E6B1B"/>
    <w:rsid w:val="009E6D55"/>
    <w:rsid w:val="009E6EDD"/>
    <w:rsid w:val="009E6F52"/>
    <w:rsid w:val="009E7691"/>
    <w:rsid w:val="009E7C27"/>
    <w:rsid w:val="009E7CC4"/>
    <w:rsid w:val="009E7E01"/>
    <w:rsid w:val="009E7E57"/>
    <w:rsid w:val="009E7FCF"/>
    <w:rsid w:val="009F0BE0"/>
    <w:rsid w:val="009F1472"/>
    <w:rsid w:val="009F19F8"/>
    <w:rsid w:val="009F216F"/>
    <w:rsid w:val="009F2225"/>
    <w:rsid w:val="009F2774"/>
    <w:rsid w:val="009F29D5"/>
    <w:rsid w:val="009F2A88"/>
    <w:rsid w:val="009F2B30"/>
    <w:rsid w:val="009F2CCF"/>
    <w:rsid w:val="009F3120"/>
    <w:rsid w:val="009F3848"/>
    <w:rsid w:val="009F5678"/>
    <w:rsid w:val="009F6285"/>
    <w:rsid w:val="009F6593"/>
    <w:rsid w:val="009F694F"/>
    <w:rsid w:val="009F6A0C"/>
    <w:rsid w:val="009F6CEC"/>
    <w:rsid w:val="009F6E9C"/>
    <w:rsid w:val="009F70DA"/>
    <w:rsid w:val="009F747C"/>
    <w:rsid w:val="009F7C7F"/>
    <w:rsid w:val="00A002BA"/>
    <w:rsid w:val="00A00727"/>
    <w:rsid w:val="00A00E7B"/>
    <w:rsid w:val="00A01A35"/>
    <w:rsid w:val="00A01C08"/>
    <w:rsid w:val="00A01F4C"/>
    <w:rsid w:val="00A025F7"/>
    <w:rsid w:val="00A02FAB"/>
    <w:rsid w:val="00A03173"/>
    <w:rsid w:val="00A032ED"/>
    <w:rsid w:val="00A038E5"/>
    <w:rsid w:val="00A03BA2"/>
    <w:rsid w:val="00A0476C"/>
    <w:rsid w:val="00A04D3F"/>
    <w:rsid w:val="00A05010"/>
    <w:rsid w:val="00A0553C"/>
    <w:rsid w:val="00A056F9"/>
    <w:rsid w:val="00A057CC"/>
    <w:rsid w:val="00A058E2"/>
    <w:rsid w:val="00A0631B"/>
    <w:rsid w:val="00A0633B"/>
    <w:rsid w:val="00A06494"/>
    <w:rsid w:val="00A064E3"/>
    <w:rsid w:val="00A0677D"/>
    <w:rsid w:val="00A067EB"/>
    <w:rsid w:val="00A06C09"/>
    <w:rsid w:val="00A070EF"/>
    <w:rsid w:val="00A071AD"/>
    <w:rsid w:val="00A0785B"/>
    <w:rsid w:val="00A10456"/>
    <w:rsid w:val="00A10A03"/>
    <w:rsid w:val="00A1100E"/>
    <w:rsid w:val="00A111CC"/>
    <w:rsid w:val="00A112CF"/>
    <w:rsid w:val="00A11530"/>
    <w:rsid w:val="00A117DB"/>
    <w:rsid w:val="00A11AE7"/>
    <w:rsid w:val="00A11D96"/>
    <w:rsid w:val="00A12037"/>
    <w:rsid w:val="00A12267"/>
    <w:rsid w:val="00A12565"/>
    <w:rsid w:val="00A12648"/>
    <w:rsid w:val="00A12E7B"/>
    <w:rsid w:val="00A134FC"/>
    <w:rsid w:val="00A13786"/>
    <w:rsid w:val="00A13803"/>
    <w:rsid w:val="00A13D8F"/>
    <w:rsid w:val="00A13ECA"/>
    <w:rsid w:val="00A145B5"/>
    <w:rsid w:val="00A1461A"/>
    <w:rsid w:val="00A14906"/>
    <w:rsid w:val="00A14D5F"/>
    <w:rsid w:val="00A15344"/>
    <w:rsid w:val="00A1542D"/>
    <w:rsid w:val="00A15532"/>
    <w:rsid w:val="00A15C95"/>
    <w:rsid w:val="00A15EA2"/>
    <w:rsid w:val="00A16D30"/>
    <w:rsid w:val="00A171CB"/>
    <w:rsid w:val="00A17200"/>
    <w:rsid w:val="00A17ED7"/>
    <w:rsid w:val="00A20187"/>
    <w:rsid w:val="00A20414"/>
    <w:rsid w:val="00A205E7"/>
    <w:rsid w:val="00A209F1"/>
    <w:rsid w:val="00A2107E"/>
    <w:rsid w:val="00A2159F"/>
    <w:rsid w:val="00A21945"/>
    <w:rsid w:val="00A2196B"/>
    <w:rsid w:val="00A21D9A"/>
    <w:rsid w:val="00A2223E"/>
    <w:rsid w:val="00A2238E"/>
    <w:rsid w:val="00A2275E"/>
    <w:rsid w:val="00A229F5"/>
    <w:rsid w:val="00A22B1B"/>
    <w:rsid w:val="00A2340D"/>
    <w:rsid w:val="00A23533"/>
    <w:rsid w:val="00A237D4"/>
    <w:rsid w:val="00A24346"/>
    <w:rsid w:val="00A248FE"/>
    <w:rsid w:val="00A2499C"/>
    <w:rsid w:val="00A24B75"/>
    <w:rsid w:val="00A25047"/>
    <w:rsid w:val="00A251B2"/>
    <w:rsid w:val="00A25798"/>
    <w:rsid w:val="00A259D4"/>
    <w:rsid w:val="00A25A05"/>
    <w:rsid w:val="00A25CEA"/>
    <w:rsid w:val="00A25F1C"/>
    <w:rsid w:val="00A266D0"/>
    <w:rsid w:val="00A268D7"/>
    <w:rsid w:val="00A26B17"/>
    <w:rsid w:val="00A26E31"/>
    <w:rsid w:val="00A26F18"/>
    <w:rsid w:val="00A271E7"/>
    <w:rsid w:val="00A27726"/>
    <w:rsid w:val="00A3044E"/>
    <w:rsid w:val="00A30741"/>
    <w:rsid w:val="00A308B9"/>
    <w:rsid w:val="00A30932"/>
    <w:rsid w:val="00A30C5D"/>
    <w:rsid w:val="00A31142"/>
    <w:rsid w:val="00A3119D"/>
    <w:rsid w:val="00A31215"/>
    <w:rsid w:val="00A31D4F"/>
    <w:rsid w:val="00A31E60"/>
    <w:rsid w:val="00A31EA7"/>
    <w:rsid w:val="00A31FC7"/>
    <w:rsid w:val="00A32E77"/>
    <w:rsid w:val="00A3319A"/>
    <w:rsid w:val="00A33549"/>
    <w:rsid w:val="00A336D4"/>
    <w:rsid w:val="00A33F83"/>
    <w:rsid w:val="00A341AF"/>
    <w:rsid w:val="00A34538"/>
    <w:rsid w:val="00A3479B"/>
    <w:rsid w:val="00A34908"/>
    <w:rsid w:val="00A3490A"/>
    <w:rsid w:val="00A34ABF"/>
    <w:rsid w:val="00A35332"/>
    <w:rsid w:val="00A3541E"/>
    <w:rsid w:val="00A35421"/>
    <w:rsid w:val="00A35706"/>
    <w:rsid w:val="00A358F3"/>
    <w:rsid w:val="00A35ACA"/>
    <w:rsid w:val="00A35F03"/>
    <w:rsid w:val="00A36306"/>
    <w:rsid w:val="00A365C5"/>
    <w:rsid w:val="00A36A90"/>
    <w:rsid w:val="00A36C40"/>
    <w:rsid w:val="00A36F19"/>
    <w:rsid w:val="00A36F80"/>
    <w:rsid w:val="00A370E1"/>
    <w:rsid w:val="00A37131"/>
    <w:rsid w:val="00A3742D"/>
    <w:rsid w:val="00A37F6D"/>
    <w:rsid w:val="00A37FD9"/>
    <w:rsid w:val="00A402CA"/>
    <w:rsid w:val="00A407B0"/>
    <w:rsid w:val="00A410C8"/>
    <w:rsid w:val="00A41294"/>
    <w:rsid w:val="00A42137"/>
    <w:rsid w:val="00A4231A"/>
    <w:rsid w:val="00A423A6"/>
    <w:rsid w:val="00A42632"/>
    <w:rsid w:val="00A42769"/>
    <w:rsid w:val="00A4288F"/>
    <w:rsid w:val="00A42AF2"/>
    <w:rsid w:val="00A43320"/>
    <w:rsid w:val="00A436C6"/>
    <w:rsid w:val="00A4381A"/>
    <w:rsid w:val="00A43B1D"/>
    <w:rsid w:val="00A44241"/>
    <w:rsid w:val="00A444BB"/>
    <w:rsid w:val="00A44829"/>
    <w:rsid w:val="00A4541A"/>
    <w:rsid w:val="00A45F86"/>
    <w:rsid w:val="00A461D0"/>
    <w:rsid w:val="00A47357"/>
    <w:rsid w:val="00A47498"/>
    <w:rsid w:val="00A475F2"/>
    <w:rsid w:val="00A47A16"/>
    <w:rsid w:val="00A47BBB"/>
    <w:rsid w:val="00A47C23"/>
    <w:rsid w:val="00A47EFF"/>
    <w:rsid w:val="00A50089"/>
    <w:rsid w:val="00A51B79"/>
    <w:rsid w:val="00A51DA6"/>
    <w:rsid w:val="00A51EC7"/>
    <w:rsid w:val="00A522EC"/>
    <w:rsid w:val="00A5256F"/>
    <w:rsid w:val="00A532E3"/>
    <w:rsid w:val="00A533CD"/>
    <w:rsid w:val="00A538B3"/>
    <w:rsid w:val="00A53CC2"/>
    <w:rsid w:val="00A53DB1"/>
    <w:rsid w:val="00A545D2"/>
    <w:rsid w:val="00A54D97"/>
    <w:rsid w:val="00A550F7"/>
    <w:rsid w:val="00A55366"/>
    <w:rsid w:val="00A55B8A"/>
    <w:rsid w:val="00A55D31"/>
    <w:rsid w:val="00A5626C"/>
    <w:rsid w:val="00A56497"/>
    <w:rsid w:val="00A56519"/>
    <w:rsid w:val="00A56F06"/>
    <w:rsid w:val="00A60456"/>
    <w:rsid w:val="00A6055A"/>
    <w:rsid w:val="00A607A2"/>
    <w:rsid w:val="00A60A04"/>
    <w:rsid w:val="00A61337"/>
    <w:rsid w:val="00A615CC"/>
    <w:rsid w:val="00A61894"/>
    <w:rsid w:val="00A6190A"/>
    <w:rsid w:val="00A61AB7"/>
    <w:rsid w:val="00A61ABF"/>
    <w:rsid w:val="00A620EA"/>
    <w:rsid w:val="00A63101"/>
    <w:rsid w:val="00A634A4"/>
    <w:rsid w:val="00A643D1"/>
    <w:rsid w:val="00A644C1"/>
    <w:rsid w:val="00A64970"/>
    <w:rsid w:val="00A64D62"/>
    <w:rsid w:val="00A65070"/>
    <w:rsid w:val="00A65738"/>
    <w:rsid w:val="00A65777"/>
    <w:rsid w:val="00A65A69"/>
    <w:rsid w:val="00A65A97"/>
    <w:rsid w:val="00A66480"/>
    <w:rsid w:val="00A6693E"/>
    <w:rsid w:val="00A66B1B"/>
    <w:rsid w:val="00A67AB1"/>
    <w:rsid w:val="00A67BB6"/>
    <w:rsid w:val="00A67C1C"/>
    <w:rsid w:val="00A70525"/>
    <w:rsid w:val="00A7065C"/>
    <w:rsid w:val="00A714F2"/>
    <w:rsid w:val="00A71A0A"/>
    <w:rsid w:val="00A71EDB"/>
    <w:rsid w:val="00A7213C"/>
    <w:rsid w:val="00A723B7"/>
    <w:rsid w:val="00A72738"/>
    <w:rsid w:val="00A72ACE"/>
    <w:rsid w:val="00A7364E"/>
    <w:rsid w:val="00A73D8E"/>
    <w:rsid w:val="00A73DCF"/>
    <w:rsid w:val="00A74054"/>
    <w:rsid w:val="00A74A90"/>
    <w:rsid w:val="00A74E79"/>
    <w:rsid w:val="00A760B6"/>
    <w:rsid w:val="00A76192"/>
    <w:rsid w:val="00A761FE"/>
    <w:rsid w:val="00A765A9"/>
    <w:rsid w:val="00A7674F"/>
    <w:rsid w:val="00A76FFF"/>
    <w:rsid w:val="00A77199"/>
    <w:rsid w:val="00A774BA"/>
    <w:rsid w:val="00A77816"/>
    <w:rsid w:val="00A778D4"/>
    <w:rsid w:val="00A778E6"/>
    <w:rsid w:val="00A77A90"/>
    <w:rsid w:val="00A77ADD"/>
    <w:rsid w:val="00A77B94"/>
    <w:rsid w:val="00A77F2D"/>
    <w:rsid w:val="00A80556"/>
    <w:rsid w:val="00A80CEA"/>
    <w:rsid w:val="00A81627"/>
    <w:rsid w:val="00A82923"/>
    <w:rsid w:val="00A82C6D"/>
    <w:rsid w:val="00A82FC3"/>
    <w:rsid w:val="00A8305A"/>
    <w:rsid w:val="00A8331A"/>
    <w:rsid w:val="00A83B4F"/>
    <w:rsid w:val="00A84B23"/>
    <w:rsid w:val="00A84E2E"/>
    <w:rsid w:val="00A855F0"/>
    <w:rsid w:val="00A85934"/>
    <w:rsid w:val="00A85D1D"/>
    <w:rsid w:val="00A85EAD"/>
    <w:rsid w:val="00A8630C"/>
    <w:rsid w:val="00A86C61"/>
    <w:rsid w:val="00A8717F"/>
    <w:rsid w:val="00A87526"/>
    <w:rsid w:val="00A8760A"/>
    <w:rsid w:val="00A878F0"/>
    <w:rsid w:val="00A87AC9"/>
    <w:rsid w:val="00A87ADB"/>
    <w:rsid w:val="00A87D39"/>
    <w:rsid w:val="00A9009E"/>
    <w:rsid w:val="00A90116"/>
    <w:rsid w:val="00A9071D"/>
    <w:rsid w:val="00A90967"/>
    <w:rsid w:val="00A90ADA"/>
    <w:rsid w:val="00A90EEB"/>
    <w:rsid w:val="00A910CD"/>
    <w:rsid w:val="00A91402"/>
    <w:rsid w:val="00A91942"/>
    <w:rsid w:val="00A91F32"/>
    <w:rsid w:val="00A9201B"/>
    <w:rsid w:val="00A92261"/>
    <w:rsid w:val="00A92566"/>
    <w:rsid w:val="00A92705"/>
    <w:rsid w:val="00A927B1"/>
    <w:rsid w:val="00A929FF"/>
    <w:rsid w:val="00A9302C"/>
    <w:rsid w:val="00A932B4"/>
    <w:rsid w:val="00A93924"/>
    <w:rsid w:val="00A93931"/>
    <w:rsid w:val="00A94156"/>
    <w:rsid w:val="00A942B8"/>
    <w:rsid w:val="00A94E59"/>
    <w:rsid w:val="00A956AE"/>
    <w:rsid w:val="00A959CE"/>
    <w:rsid w:val="00A95E1A"/>
    <w:rsid w:val="00A97312"/>
    <w:rsid w:val="00A973CE"/>
    <w:rsid w:val="00A974F7"/>
    <w:rsid w:val="00A9770C"/>
    <w:rsid w:val="00A977BD"/>
    <w:rsid w:val="00A97ACF"/>
    <w:rsid w:val="00A97FB2"/>
    <w:rsid w:val="00AA0762"/>
    <w:rsid w:val="00AA0980"/>
    <w:rsid w:val="00AA09CD"/>
    <w:rsid w:val="00AA0AAF"/>
    <w:rsid w:val="00AA0F03"/>
    <w:rsid w:val="00AA11D8"/>
    <w:rsid w:val="00AA17A7"/>
    <w:rsid w:val="00AA2444"/>
    <w:rsid w:val="00AA25DC"/>
    <w:rsid w:val="00AA2DCB"/>
    <w:rsid w:val="00AA30D4"/>
    <w:rsid w:val="00AA3627"/>
    <w:rsid w:val="00AA36FE"/>
    <w:rsid w:val="00AA3835"/>
    <w:rsid w:val="00AA38C6"/>
    <w:rsid w:val="00AA3B14"/>
    <w:rsid w:val="00AA3D8E"/>
    <w:rsid w:val="00AA412B"/>
    <w:rsid w:val="00AA41ED"/>
    <w:rsid w:val="00AA4F65"/>
    <w:rsid w:val="00AA4FA8"/>
    <w:rsid w:val="00AA5423"/>
    <w:rsid w:val="00AA5B44"/>
    <w:rsid w:val="00AA5D6A"/>
    <w:rsid w:val="00AA600A"/>
    <w:rsid w:val="00AA618E"/>
    <w:rsid w:val="00AA7449"/>
    <w:rsid w:val="00AA7B28"/>
    <w:rsid w:val="00AA7C38"/>
    <w:rsid w:val="00AA7E8E"/>
    <w:rsid w:val="00AA7ECC"/>
    <w:rsid w:val="00AB068F"/>
    <w:rsid w:val="00AB0AF3"/>
    <w:rsid w:val="00AB12C4"/>
    <w:rsid w:val="00AB154D"/>
    <w:rsid w:val="00AB1D62"/>
    <w:rsid w:val="00AB24D2"/>
    <w:rsid w:val="00AB26A1"/>
    <w:rsid w:val="00AB2DE3"/>
    <w:rsid w:val="00AB340D"/>
    <w:rsid w:val="00AB341C"/>
    <w:rsid w:val="00AB3548"/>
    <w:rsid w:val="00AB35AB"/>
    <w:rsid w:val="00AB394F"/>
    <w:rsid w:val="00AB3F98"/>
    <w:rsid w:val="00AB420E"/>
    <w:rsid w:val="00AB457C"/>
    <w:rsid w:val="00AB4945"/>
    <w:rsid w:val="00AB4D01"/>
    <w:rsid w:val="00AB557B"/>
    <w:rsid w:val="00AB5600"/>
    <w:rsid w:val="00AB5922"/>
    <w:rsid w:val="00AB5A1F"/>
    <w:rsid w:val="00AB5C2F"/>
    <w:rsid w:val="00AB5D1D"/>
    <w:rsid w:val="00AB5E26"/>
    <w:rsid w:val="00AB6450"/>
    <w:rsid w:val="00AB6610"/>
    <w:rsid w:val="00AB68B8"/>
    <w:rsid w:val="00AB6B85"/>
    <w:rsid w:val="00AB6C79"/>
    <w:rsid w:val="00AB6D1A"/>
    <w:rsid w:val="00AB79B5"/>
    <w:rsid w:val="00AB7E53"/>
    <w:rsid w:val="00AC0139"/>
    <w:rsid w:val="00AC015C"/>
    <w:rsid w:val="00AC0356"/>
    <w:rsid w:val="00AC056E"/>
    <w:rsid w:val="00AC0877"/>
    <w:rsid w:val="00AC0BFA"/>
    <w:rsid w:val="00AC0D6D"/>
    <w:rsid w:val="00AC0DE8"/>
    <w:rsid w:val="00AC0E9C"/>
    <w:rsid w:val="00AC10F7"/>
    <w:rsid w:val="00AC15CB"/>
    <w:rsid w:val="00AC177F"/>
    <w:rsid w:val="00AC18A2"/>
    <w:rsid w:val="00AC2B9D"/>
    <w:rsid w:val="00AC327A"/>
    <w:rsid w:val="00AC3357"/>
    <w:rsid w:val="00AC361A"/>
    <w:rsid w:val="00AC3B61"/>
    <w:rsid w:val="00AC3DF7"/>
    <w:rsid w:val="00AC3ED2"/>
    <w:rsid w:val="00AC3F22"/>
    <w:rsid w:val="00AC46F2"/>
    <w:rsid w:val="00AC4726"/>
    <w:rsid w:val="00AC4F66"/>
    <w:rsid w:val="00AC503B"/>
    <w:rsid w:val="00AC5079"/>
    <w:rsid w:val="00AC54D0"/>
    <w:rsid w:val="00AC55F0"/>
    <w:rsid w:val="00AC5BC6"/>
    <w:rsid w:val="00AC603B"/>
    <w:rsid w:val="00AC74AD"/>
    <w:rsid w:val="00AC764F"/>
    <w:rsid w:val="00AC7BF6"/>
    <w:rsid w:val="00AC7F04"/>
    <w:rsid w:val="00AD02EB"/>
    <w:rsid w:val="00AD0585"/>
    <w:rsid w:val="00AD0B30"/>
    <w:rsid w:val="00AD1814"/>
    <w:rsid w:val="00AD22E1"/>
    <w:rsid w:val="00AD2464"/>
    <w:rsid w:val="00AD26E0"/>
    <w:rsid w:val="00AD2AAC"/>
    <w:rsid w:val="00AD2FD9"/>
    <w:rsid w:val="00AD3538"/>
    <w:rsid w:val="00AD385E"/>
    <w:rsid w:val="00AD3BA2"/>
    <w:rsid w:val="00AD3F8C"/>
    <w:rsid w:val="00AD4190"/>
    <w:rsid w:val="00AD45C1"/>
    <w:rsid w:val="00AD46EA"/>
    <w:rsid w:val="00AD4953"/>
    <w:rsid w:val="00AD4A82"/>
    <w:rsid w:val="00AD4CD5"/>
    <w:rsid w:val="00AD5CC8"/>
    <w:rsid w:val="00AD5E65"/>
    <w:rsid w:val="00AD61B1"/>
    <w:rsid w:val="00AD66D7"/>
    <w:rsid w:val="00AD66F7"/>
    <w:rsid w:val="00AD68C3"/>
    <w:rsid w:val="00AD72E7"/>
    <w:rsid w:val="00AD764C"/>
    <w:rsid w:val="00AD76AE"/>
    <w:rsid w:val="00AD78AE"/>
    <w:rsid w:val="00AD7BF2"/>
    <w:rsid w:val="00AD7DC7"/>
    <w:rsid w:val="00AD7F08"/>
    <w:rsid w:val="00AE0617"/>
    <w:rsid w:val="00AE07A1"/>
    <w:rsid w:val="00AE0931"/>
    <w:rsid w:val="00AE1110"/>
    <w:rsid w:val="00AE13C4"/>
    <w:rsid w:val="00AE13C5"/>
    <w:rsid w:val="00AE1643"/>
    <w:rsid w:val="00AE192D"/>
    <w:rsid w:val="00AE21AB"/>
    <w:rsid w:val="00AE26AD"/>
    <w:rsid w:val="00AE29AB"/>
    <w:rsid w:val="00AE2BE4"/>
    <w:rsid w:val="00AE2D2E"/>
    <w:rsid w:val="00AE2F52"/>
    <w:rsid w:val="00AE2F9C"/>
    <w:rsid w:val="00AE3167"/>
    <w:rsid w:val="00AE33E3"/>
    <w:rsid w:val="00AE3B51"/>
    <w:rsid w:val="00AE40C0"/>
    <w:rsid w:val="00AE4174"/>
    <w:rsid w:val="00AE4431"/>
    <w:rsid w:val="00AE47CB"/>
    <w:rsid w:val="00AE4B46"/>
    <w:rsid w:val="00AE512C"/>
    <w:rsid w:val="00AE51E8"/>
    <w:rsid w:val="00AE56D1"/>
    <w:rsid w:val="00AE5749"/>
    <w:rsid w:val="00AE5DDB"/>
    <w:rsid w:val="00AE614D"/>
    <w:rsid w:val="00AE638F"/>
    <w:rsid w:val="00AE6420"/>
    <w:rsid w:val="00AE68B6"/>
    <w:rsid w:val="00AE6E2C"/>
    <w:rsid w:val="00AE6EEF"/>
    <w:rsid w:val="00AE73BB"/>
    <w:rsid w:val="00AE7B17"/>
    <w:rsid w:val="00AE7CC8"/>
    <w:rsid w:val="00AE7E82"/>
    <w:rsid w:val="00AF01E3"/>
    <w:rsid w:val="00AF0794"/>
    <w:rsid w:val="00AF09DC"/>
    <w:rsid w:val="00AF0AE9"/>
    <w:rsid w:val="00AF0B80"/>
    <w:rsid w:val="00AF0BC3"/>
    <w:rsid w:val="00AF0C49"/>
    <w:rsid w:val="00AF118B"/>
    <w:rsid w:val="00AF17F5"/>
    <w:rsid w:val="00AF214C"/>
    <w:rsid w:val="00AF27E4"/>
    <w:rsid w:val="00AF28E8"/>
    <w:rsid w:val="00AF3171"/>
    <w:rsid w:val="00AF3178"/>
    <w:rsid w:val="00AF4369"/>
    <w:rsid w:val="00AF4546"/>
    <w:rsid w:val="00AF479B"/>
    <w:rsid w:val="00AF4856"/>
    <w:rsid w:val="00AF5106"/>
    <w:rsid w:val="00AF527B"/>
    <w:rsid w:val="00AF52CE"/>
    <w:rsid w:val="00AF542B"/>
    <w:rsid w:val="00AF5473"/>
    <w:rsid w:val="00AF5584"/>
    <w:rsid w:val="00AF697E"/>
    <w:rsid w:val="00AF69D2"/>
    <w:rsid w:val="00AF6CD8"/>
    <w:rsid w:val="00AF6D03"/>
    <w:rsid w:val="00AF7287"/>
    <w:rsid w:val="00AF766E"/>
    <w:rsid w:val="00AF7840"/>
    <w:rsid w:val="00B0029C"/>
    <w:rsid w:val="00B003DA"/>
    <w:rsid w:val="00B00597"/>
    <w:rsid w:val="00B00D00"/>
    <w:rsid w:val="00B01ABF"/>
    <w:rsid w:val="00B02267"/>
    <w:rsid w:val="00B022C7"/>
    <w:rsid w:val="00B02945"/>
    <w:rsid w:val="00B02AB2"/>
    <w:rsid w:val="00B03000"/>
    <w:rsid w:val="00B04F5B"/>
    <w:rsid w:val="00B050D5"/>
    <w:rsid w:val="00B0546B"/>
    <w:rsid w:val="00B05629"/>
    <w:rsid w:val="00B05817"/>
    <w:rsid w:val="00B05979"/>
    <w:rsid w:val="00B05E6D"/>
    <w:rsid w:val="00B06382"/>
    <w:rsid w:val="00B0648E"/>
    <w:rsid w:val="00B06705"/>
    <w:rsid w:val="00B06EC7"/>
    <w:rsid w:val="00B07573"/>
    <w:rsid w:val="00B07B5C"/>
    <w:rsid w:val="00B101E1"/>
    <w:rsid w:val="00B11202"/>
    <w:rsid w:val="00B11329"/>
    <w:rsid w:val="00B11344"/>
    <w:rsid w:val="00B11385"/>
    <w:rsid w:val="00B11D69"/>
    <w:rsid w:val="00B11E69"/>
    <w:rsid w:val="00B128F7"/>
    <w:rsid w:val="00B12B1D"/>
    <w:rsid w:val="00B132E6"/>
    <w:rsid w:val="00B1378C"/>
    <w:rsid w:val="00B140AC"/>
    <w:rsid w:val="00B1481F"/>
    <w:rsid w:val="00B14BBB"/>
    <w:rsid w:val="00B156B2"/>
    <w:rsid w:val="00B16199"/>
    <w:rsid w:val="00B16302"/>
    <w:rsid w:val="00B16699"/>
    <w:rsid w:val="00B167F3"/>
    <w:rsid w:val="00B16DF8"/>
    <w:rsid w:val="00B16E23"/>
    <w:rsid w:val="00B17649"/>
    <w:rsid w:val="00B17975"/>
    <w:rsid w:val="00B17989"/>
    <w:rsid w:val="00B17B6C"/>
    <w:rsid w:val="00B17E56"/>
    <w:rsid w:val="00B204CC"/>
    <w:rsid w:val="00B2055F"/>
    <w:rsid w:val="00B21722"/>
    <w:rsid w:val="00B2173C"/>
    <w:rsid w:val="00B21763"/>
    <w:rsid w:val="00B2201E"/>
    <w:rsid w:val="00B229E0"/>
    <w:rsid w:val="00B22BBF"/>
    <w:rsid w:val="00B22C69"/>
    <w:rsid w:val="00B230C3"/>
    <w:rsid w:val="00B235FD"/>
    <w:rsid w:val="00B2380D"/>
    <w:rsid w:val="00B23DF2"/>
    <w:rsid w:val="00B2452A"/>
    <w:rsid w:val="00B24551"/>
    <w:rsid w:val="00B245C9"/>
    <w:rsid w:val="00B2492E"/>
    <w:rsid w:val="00B24A80"/>
    <w:rsid w:val="00B24E96"/>
    <w:rsid w:val="00B25851"/>
    <w:rsid w:val="00B258FD"/>
    <w:rsid w:val="00B25CAB"/>
    <w:rsid w:val="00B25ECF"/>
    <w:rsid w:val="00B25F63"/>
    <w:rsid w:val="00B26091"/>
    <w:rsid w:val="00B26266"/>
    <w:rsid w:val="00B26377"/>
    <w:rsid w:val="00B267AC"/>
    <w:rsid w:val="00B26B30"/>
    <w:rsid w:val="00B26E66"/>
    <w:rsid w:val="00B26E8A"/>
    <w:rsid w:val="00B271B8"/>
    <w:rsid w:val="00B27956"/>
    <w:rsid w:val="00B27A43"/>
    <w:rsid w:val="00B30065"/>
    <w:rsid w:val="00B301A5"/>
    <w:rsid w:val="00B30589"/>
    <w:rsid w:val="00B308CA"/>
    <w:rsid w:val="00B3090C"/>
    <w:rsid w:val="00B30C38"/>
    <w:rsid w:val="00B31741"/>
    <w:rsid w:val="00B31B3F"/>
    <w:rsid w:val="00B31D3D"/>
    <w:rsid w:val="00B31D5B"/>
    <w:rsid w:val="00B320BF"/>
    <w:rsid w:val="00B3237E"/>
    <w:rsid w:val="00B32719"/>
    <w:rsid w:val="00B32C89"/>
    <w:rsid w:val="00B332DB"/>
    <w:rsid w:val="00B33513"/>
    <w:rsid w:val="00B33F16"/>
    <w:rsid w:val="00B3461E"/>
    <w:rsid w:val="00B347E7"/>
    <w:rsid w:val="00B34A0C"/>
    <w:rsid w:val="00B34A57"/>
    <w:rsid w:val="00B34FEA"/>
    <w:rsid w:val="00B355C8"/>
    <w:rsid w:val="00B35EAD"/>
    <w:rsid w:val="00B371B8"/>
    <w:rsid w:val="00B375D2"/>
    <w:rsid w:val="00B378E8"/>
    <w:rsid w:val="00B40015"/>
    <w:rsid w:val="00B403B2"/>
    <w:rsid w:val="00B403ED"/>
    <w:rsid w:val="00B408D7"/>
    <w:rsid w:val="00B413E4"/>
    <w:rsid w:val="00B414FC"/>
    <w:rsid w:val="00B41A26"/>
    <w:rsid w:val="00B42FA1"/>
    <w:rsid w:val="00B43172"/>
    <w:rsid w:val="00B4398D"/>
    <w:rsid w:val="00B439C7"/>
    <w:rsid w:val="00B43DF7"/>
    <w:rsid w:val="00B4489C"/>
    <w:rsid w:val="00B44BD6"/>
    <w:rsid w:val="00B44FED"/>
    <w:rsid w:val="00B45DF1"/>
    <w:rsid w:val="00B460BE"/>
    <w:rsid w:val="00B4636B"/>
    <w:rsid w:val="00B4653C"/>
    <w:rsid w:val="00B46C99"/>
    <w:rsid w:val="00B475D0"/>
    <w:rsid w:val="00B47A23"/>
    <w:rsid w:val="00B47B91"/>
    <w:rsid w:val="00B47F27"/>
    <w:rsid w:val="00B47F2B"/>
    <w:rsid w:val="00B47FC3"/>
    <w:rsid w:val="00B519AF"/>
    <w:rsid w:val="00B519D0"/>
    <w:rsid w:val="00B51CEC"/>
    <w:rsid w:val="00B52175"/>
    <w:rsid w:val="00B52348"/>
    <w:rsid w:val="00B524AE"/>
    <w:rsid w:val="00B527A9"/>
    <w:rsid w:val="00B52A33"/>
    <w:rsid w:val="00B5363D"/>
    <w:rsid w:val="00B536CF"/>
    <w:rsid w:val="00B5457A"/>
    <w:rsid w:val="00B54D96"/>
    <w:rsid w:val="00B554D2"/>
    <w:rsid w:val="00B55E01"/>
    <w:rsid w:val="00B55F8D"/>
    <w:rsid w:val="00B56431"/>
    <w:rsid w:val="00B56775"/>
    <w:rsid w:val="00B56ED9"/>
    <w:rsid w:val="00B570DD"/>
    <w:rsid w:val="00B570F0"/>
    <w:rsid w:val="00B572C1"/>
    <w:rsid w:val="00B57337"/>
    <w:rsid w:val="00B5743B"/>
    <w:rsid w:val="00B5748C"/>
    <w:rsid w:val="00B57AD5"/>
    <w:rsid w:val="00B57C3F"/>
    <w:rsid w:val="00B600CB"/>
    <w:rsid w:val="00B6041C"/>
    <w:rsid w:val="00B60553"/>
    <w:rsid w:val="00B607FE"/>
    <w:rsid w:val="00B60D2E"/>
    <w:rsid w:val="00B60FC7"/>
    <w:rsid w:val="00B61949"/>
    <w:rsid w:val="00B6259C"/>
    <w:rsid w:val="00B62638"/>
    <w:rsid w:val="00B62C20"/>
    <w:rsid w:val="00B6342C"/>
    <w:rsid w:val="00B6369F"/>
    <w:rsid w:val="00B636E9"/>
    <w:rsid w:val="00B63949"/>
    <w:rsid w:val="00B63A0B"/>
    <w:rsid w:val="00B64295"/>
    <w:rsid w:val="00B64814"/>
    <w:rsid w:val="00B6498B"/>
    <w:rsid w:val="00B64C0E"/>
    <w:rsid w:val="00B64C47"/>
    <w:rsid w:val="00B654EE"/>
    <w:rsid w:val="00B657B7"/>
    <w:rsid w:val="00B65A98"/>
    <w:rsid w:val="00B65B03"/>
    <w:rsid w:val="00B65C1B"/>
    <w:rsid w:val="00B66921"/>
    <w:rsid w:val="00B66DB8"/>
    <w:rsid w:val="00B66DE1"/>
    <w:rsid w:val="00B671E3"/>
    <w:rsid w:val="00B67293"/>
    <w:rsid w:val="00B67BE6"/>
    <w:rsid w:val="00B67D80"/>
    <w:rsid w:val="00B67F51"/>
    <w:rsid w:val="00B704A5"/>
    <w:rsid w:val="00B706F2"/>
    <w:rsid w:val="00B70748"/>
    <w:rsid w:val="00B70AC8"/>
    <w:rsid w:val="00B70ED9"/>
    <w:rsid w:val="00B70F7E"/>
    <w:rsid w:val="00B70FF6"/>
    <w:rsid w:val="00B710E5"/>
    <w:rsid w:val="00B71B36"/>
    <w:rsid w:val="00B71B7B"/>
    <w:rsid w:val="00B71C66"/>
    <w:rsid w:val="00B7212B"/>
    <w:rsid w:val="00B7266D"/>
    <w:rsid w:val="00B72F92"/>
    <w:rsid w:val="00B73038"/>
    <w:rsid w:val="00B73935"/>
    <w:rsid w:val="00B7396E"/>
    <w:rsid w:val="00B74263"/>
    <w:rsid w:val="00B7583D"/>
    <w:rsid w:val="00B75DD4"/>
    <w:rsid w:val="00B771C5"/>
    <w:rsid w:val="00B77CDD"/>
    <w:rsid w:val="00B77D02"/>
    <w:rsid w:val="00B800E8"/>
    <w:rsid w:val="00B811F7"/>
    <w:rsid w:val="00B8159A"/>
    <w:rsid w:val="00B81BFE"/>
    <w:rsid w:val="00B81FE7"/>
    <w:rsid w:val="00B828D9"/>
    <w:rsid w:val="00B82BAD"/>
    <w:rsid w:val="00B82C18"/>
    <w:rsid w:val="00B839DC"/>
    <w:rsid w:val="00B83C6C"/>
    <w:rsid w:val="00B83D3D"/>
    <w:rsid w:val="00B843CC"/>
    <w:rsid w:val="00B84452"/>
    <w:rsid w:val="00B846AA"/>
    <w:rsid w:val="00B84C23"/>
    <w:rsid w:val="00B84E19"/>
    <w:rsid w:val="00B85035"/>
    <w:rsid w:val="00B8524B"/>
    <w:rsid w:val="00B85690"/>
    <w:rsid w:val="00B85E6A"/>
    <w:rsid w:val="00B862BF"/>
    <w:rsid w:val="00B869D3"/>
    <w:rsid w:val="00B87986"/>
    <w:rsid w:val="00B87C0A"/>
    <w:rsid w:val="00B87E6E"/>
    <w:rsid w:val="00B900B0"/>
    <w:rsid w:val="00B90945"/>
    <w:rsid w:val="00B90CD3"/>
    <w:rsid w:val="00B90E87"/>
    <w:rsid w:val="00B91066"/>
    <w:rsid w:val="00B916B6"/>
    <w:rsid w:val="00B91991"/>
    <w:rsid w:val="00B920BA"/>
    <w:rsid w:val="00B92BD4"/>
    <w:rsid w:val="00B92D4F"/>
    <w:rsid w:val="00B9356D"/>
    <w:rsid w:val="00B9394D"/>
    <w:rsid w:val="00B93BF3"/>
    <w:rsid w:val="00B93E12"/>
    <w:rsid w:val="00B9413D"/>
    <w:rsid w:val="00B9440D"/>
    <w:rsid w:val="00B94633"/>
    <w:rsid w:val="00B9491A"/>
    <w:rsid w:val="00B952C4"/>
    <w:rsid w:val="00B95358"/>
    <w:rsid w:val="00B95679"/>
    <w:rsid w:val="00B95992"/>
    <w:rsid w:val="00B971FA"/>
    <w:rsid w:val="00B974CB"/>
    <w:rsid w:val="00B976E8"/>
    <w:rsid w:val="00B9786A"/>
    <w:rsid w:val="00BA0C17"/>
    <w:rsid w:val="00BA0CAD"/>
    <w:rsid w:val="00BA1309"/>
    <w:rsid w:val="00BA142F"/>
    <w:rsid w:val="00BA1771"/>
    <w:rsid w:val="00BA18A4"/>
    <w:rsid w:val="00BA196A"/>
    <w:rsid w:val="00BA1B74"/>
    <w:rsid w:val="00BA210F"/>
    <w:rsid w:val="00BA27C1"/>
    <w:rsid w:val="00BA28A4"/>
    <w:rsid w:val="00BA2AB8"/>
    <w:rsid w:val="00BA2E6E"/>
    <w:rsid w:val="00BA3537"/>
    <w:rsid w:val="00BA370F"/>
    <w:rsid w:val="00BA3937"/>
    <w:rsid w:val="00BA3E79"/>
    <w:rsid w:val="00BA4A7F"/>
    <w:rsid w:val="00BA5363"/>
    <w:rsid w:val="00BA5387"/>
    <w:rsid w:val="00BA5A47"/>
    <w:rsid w:val="00BA5F49"/>
    <w:rsid w:val="00BA766F"/>
    <w:rsid w:val="00BA7734"/>
    <w:rsid w:val="00BA7841"/>
    <w:rsid w:val="00BA7CEA"/>
    <w:rsid w:val="00BB0637"/>
    <w:rsid w:val="00BB0766"/>
    <w:rsid w:val="00BB0B39"/>
    <w:rsid w:val="00BB0B63"/>
    <w:rsid w:val="00BB10CA"/>
    <w:rsid w:val="00BB1818"/>
    <w:rsid w:val="00BB1A79"/>
    <w:rsid w:val="00BB1B0A"/>
    <w:rsid w:val="00BB224D"/>
    <w:rsid w:val="00BB2696"/>
    <w:rsid w:val="00BB2C1D"/>
    <w:rsid w:val="00BB2FCD"/>
    <w:rsid w:val="00BB3078"/>
    <w:rsid w:val="00BB325A"/>
    <w:rsid w:val="00BB3829"/>
    <w:rsid w:val="00BB3897"/>
    <w:rsid w:val="00BB3A15"/>
    <w:rsid w:val="00BB3C29"/>
    <w:rsid w:val="00BB430A"/>
    <w:rsid w:val="00BB488A"/>
    <w:rsid w:val="00BB5A3D"/>
    <w:rsid w:val="00BB5EE0"/>
    <w:rsid w:val="00BB60AB"/>
    <w:rsid w:val="00BB6158"/>
    <w:rsid w:val="00BB6263"/>
    <w:rsid w:val="00BB6422"/>
    <w:rsid w:val="00BB6EEA"/>
    <w:rsid w:val="00BB6F74"/>
    <w:rsid w:val="00BC01D2"/>
    <w:rsid w:val="00BC0361"/>
    <w:rsid w:val="00BC084B"/>
    <w:rsid w:val="00BC089E"/>
    <w:rsid w:val="00BC1490"/>
    <w:rsid w:val="00BC16EA"/>
    <w:rsid w:val="00BC1A75"/>
    <w:rsid w:val="00BC1E5A"/>
    <w:rsid w:val="00BC278A"/>
    <w:rsid w:val="00BC299C"/>
    <w:rsid w:val="00BC2A7A"/>
    <w:rsid w:val="00BC2E84"/>
    <w:rsid w:val="00BC2EFF"/>
    <w:rsid w:val="00BC324A"/>
    <w:rsid w:val="00BC33CF"/>
    <w:rsid w:val="00BC3675"/>
    <w:rsid w:val="00BC38B7"/>
    <w:rsid w:val="00BC3965"/>
    <w:rsid w:val="00BC39EC"/>
    <w:rsid w:val="00BC49D4"/>
    <w:rsid w:val="00BC5114"/>
    <w:rsid w:val="00BC51A4"/>
    <w:rsid w:val="00BC5CBA"/>
    <w:rsid w:val="00BC6265"/>
    <w:rsid w:val="00BC688B"/>
    <w:rsid w:val="00BC6E75"/>
    <w:rsid w:val="00BC7B8C"/>
    <w:rsid w:val="00BC7DD4"/>
    <w:rsid w:val="00BC7E22"/>
    <w:rsid w:val="00BD0112"/>
    <w:rsid w:val="00BD09AC"/>
    <w:rsid w:val="00BD1357"/>
    <w:rsid w:val="00BD1482"/>
    <w:rsid w:val="00BD15F7"/>
    <w:rsid w:val="00BD17FB"/>
    <w:rsid w:val="00BD1AB7"/>
    <w:rsid w:val="00BD1C70"/>
    <w:rsid w:val="00BD1E36"/>
    <w:rsid w:val="00BD245F"/>
    <w:rsid w:val="00BD2ABC"/>
    <w:rsid w:val="00BD2C85"/>
    <w:rsid w:val="00BD2CCB"/>
    <w:rsid w:val="00BD2F0E"/>
    <w:rsid w:val="00BD319C"/>
    <w:rsid w:val="00BD3A23"/>
    <w:rsid w:val="00BD4998"/>
    <w:rsid w:val="00BD4C29"/>
    <w:rsid w:val="00BD4CA6"/>
    <w:rsid w:val="00BD4CAA"/>
    <w:rsid w:val="00BD55AC"/>
    <w:rsid w:val="00BD5FED"/>
    <w:rsid w:val="00BD65D9"/>
    <w:rsid w:val="00BD6776"/>
    <w:rsid w:val="00BD6A0F"/>
    <w:rsid w:val="00BD6C86"/>
    <w:rsid w:val="00BD6D65"/>
    <w:rsid w:val="00BD7342"/>
    <w:rsid w:val="00BD7593"/>
    <w:rsid w:val="00BD79F0"/>
    <w:rsid w:val="00BE0532"/>
    <w:rsid w:val="00BE080A"/>
    <w:rsid w:val="00BE088D"/>
    <w:rsid w:val="00BE1470"/>
    <w:rsid w:val="00BE1682"/>
    <w:rsid w:val="00BE2033"/>
    <w:rsid w:val="00BE2337"/>
    <w:rsid w:val="00BE2619"/>
    <w:rsid w:val="00BE2FA2"/>
    <w:rsid w:val="00BE31B8"/>
    <w:rsid w:val="00BE390F"/>
    <w:rsid w:val="00BE3B86"/>
    <w:rsid w:val="00BE3D22"/>
    <w:rsid w:val="00BE4182"/>
    <w:rsid w:val="00BE45EB"/>
    <w:rsid w:val="00BE465C"/>
    <w:rsid w:val="00BE46A9"/>
    <w:rsid w:val="00BE47B6"/>
    <w:rsid w:val="00BE53FE"/>
    <w:rsid w:val="00BE597A"/>
    <w:rsid w:val="00BE5C76"/>
    <w:rsid w:val="00BE6627"/>
    <w:rsid w:val="00BE674B"/>
    <w:rsid w:val="00BE6F76"/>
    <w:rsid w:val="00BE7112"/>
    <w:rsid w:val="00BE71A4"/>
    <w:rsid w:val="00BE733D"/>
    <w:rsid w:val="00BE77A5"/>
    <w:rsid w:val="00BE7890"/>
    <w:rsid w:val="00BE79CF"/>
    <w:rsid w:val="00BE7F80"/>
    <w:rsid w:val="00BF0177"/>
    <w:rsid w:val="00BF0372"/>
    <w:rsid w:val="00BF0561"/>
    <w:rsid w:val="00BF0C15"/>
    <w:rsid w:val="00BF1406"/>
    <w:rsid w:val="00BF140A"/>
    <w:rsid w:val="00BF184E"/>
    <w:rsid w:val="00BF1914"/>
    <w:rsid w:val="00BF1FE3"/>
    <w:rsid w:val="00BF223D"/>
    <w:rsid w:val="00BF2FCA"/>
    <w:rsid w:val="00BF3040"/>
    <w:rsid w:val="00BF305D"/>
    <w:rsid w:val="00BF30B1"/>
    <w:rsid w:val="00BF397D"/>
    <w:rsid w:val="00BF3D3A"/>
    <w:rsid w:val="00BF3F55"/>
    <w:rsid w:val="00BF4123"/>
    <w:rsid w:val="00BF43B6"/>
    <w:rsid w:val="00BF4498"/>
    <w:rsid w:val="00BF4614"/>
    <w:rsid w:val="00BF47BB"/>
    <w:rsid w:val="00BF5247"/>
    <w:rsid w:val="00BF54C0"/>
    <w:rsid w:val="00BF5792"/>
    <w:rsid w:val="00BF5B07"/>
    <w:rsid w:val="00BF5B36"/>
    <w:rsid w:val="00BF5CE9"/>
    <w:rsid w:val="00BF6090"/>
    <w:rsid w:val="00BF69BB"/>
    <w:rsid w:val="00BF6A2C"/>
    <w:rsid w:val="00BF6C8E"/>
    <w:rsid w:val="00BF7154"/>
    <w:rsid w:val="00BF7518"/>
    <w:rsid w:val="00BF781C"/>
    <w:rsid w:val="00BF7827"/>
    <w:rsid w:val="00BF7A86"/>
    <w:rsid w:val="00BF7D30"/>
    <w:rsid w:val="00C0061E"/>
    <w:rsid w:val="00C0070C"/>
    <w:rsid w:val="00C00761"/>
    <w:rsid w:val="00C00E77"/>
    <w:rsid w:val="00C00F48"/>
    <w:rsid w:val="00C0104F"/>
    <w:rsid w:val="00C01C5D"/>
    <w:rsid w:val="00C01D7D"/>
    <w:rsid w:val="00C02111"/>
    <w:rsid w:val="00C028F6"/>
    <w:rsid w:val="00C02922"/>
    <w:rsid w:val="00C02B9C"/>
    <w:rsid w:val="00C032F3"/>
    <w:rsid w:val="00C034AE"/>
    <w:rsid w:val="00C03F5F"/>
    <w:rsid w:val="00C04648"/>
    <w:rsid w:val="00C049B1"/>
    <w:rsid w:val="00C0505B"/>
    <w:rsid w:val="00C05F3A"/>
    <w:rsid w:val="00C062C7"/>
    <w:rsid w:val="00C069B8"/>
    <w:rsid w:val="00C06C6D"/>
    <w:rsid w:val="00C06C96"/>
    <w:rsid w:val="00C06EB5"/>
    <w:rsid w:val="00C0706F"/>
    <w:rsid w:val="00C07246"/>
    <w:rsid w:val="00C072C4"/>
    <w:rsid w:val="00C07438"/>
    <w:rsid w:val="00C075C3"/>
    <w:rsid w:val="00C07738"/>
    <w:rsid w:val="00C078FF"/>
    <w:rsid w:val="00C07DAB"/>
    <w:rsid w:val="00C1043A"/>
    <w:rsid w:val="00C10FBD"/>
    <w:rsid w:val="00C11646"/>
    <w:rsid w:val="00C11888"/>
    <w:rsid w:val="00C11E54"/>
    <w:rsid w:val="00C123B6"/>
    <w:rsid w:val="00C12E54"/>
    <w:rsid w:val="00C13A18"/>
    <w:rsid w:val="00C13E4E"/>
    <w:rsid w:val="00C13EE9"/>
    <w:rsid w:val="00C13EF6"/>
    <w:rsid w:val="00C14210"/>
    <w:rsid w:val="00C1435F"/>
    <w:rsid w:val="00C145BE"/>
    <w:rsid w:val="00C1531C"/>
    <w:rsid w:val="00C15C33"/>
    <w:rsid w:val="00C15F22"/>
    <w:rsid w:val="00C169D5"/>
    <w:rsid w:val="00C16B4C"/>
    <w:rsid w:val="00C16C1D"/>
    <w:rsid w:val="00C1789D"/>
    <w:rsid w:val="00C17B7B"/>
    <w:rsid w:val="00C2026C"/>
    <w:rsid w:val="00C20271"/>
    <w:rsid w:val="00C20575"/>
    <w:rsid w:val="00C20CBE"/>
    <w:rsid w:val="00C20E8B"/>
    <w:rsid w:val="00C210CD"/>
    <w:rsid w:val="00C2193C"/>
    <w:rsid w:val="00C21A15"/>
    <w:rsid w:val="00C21E53"/>
    <w:rsid w:val="00C227F5"/>
    <w:rsid w:val="00C22C34"/>
    <w:rsid w:val="00C22DDA"/>
    <w:rsid w:val="00C23236"/>
    <w:rsid w:val="00C234DA"/>
    <w:rsid w:val="00C238E6"/>
    <w:rsid w:val="00C238F0"/>
    <w:rsid w:val="00C23A74"/>
    <w:rsid w:val="00C23C8D"/>
    <w:rsid w:val="00C23E7F"/>
    <w:rsid w:val="00C23E9F"/>
    <w:rsid w:val="00C243E6"/>
    <w:rsid w:val="00C24405"/>
    <w:rsid w:val="00C24D29"/>
    <w:rsid w:val="00C24E9A"/>
    <w:rsid w:val="00C25BA3"/>
    <w:rsid w:val="00C25D4A"/>
    <w:rsid w:val="00C26075"/>
    <w:rsid w:val="00C260EA"/>
    <w:rsid w:val="00C263EA"/>
    <w:rsid w:val="00C26569"/>
    <w:rsid w:val="00C26910"/>
    <w:rsid w:val="00C269DF"/>
    <w:rsid w:val="00C26B61"/>
    <w:rsid w:val="00C26CB1"/>
    <w:rsid w:val="00C26ECC"/>
    <w:rsid w:val="00C26F77"/>
    <w:rsid w:val="00C270E6"/>
    <w:rsid w:val="00C273A9"/>
    <w:rsid w:val="00C278B4"/>
    <w:rsid w:val="00C27D6F"/>
    <w:rsid w:val="00C27E5F"/>
    <w:rsid w:val="00C300D5"/>
    <w:rsid w:val="00C301E9"/>
    <w:rsid w:val="00C30249"/>
    <w:rsid w:val="00C308F5"/>
    <w:rsid w:val="00C30D6B"/>
    <w:rsid w:val="00C30E18"/>
    <w:rsid w:val="00C31363"/>
    <w:rsid w:val="00C31694"/>
    <w:rsid w:val="00C31AB5"/>
    <w:rsid w:val="00C31F20"/>
    <w:rsid w:val="00C31F57"/>
    <w:rsid w:val="00C321C3"/>
    <w:rsid w:val="00C32270"/>
    <w:rsid w:val="00C32761"/>
    <w:rsid w:val="00C32D79"/>
    <w:rsid w:val="00C32EB7"/>
    <w:rsid w:val="00C32F23"/>
    <w:rsid w:val="00C3305E"/>
    <w:rsid w:val="00C331B7"/>
    <w:rsid w:val="00C335DA"/>
    <w:rsid w:val="00C338C2"/>
    <w:rsid w:val="00C33A83"/>
    <w:rsid w:val="00C33E7B"/>
    <w:rsid w:val="00C33EB0"/>
    <w:rsid w:val="00C34443"/>
    <w:rsid w:val="00C34698"/>
    <w:rsid w:val="00C34712"/>
    <w:rsid w:val="00C348EF"/>
    <w:rsid w:val="00C34997"/>
    <w:rsid w:val="00C34D49"/>
    <w:rsid w:val="00C35CCA"/>
    <w:rsid w:val="00C3697C"/>
    <w:rsid w:val="00C36D5E"/>
    <w:rsid w:val="00C36FF4"/>
    <w:rsid w:val="00C379BF"/>
    <w:rsid w:val="00C37D34"/>
    <w:rsid w:val="00C37FFD"/>
    <w:rsid w:val="00C40701"/>
    <w:rsid w:val="00C40BFC"/>
    <w:rsid w:val="00C40D7E"/>
    <w:rsid w:val="00C40F61"/>
    <w:rsid w:val="00C41ACD"/>
    <w:rsid w:val="00C42078"/>
    <w:rsid w:val="00C421DC"/>
    <w:rsid w:val="00C42343"/>
    <w:rsid w:val="00C42F58"/>
    <w:rsid w:val="00C43192"/>
    <w:rsid w:val="00C44A7E"/>
    <w:rsid w:val="00C44C1D"/>
    <w:rsid w:val="00C44D20"/>
    <w:rsid w:val="00C44F31"/>
    <w:rsid w:val="00C457CD"/>
    <w:rsid w:val="00C459D7"/>
    <w:rsid w:val="00C4659A"/>
    <w:rsid w:val="00C46687"/>
    <w:rsid w:val="00C4675D"/>
    <w:rsid w:val="00C471F6"/>
    <w:rsid w:val="00C47315"/>
    <w:rsid w:val="00C4766C"/>
    <w:rsid w:val="00C4783E"/>
    <w:rsid w:val="00C47BB5"/>
    <w:rsid w:val="00C47BED"/>
    <w:rsid w:val="00C47C0F"/>
    <w:rsid w:val="00C47DDD"/>
    <w:rsid w:val="00C47E7C"/>
    <w:rsid w:val="00C50554"/>
    <w:rsid w:val="00C50A0C"/>
    <w:rsid w:val="00C51675"/>
    <w:rsid w:val="00C51818"/>
    <w:rsid w:val="00C518B3"/>
    <w:rsid w:val="00C51E3F"/>
    <w:rsid w:val="00C51F1D"/>
    <w:rsid w:val="00C51F93"/>
    <w:rsid w:val="00C52480"/>
    <w:rsid w:val="00C5267D"/>
    <w:rsid w:val="00C526B6"/>
    <w:rsid w:val="00C52A97"/>
    <w:rsid w:val="00C53265"/>
    <w:rsid w:val="00C533AA"/>
    <w:rsid w:val="00C53C9D"/>
    <w:rsid w:val="00C53EA3"/>
    <w:rsid w:val="00C53F8F"/>
    <w:rsid w:val="00C54DDA"/>
    <w:rsid w:val="00C5503B"/>
    <w:rsid w:val="00C55E01"/>
    <w:rsid w:val="00C55ED7"/>
    <w:rsid w:val="00C560AE"/>
    <w:rsid w:val="00C562A9"/>
    <w:rsid w:val="00C57242"/>
    <w:rsid w:val="00C57317"/>
    <w:rsid w:val="00C574BE"/>
    <w:rsid w:val="00C57918"/>
    <w:rsid w:val="00C57DC1"/>
    <w:rsid w:val="00C60243"/>
    <w:rsid w:val="00C60692"/>
    <w:rsid w:val="00C60728"/>
    <w:rsid w:val="00C60C77"/>
    <w:rsid w:val="00C61071"/>
    <w:rsid w:val="00C610D3"/>
    <w:rsid w:val="00C61273"/>
    <w:rsid w:val="00C61412"/>
    <w:rsid w:val="00C61A67"/>
    <w:rsid w:val="00C61A87"/>
    <w:rsid w:val="00C61C38"/>
    <w:rsid w:val="00C61F53"/>
    <w:rsid w:val="00C61F79"/>
    <w:rsid w:val="00C62205"/>
    <w:rsid w:val="00C62759"/>
    <w:rsid w:val="00C62C29"/>
    <w:rsid w:val="00C630B0"/>
    <w:rsid w:val="00C63544"/>
    <w:rsid w:val="00C63688"/>
    <w:rsid w:val="00C637F1"/>
    <w:rsid w:val="00C63868"/>
    <w:rsid w:val="00C6398E"/>
    <w:rsid w:val="00C645FC"/>
    <w:rsid w:val="00C64602"/>
    <w:rsid w:val="00C64BF0"/>
    <w:rsid w:val="00C64C3F"/>
    <w:rsid w:val="00C65241"/>
    <w:rsid w:val="00C65401"/>
    <w:rsid w:val="00C65CBF"/>
    <w:rsid w:val="00C66780"/>
    <w:rsid w:val="00C6698E"/>
    <w:rsid w:val="00C66FFA"/>
    <w:rsid w:val="00C67889"/>
    <w:rsid w:val="00C7028F"/>
    <w:rsid w:val="00C704E7"/>
    <w:rsid w:val="00C704FD"/>
    <w:rsid w:val="00C70B6E"/>
    <w:rsid w:val="00C70BF8"/>
    <w:rsid w:val="00C70D05"/>
    <w:rsid w:val="00C713CF"/>
    <w:rsid w:val="00C71538"/>
    <w:rsid w:val="00C718A1"/>
    <w:rsid w:val="00C71B8B"/>
    <w:rsid w:val="00C71E6B"/>
    <w:rsid w:val="00C72853"/>
    <w:rsid w:val="00C72953"/>
    <w:rsid w:val="00C72AF1"/>
    <w:rsid w:val="00C72E80"/>
    <w:rsid w:val="00C73825"/>
    <w:rsid w:val="00C73CB2"/>
    <w:rsid w:val="00C73E05"/>
    <w:rsid w:val="00C7402B"/>
    <w:rsid w:val="00C741AB"/>
    <w:rsid w:val="00C7499D"/>
    <w:rsid w:val="00C74AE0"/>
    <w:rsid w:val="00C751C2"/>
    <w:rsid w:val="00C751F0"/>
    <w:rsid w:val="00C7559B"/>
    <w:rsid w:val="00C755A1"/>
    <w:rsid w:val="00C7580D"/>
    <w:rsid w:val="00C75818"/>
    <w:rsid w:val="00C75A87"/>
    <w:rsid w:val="00C76999"/>
    <w:rsid w:val="00C7715C"/>
    <w:rsid w:val="00C775AB"/>
    <w:rsid w:val="00C800E0"/>
    <w:rsid w:val="00C80569"/>
    <w:rsid w:val="00C81184"/>
    <w:rsid w:val="00C81DA5"/>
    <w:rsid w:val="00C8219E"/>
    <w:rsid w:val="00C826F6"/>
    <w:rsid w:val="00C82B8B"/>
    <w:rsid w:val="00C82E88"/>
    <w:rsid w:val="00C82F72"/>
    <w:rsid w:val="00C833E2"/>
    <w:rsid w:val="00C83687"/>
    <w:rsid w:val="00C83A8B"/>
    <w:rsid w:val="00C83E00"/>
    <w:rsid w:val="00C84261"/>
    <w:rsid w:val="00C84692"/>
    <w:rsid w:val="00C84710"/>
    <w:rsid w:val="00C85028"/>
    <w:rsid w:val="00C85791"/>
    <w:rsid w:val="00C85BE5"/>
    <w:rsid w:val="00C85CDD"/>
    <w:rsid w:val="00C85E4F"/>
    <w:rsid w:val="00C862E3"/>
    <w:rsid w:val="00C8638B"/>
    <w:rsid w:val="00C86524"/>
    <w:rsid w:val="00C86BFF"/>
    <w:rsid w:val="00C86E71"/>
    <w:rsid w:val="00C873F4"/>
    <w:rsid w:val="00C876F9"/>
    <w:rsid w:val="00C8788D"/>
    <w:rsid w:val="00C87B47"/>
    <w:rsid w:val="00C900A5"/>
    <w:rsid w:val="00C90332"/>
    <w:rsid w:val="00C90A9F"/>
    <w:rsid w:val="00C9117E"/>
    <w:rsid w:val="00C912B1"/>
    <w:rsid w:val="00C91391"/>
    <w:rsid w:val="00C914E1"/>
    <w:rsid w:val="00C92D33"/>
    <w:rsid w:val="00C92F0E"/>
    <w:rsid w:val="00C92F3F"/>
    <w:rsid w:val="00C9383B"/>
    <w:rsid w:val="00C93CE9"/>
    <w:rsid w:val="00C949B0"/>
    <w:rsid w:val="00C94FB6"/>
    <w:rsid w:val="00C9519B"/>
    <w:rsid w:val="00C9593D"/>
    <w:rsid w:val="00C95B0B"/>
    <w:rsid w:val="00C95CA6"/>
    <w:rsid w:val="00C95DDF"/>
    <w:rsid w:val="00C96D52"/>
    <w:rsid w:val="00C97CBC"/>
    <w:rsid w:val="00CA012D"/>
    <w:rsid w:val="00CA0136"/>
    <w:rsid w:val="00CA03C0"/>
    <w:rsid w:val="00CA0659"/>
    <w:rsid w:val="00CA06A3"/>
    <w:rsid w:val="00CA0716"/>
    <w:rsid w:val="00CA0CAD"/>
    <w:rsid w:val="00CA0DD3"/>
    <w:rsid w:val="00CA0E54"/>
    <w:rsid w:val="00CA1D4F"/>
    <w:rsid w:val="00CA26EA"/>
    <w:rsid w:val="00CA286F"/>
    <w:rsid w:val="00CA2932"/>
    <w:rsid w:val="00CA37D9"/>
    <w:rsid w:val="00CA3927"/>
    <w:rsid w:val="00CA3D9A"/>
    <w:rsid w:val="00CA3ED1"/>
    <w:rsid w:val="00CA41F9"/>
    <w:rsid w:val="00CA435A"/>
    <w:rsid w:val="00CA4386"/>
    <w:rsid w:val="00CA4681"/>
    <w:rsid w:val="00CA4AAC"/>
    <w:rsid w:val="00CA52F0"/>
    <w:rsid w:val="00CA53D7"/>
    <w:rsid w:val="00CA5E8F"/>
    <w:rsid w:val="00CA607D"/>
    <w:rsid w:val="00CA620B"/>
    <w:rsid w:val="00CA7081"/>
    <w:rsid w:val="00CA74DA"/>
    <w:rsid w:val="00CA77D6"/>
    <w:rsid w:val="00CA7956"/>
    <w:rsid w:val="00CA7B8F"/>
    <w:rsid w:val="00CA7C20"/>
    <w:rsid w:val="00CA7F36"/>
    <w:rsid w:val="00CA7F41"/>
    <w:rsid w:val="00CB03D2"/>
    <w:rsid w:val="00CB0A0A"/>
    <w:rsid w:val="00CB1471"/>
    <w:rsid w:val="00CB1836"/>
    <w:rsid w:val="00CB1848"/>
    <w:rsid w:val="00CB1C30"/>
    <w:rsid w:val="00CB2927"/>
    <w:rsid w:val="00CB2C67"/>
    <w:rsid w:val="00CB2C7B"/>
    <w:rsid w:val="00CB3061"/>
    <w:rsid w:val="00CB3232"/>
    <w:rsid w:val="00CB32ED"/>
    <w:rsid w:val="00CB334D"/>
    <w:rsid w:val="00CB3A4F"/>
    <w:rsid w:val="00CB3C26"/>
    <w:rsid w:val="00CB4162"/>
    <w:rsid w:val="00CB479D"/>
    <w:rsid w:val="00CB4C68"/>
    <w:rsid w:val="00CB4D04"/>
    <w:rsid w:val="00CB4D50"/>
    <w:rsid w:val="00CB5161"/>
    <w:rsid w:val="00CB54A6"/>
    <w:rsid w:val="00CB578A"/>
    <w:rsid w:val="00CB59AE"/>
    <w:rsid w:val="00CB6617"/>
    <w:rsid w:val="00CB685B"/>
    <w:rsid w:val="00CB6B1D"/>
    <w:rsid w:val="00CB6DA1"/>
    <w:rsid w:val="00CB6EF9"/>
    <w:rsid w:val="00CB71B7"/>
    <w:rsid w:val="00CB7BAD"/>
    <w:rsid w:val="00CB7C42"/>
    <w:rsid w:val="00CB7D47"/>
    <w:rsid w:val="00CC0006"/>
    <w:rsid w:val="00CC0122"/>
    <w:rsid w:val="00CC0948"/>
    <w:rsid w:val="00CC0BEE"/>
    <w:rsid w:val="00CC154F"/>
    <w:rsid w:val="00CC1588"/>
    <w:rsid w:val="00CC184D"/>
    <w:rsid w:val="00CC1866"/>
    <w:rsid w:val="00CC1A81"/>
    <w:rsid w:val="00CC1AFC"/>
    <w:rsid w:val="00CC1EDF"/>
    <w:rsid w:val="00CC21D8"/>
    <w:rsid w:val="00CC23D0"/>
    <w:rsid w:val="00CC3074"/>
    <w:rsid w:val="00CC3122"/>
    <w:rsid w:val="00CC34A4"/>
    <w:rsid w:val="00CC387D"/>
    <w:rsid w:val="00CC38B7"/>
    <w:rsid w:val="00CC3B9D"/>
    <w:rsid w:val="00CC3DFC"/>
    <w:rsid w:val="00CC4141"/>
    <w:rsid w:val="00CC49F1"/>
    <w:rsid w:val="00CC4AAE"/>
    <w:rsid w:val="00CC4B01"/>
    <w:rsid w:val="00CC510D"/>
    <w:rsid w:val="00CC5283"/>
    <w:rsid w:val="00CC547A"/>
    <w:rsid w:val="00CC5B50"/>
    <w:rsid w:val="00CC5B7D"/>
    <w:rsid w:val="00CC61EE"/>
    <w:rsid w:val="00CC6B9F"/>
    <w:rsid w:val="00CC77AB"/>
    <w:rsid w:val="00CC7BE2"/>
    <w:rsid w:val="00CD0024"/>
    <w:rsid w:val="00CD066C"/>
    <w:rsid w:val="00CD07CC"/>
    <w:rsid w:val="00CD0E81"/>
    <w:rsid w:val="00CD0EB5"/>
    <w:rsid w:val="00CD12A9"/>
    <w:rsid w:val="00CD156B"/>
    <w:rsid w:val="00CD1BB9"/>
    <w:rsid w:val="00CD1EA4"/>
    <w:rsid w:val="00CD1F98"/>
    <w:rsid w:val="00CD2545"/>
    <w:rsid w:val="00CD2865"/>
    <w:rsid w:val="00CD29D1"/>
    <w:rsid w:val="00CD2B5E"/>
    <w:rsid w:val="00CD3356"/>
    <w:rsid w:val="00CD380C"/>
    <w:rsid w:val="00CD3AF8"/>
    <w:rsid w:val="00CD44E2"/>
    <w:rsid w:val="00CD4CA6"/>
    <w:rsid w:val="00CD54DE"/>
    <w:rsid w:val="00CD5AAA"/>
    <w:rsid w:val="00CD5BEE"/>
    <w:rsid w:val="00CD5C04"/>
    <w:rsid w:val="00CD68AB"/>
    <w:rsid w:val="00CD704C"/>
    <w:rsid w:val="00CD7220"/>
    <w:rsid w:val="00CD7405"/>
    <w:rsid w:val="00CD7FBE"/>
    <w:rsid w:val="00CE00CB"/>
    <w:rsid w:val="00CE0336"/>
    <w:rsid w:val="00CE03A2"/>
    <w:rsid w:val="00CE0462"/>
    <w:rsid w:val="00CE046A"/>
    <w:rsid w:val="00CE0AF6"/>
    <w:rsid w:val="00CE0D8C"/>
    <w:rsid w:val="00CE1035"/>
    <w:rsid w:val="00CE1166"/>
    <w:rsid w:val="00CE1169"/>
    <w:rsid w:val="00CE1190"/>
    <w:rsid w:val="00CE14E1"/>
    <w:rsid w:val="00CE16B7"/>
    <w:rsid w:val="00CE2171"/>
    <w:rsid w:val="00CE25CC"/>
    <w:rsid w:val="00CE26E9"/>
    <w:rsid w:val="00CE2D7A"/>
    <w:rsid w:val="00CE34D6"/>
    <w:rsid w:val="00CE368D"/>
    <w:rsid w:val="00CE3926"/>
    <w:rsid w:val="00CE3931"/>
    <w:rsid w:val="00CE42A8"/>
    <w:rsid w:val="00CE44E9"/>
    <w:rsid w:val="00CE4604"/>
    <w:rsid w:val="00CE55B4"/>
    <w:rsid w:val="00CE593F"/>
    <w:rsid w:val="00CE6625"/>
    <w:rsid w:val="00CE665C"/>
    <w:rsid w:val="00CE72F9"/>
    <w:rsid w:val="00CE793B"/>
    <w:rsid w:val="00CE79B8"/>
    <w:rsid w:val="00CE7D6B"/>
    <w:rsid w:val="00CF0212"/>
    <w:rsid w:val="00CF0322"/>
    <w:rsid w:val="00CF06B0"/>
    <w:rsid w:val="00CF0772"/>
    <w:rsid w:val="00CF0994"/>
    <w:rsid w:val="00CF0C11"/>
    <w:rsid w:val="00CF0DF0"/>
    <w:rsid w:val="00CF178E"/>
    <w:rsid w:val="00CF184B"/>
    <w:rsid w:val="00CF24CA"/>
    <w:rsid w:val="00CF26C0"/>
    <w:rsid w:val="00CF2DDC"/>
    <w:rsid w:val="00CF2FBB"/>
    <w:rsid w:val="00CF2FC8"/>
    <w:rsid w:val="00CF37CD"/>
    <w:rsid w:val="00CF484B"/>
    <w:rsid w:val="00CF4E39"/>
    <w:rsid w:val="00CF5224"/>
    <w:rsid w:val="00CF53F9"/>
    <w:rsid w:val="00CF54D4"/>
    <w:rsid w:val="00CF55D8"/>
    <w:rsid w:val="00CF567F"/>
    <w:rsid w:val="00CF6E34"/>
    <w:rsid w:val="00CF6F09"/>
    <w:rsid w:val="00CF73BE"/>
    <w:rsid w:val="00CF73E7"/>
    <w:rsid w:val="00CF74C1"/>
    <w:rsid w:val="00CF75F7"/>
    <w:rsid w:val="00CF78EC"/>
    <w:rsid w:val="00CF7C2A"/>
    <w:rsid w:val="00CF7EBB"/>
    <w:rsid w:val="00D004E1"/>
    <w:rsid w:val="00D01202"/>
    <w:rsid w:val="00D01404"/>
    <w:rsid w:val="00D0166D"/>
    <w:rsid w:val="00D0168F"/>
    <w:rsid w:val="00D01861"/>
    <w:rsid w:val="00D019DA"/>
    <w:rsid w:val="00D01C2B"/>
    <w:rsid w:val="00D01CFE"/>
    <w:rsid w:val="00D01D26"/>
    <w:rsid w:val="00D01E9A"/>
    <w:rsid w:val="00D02001"/>
    <w:rsid w:val="00D026B1"/>
    <w:rsid w:val="00D028C7"/>
    <w:rsid w:val="00D02C4B"/>
    <w:rsid w:val="00D03050"/>
    <w:rsid w:val="00D033C5"/>
    <w:rsid w:val="00D03779"/>
    <w:rsid w:val="00D0408A"/>
    <w:rsid w:val="00D041E3"/>
    <w:rsid w:val="00D04D53"/>
    <w:rsid w:val="00D059B7"/>
    <w:rsid w:val="00D061F3"/>
    <w:rsid w:val="00D06332"/>
    <w:rsid w:val="00D07121"/>
    <w:rsid w:val="00D075CE"/>
    <w:rsid w:val="00D07683"/>
    <w:rsid w:val="00D10D04"/>
    <w:rsid w:val="00D10D72"/>
    <w:rsid w:val="00D10E32"/>
    <w:rsid w:val="00D1113F"/>
    <w:rsid w:val="00D112BA"/>
    <w:rsid w:val="00D11323"/>
    <w:rsid w:val="00D11CDC"/>
    <w:rsid w:val="00D11F4F"/>
    <w:rsid w:val="00D126FD"/>
    <w:rsid w:val="00D129D8"/>
    <w:rsid w:val="00D133A4"/>
    <w:rsid w:val="00D13921"/>
    <w:rsid w:val="00D13C7A"/>
    <w:rsid w:val="00D13E77"/>
    <w:rsid w:val="00D13E95"/>
    <w:rsid w:val="00D14DF5"/>
    <w:rsid w:val="00D15F12"/>
    <w:rsid w:val="00D16927"/>
    <w:rsid w:val="00D17479"/>
    <w:rsid w:val="00D17671"/>
    <w:rsid w:val="00D1782C"/>
    <w:rsid w:val="00D17A57"/>
    <w:rsid w:val="00D17A83"/>
    <w:rsid w:val="00D17D01"/>
    <w:rsid w:val="00D17E99"/>
    <w:rsid w:val="00D206B8"/>
    <w:rsid w:val="00D209F9"/>
    <w:rsid w:val="00D20B03"/>
    <w:rsid w:val="00D20D38"/>
    <w:rsid w:val="00D20E27"/>
    <w:rsid w:val="00D21122"/>
    <w:rsid w:val="00D2112D"/>
    <w:rsid w:val="00D21394"/>
    <w:rsid w:val="00D21426"/>
    <w:rsid w:val="00D216AA"/>
    <w:rsid w:val="00D21957"/>
    <w:rsid w:val="00D21DDB"/>
    <w:rsid w:val="00D21ED3"/>
    <w:rsid w:val="00D21F0F"/>
    <w:rsid w:val="00D22D21"/>
    <w:rsid w:val="00D22EEC"/>
    <w:rsid w:val="00D22EFD"/>
    <w:rsid w:val="00D240C1"/>
    <w:rsid w:val="00D2412E"/>
    <w:rsid w:val="00D24174"/>
    <w:rsid w:val="00D24654"/>
    <w:rsid w:val="00D25000"/>
    <w:rsid w:val="00D25C53"/>
    <w:rsid w:val="00D25DA4"/>
    <w:rsid w:val="00D25ECD"/>
    <w:rsid w:val="00D25F10"/>
    <w:rsid w:val="00D25FD8"/>
    <w:rsid w:val="00D2615E"/>
    <w:rsid w:val="00D261FB"/>
    <w:rsid w:val="00D267EA"/>
    <w:rsid w:val="00D268E9"/>
    <w:rsid w:val="00D268F7"/>
    <w:rsid w:val="00D26D55"/>
    <w:rsid w:val="00D27B44"/>
    <w:rsid w:val="00D27D1C"/>
    <w:rsid w:val="00D30361"/>
    <w:rsid w:val="00D3056C"/>
    <w:rsid w:val="00D307E2"/>
    <w:rsid w:val="00D3085E"/>
    <w:rsid w:val="00D30C7D"/>
    <w:rsid w:val="00D318A6"/>
    <w:rsid w:val="00D31A67"/>
    <w:rsid w:val="00D3231B"/>
    <w:rsid w:val="00D3266B"/>
    <w:rsid w:val="00D33610"/>
    <w:rsid w:val="00D337C9"/>
    <w:rsid w:val="00D33CBA"/>
    <w:rsid w:val="00D342EC"/>
    <w:rsid w:val="00D34842"/>
    <w:rsid w:val="00D35069"/>
    <w:rsid w:val="00D35BED"/>
    <w:rsid w:val="00D35D39"/>
    <w:rsid w:val="00D360AD"/>
    <w:rsid w:val="00D36940"/>
    <w:rsid w:val="00D369FA"/>
    <w:rsid w:val="00D36CAD"/>
    <w:rsid w:val="00D36D56"/>
    <w:rsid w:val="00D3766D"/>
    <w:rsid w:val="00D40C3E"/>
    <w:rsid w:val="00D40C6C"/>
    <w:rsid w:val="00D413FB"/>
    <w:rsid w:val="00D414E2"/>
    <w:rsid w:val="00D415CE"/>
    <w:rsid w:val="00D41A80"/>
    <w:rsid w:val="00D41E00"/>
    <w:rsid w:val="00D4207E"/>
    <w:rsid w:val="00D4249A"/>
    <w:rsid w:val="00D4295B"/>
    <w:rsid w:val="00D4368B"/>
    <w:rsid w:val="00D438B2"/>
    <w:rsid w:val="00D43E39"/>
    <w:rsid w:val="00D43ED5"/>
    <w:rsid w:val="00D43F7D"/>
    <w:rsid w:val="00D444AD"/>
    <w:rsid w:val="00D4482D"/>
    <w:rsid w:val="00D44B24"/>
    <w:rsid w:val="00D44D1E"/>
    <w:rsid w:val="00D4524D"/>
    <w:rsid w:val="00D457B2"/>
    <w:rsid w:val="00D45B35"/>
    <w:rsid w:val="00D45C12"/>
    <w:rsid w:val="00D45C8A"/>
    <w:rsid w:val="00D46772"/>
    <w:rsid w:val="00D4678D"/>
    <w:rsid w:val="00D471C9"/>
    <w:rsid w:val="00D47683"/>
    <w:rsid w:val="00D47AE7"/>
    <w:rsid w:val="00D47C2A"/>
    <w:rsid w:val="00D47EDB"/>
    <w:rsid w:val="00D5000D"/>
    <w:rsid w:val="00D50EF0"/>
    <w:rsid w:val="00D5115C"/>
    <w:rsid w:val="00D513B0"/>
    <w:rsid w:val="00D51C95"/>
    <w:rsid w:val="00D51D1D"/>
    <w:rsid w:val="00D521EF"/>
    <w:rsid w:val="00D52941"/>
    <w:rsid w:val="00D529EB"/>
    <w:rsid w:val="00D5342B"/>
    <w:rsid w:val="00D53703"/>
    <w:rsid w:val="00D53A64"/>
    <w:rsid w:val="00D54475"/>
    <w:rsid w:val="00D546BD"/>
    <w:rsid w:val="00D54E38"/>
    <w:rsid w:val="00D54F8C"/>
    <w:rsid w:val="00D555FE"/>
    <w:rsid w:val="00D55978"/>
    <w:rsid w:val="00D55C53"/>
    <w:rsid w:val="00D56337"/>
    <w:rsid w:val="00D56CC5"/>
    <w:rsid w:val="00D56DB4"/>
    <w:rsid w:val="00D57010"/>
    <w:rsid w:val="00D579A6"/>
    <w:rsid w:val="00D57A26"/>
    <w:rsid w:val="00D57DA6"/>
    <w:rsid w:val="00D57E15"/>
    <w:rsid w:val="00D605B7"/>
    <w:rsid w:val="00D61BB5"/>
    <w:rsid w:val="00D61D34"/>
    <w:rsid w:val="00D62432"/>
    <w:rsid w:val="00D6264F"/>
    <w:rsid w:val="00D62720"/>
    <w:rsid w:val="00D62DDE"/>
    <w:rsid w:val="00D63238"/>
    <w:rsid w:val="00D632E6"/>
    <w:rsid w:val="00D634F5"/>
    <w:rsid w:val="00D63F11"/>
    <w:rsid w:val="00D64533"/>
    <w:rsid w:val="00D64623"/>
    <w:rsid w:val="00D65217"/>
    <w:rsid w:val="00D65C34"/>
    <w:rsid w:val="00D65D61"/>
    <w:rsid w:val="00D66048"/>
    <w:rsid w:val="00D66418"/>
    <w:rsid w:val="00D66E63"/>
    <w:rsid w:val="00D66E8B"/>
    <w:rsid w:val="00D66F0D"/>
    <w:rsid w:val="00D67071"/>
    <w:rsid w:val="00D6733D"/>
    <w:rsid w:val="00D67C14"/>
    <w:rsid w:val="00D67D3A"/>
    <w:rsid w:val="00D67FCE"/>
    <w:rsid w:val="00D70B64"/>
    <w:rsid w:val="00D71639"/>
    <w:rsid w:val="00D719AB"/>
    <w:rsid w:val="00D71A28"/>
    <w:rsid w:val="00D71C21"/>
    <w:rsid w:val="00D73348"/>
    <w:rsid w:val="00D739FA"/>
    <w:rsid w:val="00D74244"/>
    <w:rsid w:val="00D742D9"/>
    <w:rsid w:val="00D746CD"/>
    <w:rsid w:val="00D74788"/>
    <w:rsid w:val="00D74EDF"/>
    <w:rsid w:val="00D75673"/>
    <w:rsid w:val="00D75813"/>
    <w:rsid w:val="00D75981"/>
    <w:rsid w:val="00D75A2C"/>
    <w:rsid w:val="00D75AEC"/>
    <w:rsid w:val="00D76060"/>
    <w:rsid w:val="00D760AA"/>
    <w:rsid w:val="00D76256"/>
    <w:rsid w:val="00D76471"/>
    <w:rsid w:val="00D76600"/>
    <w:rsid w:val="00D766AA"/>
    <w:rsid w:val="00D76ABD"/>
    <w:rsid w:val="00D76EF0"/>
    <w:rsid w:val="00D771B9"/>
    <w:rsid w:val="00D77264"/>
    <w:rsid w:val="00D774FA"/>
    <w:rsid w:val="00D775BA"/>
    <w:rsid w:val="00D804B6"/>
    <w:rsid w:val="00D80872"/>
    <w:rsid w:val="00D80A72"/>
    <w:rsid w:val="00D81158"/>
    <w:rsid w:val="00D8137B"/>
    <w:rsid w:val="00D817B4"/>
    <w:rsid w:val="00D81937"/>
    <w:rsid w:val="00D81ECF"/>
    <w:rsid w:val="00D8210A"/>
    <w:rsid w:val="00D826F0"/>
    <w:rsid w:val="00D82D37"/>
    <w:rsid w:val="00D83113"/>
    <w:rsid w:val="00D8331C"/>
    <w:rsid w:val="00D83C2B"/>
    <w:rsid w:val="00D8424E"/>
    <w:rsid w:val="00D84253"/>
    <w:rsid w:val="00D849FB"/>
    <w:rsid w:val="00D84C14"/>
    <w:rsid w:val="00D84ED9"/>
    <w:rsid w:val="00D84F35"/>
    <w:rsid w:val="00D85118"/>
    <w:rsid w:val="00D8514A"/>
    <w:rsid w:val="00D8557E"/>
    <w:rsid w:val="00D85B71"/>
    <w:rsid w:val="00D8625D"/>
    <w:rsid w:val="00D8680B"/>
    <w:rsid w:val="00D87255"/>
    <w:rsid w:val="00D87526"/>
    <w:rsid w:val="00D903DE"/>
    <w:rsid w:val="00D905D3"/>
    <w:rsid w:val="00D9124B"/>
    <w:rsid w:val="00D9180F"/>
    <w:rsid w:val="00D91A60"/>
    <w:rsid w:val="00D9207F"/>
    <w:rsid w:val="00D92641"/>
    <w:rsid w:val="00D92AE4"/>
    <w:rsid w:val="00D92CEA"/>
    <w:rsid w:val="00D93207"/>
    <w:rsid w:val="00D93AA3"/>
    <w:rsid w:val="00D94FED"/>
    <w:rsid w:val="00D9515D"/>
    <w:rsid w:val="00D954BD"/>
    <w:rsid w:val="00D95E2D"/>
    <w:rsid w:val="00D96D98"/>
    <w:rsid w:val="00D96FA8"/>
    <w:rsid w:val="00D97356"/>
    <w:rsid w:val="00D978DB"/>
    <w:rsid w:val="00D97AAB"/>
    <w:rsid w:val="00D97E6B"/>
    <w:rsid w:val="00D97E6D"/>
    <w:rsid w:val="00DA0514"/>
    <w:rsid w:val="00DA086A"/>
    <w:rsid w:val="00DA0CDF"/>
    <w:rsid w:val="00DA0DCB"/>
    <w:rsid w:val="00DA1178"/>
    <w:rsid w:val="00DA1456"/>
    <w:rsid w:val="00DA1489"/>
    <w:rsid w:val="00DA1562"/>
    <w:rsid w:val="00DA1A14"/>
    <w:rsid w:val="00DA1BF8"/>
    <w:rsid w:val="00DA1D16"/>
    <w:rsid w:val="00DA23D3"/>
    <w:rsid w:val="00DA2681"/>
    <w:rsid w:val="00DA27ED"/>
    <w:rsid w:val="00DA28E9"/>
    <w:rsid w:val="00DA2DAB"/>
    <w:rsid w:val="00DA3118"/>
    <w:rsid w:val="00DA4020"/>
    <w:rsid w:val="00DA4728"/>
    <w:rsid w:val="00DA4CEC"/>
    <w:rsid w:val="00DA4CF9"/>
    <w:rsid w:val="00DA5713"/>
    <w:rsid w:val="00DA59AF"/>
    <w:rsid w:val="00DA5D5D"/>
    <w:rsid w:val="00DA5FDC"/>
    <w:rsid w:val="00DA608C"/>
    <w:rsid w:val="00DA6129"/>
    <w:rsid w:val="00DA6577"/>
    <w:rsid w:val="00DA6880"/>
    <w:rsid w:val="00DA68F0"/>
    <w:rsid w:val="00DA73A1"/>
    <w:rsid w:val="00DA751B"/>
    <w:rsid w:val="00DA75A0"/>
    <w:rsid w:val="00DA778F"/>
    <w:rsid w:val="00DA7D90"/>
    <w:rsid w:val="00DA7F85"/>
    <w:rsid w:val="00DB0068"/>
    <w:rsid w:val="00DB084E"/>
    <w:rsid w:val="00DB0865"/>
    <w:rsid w:val="00DB0C42"/>
    <w:rsid w:val="00DB0C8D"/>
    <w:rsid w:val="00DB0E2A"/>
    <w:rsid w:val="00DB18EA"/>
    <w:rsid w:val="00DB1C65"/>
    <w:rsid w:val="00DB1FB1"/>
    <w:rsid w:val="00DB32B3"/>
    <w:rsid w:val="00DB3A1A"/>
    <w:rsid w:val="00DB3E74"/>
    <w:rsid w:val="00DB432A"/>
    <w:rsid w:val="00DB479A"/>
    <w:rsid w:val="00DB4820"/>
    <w:rsid w:val="00DB4918"/>
    <w:rsid w:val="00DB51CD"/>
    <w:rsid w:val="00DB5254"/>
    <w:rsid w:val="00DB5612"/>
    <w:rsid w:val="00DB56F4"/>
    <w:rsid w:val="00DB5AEF"/>
    <w:rsid w:val="00DB5BF3"/>
    <w:rsid w:val="00DB5F1F"/>
    <w:rsid w:val="00DB6155"/>
    <w:rsid w:val="00DB6EEC"/>
    <w:rsid w:val="00DB74AF"/>
    <w:rsid w:val="00DB79B9"/>
    <w:rsid w:val="00DB7C44"/>
    <w:rsid w:val="00DC01B8"/>
    <w:rsid w:val="00DC02D8"/>
    <w:rsid w:val="00DC032F"/>
    <w:rsid w:val="00DC0458"/>
    <w:rsid w:val="00DC0688"/>
    <w:rsid w:val="00DC0A93"/>
    <w:rsid w:val="00DC11EE"/>
    <w:rsid w:val="00DC13BB"/>
    <w:rsid w:val="00DC1ED0"/>
    <w:rsid w:val="00DC24CD"/>
    <w:rsid w:val="00DC272F"/>
    <w:rsid w:val="00DC2BA9"/>
    <w:rsid w:val="00DC2D11"/>
    <w:rsid w:val="00DC2F06"/>
    <w:rsid w:val="00DC32F9"/>
    <w:rsid w:val="00DC3631"/>
    <w:rsid w:val="00DC3CAD"/>
    <w:rsid w:val="00DC3D18"/>
    <w:rsid w:val="00DC3FAA"/>
    <w:rsid w:val="00DC4683"/>
    <w:rsid w:val="00DC4DB0"/>
    <w:rsid w:val="00DC4DF4"/>
    <w:rsid w:val="00DC57BC"/>
    <w:rsid w:val="00DC58DA"/>
    <w:rsid w:val="00DC5DCB"/>
    <w:rsid w:val="00DC6721"/>
    <w:rsid w:val="00DC750D"/>
    <w:rsid w:val="00DC763C"/>
    <w:rsid w:val="00DC787A"/>
    <w:rsid w:val="00DC7BAC"/>
    <w:rsid w:val="00DC7FF0"/>
    <w:rsid w:val="00DD034C"/>
    <w:rsid w:val="00DD09FD"/>
    <w:rsid w:val="00DD1179"/>
    <w:rsid w:val="00DD1622"/>
    <w:rsid w:val="00DD17BE"/>
    <w:rsid w:val="00DD1B06"/>
    <w:rsid w:val="00DD1D1B"/>
    <w:rsid w:val="00DD24E4"/>
    <w:rsid w:val="00DD2555"/>
    <w:rsid w:val="00DD32C9"/>
    <w:rsid w:val="00DD361B"/>
    <w:rsid w:val="00DD37F4"/>
    <w:rsid w:val="00DD3856"/>
    <w:rsid w:val="00DD4004"/>
    <w:rsid w:val="00DD4592"/>
    <w:rsid w:val="00DD4C93"/>
    <w:rsid w:val="00DD5221"/>
    <w:rsid w:val="00DD5280"/>
    <w:rsid w:val="00DD570E"/>
    <w:rsid w:val="00DD597F"/>
    <w:rsid w:val="00DD5C87"/>
    <w:rsid w:val="00DD653E"/>
    <w:rsid w:val="00DD697E"/>
    <w:rsid w:val="00DD7880"/>
    <w:rsid w:val="00DD7908"/>
    <w:rsid w:val="00DD7B82"/>
    <w:rsid w:val="00DD7C26"/>
    <w:rsid w:val="00DD7CF9"/>
    <w:rsid w:val="00DD7FFC"/>
    <w:rsid w:val="00DE0F43"/>
    <w:rsid w:val="00DE1023"/>
    <w:rsid w:val="00DE1056"/>
    <w:rsid w:val="00DE1103"/>
    <w:rsid w:val="00DE16EA"/>
    <w:rsid w:val="00DE1748"/>
    <w:rsid w:val="00DE1BE8"/>
    <w:rsid w:val="00DE213B"/>
    <w:rsid w:val="00DE29B2"/>
    <w:rsid w:val="00DE2A9F"/>
    <w:rsid w:val="00DE306C"/>
    <w:rsid w:val="00DE31F9"/>
    <w:rsid w:val="00DE3633"/>
    <w:rsid w:val="00DE367A"/>
    <w:rsid w:val="00DE3832"/>
    <w:rsid w:val="00DE385A"/>
    <w:rsid w:val="00DE3A3C"/>
    <w:rsid w:val="00DE3EFE"/>
    <w:rsid w:val="00DE469D"/>
    <w:rsid w:val="00DE4D71"/>
    <w:rsid w:val="00DE4F9C"/>
    <w:rsid w:val="00DE58F9"/>
    <w:rsid w:val="00DE5E20"/>
    <w:rsid w:val="00DE5FC8"/>
    <w:rsid w:val="00DE5FEE"/>
    <w:rsid w:val="00DE606B"/>
    <w:rsid w:val="00DE64D8"/>
    <w:rsid w:val="00DE67AB"/>
    <w:rsid w:val="00DE6FF3"/>
    <w:rsid w:val="00DE73F7"/>
    <w:rsid w:val="00DE7F67"/>
    <w:rsid w:val="00DF005B"/>
    <w:rsid w:val="00DF0AD7"/>
    <w:rsid w:val="00DF0C7F"/>
    <w:rsid w:val="00DF121C"/>
    <w:rsid w:val="00DF1CC1"/>
    <w:rsid w:val="00DF21B8"/>
    <w:rsid w:val="00DF233E"/>
    <w:rsid w:val="00DF245B"/>
    <w:rsid w:val="00DF2636"/>
    <w:rsid w:val="00DF2700"/>
    <w:rsid w:val="00DF28F5"/>
    <w:rsid w:val="00DF3309"/>
    <w:rsid w:val="00DF3874"/>
    <w:rsid w:val="00DF390D"/>
    <w:rsid w:val="00DF3BD9"/>
    <w:rsid w:val="00DF3FBF"/>
    <w:rsid w:val="00DF4386"/>
    <w:rsid w:val="00DF49B3"/>
    <w:rsid w:val="00DF550C"/>
    <w:rsid w:val="00DF5591"/>
    <w:rsid w:val="00DF5944"/>
    <w:rsid w:val="00DF65C8"/>
    <w:rsid w:val="00DF67A4"/>
    <w:rsid w:val="00DF70D0"/>
    <w:rsid w:val="00DF7186"/>
    <w:rsid w:val="00DF764F"/>
    <w:rsid w:val="00DF7F77"/>
    <w:rsid w:val="00E00173"/>
    <w:rsid w:val="00E007F8"/>
    <w:rsid w:val="00E008E5"/>
    <w:rsid w:val="00E0099D"/>
    <w:rsid w:val="00E00C69"/>
    <w:rsid w:val="00E00EE9"/>
    <w:rsid w:val="00E0102D"/>
    <w:rsid w:val="00E01183"/>
    <w:rsid w:val="00E0156A"/>
    <w:rsid w:val="00E01890"/>
    <w:rsid w:val="00E01F35"/>
    <w:rsid w:val="00E02058"/>
    <w:rsid w:val="00E022B4"/>
    <w:rsid w:val="00E02300"/>
    <w:rsid w:val="00E0248B"/>
    <w:rsid w:val="00E02A01"/>
    <w:rsid w:val="00E02BC3"/>
    <w:rsid w:val="00E02E8C"/>
    <w:rsid w:val="00E032EB"/>
    <w:rsid w:val="00E0376C"/>
    <w:rsid w:val="00E03D8E"/>
    <w:rsid w:val="00E03E7F"/>
    <w:rsid w:val="00E04101"/>
    <w:rsid w:val="00E04DC4"/>
    <w:rsid w:val="00E04FDD"/>
    <w:rsid w:val="00E05A7E"/>
    <w:rsid w:val="00E05BD1"/>
    <w:rsid w:val="00E06821"/>
    <w:rsid w:val="00E06A3C"/>
    <w:rsid w:val="00E06C1A"/>
    <w:rsid w:val="00E06F6C"/>
    <w:rsid w:val="00E07504"/>
    <w:rsid w:val="00E07C5D"/>
    <w:rsid w:val="00E07E41"/>
    <w:rsid w:val="00E1003F"/>
    <w:rsid w:val="00E100B5"/>
    <w:rsid w:val="00E1051B"/>
    <w:rsid w:val="00E10953"/>
    <w:rsid w:val="00E10EB9"/>
    <w:rsid w:val="00E11BBC"/>
    <w:rsid w:val="00E11D39"/>
    <w:rsid w:val="00E11DF0"/>
    <w:rsid w:val="00E11F89"/>
    <w:rsid w:val="00E1214C"/>
    <w:rsid w:val="00E121C9"/>
    <w:rsid w:val="00E122AA"/>
    <w:rsid w:val="00E1250F"/>
    <w:rsid w:val="00E12B40"/>
    <w:rsid w:val="00E12B77"/>
    <w:rsid w:val="00E12EBA"/>
    <w:rsid w:val="00E12FE4"/>
    <w:rsid w:val="00E13575"/>
    <w:rsid w:val="00E14ECF"/>
    <w:rsid w:val="00E15512"/>
    <w:rsid w:val="00E157F2"/>
    <w:rsid w:val="00E16B3E"/>
    <w:rsid w:val="00E16F0F"/>
    <w:rsid w:val="00E1702C"/>
    <w:rsid w:val="00E17074"/>
    <w:rsid w:val="00E173E0"/>
    <w:rsid w:val="00E17417"/>
    <w:rsid w:val="00E17472"/>
    <w:rsid w:val="00E179C5"/>
    <w:rsid w:val="00E20A6A"/>
    <w:rsid w:val="00E20C27"/>
    <w:rsid w:val="00E20F47"/>
    <w:rsid w:val="00E210BB"/>
    <w:rsid w:val="00E21914"/>
    <w:rsid w:val="00E21E5A"/>
    <w:rsid w:val="00E220AC"/>
    <w:rsid w:val="00E221BC"/>
    <w:rsid w:val="00E22758"/>
    <w:rsid w:val="00E227A3"/>
    <w:rsid w:val="00E23664"/>
    <w:rsid w:val="00E2366C"/>
    <w:rsid w:val="00E239D4"/>
    <w:rsid w:val="00E23A7C"/>
    <w:rsid w:val="00E2430D"/>
    <w:rsid w:val="00E247D6"/>
    <w:rsid w:val="00E24D0E"/>
    <w:rsid w:val="00E255DF"/>
    <w:rsid w:val="00E2575B"/>
    <w:rsid w:val="00E2607B"/>
    <w:rsid w:val="00E26328"/>
    <w:rsid w:val="00E264CE"/>
    <w:rsid w:val="00E26512"/>
    <w:rsid w:val="00E266D7"/>
    <w:rsid w:val="00E26F24"/>
    <w:rsid w:val="00E27446"/>
    <w:rsid w:val="00E27D71"/>
    <w:rsid w:val="00E27D99"/>
    <w:rsid w:val="00E27F06"/>
    <w:rsid w:val="00E27FCB"/>
    <w:rsid w:val="00E305A7"/>
    <w:rsid w:val="00E30919"/>
    <w:rsid w:val="00E30962"/>
    <w:rsid w:val="00E30978"/>
    <w:rsid w:val="00E30CE2"/>
    <w:rsid w:val="00E30E28"/>
    <w:rsid w:val="00E3114A"/>
    <w:rsid w:val="00E31555"/>
    <w:rsid w:val="00E317B5"/>
    <w:rsid w:val="00E31985"/>
    <w:rsid w:val="00E3292C"/>
    <w:rsid w:val="00E33BA4"/>
    <w:rsid w:val="00E33C74"/>
    <w:rsid w:val="00E33D35"/>
    <w:rsid w:val="00E3435C"/>
    <w:rsid w:val="00E34495"/>
    <w:rsid w:val="00E347F5"/>
    <w:rsid w:val="00E350FC"/>
    <w:rsid w:val="00E353BC"/>
    <w:rsid w:val="00E354CF"/>
    <w:rsid w:val="00E35A19"/>
    <w:rsid w:val="00E35D17"/>
    <w:rsid w:val="00E3610F"/>
    <w:rsid w:val="00E3613A"/>
    <w:rsid w:val="00E367E3"/>
    <w:rsid w:val="00E36928"/>
    <w:rsid w:val="00E37048"/>
    <w:rsid w:val="00E37373"/>
    <w:rsid w:val="00E3751B"/>
    <w:rsid w:val="00E37CBE"/>
    <w:rsid w:val="00E37EFA"/>
    <w:rsid w:val="00E37FC3"/>
    <w:rsid w:val="00E40333"/>
    <w:rsid w:val="00E40889"/>
    <w:rsid w:val="00E40CCE"/>
    <w:rsid w:val="00E41068"/>
    <w:rsid w:val="00E410EB"/>
    <w:rsid w:val="00E41343"/>
    <w:rsid w:val="00E41383"/>
    <w:rsid w:val="00E417FD"/>
    <w:rsid w:val="00E41E90"/>
    <w:rsid w:val="00E426C6"/>
    <w:rsid w:val="00E4282B"/>
    <w:rsid w:val="00E42BAD"/>
    <w:rsid w:val="00E42D96"/>
    <w:rsid w:val="00E4346D"/>
    <w:rsid w:val="00E43BB5"/>
    <w:rsid w:val="00E43BB8"/>
    <w:rsid w:val="00E43EEC"/>
    <w:rsid w:val="00E4461A"/>
    <w:rsid w:val="00E4469A"/>
    <w:rsid w:val="00E44A7E"/>
    <w:rsid w:val="00E44AE3"/>
    <w:rsid w:val="00E44BBD"/>
    <w:rsid w:val="00E44E29"/>
    <w:rsid w:val="00E44E8A"/>
    <w:rsid w:val="00E451EF"/>
    <w:rsid w:val="00E4541C"/>
    <w:rsid w:val="00E4566C"/>
    <w:rsid w:val="00E456A2"/>
    <w:rsid w:val="00E456DA"/>
    <w:rsid w:val="00E45A89"/>
    <w:rsid w:val="00E45AD1"/>
    <w:rsid w:val="00E45B46"/>
    <w:rsid w:val="00E464D5"/>
    <w:rsid w:val="00E4728D"/>
    <w:rsid w:val="00E4772C"/>
    <w:rsid w:val="00E47C13"/>
    <w:rsid w:val="00E50712"/>
    <w:rsid w:val="00E50F9D"/>
    <w:rsid w:val="00E50FE0"/>
    <w:rsid w:val="00E5116B"/>
    <w:rsid w:val="00E52A9C"/>
    <w:rsid w:val="00E52B19"/>
    <w:rsid w:val="00E52BB3"/>
    <w:rsid w:val="00E52FEB"/>
    <w:rsid w:val="00E53739"/>
    <w:rsid w:val="00E53771"/>
    <w:rsid w:val="00E53A97"/>
    <w:rsid w:val="00E53D24"/>
    <w:rsid w:val="00E53D26"/>
    <w:rsid w:val="00E543DE"/>
    <w:rsid w:val="00E546F7"/>
    <w:rsid w:val="00E549A5"/>
    <w:rsid w:val="00E55385"/>
    <w:rsid w:val="00E556B0"/>
    <w:rsid w:val="00E56702"/>
    <w:rsid w:val="00E56B15"/>
    <w:rsid w:val="00E56DE0"/>
    <w:rsid w:val="00E56FB6"/>
    <w:rsid w:val="00E57C35"/>
    <w:rsid w:val="00E57D1F"/>
    <w:rsid w:val="00E60114"/>
    <w:rsid w:val="00E60A5B"/>
    <w:rsid w:val="00E61193"/>
    <w:rsid w:val="00E619BC"/>
    <w:rsid w:val="00E61D4D"/>
    <w:rsid w:val="00E61DCE"/>
    <w:rsid w:val="00E62188"/>
    <w:rsid w:val="00E625A4"/>
    <w:rsid w:val="00E62AE4"/>
    <w:rsid w:val="00E6426D"/>
    <w:rsid w:val="00E64431"/>
    <w:rsid w:val="00E64C2A"/>
    <w:rsid w:val="00E65094"/>
    <w:rsid w:val="00E65321"/>
    <w:rsid w:val="00E655FF"/>
    <w:rsid w:val="00E656F7"/>
    <w:rsid w:val="00E66564"/>
    <w:rsid w:val="00E66865"/>
    <w:rsid w:val="00E66B6F"/>
    <w:rsid w:val="00E71134"/>
    <w:rsid w:val="00E713ED"/>
    <w:rsid w:val="00E71614"/>
    <w:rsid w:val="00E71871"/>
    <w:rsid w:val="00E723BD"/>
    <w:rsid w:val="00E72656"/>
    <w:rsid w:val="00E72671"/>
    <w:rsid w:val="00E72898"/>
    <w:rsid w:val="00E72916"/>
    <w:rsid w:val="00E72986"/>
    <w:rsid w:val="00E72A1B"/>
    <w:rsid w:val="00E72F23"/>
    <w:rsid w:val="00E72FB4"/>
    <w:rsid w:val="00E72FF9"/>
    <w:rsid w:val="00E73054"/>
    <w:rsid w:val="00E7324D"/>
    <w:rsid w:val="00E73258"/>
    <w:rsid w:val="00E737D2"/>
    <w:rsid w:val="00E739AF"/>
    <w:rsid w:val="00E739C4"/>
    <w:rsid w:val="00E73B32"/>
    <w:rsid w:val="00E73B7D"/>
    <w:rsid w:val="00E7584A"/>
    <w:rsid w:val="00E75C7D"/>
    <w:rsid w:val="00E766E8"/>
    <w:rsid w:val="00E76B0F"/>
    <w:rsid w:val="00E777E6"/>
    <w:rsid w:val="00E77810"/>
    <w:rsid w:val="00E778FD"/>
    <w:rsid w:val="00E77F27"/>
    <w:rsid w:val="00E8015F"/>
    <w:rsid w:val="00E8158A"/>
    <w:rsid w:val="00E82018"/>
    <w:rsid w:val="00E82502"/>
    <w:rsid w:val="00E8289A"/>
    <w:rsid w:val="00E828F0"/>
    <w:rsid w:val="00E82C82"/>
    <w:rsid w:val="00E834EE"/>
    <w:rsid w:val="00E83848"/>
    <w:rsid w:val="00E83966"/>
    <w:rsid w:val="00E83C70"/>
    <w:rsid w:val="00E8406A"/>
    <w:rsid w:val="00E8482A"/>
    <w:rsid w:val="00E84F59"/>
    <w:rsid w:val="00E862DC"/>
    <w:rsid w:val="00E86B18"/>
    <w:rsid w:val="00E8700E"/>
    <w:rsid w:val="00E8709B"/>
    <w:rsid w:val="00E87700"/>
    <w:rsid w:val="00E87B59"/>
    <w:rsid w:val="00E900B0"/>
    <w:rsid w:val="00E90218"/>
    <w:rsid w:val="00E909DF"/>
    <w:rsid w:val="00E90E4E"/>
    <w:rsid w:val="00E91094"/>
    <w:rsid w:val="00E911A2"/>
    <w:rsid w:val="00E927EF"/>
    <w:rsid w:val="00E92A7A"/>
    <w:rsid w:val="00E92B48"/>
    <w:rsid w:val="00E93146"/>
    <w:rsid w:val="00E935A7"/>
    <w:rsid w:val="00E93C44"/>
    <w:rsid w:val="00E9416D"/>
    <w:rsid w:val="00E945D0"/>
    <w:rsid w:val="00E94BF6"/>
    <w:rsid w:val="00E94D50"/>
    <w:rsid w:val="00E960D9"/>
    <w:rsid w:val="00E966EE"/>
    <w:rsid w:val="00E968C2"/>
    <w:rsid w:val="00E96A10"/>
    <w:rsid w:val="00E96D00"/>
    <w:rsid w:val="00E97DF9"/>
    <w:rsid w:val="00E97E98"/>
    <w:rsid w:val="00E97EC2"/>
    <w:rsid w:val="00EA042F"/>
    <w:rsid w:val="00EA070A"/>
    <w:rsid w:val="00EA070E"/>
    <w:rsid w:val="00EA0B52"/>
    <w:rsid w:val="00EA0B5E"/>
    <w:rsid w:val="00EA1149"/>
    <w:rsid w:val="00EA1220"/>
    <w:rsid w:val="00EA1655"/>
    <w:rsid w:val="00EA1919"/>
    <w:rsid w:val="00EA1B1A"/>
    <w:rsid w:val="00EA2089"/>
    <w:rsid w:val="00EA2313"/>
    <w:rsid w:val="00EA3102"/>
    <w:rsid w:val="00EA32D1"/>
    <w:rsid w:val="00EA370A"/>
    <w:rsid w:val="00EA3C0A"/>
    <w:rsid w:val="00EA3EAB"/>
    <w:rsid w:val="00EA3F3F"/>
    <w:rsid w:val="00EA40CE"/>
    <w:rsid w:val="00EA48D2"/>
    <w:rsid w:val="00EA4BD0"/>
    <w:rsid w:val="00EA4BD2"/>
    <w:rsid w:val="00EA4C08"/>
    <w:rsid w:val="00EA4DF1"/>
    <w:rsid w:val="00EA543F"/>
    <w:rsid w:val="00EA54C4"/>
    <w:rsid w:val="00EA5957"/>
    <w:rsid w:val="00EA5FCD"/>
    <w:rsid w:val="00EA63AD"/>
    <w:rsid w:val="00EA6BE9"/>
    <w:rsid w:val="00EA7352"/>
    <w:rsid w:val="00EB0932"/>
    <w:rsid w:val="00EB0A32"/>
    <w:rsid w:val="00EB0C20"/>
    <w:rsid w:val="00EB10F7"/>
    <w:rsid w:val="00EB1553"/>
    <w:rsid w:val="00EB1A17"/>
    <w:rsid w:val="00EB1C0A"/>
    <w:rsid w:val="00EB2186"/>
    <w:rsid w:val="00EB236A"/>
    <w:rsid w:val="00EB241A"/>
    <w:rsid w:val="00EB2967"/>
    <w:rsid w:val="00EB2990"/>
    <w:rsid w:val="00EB2EAA"/>
    <w:rsid w:val="00EB31B2"/>
    <w:rsid w:val="00EB3230"/>
    <w:rsid w:val="00EB3820"/>
    <w:rsid w:val="00EB39D9"/>
    <w:rsid w:val="00EB3BDE"/>
    <w:rsid w:val="00EB40B0"/>
    <w:rsid w:val="00EB4486"/>
    <w:rsid w:val="00EB4B14"/>
    <w:rsid w:val="00EB4BF3"/>
    <w:rsid w:val="00EB570F"/>
    <w:rsid w:val="00EB596A"/>
    <w:rsid w:val="00EB6447"/>
    <w:rsid w:val="00EB677B"/>
    <w:rsid w:val="00EB6B53"/>
    <w:rsid w:val="00EB74C0"/>
    <w:rsid w:val="00EC02E3"/>
    <w:rsid w:val="00EC0A2A"/>
    <w:rsid w:val="00EC0B0B"/>
    <w:rsid w:val="00EC0CE5"/>
    <w:rsid w:val="00EC0F97"/>
    <w:rsid w:val="00EC1386"/>
    <w:rsid w:val="00EC1566"/>
    <w:rsid w:val="00EC1BAC"/>
    <w:rsid w:val="00EC1BD4"/>
    <w:rsid w:val="00EC1D51"/>
    <w:rsid w:val="00EC2026"/>
    <w:rsid w:val="00EC2117"/>
    <w:rsid w:val="00EC26BF"/>
    <w:rsid w:val="00EC27FB"/>
    <w:rsid w:val="00EC293D"/>
    <w:rsid w:val="00EC32B4"/>
    <w:rsid w:val="00EC3625"/>
    <w:rsid w:val="00EC3FF5"/>
    <w:rsid w:val="00EC4117"/>
    <w:rsid w:val="00EC42B4"/>
    <w:rsid w:val="00EC4537"/>
    <w:rsid w:val="00EC46C0"/>
    <w:rsid w:val="00EC48B8"/>
    <w:rsid w:val="00EC4C09"/>
    <w:rsid w:val="00EC4F75"/>
    <w:rsid w:val="00EC54AA"/>
    <w:rsid w:val="00EC5DE0"/>
    <w:rsid w:val="00EC62AD"/>
    <w:rsid w:val="00EC6D8C"/>
    <w:rsid w:val="00EC6E1C"/>
    <w:rsid w:val="00EC7145"/>
    <w:rsid w:val="00EC7276"/>
    <w:rsid w:val="00EC7A34"/>
    <w:rsid w:val="00EC7ECC"/>
    <w:rsid w:val="00ED0225"/>
    <w:rsid w:val="00ED0492"/>
    <w:rsid w:val="00ED0DFA"/>
    <w:rsid w:val="00ED10E4"/>
    <w:rsid w:val="00ED1BA1"/>
    <w:rsid w:val="00ED1CD8"/>
    <w:rsid w:val="00ED2482"/>
    <w:rsid w:val="00ED2B05"/>
    <w:rsid w:val="00ED2C96"/>
    <w:rsid w:val="00ED2D09"/>
    <w:rsid w:val="00ED385B"/>
    <w:rsid w:val="00ED38F9"/>
    <w:rsid w:val="00ED3A40"/>
    <w:rsid w:val="00ED42AF"/>
    <w:rsid w:val="00ED5418"/>
    <w:rsid w:val="00ED56EB"/>
    <w:rsid w:val="00ED581B"/>
    <w:rsid w:val="00ED5DC0"/>
    <w:rsid w:val="00ED5F82"/>
    <w:rsid w:val="00ED6CF7"/>
    <w:rsid w:val="00ED7176"/>
    <w:rsid w:val="00ED71F0"/>
    <w:rsid w:val="00EE0351"/>
    <w:rsid w:val="00EE05F3"/>
    <w:rsid w:val="00EE076D"/>
    <w:rsid w:val="00EE0C6D"/>
    <w:rsid w:val="00EE0E8F"/>
    <w:rsid w:val="00EE1039"/>
    <w:rsid w:val="00EE1477"/>
    <w:rsid w:val="00EE163F"/>
    <w:rsid w:val="00EE190D"/>
    <w:rsid w:val="00EE1ED7"/>
    <w:rsid w:val="00EE1FB5"/>
    <w:rsid w:val="00EE3E76"/>
    <w:rsid w:val="00EE4560"/>
    <w:rsid w:val="00EE49B3"/>
    <w:rsid w:val="00EE4A44"/>
    <w:rsid w:val="00EE4B28"/>
    <w:rsid w:val="00EE4E03"/>
    <w:rsid w:val="00EE4FB1"/>
    <w:rsid w:val="00EE504A"/>
    <w:rsid w:val="00EE5069"/>
    <w:rsid w:val="00EE52E1"/>
    <w:rsid w:val="00EE5E46"/>
    <w:rsid w:val="00EE5F8C"/>
    <w:rsid w:val="00EE6033"/>
    <w:rsid w:val="00EE62A3"/>
    <w:rsid w:val="00EE6D8F"/>
    <w:rsid w:val="00EE72D3"/>
    <w:rsid w:val="00EE73FC"/>
    <w:rsid w:val="00EE7AEE"/>
    <w:rsid w:val="00EE7F32"/>
    <w:rsid w:val="00EF046A"/>
    <w:rsid w:val="00EF0671"/>
    <w:rsid w:val="00EF0992"/>
    <w:rsid w:val="00EF09AE"/>
    <w:rsid w:val="00EF15EC"/>
    <w:rsid w:val="00EF18CE"/>
    <w:rsid w:val="00EF1C3D"/>
    <w:rsid w:val="00EF2137"/>
    <w:rsid w:val="00EF2598"/>
    <w:rsid w:val="00EF2D91"/>
    <w:rsid w:val="00EF302A"/>
    <w:rsid w:val="00EF3174"/>
    <w:rsid w:val="00EF3259"/>
    <w:rsid w:val="00EF358B"/>
    <w:rsid w:val="00EF3984"/>
    <w:rsid w:val="00EF3EAD"/>
    <w:rsid w:val="00EF3FEF"/>
    <w:rsid w:val="00EF4089"/>
    <w:rsid w:val="00EF4ACE"/>
    <w:rsid w:val="00EF4E93"/>
    <w:rsid w:val="00EF4F4D"/>
    <w:rsid w:val="00EF57C6"/>
    <w:rsid w:val="00EF5856"/>
    <w:rsid w:val="00EF5FA1"/>
    <w:rsid w:val="00EF661A"/>
    <w:rsid w:val="00EF68F2"/>
    <w:rsid w:val="00EF6C12"/>
    <w:rsid w:val="00EF7B0E"/>
    <w:rsid w:val="00EF7EAB"/>
    <w:rsid w:val="00EF7F89"/>
    <w:rsid w:val="00F00047"/>
    <w:rsid w:val="00F001FC"/>
    <w:rsid w:val="00F014EA"/>
    <w:rsid w:val="00F014EB"/>
    <w:rsid w:val="00F016EC"/>
    <w:rsid w:val="00F02011"/>
    <w:rsid w:val="00F024CA"/>
    <w:rsid w:val="00F027DF"/>
    <w:rsid w:val="00F02AAE"/>
    <w:rsid w:val="00F02D34"/>
    <w:rsid w:val="00F02D7A"/>
    <w:rsid w:val="00F03041"/>
    <w:rsid w:val="00F035E9"/>
    <w:rsid w:val="00F0385A"/>
    <w:rsid w:val="00F04217"/>
    <w:rsid w:val="00F0445B"/>
    <w:rsid w:val="00F05198"/>
    <w:rsid w:val="00F058AC"/>
    <w:rsid w:val="00F05B7E"/>
    <w:rsid w:val="00F05BAB"/>
    <w:rsid w:val="00F060EA"/>
    <w:rsid w:val="00F070E2"/>
    <w:rsid w:val="00F0719B"/>
    <w:rsid w:val="00F07A1C"/>
    <w:rsid w:val="00F07C9E"/>
    <w:rsid w:val="00F10606"/>
    <w:rsid w:val="00F1121E"/>
    <w:rsid w:val="00F11CC6"/>
    <w:rsid w:val="00F11FEB"/>
    <w:rsid w:val="00F12124"/>
    <w:rsid w:val="00F12590"/>
    <w:rsid w:val="00F12C86"/>
    <w:rsid w:val="00F13A98"/>
    <w:rsid w:val="00F13FA7"/>
    <w:rsid w:val="00F14B22"/>
    <w:rsid w:val="00F14C0D"/>
    <w:rsid w:val="00F14ED0"/>
    <w:rsid w:val="00F151D8"/>
    <w:rsid w:val="00F152CA"/>
    <w:rsid w:val="00F15413"/>
    <w:rsid w:val="00F15E8F"/>
    <w:rsid w:val="00F1622A"/>
    <w:rsid w:val="00F1632F"/>
    <w:rsid w:val="00F163E2"/>
    <w:rsid w:val="00F165CE"/>
    <w:rsid w:val="00F166E1"/>
    <w:rsid w:val="00F16864"/>
    <w:rsid w:val="00F16CA8"/>
    <w:rsid w:val="00F16DD8"/>
    <w:rsid w:val="00F16DDE"/>
    <w:rsid w:val="00F16E23"/>
    <w:rsid w:val="00F1723F"/>
    <w:rsid w:val="00F17B82"/>
    <w:rsid w:val="00F17DC1"/>
    <w:rsid w:val="00F20009"/>
    <w:rsid w:val="00F20817"/>
    <w:rsid w:val="00F209B0"/>
    <w:rsid w:val="00F20E88"/>
    <w:rsid w:val="00F20F9B"/>
    <w:rsid w:val="00F211EC"/>
    <w:rsid w:val="00F216C5"/>
    <w:rsid w:val="00F2185C"/>
    <w:rsid w:val="00F21A4D"/>
    <w:rsid w:val="00F21CBD"/>
    <w:rsid w:val="00F21FEE"/>
    <w:rsid w:val="00F22708"/>
    <w:rsid w:val="00F22E57"/>
    <w:rsid w:val="00F230FE"/>
    <w:rsid w:val="00F2316C"/>
    <w:rsid w:val="00F234CD"/>
    <w:rsid w:val="00F23CF8"/>
    <w:rsid w:val="00F23DEC"/>
    <w:rsid w:val="00F240A9"/>
    <w:rsid w:val="00F24E5B"/>
    <w:rsid w:val="00F251D5"/>
    <w:rsid w:val="00F2616C"/>
    <w:rsid w:val="00F26297"/>
    <w:rsid w:val="00F26546"/>
    <w:rsid w:val="00F2698A"/>
    <w:rsid w:val="00F27816"/>
    <w:rsid w:val="00F27B09"/>
    <w:rsid w:val="00F27F26"/>
    <w:rsid w:val="00F301A1"/>
    <w:rsid w:val="00F301EA"/>
    <w:rsid w:val="00F30409"/>
    <w:rsid w:val="00F308E5"/>
    <w:rsid w:val="00F314C0"/>
    <w:rsid w:val="00F31559"/>
    <w:rsid w:val="00F31A92"/>
    <w:rsid w:val="00F31AE3"/>
    <w:rsid w:val="00F31C6C"/>
    <w:rsid w:val="00F31E18"/>
    <w:rsid w:val="00F3203C"/>
    <w:rsid w:val="00F3220E"/>
    <w:rsid w:val="00F325A0"/>
    <w:rsid w:val="00F32C52"/>
    <w:rsid w:val="00F332E5"/>
    <w:rsid w:val="00F33A8E"/>
    <w:rsid w:val="00F33BB6"/>
    <w:rsid w:val="00F33D3B"/>
    <w:rsid w:val="00F33ED7"/>
    <w:rsid w:val="00F34163"/>
    <w:rsid w:val="00F3430D"/>
    <w:rsid w:val="00F3560F"/>
    <w:rsid w:val="00F35EAE"/>
    <w:rsid w:val="00F36260"/>
    <w:rsid w:val="00F36555"/>
    <w:rsid w:val="00F36831"/>
    <w:rsid w:val="00F36A60"/>
    <w:rsid w:val="00F36F93"/>
    <w:rsid w:val="00F3750D"/>
    <w:rsid w:val="00F37B63"/>
    <w:rsid w:val="00F405DA"/>
    <w:rsid w:val="00F4066F"/>
    <w:rsid w:val="00F41389"/>
    <w:rsid w:val="00F41543"/>
    <w:rsid w:val="00F415F2"/>
    <w:rsid w:val="00F419E7"/>
    <w:rsid w:val="00F41A16"/>
    <w:rsid w:val="00F4247B"/>
    <w:rsid w:val="00F4320C"/>
    <w:rsid w:val="00F434D4"/>
    <w:rsid w:val="00F43B24"/>
    <w:rsid w:val="00F43B64"/>
    <w:rsid w:val="00F43EE9"/>
    <w:rsid w:val="00F442B2"/>
    <w:rsid w:val="00F444D4"/>
    <w:rsid w:val="00F44695"/>
    <w:rsid w:val="00F44B8B"/>
    <w:rsid w:val="00F44F36"/>
    <w:rsid w:val="00F45A5B"/>
    <w:rsid w:val="00F45AB3"/>
    <w:rsid w:val="00F45D3C"/>
    <w:rsid w:val="00F46279"/>
    <w:rsid w:val="00F46A37"/>
    <w:rsid w:val="00F470F3"/>
    <w:rsid w:val="00F4748E"/>
    <w:rsid w:val="00F47833"/>
    <w:rsid w:val="00F47849"/>
    <w:rsid w:val="00F47F7C"/>
    <w:rsid w:val="00F504A6"/>
    <w:rsid w:val="00F50A7D"/>
    <w:rsid w:val="00F50AFE"/>
    <w:rsid w:val="00F50B3E"/>
    <w:rsid w:val="00F50D73"/>
    <w:rsid w:val="00F5107C"/>
    <w:rsid w:val="00F5121B"/>
    <w:rsid w:val="00F51659"/>
    <w:rsid w:val="00F51A5A"/>
    <w:rsid w:val="00F51C6D"/>
    <w:rsid w:val="00F51D23"/>
    <w:rsid w:val="00F51F52"/>
    <w:rsid w:val="00F52677"/>
    <w:rsid w:val="00F52DF9"/>
    <w:rsid w:val="00F52E35"/>
    <w:rsid w:val="00F52EBC"/>
    <w:rsid w:val="00F531F7"/>
    <w:rsid w:val="00F544E0"/>
    <w:rsid w:val="00F546E7"/>
    <w:rsid w:val="00F546F2"/>
    <w:rsid w:val="00F54EFB"/>
    <w:rsid w:val="00F552B3"/>
    <w:rsid w:val="00F554EE"/>
    <w:rsid w:val="00F55A1A"/>
    <w:rsid w:val="00F55B47"/>
    <w:rsid w:val="00F55CD6"/>
    <w:rsid w:val="00F55DF5"/>
    <w:rsid w:val="00F55E63"/>
    <w:rsid w:val="00F5661A"/>
    <w:rsid w:val="00F56631"/>
    <w:rsid w:val="00F56BFC"/>
    <w:rsid w:val="00F56D49"/>
    <w:rsid w:val="00F570FF"/>
    <w:rsid w:val="00F57184"/>
    <w:rsid w:val="00F575E6"/>
    <w:rsid w:val="00F578C2"/>
    <w:rsid w:val="00F57BE6"/>
    <w:rsid w:val="00F601B8"/>
    <w:rsid w:val="00F6044D"/>
    <w:rsid w:val="00F60D11"/>
    <w:rsid w:val="00F60F55"/>
    <w:rsid w:val="00F61181"/>
    <w:rsid w:val="00F61A69"/>
    <w:rsid w:val="00F61C52"/>
    <w:rsid w:val="00F627E3"/>
    <w:rsid w:val="00F6345D"/>
    <w:rsid w:val="00F637A9"/>
    <w:rsid w:val="00F63808"/>
    <w:rsid w:val="00F63A0F"/>
    <w:rsid w:val="00F63A8C"/>
    <w:rsid w:val="00F63FA4"/>
    <w:rsid w:val="00F64979"/>
    <w:rsid w:val="00F64B20"/>
    <w:rsid w:val="00F64CC0"/>
    <w:rsid w:val="00F64F2B"/>
    <w:rsid w:val="00F6500A"/>
    <w:rsid w:val="00F653A2"/>
    <w:rsid w:val="00F656BF"/>
    <w:rsid w:val="00F659F0"/>
    <w:rsid w:val="00F65E2A"/>
    <w:rsid w:val="00F65FEC"/>
    <w:rsid w:val="00F667E3"/>
    <w:rsid w:val="00F66D30"/>
    <w:rsid w:val="00F66EBA"/>
    <w:rsid w:val="00F671B0"/>
    <w:rsid w:val="00F6757E"/>
    <w:rsid w:val="00F675F0"/>
    <w:rsid w:val="00F67821"/>
    <w:rsid w:val="00F67AEC"/>
    <w:rsid w:val="00F67BE2"/>
    <w:rsid w:val="00F7003B"/>
    <w:rsid w:val="00F7009A"/>
    <w:rsid w:val="00F707D0"/>
    <w:rsid w:val="00F7091F"/>
    <w:rsid w:val="00F70E09"/>
    <w:rsid w:val="00F711BD"/>
    <w:rsid w:val="00F71239"/>
    <w:rsid w:val="00F719C9"/>
    <w:rsid w:val="00F71BEF"/>
    <w:rsid w:val="00F71C50"/>
    <w:rsid w:val="00F72214"/>
    <w:rsid w:val="00F722AA"/>
    <w:rsid w:val="00F72A5D"/>
    <w:rsid w:val="00F72C2F"/>
    <w:rsid w:val="00F72C9E"/>
    <w:rsid w:val="00F72DF3"/>
    <w:rsid w:val="00F731D6"/>
    <w:rsid w:val="00F73632"/>
    <w:rsid w:val="00F736A9"/>
    <w:rsid w:val="00F73FE4"/>
    <w:rsid w:val="00F744DC"/>
    <w:rsid w:val="00F7461D"/>
    <w:rsid w:val="00F74655"/>
    <w:rsid w:val="00F74DA6"/>
    <w:rsid w:val="00F74E4D"/>
    <w:rsid w:val="00F75098"/>
    <w:rsid w:val="00F75258"/>
    <w:rsid w:val="00F7548F"/>
    <w:rsid w:val="00F760E9"/>
    <w:rsid w:val="00F76636"/>
    <w:rsid w:val="00F7711C"/>
    <w:rsid w:val="00F774B0"/>
    <w:rsid w:val="00F8021E"/>
    <w:rsid w:val="00F802D0"/>
    <w:rsid w:val="00F80335"/>
    <w:rsid w:val="00F80736"/>
    <w:rsid w:val="00F8119B"/>
    <w:rsid w:val="00F821C9"/>
    <w:rsid w:val="00F82451"/>
    <w:rsid w:val="00F824B5"/>
    <w:rsid w:val="00F824E9"/>
    <w:rsid w:val="00F82C0E"/>
    <w:rsid w:val="00F82D29"/>
    <w:rsid w:val="00F835B6"/>
    <w:rsid w:val="00F83649"/>
    <w:rsid w:val="00F838E6"/>
    <w:rsid w:val="00F83C28"/>
    <w:rsid w:val="00F84429"/>
    <w:rsid w:val="00F84643"/>
    <w:rsid w:val="00F846A6"/>
    <w:rsid w:val="00F8584A"/>
    <w:rsid w:val="00F85AAD"/>
    <w:rsid w:val="00F85F3B"/>
    <w:rsid w:val="00F85F9A"/>
    <w:rsid w:val="00F86040"/>
    <w:rsid w:val="00F862C7"/>
    <w:rsid w:val="00F86811"/>
    <w:rsid w:val="00F869EB"/>
    <w:rsid w:val="00F86C39"/>
    <w:rsid w:val="00F87C7C"/>
    <w:rsid w:val="00F87F2B"/>
    <w:rsid w:val="00F90330"/>
    <w:rsid w:val="00F90431"/>
    <w:rsid w:val="00F90719"/>
    <w:rsid w:val="00F917AE"/>
    <w:rsid w:val="00F91890"/>
    <w:rsid w:val="00F91D26"/>
    <w:rsid w:val="00F91F4F"/>
    <w:rsid w:val="00F922E1"/>
    <w:rsid w:val="00F923A9"/>
    <w:rsid w:val="00F925BB"/>
    <w:rsid w:val="00F927C2"/>
    <w:rsid w:val="00F93341"/>
    <w:rsid w:val="00F9381B"/>
    <w:rsid w:val="00F93D20"/>
    <w:rsid w:val="00F94711"/>
    <w:rsid w:val="00F948B5"/>
    <w:rsid w:val="00F94BCB"/>
    <w:rsid w:val="00F94CAF"/>
    <w:rsid w:val="00F952BD"/>
    <w:rsid w:val="00F95381"/>
    <w:rsid w:val="00F9542C"/>
    <w:rsid w:val="00F95700"/>
    <w:rsid w:val="00F95780"/>
    <w:rsid w:val="00F9599C"/>
    <w:rsid w:val="00F95DAC"/>
    <w:rsid w:val="00F95DE2"/>
    <w:rsid w:val="00F95F30"/>
    <w:rsid w:val="00F95F7C"/>
    <w:rsid w:val="00F96912"/>
    <w:rsid w:val="00F969F9"/>
    <w:rsid w:val="00F969FE"/>
    <w:rsid w:val="00F96AEC"/>
    <w:rsid w:val="00F976DB"/>
    <w:rsid w:val="00F97C6C"/>
    <w:rsid w:val="00FA0195"/>
    <w:rsid w:val="00FA02A2"/>
    <w:rsid w:val="00FA05ED"/>
    <w:rsid w:val="00FA0AFD"/>
    <w:rsid w:val="00FA0B55"/>
    <w:rsid w:val="00FA0B8F"/>
    <w:rsid w:val="00FA0F83"/>
    <w:rsid w:val="00FA1060"/>
    <w:rsid w:val="00FA1674"/>
    <w:rsid w:val="00FA1C5E"/>
    <w:rsid w:val="00FA1C99"/>
    <w:rsid w:val="00FA1FED"/>
    <w:rsid w:val="00FA279B"/>
    <w:rsid w:val="00FA2C8B"/>
    <w:rsid w:val="00FA2E47"/>
    <w:rsid w:val="00FA2F28"/>
    <w:rsid w:val="00FA2F40"/>
    <w:rsid w:val="00FA31D4"/>
    <w:rsid w:val="00FA38CB"/>
    <w:rsid w:val="00FA3C6E"/>
    <w:rsid w:val="00FA3F88"/>
    <w:rsid w:val="00FA42B9"/>
    <w:rsid w:val="00FA4557"/>
    <w:rsid w:val="00FA460C"/>
    <w:rsid w:val="00FA5117"/>
    <w:rsid w:val="00FA5B1F"/>
    <w:rsid w:val="00FA5F25"/>
    <w:rsid w:val="00FA60DF"/>
    <w:rsid w:val="00FA632A"/>
    <w:rsid w:val="00FA6501"/>
    <w:rsid w:val="00FA65E2"/>
    <w:rsid w:val="00FA6669"/>
    <w:rsid w:val="00FA6882"/>
    <w:rsid w:val="00FA6966"/>
    <w:rsid w:val="00FA6C51"/>
    <w:rsid w:val="00FA6CB5"/>
    <w:rsid w:val="00FA7205"/>
    <w:rsid w:val="00FA7324"/>
    <w:rsid w:val="00FA753A"/>
    <w:rsid w:val="00FA7E8A"/>
    <w:rsid w:val="00FB0AC2"/>
    <w:rsid w:val="00FB0AC3"/>
    <w:rsid w:val="00FB0E74"/>
    <w:rsid w:val="00FB110F"/>
    <w:rsid w:val="00FB119C"/>
    <w:rsid w:val="00FB1437"/>
    <w:rsid w:val="00FB18CA"/>
    <w:rsid w:val="00FB1DCA"/>
    <w:rsid w:val="00FB21C0"/>
    <w:rsid w:val="00FB24E0"/>
    <w:rsid w:val="00FB25ED"/>
    <w:rsid w:val="00FB2AB5"/>
    <w:rsid w:val="00FB2F56"/>
    <w:rsid w:val="00FB325C"/>
    <w:rsid w:val="00FB3A41"/>
    <w:rsid w:val="00FB44F8"/>
    <w:rsid w:val="00FB48B3"/>
    <w:rsid w:val="00FB4B0D"/>
    <w:rsid w:val="00FB5F7A"/>
    <w:rsid w:val="00FB60E6"/>
    <w:rsid w:val="00FB6555"/>
    <w:rsid w:val="00FB6AAB"/>
    <w:rsid w:val="00FB6BE1"/>
    <w:rsid w:val="00FB6E93"/>
    <w:rsid w:val="00FB701A"/>
    <w:rsid w:val="00FB73FE"/>
    <w:rsid w:val="00FB7483"/>
    <w:rsid w:val="00FB7594"/>
    <w:rsid w:val="00FB7A56"/>
    <w:rsid w:val="00FB7C42"/>
    <w:rsid w:val="00FB7D89"/>
    <w:rsid w:val="00FC02CB"/>
    <w:rsid w:val="00FC0931"/>
    <w:rsid w:val="00FC0B0B"/>
    <w:rsid w:val="00FC119E"/>
    <w:rsid w:val="00FC1A70"/>
    <w:rsid w:val="00FC1D39"/>
    <w:rsid w:val="00FC20E5"/>
    <w:rsid w:val="00FC32E9"/>
    <w:rsid w:val="00FC35B3"/>
    <w:rsid w:val="00FC3951"/>
    <w:rsid w:val="00FC3CE7"/>
    <w:rsid w:val="00FC3D25"/>
    <w:rsid w:val="00FC47C6"/>
    <w:rsid w:val="00FC4B2D"/>
    <w:rsid w:val="00FC4B47"/>
    <w:rsid w:val="00FC4DCD"/>
    <w:rsid w:val="00FC5846"/>
    <w:rsid w:val="00FC596C"/>
    <w:rsid w:val="00FC5BC3"/>
    <w:rsid w:val="00FC6563"/>
    <w:rsid w:val="00FC6A5C"/>
    <w:rsid w:val="00FC7739"/>
    <w:rsid w:val="00FC7F00"/>
    <w:rsid w:val="00FD02BF"/>
    <w:rsid w:val="00FD03AD"/>
    <w:rsid w:val="00FD0975"/>
    <w:rsid w:val="00FD0C43"/>
    <w:rsid w:val="00FD1288"/>
    <w:rsid w:val="00FD1930"/>
    <w:rsid w:val="00FD1D10"/>
    <w:rsid w:val="00FD1DE8"/>
    <w:rsid w:val="00FD1EDF"/>
    <w:rsid w:val="00FD222C"/>
    <w:rsid w:val="00FD23FE"/>
    <w:rsid w:val="00FD2469"/>
    <w:rsid w:val="00FD2E33"/>
    <w:rsid w:val="00FD34D4"/>
    <w:rsid w:val="00FD371E"/>
    <w:rsid w:val="00FD373F"/>
    <w:rsid w:val="00FD38B6"/>
    <w:rsid w:val="00FD4098"/>
    <w:rsid w:val="00FD4282"/>
    <w:rsid w:val="00FD4392"/>
    <w:rsid w:val="00FD4F9F"/>
    <w:rsid w:val="00FD50BB"/>
    <w:rsid w:val="00FD5CDE"/>
    <w:rsid w:val="00FD6AAD"/>
    <w:rsid w:val="00FD6B0F"/>
    <w:rsid w:val="00FD7149"/>
    <w:rsid w:val="00FD7991"/>
    <w:rsid w:val="00FD7B2D"/>
    <w:rsid w:val="00FE00CB"/>
    <w:rsid w:val="00FE037A"/>
    <w:rsid w:val="00FE11CF"/>
    <w:rsid w:val="00FE1280"/>
    <w:rsid w:val="00FE1794"/>
    <w:rsid w:val="00FE198D"/>
    <w:rsid w:val="00FE1A7A"/>
    <w:rsid w:val="00FE1CBE"/>
    <w:rsid w:val="00FE1E80"/>
    <w:rsid w:val="00FE280D"/>
    <w:rsid w:val="00FE2E43"/>
    <w:rsid w:val="00FE2E47"/>
    <w:rsid w:val="00FE3245"/>
    <w:rsid w:val="00FE391A"/>
    <w:rsid w:val="00FE3FAB"/>
    <w:rsid w:val="00FE3FCA"/>
    <w:rsid w:val="00FE46F1"/>
    <w:rsid w:val="00FE475F"/>
    <w:rsid w:val="00FE4AF0"/>
    <w:rsid w:val="00FE5097"/>
    <w:rsid w:val="00FE5130"/>
    <w:rsid w:val="00FE5342"/>
    <w:rsid w:val="00FE5D5B"/>
    <w:rsid w:val="00FE5D67"/>
    <w:rsid w:val="00FE5D85"/>
    <w:rsid w:val="00FE5D99"/>
    <w:rsid w:val="00FE6042"/>
    <w:rsid w:val="00FE682F"/>
    <w:rsid w:val="00FE6DEF"/>
    <w:rsid w:val="00FE7357"/>
    <w:rsid w:val="00FE7F89"/>
    <w:rsid w:val="00FF01F1"/>
    <w:rsid w:val="00FF05E0"/>
    <w:rsid w:val="00FF0818"/>
    <w:rsid w:val="00FF0952"/>
    <w:rsid w:val="00FF0B48"/>
    <w:rsid w:val="00FF0D7B"/>
    <w:rsid w:val="00FF15AA"/>
    <w:rsid w:val="00FF1657"/>
    <w:rsid w:val="00FF192E"/>
    <w:rsid w:val="00FF1ECC"/>
    <w:rsid w:val="00FF21E9"/>
    <w:rsid w:val="00FF2930"/>
    <w:rsid w:val="00FF2A18"/>
    <w:rsid w:val="00FF2B4D"/>
    <w:rsid w:val="00FF2D7D"/>
    <w:rsid w:val="00FF3856"/>
    <w:rsid w:val="00FF423F"/>
    <w:rsid w:val="00FF464F"/>
    <w:rsid w:val="00FF489E"/>
    <w:rsid w:val="00FF5202"/>
    <w:rsid w:val="00FF5584"/>
    <w:rsid w:val="00FF5631"/>
    <w:rsid w:val="00FF6779"/>
    <w:rsid w:val="00FF6786"/>
    <w:rsid w:val="00FF6E18"/>
    <w:rsid w:val="00FF6ED6"/>
    <w:rsid w:val="00FF7C85"/>
    <w:rsid w:val="00FF7EF3"/>
    <w:rsid w:val="00FF7FAD"/>
    <w:rsid w:val="07876DE4"/>
    <w:rsid w:val="0882B875"/>
    <w:rsid w:val="0D38520C"/>
    <w:rsid w:val="0EAFC4DF"/>
    <w:rsid w:val="126C9BAF"/>
    <w:rsid w:val="36A1E743"/>
    <w:rsid w:val="52378FD9"/>
    <w:rsid w:val="72002CEB"/>
    <w:rsid w:val="78F011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3E2B6"/>
  <w15:chartTrackingRefBased/>
  <w15:docId w15:val="{34298BC4-2532-4C95-AB79-E103316E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71A0A"/>
    <w:pPr>
      <w:spacing w:line="288" w:lineRule="auto"/>
    </w:pPr>
    <w:rPr>
      <w:rFonts w:ascii="Arial" w:hAnsi="Arial"/>
      <w:color w:val="15272F" w:themeColor="text1"/>
      <w:lang w:val="en-AU"/>
    </w:rPr>
  </w:style>
  <w:style w:type="paragraph" w:styleId="Heading1">
    <w:name w:val="heading 1"/>
    <w:basedOn w:val="Normal"/>
    <w:next w:val="Normal"/>
    <w:link w:val="Heading1Char"/>
    <w:uiPriority w:val="9"/>
    <w:qFormat/>
    <w:rsid w:val="0019345E"/>
    <w:pPr>
      <w:keepNext/>
      <w:keepLines/>
      <w:spacing w:after="480"/>
      <w:outlineLvl w:val="0"/>
    </w:pPr>
    <w:rPr>
      <w:rFonts w:eastAsiaTheme="majorEastAsia" w:cstheme="majorBidi"/>
      <w:b/>
      <w:sz w:val="72"/>
      <w:szCs w:val="32"/>
    </w:rPr>
  </w:style>
  <w:style w:type="paragraph" w:styleId="Heading2">
    <w:name w:val="heading 2"/>
    <w:basedOn w:val="Normal"/>
    <w:next w:val="Normal"/>
    <w:link w:val="Heading2Char"/>
    <w:uiPriority w:val="9"/>
    <w:unhideWhenUsed/>
    <w:qFormat/>
    <w:rsid w:val="0019345E"/>
    <w:pPr>
      <w:keepNext/>
      <w:keepLines/>
      <w:spacing w:before="120" w:after="240"/>
      <w:outlineLvl w:val="1"/>
    </w:pPr>
    <w:rPr>
      <w:rFonts w:eastAsiaTheme="majorEastAsia" w:cstheme="majorBidi"/>
      <w:b/>
      <w:color w:val="104F99" w:themeColor="accent2"/>
      <w:sz w:val="36"/>
      <w:szCs w:val="26"/>
    </w:rPr>
  </w:style>
  <w:style w:type="paragraph" w:styleId="Heading3">
    <w:name w:val="heading 3"/>
    <w:basedOn w:val="Normal"/>
    <w:next w:val="Normal"/>
    <w:link w:val="Heading3Char"/>
    <w:uiPriority w:val="9"/>
    <w:unhideWhenUsed/>
    <w:qFormat/>
    <w:rsid w:val="0019345E"/>
    <w:pPr>
      <w:keepNext/>
      <w:keepLines/>
      <w:spacing w:before="120" w:after="240"/>
      <w:outlineLvl w:val="2"/>
    </w:pPr>
    <w:rPr>
      <w:rFonts w:eastAsiaTheme="majorEastAsia" w:cstheme="majorBidi"/>
      <w:b/>
      <w:color w:val="008F55" w:themeColor="accent4"/>
      <w:sz w:val="26"/>
      <w:szCs w:val="24"/>
    </w:rPr>
  </w:style>
  <w:style w:type="paragraph" w:styleId="Heading4">
    <w:name w:val="heading 4"/>
    <w:basedOn w:val="Normal"/>
    <w:next w:val="Normal"/>
    <w:link w:val="Heading4Char"/>
    <w:uiPriority w:val="9"/>
    <w:unhideWhenUsed/>
    <w:qFormat/>
    <w:rsid w:val="0019345E"/>
    <w:pPr>
      <w:keepNext/>
      <w:keepLines/>
      <w:spacing w:before="120" w:after="240"/>
      <w:outlineLvl w:val="3"/>
    </w:pPr>
    <w:rPr>
      <w:rFonts w:eastAsiaTheme="majorEastAsia" w:cstheme="majorBidi"/>
      <w:b/>
      <w:iCs/>
    </w:rPr>
  </w:style>
  <w:style w:type="paragraph" w:styleId="Heading5">
    <w:name w:val="heading 5"/>
    <w:basedOn w:val="Normal"/>
    <w:next w:val="Normal"/>
    <w:link w:val="Heading5Char"/>
    <w:uiPriority w:val="9"/>
    <w:semiHidden/>
    <w:unhideWhenUsed/>
    <w:rsid w:val="0019345E"/>
    <w:pPr>
      <w:keepNext/>
      <w:keepLines/>
      <w:spacing w:before="40" w:after="0"/>
      <w:outlineLvl w:val="4"/>
    </w:pPr>
    <w:rPr>
      <w:rFonts w:eastAsiaTheme="majorEastAsia" w:cstheme="majorBidi"/>
      <w:b/>
      <w:color w:val="0F1D2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45E"/>
    <w:rPr>
      <w:rFonts w:ascii="Arial" w:eastAsiaTheme="majorEastAsia" w:hAnsi="Arial" w:cstheme="majorBidi"/>
      <w:b/>
      <w:color w:val="15272F" w:themeColor="text1"/>
      <w:sz w:val="72"/>
      <w:szCs w:val="32"/>
    </w:rPr>
  </w:style>
  <w:style w:type="paragraph" w:styleId="Title">
    <w:name w:val="Title"/>
    <w:basedOn w:val="Normal"/>
    <w:next w:val="Normal"/>
    <w:link w:val="TitleChar"/>
    <w:uiPriority w:val="10"/>
    <w:qFormat/>
    <w:rsid w:val="0019345E"/>
    <w:pPr>
      <w:spacing w:after="840" w:line="240" w:lineRule="auto"/>
      <w:contextualSpacing/>
    </w:pPr>
    <w:rPr>
      <w:rFonts w:eastAsiaTheme="majorEastAsia" w:cstheme="majorBidi"/>
      <w:b/>
      <w:spacing w:val="-10"/>
      <w:kern w:val="28"/>
      <w:sz w:val="84"/>
      <w:szCs w:val="56"/>
    </w:rPr>
  </w:style>
  <w:style w:type="character" w:customStyle="1" w:styleId="TitleChar">
    <w:name w:val="Title Char"/>
    <w:basedOn w:val="DefaultParagraphFont"/>
    <w:link w:val="Title"/>
    <w:uiPriority w:val="10"/>
    <w:rsid w:val="0019345E"/>
    <w:rPr>
      <w:rFonts w:ascii="Arial" w:eastAsiaTheme="majorEastAsia" w:hAnsi="Arial" w:cstheme="majorBidi"/>
      <w:b/>
      <w:color w:val="15272F" w:themeColor="text1"/>
      <w:spacing w:val="-10"/>
      <w:kern w:val="28"/>
      <w:sz w:val="84"/>
      <w:szCs w:val="56"/>
    </w:rPr>
  </w:style>
  <w:style w:type="character" w:customStyle="1" w:styleId="Heading2Char">
    <w:name w:val="Heading 2 Char"/>
    <w:basedOn w:val="DefaultParagraphFont"/>
    <w:link w:val="Heading2"/>
    <w:uiPriority w:val="9"/>
    <w:rsid w:val="0019345E"/>
    <w:rPr>
      <w:rFonts w:ascii="Arial" w:eastAsiaTheme="majorEastAsia" w:hAnsi="Arial" w:cstheme="majorBidi"/>
      <w:b/>
      <w:color w:val="104F99" w:themeColor="accent2"/>
      <w:sz w:val="36"/>
      <w:szCs w:val="26"/>
    </w:rPr>
  </w:style>
  <w:style w:type="character" w:customStyle="1" w:styleId="Heading3Char">
    <w:name w:val="Heading 3 Char"/>
    <w:basedOn w:val="DefaultParagraphFont"/>
    <w:link w:val="Heading3"/>
    <w:uiPriority w:val="9"/>
    <w:rsid w:val="0019345E"/>
    <w:rPr>
      <w:rFonts w:ascii="Arial" w:eastAsiaTheme="majorEastAsia" w:hAnsi="Arial" w:cstheme="majorBidi"/>
      <w:b/>
      <w:color w:val="008F55" w:themeColor="accent4"/>
      <w:sz w:val="26"/>
      <w:szCs w:val="24"/>
    </w:rPr>
  </w:style>
  <w:style w:type="character" w:customStyle="1" w:styleId="Heading4Char">
    <w:name w:val="Heading 4 Char"/>
    <w:basedOn w:val="DefaultParagraphFont"/>
    <w:link w:val="Heading4"/>
    <w:uiPriority w:val="9"/>
    <w:rsid w:val="0019345E"/>
    <w:rPr>
      <w:rFonts w:ascii="Arial" w:eastAsiaTheme="majorEastAsia" w:hAnsi="Arial" w:cstheme="majorBidi"/>
      <w:b/>
      <w:iCs/>
      <w:color w:val="15272F" w:themeColor="text1"/>
    </w:rPr>
  </w:style>
  <w:style w:type="paragraph" w:customStyle="1" w:styleId="ListLevel1">
    <w:name w:val="List Level 1"/>
    <w:basedOn w:val="ListLevel2"/>
    <w:link w:val="ListLevel1Char"/>
    <w:qFormat/>
    <w:rsid w:val="00555913"/>
    <w:pPr>
      <w:numPr>
        <w:numId w:val="1"/>
      </w:numPr>
      <w:ind w:left="709"/>
    </w:pPr>
  </w:style>
  <w:style w:type="paragraph" w:customStyle="1" w:styleId="ListLevel2">
    <w:name w:val="List Level 2"/>
    <w:basedOn w:val="Normal"/>
    <w:link w:val="ListLevel2Char"/>
    <w:qFormat/>
    <w:rsid w:val="00555913"/>
    <w:pPr>
      <w:numPr>
        <w:ilvl w:val="1"/>
        <w:numId w:val="2"/>
      </w:numPr>
      <w:contextualSpacing/>
    </w:pPr>
  </w:style>
  <w:style w:type="paragraph" w:styleId="Header">
    <w:name w:val="header"/>
    <w:basedOn w:val="Normal"/>
    <w:link w:val="HeaderChar"/>
    <w:uiPriority w:val="99"/>
    <w:unhideWhenUsed/>
    <w:rsid w:val="0019345E"/>
    <w:pPr>
      <w:tabs>
        <w:tab w:val="center" w:pos="4680"/>
        <w:tab w:val="right" w:pos="9360"/>
      </w:tabs>
      <w:spacing w:after="0" w:line="240" w:lineRule="auto"/>
    </w:pPr>
  </w:style>
  <w:style w:type="character" w:customStyle="1" w:styleId="ListLevel1Char">
    <w:name w:val="List Level 1 Char"/>
    <w:basedOn w:val="ListLevel2Char"/>
    <w:link w:val="ListLevel1"/>
    <w:rsid w:val="00555913"/>
    <w:rPr>
      <w:rFonts w:ascii="Arial" w:hAnsi="Arial"/>
      <w:color w:val="15272F" w:themeColor="text1"/>
      <w:lang w:val="en-AU"/>
    </w:rPr>
  </w:style>
  <w:style w:type="character" w:customStyle="1" w:styleId="ListLevel2Char">
    <w:name w:val="List Level 2 Char"/>
    <w:basedOn w:val="DefaultParagraphFont"/>
    <w:link w:val="ListLevel2"/>
    <w:rsid w:val="00555913"/>
    <w:rPr>
      <w:rFonts w:ascii="Arial" w:hAnsi="Arial"/>
      <w:color w:val="15272F" w:themeColor="text1"/>
      <w:lang w:val="en-AU"/>
    </w:rPr>
  </w:style>
  <w:style w:type="character" w:customStyle="1" w:styleId="HeaderChar">
    <w:name w:val="Header Char"/>
    <w:basedOn w:val="DefaultParagraphFont"/>
    <w:link w:val="Header"/>
    <w:uiPriority w:val="99"/>
    <w:rsid w:val="0019345E"/>
    <w:rPr>
      <w:rFonts w:ascii="Arial" w:hAnsi="Arial"/>
      <w:color w:val="15272F" w:themeColor="text1"/>
    </w:rPr>
  </w:style>
  <w:style w:type="paragraph" w:styleId="Footer">
    <w:name w:val="footer"/>
    <w:basedOn w:val="Normal"/>
    <w:link w:val="FooterChar"/>
    <w:uiPriority w:val="99"/>
    <w:unhideWhenUsed/>
    <w:rsid w:val="00193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45E"/>
    <w:rPr>
      <w:rFonts w:ascii="Arial" w:hAnsi="Arial"/>
      <w:color w:val="15272F" w:themeColor="text1"/>
    </w:rPr>
  </w:style>
  <w:style w:type="paragraph" w:styleId="ListParagraph">
    <w:name w:val="List Paragraph"/>
    <w:basedOn w:val="Normal"/>
    <w:uiPriority w:val="34"/>
    <w:qFormat/>
    <w:rsid w:val="00702F6E"/>
    <w:pPr>
      <w:ind w:left="720"/>
      <w:contextualSpacing/>
    </w:pPr>
  </w:style>
  <w:style w:type="paragraph" w:customStyle="1" w:styleId="TableFigureheading">
    <w:name w:val="Table/Figure heading"/>
    <w:basedOn w:val="Heading4"/>
    <w:link w:val="TableFigureheadingChar"/>
    <w:qFormat/>
    <w:rsid w:val="0019345E"/>
    <w:pPr>
      <w:spacing w:before="240"/>
    </w:pPr>
    <w:rPr>
      <w:b w:val="0"/>
      <w:color w:val="008F55" w:themeColor="accent4"/>
    </w:rPr>
  </w:style>
  <w:style w:type="table" w:customStyle="1" w:styleId="IHACPATable">
    <w:name w:val="IHACPA Table"/>
    <w:basedOn w:val="TableNormal"/>
    <w:uiPriority w:val="99"/>
    <w:rsid w:val="0019345E"/>
    <w:pPr>
      <w:spacing w:after="0" w:line="240" w:lineRule="auto"/>
    </w:pPr>
    <w:rPr>
      <w:sz w:val="18"/>
    </w:rPr>
    <w:tblPr>
      <w:tblStyleRowBandSize w:val="1"/>
    </w:tblPr>
    <w:tblStylePr w:type="firstRow">
      <w:tblPr/>
      <w:tcPr>
        <w:shd w:val="clear" w:color="auto" w:fill="15272F" w:themeFill="text2"/>
      </w:tcPr>
    </w:tblStylePr>
    <w:tblStylePr w:type="lastRow">
      <w:rPr>
        <w:rFonts w:asciiTheme="minorHAnsi" w:hAnsiTheme="minorHAnsi"/>
        <w:sz w:val="15"/>
      </w:rPr>
      <w:tblPr/>
      <w:tcPr>
        <w:tcBorders>
          <w:top w:val="nil"/>
          <w:bottom w:val="single" w:sz="4" w:space="0" w:color="D9D9D9" w:themeColor="background2" w:themeShade="D9"/>
        </w:tcBorders>
      </w:tcPr>
    </w:tblStylePr>
    <w:tblStylePr w:type="firstCol">
      <w:rPr>
        <w:rFonts w:asciiTheme="minorHAnsi" w:hAnsiTheme="minorHAnsi"/>
        <w:sz w:val="15"/>
      </w:rPr>
      <w:tblPr/>
      <w:tcPr>
        <w:tcBorders>
          <w:top w:val="nil"/>
          <w:bottom w:val="nil"/>
        </w:tcBorders>
      </w:tcPr>
    </w:tblStylePr>
    <w:tblStylePr w:type="band1Horz">
      <w:tblPr/>
      <w:tcPr>
        <w:tcBorders>
          <w:top w:val="single" w:sz="4" w:space="0" w:color="D9D9D9" w:themeColor="background2" w:themeShade="D9"/>
          <w:left w:val="nil"/>
          <w:bottom w:val="single" w:sz="4" w:space="0" w:color="D9D9D9" w:themeColor="background2" w:themeShade="D9"/>
          <w:right w:val="nil"/>
          <w:insideH w:val="nil"/>
          <w:insideV w:val="nil"/>
          <w:tl2br w:val="nil"/>
          <w:tr2bl w:val="nil"/>
        </w:tcBorders>
      </w:tcPr>
    </w:tblStylePr>
    <w:tblStylePr w:type="band2Horz">
      <w:tblPr/>
      <w:tcPr>
        <w:tcBorders>
          <w:top w:val="single" w:sz="4" w:space="0" w:color="D9D9D9" w:themeColor="background2" w:themeShade="D9"/>
          <w:bottom w:val="nil"/>
        </w:tcBorders>
      </w:tcPr>
    </w:tblStylePr>
  </w:style>
  <w:style w:type="character" w:customStyle="1" w:styleId="TableFigureheadingChar">
    <w:name w:val="Table/Figure heading Char"/>
    <w:basedOn w:val="Heading4Char"/>
    <w:link w:val="TableFigureheading"/>
    <w:rsid w:val="0019345E"/>
    <w:rPr>
      <w:rFonts w:ascii="Arial" w:eastAsiaTheme="majorEastAsia" w:hAnsi="Arial" w:cstheme="majorBidi"/>
      <w:b w:val="0"/>
      <w:iCs/>
      <w:color w:val="008F55" w:themeColor="accent4"/>
    </w:rPr>
  </w:style>
  <w:style w:type="table" w:styleId="TableGrid">
    <w:name w:val="Table Grid"/>
    <w:basedOn w:val="TableNormal"/>
    <w:uiPriority w:val="59"/>
    <w:rsid w:val="0019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HPATable">
    <w:name w:val="IHPA Table"/>
    <w:basedOn w:val="TableNormal"/>
    <w:uiPriority w:val="99"/>
    <w:rsid w:val="0019345E"/>
    <w:pPr>
      <w:spacing w:after="0" w:line="240" w:lineRule="auto"/>
    </w:pPr>
    <w:tblPr>
      <w:tblStyleRowBandSize w:val="1"/>
    </w:tblPr>
    <w:tblStylePr w:type="firstRow">
      <w:rPr>
        <w:rFonts w:asciiTheme="minorHAnsi" w:hAnsiTheme="minorHAnsi"/>
        <w:color w:val="FFFFFF" w:themeColor="background2"/>
        <w:sz w:val="18"/>
      </w:rPr>
      <w:tblPr/>
      <w:tcPr>
        <w:shd w:val="clear" w:color="auto" w:fill="008F55" w:themeFill="accent4"/>
      </w:tcPr>
    </w:tblStylePr>
    <w:tblStylePr w:type="lastRow">
      <w:rPr>
        <w:rFonts w:asciiTheme="minorHAnsi" w:hAnsiTheme="minorHAnsi"/>
        <w:sz w:val="15"/>
      </w:rPr>
      <w:tblPr/>
      <w:tcPr>
        <w:tcBorders>
          <w:top w:val="nil"/>
          <w:bottom w:val="single" w:sz="4" w:space="0" w:color="D9D9D9" w:themeColor="background2" w:themeShade="D9"/>
        </w:tcBorders>
      </w:tcPr>
    </w:tblStylePr>
    <w:tblStylePr w:type="firstCol">
      <w:rPr>
        <w:rFonts w:asciiTheme="minorHAnsi" w:hAnsiTheme="minorHAnsi"/>
        <w:sz w:val="15"/>
      </w:rPr>
      <w:tblPr/>
      <w:tcPr>
        <w:tcBorders>
          <w:top w:val="nil"/>
          <w:bottom w:val="nil"/>
        </w:tcBorders>
      </w:tcPr>
    </w:tblStylePr>
    <w:tblStylePr w:type="band1Horz">
      <w:tblPr/>
      <w:tcPr>
        <w:tcBorders>
          <w:top w:val="single" w:sz="4" w:space="0" w:color="D9D9D9" w:themeColor="background2" w:themeShade="D9"/>
          <w:left w:val="nil"/>
          <w:bottom w:val="single" w:sz="4" w:space="0" w:color="D9D9D9" w:themeColor="background2" w:themeShade="D9"/>
          <w:right w:val="nil"/>
          <w:insideH w:val="nil"/>
          <w:insideV w:val="nil"/>
          <w:tl2br w:val="nil"/>
          <w:tr2bl w:val="nil"/>
        </w:tcBorders>
      </w:tcPr>
    </w:tblStylePr>
    <w:tblStylePr w:type="band2Horz">
      <w:tblPr/>
      <w:tcPr>
        <w:tcBorders>
          <w:top w:val="single" w:sz="4" w:space="0" w:color="D9D9D9" w:themeColor="background2" w:themeShade="D9"/>
          <w:bottom w:val="nil"/>
        </w:tcBorders>
      </w:tcPr>
    </w:tblStylePr>
  </w:style>
  <w:style w:type="paragraph" w:customStyle="1" w:styleId="Footnote">
    <w:name w:val="Footnote"/>
    <w:basedOn w:val="Normal"/>
    <w:link w:val="FootnoteChar"/>
    <w:qFormat/>
    <w:rsid w:val="0019345E"/>
    <w:pPr>
      <w:spacing w:after="120"/>
    </w:pPr>
    <w:rPr>
      <w:sz w:val="16"/>
      <w:szCs w:val="15"/>
    </w:rPr>
  </w:style>
  <w:style w:type="character" w:customStyle="1" w:styleId="FootnoteChar">
    <w:name w:val="Footnote Char"/>
    <w:basedOn w:val="DefaultParagraphFont"/>
    <w:link w:val="Footnote"/>
    <w:rsid w:val="0019345E"/>
    <w:rPr>
      <w:rFonts w:ascii="Arial" w:hAnsi="Arial"/>
      <w:color w:val="15272F" w:themeColor="text1"/>
      <w:sz w:val="16"/>
      <w:szCs w:val="15"/>
    </w:rPr>
  </w:style>
  <w:style w:type="character" w:styleId="Hyperlink">
    <w:name w:val="Hyperlink"/>
    <w:basedOn w:val="DefaultParagraphFont"/>
    <w:uiPriority w:val="99"/>
    <w:unhideWhenUsed/>
    <w:rsid w:val="0019345E"/>
    <w:rPr>
      <w:color w:val="0080C4" w:themeColor="hyperlink"/>
      <w:u w:val="single"/>
    </w:rPr>
  </w:style>
  <w:style w:type="paragraph" w:styleId="TOC1">
    <w:name w:val="toc 1"/>
    <w:basedOn w:val="Normal"/>
    <w:next w:val="Normal"/>
    <w:autoRedefine/>
    <w:uiPriority w:val="39"/>
    <w:unhideWhenUsed/>
    <w:rsid w:val="00B846AA"/>
    <w:pPr>
      <w:tabs>
        <w:tab w:val="right" w:leader="dot" w:pos="9016"/>
      </w:tabs>
      <w:spacing w:after="360"/>
    </w:pPr>
    <w:rPr>
      <w:b/>
      <w:sz w:val="24"/>
      <w:szCs w:val="24"/>
    </w:rPr>
  </w:style>
  <w:style w:type="paragraph" w:customStyle="1" w:styleId="CoverTitle">
    <w:name w:val="Cover Title"/>
    <w:basedOn w:val="Title"/>
    <w:link w:val="CoverTitleChar"/>
    <w:qFormat/>
    <w:rsid w:val="0019345E"/>
    <w:pPr>
      <w:spacing w:after="720"/>
      <w:ind w:right="1242"/>
    </w:pPr>
    <w:rPr>
      <w:color w:val="FFFFFF" w:themeColor="background2"/>
      <w:sz w:val="96"/>
      <w:szCs w:val="96"/>
    </w:rPr>
  </w:style>
  <w:style w:type="paragraph" w:customStyle="1" w:styleId="Coversubtitle">
    <w:name w:val="Cover subtitle"/>
    <w:basedOn w:val="CoverTitle"/>
    <w:link w:val="CoversubtitleChar"/>
    <w:qFormat/>
    <w:rsid w:val="0019345E"/>
    <w:rPr>
      <w:color w:val="54C1AF" w:themeColor="accent5"/>
      <w:sz w:val="48"/>
      <w:szCs w:val="48"/>
    </w:rPr>
  </w:style>
  <w:style w:type="character" w:customStyle="1" w:styleId="CoverTitleChar">
    <w:name w:val="Cover Title Char"/>
    <w:basedOn w:val="TitleChar"/>
    <w:link w:val="CoverTitle"/>
    <w:rsid w:val="0019345E"/>
    <w:rPr>
      <w:rFonts w:ascii="Arial" w:eastAsiaTheme="majorEastAsia" w:hAnsi="Arial" w:cstheme="majorBidi"/>
      <w:b/>
      <w:color w:val="FFFFFF" w:themeColor="background2"/>
      <w:spacing w:val="-10"/>
      <w:kern w:val="28"/>
      <w:sz w:val="96"/>
      <w:szCs w:val="96"/>
    </w:rPr>
  </w:style>
  <w:style w:type="character" w:styleId="UnresolvedMention">
    <w:name w:val="Unresolved Mention"/>
    <w:basedOn w:val="DefaultParagraphFont"/>
    <w:uiPriority w:val="99"/>
    <w:semiHidden/>
    <w:unhideWhenUsed/>
    <w:rsid w:val="0019345E"/>
    <w:rPr>
      <w:color w:val="605E5C"/>
      <w:shd w:val="clear" w:color="auto" w:fill="E1DFDD"/>
    </w:rPr>
  </w:style>
  <w:style w:type="character" w:customStyle="1" w:styleId="CoversubtitleChar">
    <w:name w:val="Cover subtitle Char"/>
    <w:basedOn w:val="CoverTitleChar"/>
    <w:link w:val="Coversubtitle"/>
    <w:rsid w:val="0019345E"/>
    <w:rPr>
      <w:rFonts w:ascii="Arial" w:eastAsiaTheme="majorEastAsia" w:hAnsi="Arial" w:cstheme="majorBidi"/>
      <w:b/>
      <w:color w:val="54C1AF" w:themeColor="accent5"/>
      <w:spacing w:val="-10"/>
      <w:kern w:val="28"/>
      <w:sz w:val="48"/>
      <w:szCs w:val="48"/>
    </w:rPr>
  </w:style>
  <w:style w:type="paragraph" w:customStyle="1" w:styleId="Copyrightcopy">
    <w:name w:val="Copyright copy"/>
    <w:basedOn w:val="Normal"/>
    <w:next w:val="Normal"/>
    <w:qFormat/>
    <w:rsid w:val="0019345E"/>
    <w:pPr>
      <w:ind w:right="4064"/>
    </w:pPr>
    <w:rPr>
      <w:sz w:val="18"/>
    </w:rPr>
  </w:style>
  <w:style w:type="paragraph" w:customStyle="1" w:styleId="Copyrightheading">
    <w:name w:val="Copyright heading"/>
    <w:basedOn w:val="Heading4"/>
    <w:next w:val="Normal"/>
    <w:qFormat/>
    <w:rsid w:val="0019345E"/>
  </w:style>
  <w:style w:type="paragraph" w:styleId="NoSpacing">
    <w:name w:val="No Spacing"/>
    <w:link w:val="NoSpacingChar"/>
    <w:uiPriority w:val="1"/>
    <w:qFormat/>
    <w:rsid w:val="0023224F"/>
    <w:pPr>
      <w:spacing w:after="0" w:line="240" w:lineRule="auto"/>
    </w:pPr>
    <w:rPr>
      <w:rFonts w:ascii="Arial" w:hAnsi="Arial"/>
      <w:color w:val="15272F" w:themeColor="text1"/>
    </w:rPr>
  </w:style>
  <w:style w:type="character" w:customStyle="1" w:styleId="Heading5Char">
    <w:name w:val="Heading 5 Char"/>
    <w:basedOn w:val="DefaultParagraphFont"/>
    <w:link w:val="Heading5"/>
    <w:uiPriority w:val="9"/>
    <w:semiHidden/>
    <w:rsid w:val="0019345E"/>
    <w:rPr>
      <w:rFonts w:ascii="Arial" w:eastAsiaTheme="majorEastAsia" w:hAnsi="Arial" w:cstheme="majorBidi"/>
      <w:b/>
      <w:color w:val="0F1D23" w:themeColor="accent1" w:themeShade="BF"/>
    </w:rPr>
  </w:style>
  <w:style w:type="paragraph" w:styleId="Subtitle">
    <w:name w:val="Subtitle"/>
    <w:basedOn w:val="Normal"/>
    <w:next w:val="Normal"/>
    <w:link w:val="SubtitleChar"/>
    <w:uiPriority w:val="11"/>
    <w:rsid w:val="0019345E"/>
    <w:pPr>
      <w:numPr>
        <w:ilvl w:val="1"/>
      </w:numPr>
    </w:pPr>
    <w:rPr>
      <w:rFonts w:eastAsiaTheme="minorEastAsia"/>
      <w:color w:val="45809A" w:themeColor="text1" w:themeTint="A5"/>
      <w:spacing w:val="15"/>
    </w:rPr>
  </w:style>
  <w:style w:type="character" w:customStyle="1" w:styleId="SubtitleChar">
    <w:name w:val="Subtitle Char"/>
    <w:basedOn w:val="DefaultParagraphFont"/>
    <w:link w:val="Subtitle"/>
    <w:uiPriority w:val="11"/>
    <w:rsid w:val="0019345E"/>
    <w:rPr>
      <w:rFonts w:ascii="Arial" w:eastAsiaTheme="minorEastAsia" w:hAnsi="Arial"/>
      <w:color w:val="45809A" w:themeColor="text1" w:themeTint="A5"/>
      <w:spacing w:val="15"/>
    </w:rPr>
  </w:style>
  <w:style w:type="character" w:styleId="FollowedHyperlink">
    <w:name w:val="FollowedHyperlink"/>
    <w:basedOn w:val="DefaultParagraphFont"/>
    <w:uiPriority w:val="99"/>
    <w:semiHidden/>
    <w:unhideWhenUsed/>
    <w:rsid w:val="00D4368B"/>
    <w:rPr>
      <w:color w:val="104F99" w:themeColor="followedHyperlink"/>
      <w:u w:val="single"/>
    </w:rPr>
  </w:style>
  <w:style w:type="paragraph" w:customStyle="1" w:styleId="ChapterNumber">
    <w:name w:val="Chapter Number"/>
    <w:basedOn w:val="Normal"/>
    <w:link w:val="ChapterNumberChar"/>
    <w:qFormat/>
    <w:rsid w:val="00D41A80"/>
    <w:pPr>
      <w:spacing w:after="1800" w:line="259" w:lineRule="auto"/>
    </w:pPr>
    <w:rPr>
      <w:rFonts w:ascii="Josefin Sans" w:hAnsi="Josefin Sans"/>
      <w:sz w:val="400"/>
      <w:szCs w:val="400"/>
    </w:rPr>
  </w:style>
  <w:style w:type="character" w:customStyle="1" w:styleId="ChapterNumberChar">
    <w:name w:val="Chapter Number Char"/>
    <w:basedOn w:val="DefaultParagraphFont"/>
    <w:link w:val="ChapterNumber"/>
    <w:rsid w:val="00D41A80"/>
    <w:rPr>
      <w:rFonts w:ascii="Josefin Sans" w:hAnsi="Josefin Sans"/>
      <w:color w:val="15272F" w:themeColor="text1"/>
      <w:sz w:val="400"/>
      <w:szCs w:val="400"/>
      <w:lang w:val="en-AU"/>
    </w:rPr>
  </w:style>
  <w:style w:type="character" w:customStyle="1" w:styleId="BodyChar">
    <w:name w:val="Body Char"/>
    <w:basedOn w:val="DefaultParagraphFont"/>
    <w:rsid w:val="00DE5FEE"/>
    <w:rPr>
      <w:rFonts w:ascii="Arial" w:hAnsi="Arial"/>
      <w:sz w:val="18"/>
      <w:szCs w:val="18"/>
      <w:lang w:val="en-AU"/>
    </w:rPr>
  </w:style>
  <w:style w:type="paragraph" w:customStyle="1" w:styleId="Hyperlinktext">
    <w:name w:val="Hyperlink text"/>
    <w:basedOn w:val="Normal"/>
    <w:link w:val="HyperlinktextChar"/>
    <w:qFormat/>
    <w:rsid w:val="00191048"/>
    <w:pPr>
      <w:spacing w:before="240" w:after="0" w:line="240" w:lineRule="auto"/>
    </w:pPr>
    <w:rPr>
      <w:color w:val="54C1AF" w:themeColor="accent5"/>
      <w:sz w:val="18"/>
      <w:szCs w:val="18"/>
      <w:u w:val="single"/>
    </w:rPr>
  </w:style>
  <w:style w:type="character" w:customStyle="1" w:styleId="HyperlinktextChar">
    <w:name w:val="Hyperlink text Char"/>
    <w:basedOn w:val="BodyChar"/>
    <w:link w:val="Hyperlinktext"/>
    <w:rsid w:val="00191048"/>
    <w:rPr>
      <w:rFonts w:ascii="Arial" w:hAnsi="Arial"/>
      <w:color w:val="54C1AF" w:themeColor="accent5"/>
      <w:sz w:val="18"/>
      <w:szCs w:val="18"/>
      <w:u w:val="single"/>
      <w:lang w:val="en-AU"/>
    </w:rPr>
  </w:style>
  <w:style w:type="paragraph" w:customStyle="1" w:styleId="Bullets">
    <w:name w:val="Bullets"/>
    <w:basedOn w:val="Normal"/>
    <w:link w:val="BulletsChar"/>
    <w:qFormat/>
    <w:rsid w:val="00B570F0"/>
    <w:pPr>
      <w:numPr>
        <w:numId w:val="3"/>
      </w:numPr>
      <w:spacing w:before="80" w:after="80" w:line="259" w:lineRule="auto"/>
    </w:pPr>
    <w:rPr>
      <w:color w:val="auto"/>
      <w:sz w:val="18"/>
      <w:szCs w:val="18"/>
    </w:rPr>
  </w:style>
  <w:style w:type="character" w:customStyle="1" w:styleId="BulletsChar">
    <w:name w:val="Bullets Char"/>
    <w:basedOn w:val="BodyChar"/>
    <w:link w:val="Bullets"/>
    <w:rsid w:val="00B570F0"/>
    <w:rPr>
      <w:rFonts w:ascii="Arial" w:hAnsi="Arial"/>
      <w:sz w:val="18"/>
      <w:szCs w:val="18"/>
      <w:lang w:val="en-AU"/>
    </w:rPr>
  </w:style>
  <w:style w:type="paragraph" w:customStyle="1" w:styleId="FigureTableHeading">
    <w:name w:val="Figure Table Heading"/>
    <w:basedOn w:val="Normal"/>
    <w:link w:val="FigureTableHeadingChar"/>
    <w:qFormat/>
    <w:rsid w:val="00B570F0"/>
    <w:pPr>
      <w:spacing w:before="240" w:after="0" w:line="240" w:lineRule="auto"/>
    </w:pPr>
    <w:rPr>
      <w:rFonts w:eastAsiaTheme="majorEastAsia" w:cstheme="majorBidi"/>
      <w:b/>
      <w:bCs/>
      <w:color w:val="54C1AF" w:themeColor="background1"/>
      <w:sz w:val="18"/>
      <w:szCs w:val="18"/>
    </w:rPr>
  </w:style>
  <w:style w:type="paragraph" w:customStyle="1" w:styleId="BulletL2">
    <w:name w:val="Bullet L2"/>
    <w:basedOn w:val="Bullets"/>
    <w:qFormat/>
    <w:rsid w:val="00B570F0"/>
    <w:pPr>
      <w:numPr>
        <w:ilvl w:val="1"/>
      </w:numPr>
      <w:ind w:left="709" w:hanging="284"/>
    </w:pPr>
  </w:style>
  <w:style w:type="character" w:customStyle="1" w:styleId="FigureTableHeadingChar">
    <w:name w:val="Figure Table Heading Char"/>
    <w:basedOn w:val="Heading5Char"/>
    <w:link w:val="FigureTableHeading"/>
    <w:rsid w:val="00B570F0"/>
    <w:rPr>
      <w:rFonts w:ascii="Arial" w:eastAsiaTheme="majorEastAsia" w:hAnsi="Arial" w:cstheme="majorBidi"/>
      <w:b/>
      <w:bCs/>
      <w:color w:val="54C1AF" w:themeColor="background1"/>
      <w:sz w:val="18"/>
      <w:szCs w:val="18"/>
      <w:lang w:val="en-AU"/>
    </w:rPr>
  </w:style>
  <w:style w:type="paragraph" w:styleId="BodyText">
    <w:name w:val="Body Text"/>
    <w:basedOn w:val="Normal"/>
    <w:link w:val="BodyTextChar"/>
    <w:uiPriority w:val="1"/>
    <w:qFormat/>
    <w:rsid w:val="00B570F0"/>
    <w:pPr>
      <w:widowControl w:val="0"/>
      <w:autoSpaceDE w:val="0"/>
      <w:autoSpaceDN w:val="0"/>
      <w:spacing w:before="163" w:after="0" w:line="256" w:lineRule="auto"/>
      <w:ind w:right="143"/>
    </w:pPr>
    <w:rPr>
      <w:rFonts w:ascii="Fira Sans" w:eastAsia="Futura PT Book" w:hAnsi="Fira Sans" w:cs="Futura PT Book"/>
      <w:color w:val="58595B"/>
      <w:sz w:val="19"/>
      <w:szCs w:val="19"/>
      <w:lang w:bidi="en-US"/>
    </w:rPr>
  </w:style>
  <w:style w:type="character" w:customStyle="1" w:styleId="BodyTextChar">
    <w:name w:val="Body Text Char"/>
    <w:basedOn w:val="DefaultParagraphFont"/>
    <w:link w:val="BodyText"/>
    <w:uiPriority w:val="1"/>
    <w:rsid w:val="00B570F0"/>
    <w:rPr>
      <w:rFonts w:ascii="Fira Sans" w:eastAsia="Futura PT Book" w:hAnsi="Fira Sans" w:cs="Futura PT Book"/>
      <w:color w:val="58595B"/>
      <w:sz w:val="19"/>
      <w:szCs w:val="19"/>
      <w:lang w:val="en-AU" w:bidi="en-US"/>
    </w:rPr>
  </w:style>
  <w:style w:type="character" w:styleId="CommentReference">
    <w:name w:val="annotation reference"/>
    <w:basedOn w:val="DefaultParagraphFont"/>
    <w:uiPriority w:val="99"/>
    <w:semiHidden/>
    <w:unhideWhenUsed/>
    <w:rsid w:val="00F43EE9"/>
    <w:rPr>
      <w:sz w:val="16"/>
      <w:szCs w:val="16"/>
    </w:rPr>
  </w:style>
  <w:style w:type="paragraph" w:styleId="CommentText">
    <w:name w:val="annotation text"/>
    <w:basedOn w:val="Normal"/>
    <w:link w:val="CommentTextChar"/>
    <w:uiPriority w:val="99"/>
    <w:unhideWhenUsed/>
    <w:rsid w:val="00F43EE9"/>
    <w:pPr>
      <w:spacing w:line="240" w:lineRule="auto"/>
    </w:pPr>
    <w:rPr>
      <w:sz w:val="20"/>
      <w:szCs w:val="20"/>
    </w:rPr>
  </w:style>
  <w:style w:type="character" w:customStyle="1" w:styleId="CommentTextChar">
    <w:name w:val="Comment Text Char"/>
    <w:basedOn w:val="DefaultParagraphFont"/>
    <w:link w:val="CommentText"/>
    <w:uiPriority w:val="99"/>
    <w:rsid w:val="00F43EE9"/>
    <w:rPr>
      <w:rFonts w:ascii="Arial" w:hAnsi="Arial"/>
      <w:color w:val="15272F" w:themeColor="text1"/>
      <w:sz w:val="20"/>
      <w:szCs w:val="20"/>
      <w:lang w:val="en-AU"/>
    </w:rPr>
  </w:style>
  <w:style w:type="paragraph" w:styleId="CommentSubject">
    <w:name w:val="annotation subject"/>
    <w:basedOn w:val="CommentText"/>
    <w:next w:val="CommentText"/>
    <w:link w:val="CommentSubjectChar"/>
    <w:uiPriority w:val="99"/>
    <w:semiHidden/>
    <w:unhideWhenUsed/>
    <w:rsid w:val="00F43EE9"/>
    <w:rPr>
      <w:b/>
      <w:bCs/>
    </w:rPr>
  </w:style>
  <w:style w:type="character" w:customStyle="1" w:styleId="CommentSubjectChar">
    <w:name w:val="Comment Subject Char"/>
    <w:basedOn w:val="CommentTextChar"/>
    <w:link w:val="CommentSubject"/>
    <w:uiPriority w:val="99"/>
    <w:semiHidden/>
    <w:rsid w:val="00F43EE9"/>
    <w:rPr>
      <w:rFonts w:ascii="Arial" w:hAnsi="Arial"/>
      <w:b/>
      <w:bCs/>
      <w:color w:val="15272F" w:themeColor="text1"/>
      <w:sz w:val="20"/>
      <w:szCs w:val="20"/>
      <w:lang w:val="en-AU"/>
    </w:rPr>
  </w:style>
  <w:style w:type="paragraph" w:styleId="Revision">
    <w:name w:val="Revision"/>
    <w:hidden/>
    <w:uiPriority w:val="99"/>
    <w:semiHidden/>
    <w:rsid w:val="00B408D7"/>
    <w:pPr>
      <w:spacing w:after="0" w:line="240" w:lineRule="auto"/>
    </w:pPr>
    <w:rPr>
      <w:rFonts w:ascii="Arial" w:hAnsi="Arial"/>
      <w:color w:val="15272F" w:themeColor="text1"/>
      <w:lang w:val="en-AU"/>
    </w:rPr>
  </w:style>
  <w:style w:type="character" w:styleId="IntenseReference">
    <w:name w:val="Intense Reference"/>
    <w:basedOn w:val="DefaultParagraphFont"/>
    <w:uiPriority w:val="32"/>
    <w:qFormat/>
    <w:rsid w:val="006223FD"/>
    <w:rPr>
      <w:b/>
      <w:bCs/>
      <w:i/>
      <w:smallCaps/>
      <w:color w:val="104F99" w:themeColor="accent2"/>
      <w:spacing w:val="5"/>
      <w:u w:val="none"/>
    </w:rPr>
  </w:style>
  <w:style w:type="character" w:customStyle="1" w:styleId="NoSpacingChar">
    <w:name w:val="No Spacing Char"/>
    <w:basedOn w:val="DefaultParagraphFont"/>
    <w:link w:val="NoSpacing"/>
    <w:uiPriority w:val="1"/>
    <w:rsid w:val="006223FD"/>
    <w:rPr>
      <w:rFonts w:ascii="Arial" w:hAnsi="Arial"/>
      <w:color w:val="15272F" w:themeColor="text1"/>
    </w:rPr>
  </w:style>
  <w:style w:type="paragraph" w:customStyle="1" w:styleId="Body-Arial">
    <w:name w:val="Body - Arial"/>
    <w:basedOn w:val="Normal"/>
    <w:link w:val="Body-ArialChar"/>
    <w:qFormat/>
    <w:rsid w:val="00651122"/>
    <w:pPr>
      <w:spacing w:before="180" w:line="259" w:lineRule="auto"/>
    </w:pPr>
    <w:rPr>
      <w:rFonts w:cs="Arial"/>
      <w:color w:val="auto"/>
      <w:sz w:val="18"/>
      <w:szCs w:val="18"/>
    </w:rPr>
  </w:style>
  <w:style w:type="character" w:customStyle="1" w:styleId="Body-ArialChar">
    <w:name w:val="Body - Arial Char"/>
    <w:basedOn w:val="BodyChar"/>
    <w:link w:val="Body-Arial"/>
    <w:rsid w:val="00651122"/>
    <w:rPr>
      <w:rFonts w:ascii="Arial" w:hAnsi="Arial" w:cs="Arial"/>
      <w:sz w:val="18"/>
      <w:szCs w:val="18"/>
      <w:lang w:val="en-AU"/>
    </w:rPr>
  </w:style>
  <w:style w:type="paragraph" w:styleId="NormalWeb">
    <w:name w:val="Normal (Web)"/>
    <w:basedOn w:val="Normal"/>
    <w:uiPriority w:val="99"/>
    <w:semiHidden/>
    <w:unhideWhenUsed/>
    <w:rsid w:val="00D747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28945">
      <w:bodyDiv w:val="1"/>
      <w:marLeft w:val="0"/>
      <w:marRight w:val="0"/>
      <w:marTop w:val="0"/>
      <w:marBottom w:val="0"/>
      <w:divBdr>
        <w:top w:val="none" w:sz="0" w:space="0" w:color="auto"/>
        <w:left w:val="none" w:sz="0" w:space="0" w:color="auto"/>
        <w:bottom w:val="none" w:sz="0" w:space="0" w:color="auto"/>
        <w:right w:val="none" w:sz="0" w:space="0" w:color="auto"/>
      </w:divBdr>
    </w:div>
    <w:div w:id="493961430">
      <w:bodyDiv w:val="1"/>
      <w:marLeft w:val="0"/>
      <w:marRight w:val="0"/>
      <w:marTop w:val="0"/>
      <w:marBottom w:val="0"/>
      <w:divBdr>
        <w:top w:val="none" w:sz="0" w:space="0" w:color="auto"/>
        <w:left w:val="none" w:sz="0" w:space="0" w:color="auto"/>
        <w:bottom w:val="none" w:sz="0" w:space="0" w:color="auto"/>
        <w:right w:val="none" w:sz="0" w:space="0" w:color="auto"/>
      </w:divBdr>
    </w:div>
    <w:div w:id="529732904">
      <w:bodyDiv w:val="1"/>
      <w:marLeft w:val="0"/>
      <w:marRight w:val="0"/>
      <w:marTop w:val="0"/>
      <w:marBottom w:val="0"/>
      <w:divBdr>
        <w:top w:val="none" w:sz="0" w:space="0" w:color="auto"/>
        <w:left w:val="none" w:sz="0" w:space="0" w:color="auto"/>
        <w:bottom w:val="none" w:sz="0" w:space="0" w:color="auto"/>
        <w:right w:val="none" w:sz="0" w:space="0" w:color="auto"/>
      </w:divBdr>
      <w:divsChild>
        <w:div w:id="126626656">
          <w:marLeft w:val="0"/>
          <w:marRight w:val="0"/>
          <w:marTop w:val="0"/>
          <w:marBottom w:val="0"/>
          <w:divBdr>
            <w:top w:val="none" w:sz="0" w:space="0" w:color="auto"/>
            <w:left w:val="none" w:sz="0" w:space="0" w:color="auto"/>
            <w:bottom w:val="none" w:sz="0" w:space="0" w:color="auto"/>
            <w:right w:val="none" w:sz="0" w:space="0" w:color="auto"/>
          </w:divBdr>
        </w:div>
        <w:div w:id="517351744">
          <w:marLeft w:val="0"/>
          <w:marRight w:val="0"/>
          <w:marTop w:val="0"/>
          <w:marBottom w:val="0"/>
          <w:divBdr>
            <w:top w:val="none" w:sz="0" w:space="0" w:color="auto"/>
            <w:left w:val="none" w:sz="0" w:space="0" w:color="auto"/>
            <w:bottom w:val="none" w:sz="0" w:space="0" w:color="auto"/>
            <w:right w:val="none" w:sz="0" w:space="0" w:color="auto"/>
          </w:divBdr>
        </w:div>
        <w:div w:id="723140405">
          <w:marLeft w:val="0"/>
          <w:marRight w:val="0"/>
          <w:marTop w:val="0"/>
          <w:marBottom w:val="0"/>
          <w:divBdr>
            <w:top w:val="none" w:sz="0" w:space="0" w:color="auto"/>
            <w:left w:val="none" w:sz="0" w:space="0" w:color="auto"/>
            <w:bottom w:val="none" w:sz="0" w:space="0" w:color="auto"/>
            <w:right w:val="none" w:sz="0" w:space="0" w:color="auto"/>
          </w:divBdr>
        </w:div>
        <w:div w:id="1204559068">
          <w:marLeft w:val="0"/>
          <w:marRight w:val="0"/>
          <w:marTop w:val="0"/>
          <w:marBottom w:val="0"/>
          <w:divBdr>
            <w:top w:val="none" w:sz="0" w:space="0" w:color="auto"/>
            <w:left w:val="none" w:sz="0" w:space="0" w:color="auto"/>
            <w:bottom w:val="none" w:sz="0" w:space="0" w:color="auto"/>
            <w:right w:val="none" w:sz="0" w:space="0" w:color="auto"/>
          </w:divBdr>
        </w:div>
        <w:div w:id="1381705040">
          <w:marLeft w:val="0"/>
          <w:marRight w:val="0"/>
          <w:marTop w:val="0"/>
          <w:marBottom w:val="0"/>
          <w:divBdr>
            <w:top w:val="none" w:sz="0" w:space="0" w:color="auto"/>
            <w:left w:val="none" w:sz="0" w:space="0" w:color="auto"/>
            <w:bottom w:val="none" w:sz="0" w:space="0" w:color="auto"/>
            <w:right w:val="none" w:sz="0" w:space="0" w:color="auto"/>
          </w:divBdr>
        </w:div>
        <w:div w:id="1899047434">
          <w:marLeft w:val="0"/>
          <w:marRight w:val="0"/>
          <w:marTop w:val="0"/>
          <w:marBottom w:val="0"/>
          <w:divBdr>
            <w:top w:val="none" w:sz="0" w:space="0" w:color="auto"/>
            <w:left w:val="none" w:sz="0" w:space="0" w:color="auto"/>
            <w:bottom w:val="none" w:sz="0" w:space="0" w:color="auto"/>
            <w:right w:val="none" w:sz="0" w:space="0" w:color="auto"/>
          </w:divBdr>
        </w:div>
        <w:div w:id="2114744161">
          <w:marLeft w:val="0"/>
          <w:marRight w:val="0"/>
          <w:marTop w:val="0"/>
          <w:marBottom w:val="0"/>
          <w:divBdr>
            <w:top w:val="none" w:sz="0" w:space="0" w:color="auto"/>
            <w:left w:val="none" w:sz="0" w:space="0" w:color="auto"/>
            <w:bottom w:val="none" w:sz="0" w:space="0" w:color="auto"/>
            <w:right w:val="none" w:sz="0" w:space="0" w:color="auto"/>
          </w:divBdr>
        </w:div>
      </w:divsChild>
    </w:div>
    <w:div w:id="533888947">
      <w:bodyDiv w:val="1"/>
      <w:marLeft w:val="0"/>
      <w:marRight w:val="0"/>
      <w:marTop w:val="0"/>
      <w:marBottom w:val="0"/>
      <w:divBdr>
        <w:top w:val="none" w:sz="0" w:space="0" w:color="auto"/>
        <w:left w:val="none" w:sz="0" w:space="0" w:color="auto"/>
        <w:bottom w:val="none" w:sz="0" w:space="0" w:color="auto"/>
        <w:right w:val="none" w:sz="0" w:space="0" w:color="auto"/>
      </w:divBdr>
      <w:divsChild>
        <w:div w:id="36975398">
          <w:marLeft w:val="0"/>
          <w:marRight w:val="0"/>
          <w:marTop w:val="0"/>
          <w:marBottom w:val="0"/>
          <w:divBdr>
            <w:top w:val="none" w:sz="0" w:space="0" w:color="auto"/>
            <w:left w:val="none" w:sz="0" w:space="0" w:color="auto"/>
            <w:bottom w:val="none" w:sz="0" w:space="0" w:color="auto"/>
            <w:right w:val="none" w:sz="0" w:space="0" w:color="auto"/>
          </w:divBdr>
        </w:div>
        <w:div w:id="405153083">
          <w:marLeft w:val="0"/>
          <w:marRight w:val="0"/>
          <w:marTop w:val="0"/>
          <w:marBottom w:val="0"/>
          <w:divBdr>
            <w:top w:val="none" w:sz="0" w:space="0" w:color="auto"/>
            <w:left w:val="none" w:sz="0" w:space="0" w:color="auto"/>
            <w:bottom w:val="none" w:sz="0" w:space="0" w:color="auto"/>
            <w:right w:val="none" w:sz="0" w:space="0" w:color="auto"/>
          </w:divBdr>
        </w:div>
        <w:div w:id="700858345">
          <w:marLeft w:val="0"/>
          <w:marRight w:val="0"/>
          <w:marTop w:val="0"/>
          <w:marBottom w:val="0"/>
          <w:divBdr>
            <w:top w:val="none" w:sz="0" w:space="0" w:color="auto"/>
            <w:left w:val="none" w:sz="0" w:space="0" w:color="auto"/>
            <w:bottom w:val="none" w:sz="0" w:space="0" w:color="auto"/>
            <w:right w:val="none" w:sz="0" w:space="0" w:color="auto"/>
          </w:divBdr>
        </w:div>
        <w:div w:id="2001082520">
          <w:marLeft w:val="0"/>
          <w:marRight w:val="0"/>
          <w:marTop w:val="0"/>
          <w:marBottom w:val="0"/>
          <w:divBdr>
            <w:top w:val="none" w:sz="0" w:space="0" w:color="auto"/>
            <w:left w:val="none" w:sz="0" w:space="0" w:color="auto"/>
            <w:bottom w:val="none" w:sz="0" w:space="0" w:color="auto"/>
            <w:right w:val="none" w:sz="0" w:space="0" w:color="auto"/>
          </w:divBdr>
        </w:div>
      </w:divsChild>
    </w:div>
    <w:div w:id="605965544">
      <w:bodyDiv w:val="1"/>
      <w:marLeft w:val="0"/>
      <w:marRight w:val="0"/>
      <w:marTop w:val="0"/>
      <w:marBottom w:val="0"/>
      <w:divBdr>
        <w:top w:val="none" w:sz="0" w:space="0" w:color="auto"/>
        <w:left w:val="none" w:sz="0" w:space="0" w:color="auto"/>
        <w:bottom w:val="none" w:sz="0" w:space="0" w:color="auto"/>
        <w:right w:val="none" w:sz="0" w:space="0" w:color="auto"/>
      </w:divBdr>
    </w:div>
    <w:div w:id="610160857">
      <w:bodyDiv w:val="1"/>
      <w:marLeft w:val="0"/>
      <w:marRight w:val="0"/>
      <w:marTop w:val="0"/>
      <w:marBottom w:val="0"/>
      <w:divBdr>
        <w:top w:val="none" w:sz="0" w:space="0" w:color="auto"/>
        <w:left w:val="none" w:sz="0" w:space="0" w:color="auto"/>
        <w:bottom w:val="none" w:sz="0" w:space="0" w:color="auto"/>
        <w:right w:val="none" w:sz="0" w:space="0" w:color="auto"/>
      </w:divBdr>
    </w:div>
    <w:div w:id="623853761">
      <w:bodyDiv w:val="1"/>
      <w:marLeft w:val="0"/>
      <w:marRight w:val="0"/>
      <w:marTop w:val="0"/>
      <w:marBottom w:val="0"/>
      <w:divBdr>
        <w:top w:val="none" w:sz="0" w:space="0" w:color="auto"/>
        <w:left w:val="none" w:sz="0" w:space="0" w:color="auto"/>
        <w:bottom w:val="none" w:sz="0" w:space="0" w:color="auto"/>
        <w:right w:val="none" w:sz="0" w:space="0" w:color="auto"/>
      </w:divBdr>
    </w:div>
    <w:div w:id="672223303">
      <w:bodyDiv w:val="1"/>
      <w:marLeft w:val="0"/>
      <w:marRight w:val="0"/>
      <w:marTop w:val="0"/>
      <w:marBottom w:val="0"/>
      <w:divBdr>
        <w:top w:val="none" w:sz="0" w:space="0" w:color="auto"/>
        <w:left w:val="none" w:sz="0" w:space="0" w:color="auto"/>
        <w:bottom w:val="none" w:sz="0" w:space="0" w:color="auto"/>
        <w:right w:val="none" w:sz="0" w:space="0" w:color="auto"/>
      </w:divBdr>
    </w:div>
    <w:div w:id="683480179">
      <w:bodyDiv w:val="1"/>
      <w:marLeft w:val="0"/>
      <w:marRight w:val="0"/>
      <w:marTop w:val="0"/>
      <w:marBottom w:val="0"/>
      <w:divBdr>
        <w:top w:val="none" w:sz="0" w:space="0" w:color="auto"/>
        <w:left w:val="none" w:sz="0" w:space="0" w:color="auto"/>
        <w:bottom w:val="none" w:sz="0" w:space="0" w:color="auto"/>
        <w:right w:val="none" w:sz="0" w:space="0" w:color="auto"/>
      </w:divBdr>
    </w:div>
    <w:div w:id="823204785">
      <w:bodyDiv w:val="1"/>
      <w:marLeft w:val="0"/>
      <w:marRight w:val="0"/>
      <w:marTop w:val="0"/>
      <w:marBottom w:val="0"/>
      <w:divBdr>
        <w:top w:val="none" w:sz="0" w:space="0" w:color="auto"/>
        <w:left w:val="none" w:sz="0" w:space="0" w:color="auto"/>
        <w:bottom w:val="none" w:sz="0" w:space="0" w:color="auto"/>
        <w:right w:val="none" w:sz="0" w:space="0" w:color="auto"/>
      </w:divBdr>
    </w:div>
    <w:div w:id="845175373">
      <w:bodyDiv w:val="1"/>
      <w:marLeft w:val="0"/>
      <w:marRight w:val="0"/>
      <w:marTop w:val="0"/>
      <w:marBottom w:val="0"/>
      <w:divBdr>
        <w:top w:val="none" w:sz="0" w:space="0" w:color="auto"/>
        <w:left w:val="none" w:sz="0" w:space="0" w:color="auto"/>
        <w:bottom w:val="none" w:sz="0" w:space="0" w:color="auto"/>
        <w:right w:val="none" w:sz="0" w:space="0" w:color="auto"/>
      </w:divBdr>
    </w:div>
    <w:div w:id="886063777">
      <w:bodyDiv w:val="1"/>
      <w:marLeft w:val="0"/>
      <w:marRight w:val="0"/>
      <w:marTop w:val="0"/>
      <w:marBottom w:val="0"/>
      <w:divBdr>
        <w:top w:val="none" w:sz="0" w:space="0" w:color="auto"/>
        <w:left w:val="none" w:sz="0" w:space="0" w:color="auto"/>
        <w:bottom w:val="none" w:sz="0" w:space="0" w:color="auto"/>
        <w:right w:val="none" w:sz="0" w:space="0" w:color="auto"/>
      </w:divBdr>
      <w:divsChild>
        <w:div w:id="173688282">
          <w:marLeft w:val="0"/>
          <w:marRight w:val="0"/>
          <w:marTop w:val="0"/>
          <w:marBottom w:val="0"/>
          <w:divBdr>
            <w:top w:val="none" w:sz="0" w:space="0" w:color="auto"/>
            <w:left w:val="none" w:sz="0" w:space="0" w:color="auto"/>
            <w:bottom w:val="none" w:sz="0" w:space="0" w:color="auto"/>
            <w:right w:val="none" w:sz="0" w:space="0" w:color="auto"/>
          </w:divBdr>
        </w:div>
        <w:div w:id="947272146">
          <w:marLeft w:val="0"/>
          <w:marRight w:val="0"/>
          <w:marTop w:val="0"/>
          <w:marBottom w:val="0"/>
          <w:divBdr>
            <w:top w:val="none" w:sz="0" w:space="0" w:color="auto"/>
            <w:left w:val="none" w:sz="0" w:space="0" w:color="auto"/>
            <w:bottom w:val="none" w:sz="0" w:space="0" w:color="auto"/>
            <w:right w:val="none" w:sz="0" w:space="0" w:color="auto"/>
          </w:divBdr>
        </w:div>
        <w:div w:id="1567303047">
          <w:marLeft w:val="0"/>
          <w:marRight w:val="0"/>
          <w:marTop w:val="0"/>
          <w:marBottom w:val="0"/>
          <w:divBdr>
            <w:top w:val="none" w:sz="0" w:space="0" w:color="auto"/>
            <w:left w:val="none" w:sz="0" w:space="0" w:color="auto"/>
            <w:bottom w:val="none" w:sz="0" w:space="0" w:color="auto"/>
            <w:right w:val="none" w:sz="0" w:space="0" w:color="auto"/>
          </w:divBdr>
        </w:div>
      </w:divsChild>
    </w:div>
    <w:div w:id="1009989880">
      <w:bodyDiv w:val="1"/>
      <w:marLeft w:val="0"/>
      <w:marRight w:val="0"/>
      <w:marTop w:val="0"/>
      <w:marBottom w:val="0"/>
      <w:divBdr>
        <w:top w:val="none" w:sz="0" w:space="0" w:color="auto"/>
        <w:left w:val="none" w:sz="0" w:space="0" w:color="auto"/>
        <w:bottom w:val="none" w:sz="0" w:space="0" w:color="auto"/>
        <w:right w:val="none" w:sz="0" w:space="0" w:color="auto"/>
      </w:divBdr>
      <w:divsChild>
        <w:div w:id="544027193">
          <w:marLeft w:val="0"/>
          <w:marRight w:val="0"/>
          <w:marTop w:val="0"/>
          <w:marBottom w:val="0"/>
          <w:divBdr>
            <w:top w:val="none" w:sz="0" w:space="0" w:color="auto"/>
            <w:left w:val="none" w:sz="0" w:space="0" w:color="auto"/>
            <w:bottom w:val="none" w:sz="0" w:space="0" w:color="auto"/>
            <w:right w:val="none" w:sz="0" w:space="0" w:color="auto"/>
          </w:divBdr>
        </w:div>
        <w:div w:id="993484628">
          <w:marLeft w:val="0"/>
          <w:marRight w:val="0"/>
          <w:marTop w:val="0"/>
          <w:marBottom w:val="0"/>
          <w:divBdr>
            <w:top w:val="none" w:sz="0" w:space="0" w:color="auto"/>
            <w:left w:val="none" w:sz="0" w:space="0" w:color="auto"/>
            <w:bottom w:val="none" w:sz="0" w:space="0" w:color="auto"/>
            <w:right w:val="none" w:sz="0" w:space="0" w:color="auto"/>
          </w:divBdr>
        </w:div>
        <w:div w:id="1582981992">
          <w:marLeft w:val="0"/>
          <w:marRight w:val="0"/>
          <w:marTop w:val="0"/>
          <w:marBottom w:val="0"/>
          <w:divBdr>
            <w:top w:val="none" w:sz="0" w:space="0" w:color="auto"/>
            <w:left w:val="none" w:sz="0" w:space="0" w:color="auto"/>
            <w:bottom w:val="none" w:sz="0" w:space="0" w:color="auto"/>
            <w:right w:val="none" w:sz="0" w:space="0" w:color="auto"/>
          </w:divBdr>
        </w:div>
      </w:divsChild>
    </w:div>
    <w:div w:id="1030229937">
      <w:bodyDiv w:val="1"/>
      <w:marLeft w:val="0"/>
      <w:marRight w:val="0"/>
      <w:marTop w:val="0"/>
      <w:marBottom w:val="0"/>
      <w:divBdr>
        <w:top w:val="none" w:sz="0" w:space="0" w:color="auto"/>
        <w:left w:val="none" w:sz="0" w:space="0" w:color="auto"/>
        <w:bottom w:val="none" w:sz="0" w:space="0" w:color="auto"/>
        <w:right w:val="none" w:sz="0" w:space="0" w:color="auto"/>
      </w:divBdr>
    </w:div>
    <w:div w:id="1053045388">
      <w:bodyDiv w:val="1"/>
      <w:marLeft w:val="0"/>
      <w:marRight w:val="0"/>
      <w:marTop w:val="0"/>
      <w:marBottom w:val="0"/>
      <w:divBdr>
        <w:top w:val="none" w:sz="0" w:space="0" w:color="auto"/>
        <w:left w:val="none" w:sz="0" w:space="0" w:color="auto"/>
        <w:bottom w:val="none" w:sz="0" w:space="0" w:color="auto"/>
        <w:right w:val="none" w:sz="0" w:space="0" w:color="auto"/>
      </w:divBdr>
    </w:div>
    <w:div w:id="1084184300">
      <w:bodyDiv w:val="1"/>
      <w:marLeft w:val="0"/>
      <w:marRight w:val="0"/>
      <w:marTop w:val="0"/>
      <w:marBottom w:val="0"/>
      <w:divBdr>
        <w:top w:val="none" w:sz="0" w:space="0" w:color="auto"/>
        <w:left w:val="none" w:sz="0" w:space="0" w:color="auto"/>
        <w:bottom w:val="none" w:sz="0" w:space="0" w:color="auto"/>
        <w:right w:val="none" w:sz="0" w:space="0" w:color="auto"/>
      </w:divBdr>
      <w:divsChild>
        <w:div w:id="103350887">
          <w:marLeft w:val="0"/>
          <w:marRight w:val="0"/>
          <w:marTop w:val="0"/>
          <w:marBottom w:val="0"/>
          <w:divBdr>
            <w:top w:val="none" w:sz="0" w:space="0" w:color="auto"/>
            <w:left w:val="none" w:sz="0" w:space="0" w:color="auto"/>
            <w:bottom w:val="none" w:sz="0" w:space="0" w:color="auto"/>
            <w:right w:val="none" w:sz="0" w:space="0" w:color="auto"/>
          </w:divBdr>
        </w:div>
        <w:div w:id="391274901">
          <w:marLeft w:val="0"/>
          <w:marRight w:val="0"/>
          <w:marTop w:val="0"/>
          <w:marBottom w:val="0"/>
          <w:divBdr>
            <w:top w:val="none" w:sz="0" w:space="0" w:color="auto"/>
            <w:left w:val="none" w:sz="0" w:space="0" w:color="auto"/>
            <w:bottom w:val="none" w:sz="0" w:space="0" w:color="auto"/>
            <w:right w:val="none" w:sz="0" w:space="0" w:color="auto"/>
          </w:divBdr>
        </w:div>
        <w:div w:id="478574330">
          <w:marLeft w:val="0"/>
          <w:marRight w:val="0"/>
          <w:marTop w:val="0"/>
          <w:marBottom w:val="0"/>
          <w:divBdr>
            <w:top w:val="none" w:sz="0" w:space="0" w:color="auto"/>
            <w:left w:val="none" w:sz="0" w:space="0" w:color="auto"/>
            <w:bottom w:val="none" w:sz="0" w:space="0" w:color="auto"/>
            <w:right w:val="none" w:sz="0" w:space="0" w:color="auto"/>
          </w:divBdr>
        </w:div>
        <w:div w:id="679242315">
          <w:marLeft w:val="0"/>
          <w:marRight w:val="0"/>
          <w:marTop w:val="0"/>
          <w:marBottom w:val="0"/>
          <w:divBdr>
            <w:top w:val="none" w:sz="0" w:space="0" w:color="auto"/>
            <w:left w:val="none" w:sz="0" w:space="0" w:color="auto"/>
            <w:bottom w:val="none" w:sz="0" w:space="0" w:color="auto"/>
            <w:right w:val="none" w:sz="0" w:space="0" w:color="auto"/>
          </w:divBdr>
        </w:div>
        <w:div w:id="1220821885">
          <w:marLeft w:val="0"/>
          <w:marRight w:val="0"/>
          <w:marTop w:val="0"/>
          <w:marBottom w:val="0"/>
          <w:divBdr>
            <w:top w:val="none" w:sz="0" w:space="0" w:color="auto"/>
            <w:left w:val="none" w:sz="0" w:space="0" w:color="auto"/>
            <w:bottom w:val="none" w:sz="0" w:space="0" w:color="auto"/>
            <w:right w:val="none" w:sz="0" w:space="0" w:color="auto"/>
          </w:divBdr>
        </w:div>
      </w:divsChild>
    </w:div>
    <w:div w:id="1105229689">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sChild>
        <w:div w:id="153422833">
          <w:marLeft w:val="0"/>
          <w:marRight w:val="0"/>
          <w:marTop w:val="0"/>
          <w:marBottom w:val="0"/>
          <w:divBdr>
            <w:top w:val="none" w:sz="0" w:space="0" w:color="auto"/>
            <w:left w:val="none" w:sz="0" w:space="0" w:color="auto"/>
            <w:bottom w:val="none" w:sz="0" w:space="0" w:color="auto"/>
            <w:right w:val="none" w:sz="0" w:space="0" w:color="auto"/>
          </w:divBdr>
        </w:div>
        <w:div w:id="912473766">
          <w:marLeft w:val="0"/>
          <w:marRight w:val="0"/>
          <w:marTop w:val="0"/>
          <w:marBottom w:val="0"/>
          <w:divBdr>
            <w:top w:val="none" w:sz="0" w:space="0" w:color="auto"/>
            <w:left w:val="none" w:sz="0" w:space="0" w:color="auto"/>
            <w:bottom w:val="none" w:sz="0" w:space="0" w:color="auto"/>
            <w:right w:val="none" w:sz="0" w:space="0" w:color="auto"/>
          </w:divBdr>
        </w:div>
        <w:div w:id="1475486996">
          <w:marLeft w:val="0"/>
          <w:marRight w:val="0"/>
          <w:marTop w:val="0"/>
          <w:marBottom w:val="0"/>
          <w:divBdr>
            <w:top w:val="none" w:sz="0" w:space="0" w:color="auto"/>
            <w:left w:val="none" w:sz="0" w:space="0" w:color="auto"/>
            <w:bottom w:val="none" w:sz="0" w:space="0" w:color="auto"/>
            <w:right w:val="none" w:sz="0" w:space="0" w:color="auto"/>
          </w:divBdr>
        </w:div>
        <w:div w:id="1863351837">
          <w:marLeft w:val="0"/>
          <w:marRight w:val="0"/>
          <w:marTop w:val="0"/>
          <w:marBottom w:val="0"/>
          <w:divBdr>
            <w:top w:val="none" w:sz="0" w:space="0" w:color="auto"/>
            <w:left w:val="none" w:sz="0" w:space="0" w:color="auto"/>
            <w:bottom w:val="none" w:sz="0" w:space="0" w:color="auto"/>
            <w:right w:val="none" w:sz="0" w:space="0" w:color="auto"/>
          </w:divBdr>
        </w:div>
      </w:divsChild>
    </w:div>
    <w:div w:id="1259676834">
      <w:bodyDiv w:val="1"/>
      <w:marLeft w:val="0"/>
      <w:marRight w:val="0"/>
      <w:marTop w:val="0"/>
      <w:marBottom w:val="0"/>
      <w:divBdr>
        <w:top w:val="none" w:sz="0" w:space="0" w:color="auto"/>
        <w:left w:val="none" w:sz="0" w:space="0" w:color="auto"/>
        <w:bottom w:val="none" w:sz="0" w:space="0" w:color="auto"/>
        <w:right w:val="none" w:sz="0" w:space="0" w:color="auto"/>
      </w:divBdr>
      <w:divsChild>
        <w:div w:id="338048357">
          <w:marLeft w:val="0"/>
          <w:marRight w:val="0"/>
          <w:marTop w:val="0"/>
          <w:marBottom w:val="0"/>
          <w:divBdr>
            <w:top w:val="none" w:sz="0" w:space="0" w:color="auto"/>
            <w:left w:val="none" w:sz="0" w:space="0" w:color="auto"/>
            <w:bottom w:val="none" w:sz="0" w:space="0" w:color="auto"/>
            <w:right w:val="none" w:sz="0" w:space="0" w:color="auto"/>
          </w:divBdr>
        </w:div>
        <w:div w:id="1840342565">
          <w:marLeft w:val="0"/>
          <w:marRight w:val="0"/>
          <w:marTop w:val="0"/>
          <w:marBottom w:val="0"/>
          <w:divBdr>
            <w:top w:val="none" w:sz="0" w:space="0" w:color="auto"/>
            <w:left w:val="none" w:sz="0" w:space="0" w:color="auto"/>
            <w:bottom w:val="none" w:sz="0" w:space="0" w:color="auto"/>
            <w:right w:val="none" w:sz="0" w:space="0" w:color="auto"/>
          </w:divBdr>
        </w:div>
        <w:div w:id="1885174545">
          <w:marLeft w:val="0"/>
          <w:marRight w:val="0"/>
          <w:marTop w:val="0"/>
          <w:marBottom w:val="0"/>
          <w:divBdr>
            <w:top w:val="none" w:sz="0" w:space="0" w:color="auto"/>
            <w:left w:val="none" w:sz="0" w:space="0" w:color="auto"/>
            <w:bottom w:val="none" w:sz="0" w:space="0" w:color="auto"/>
            <w:right w:val="none" w:sz="0" w:space="0" w:color="auto"/>
          </w:divBdr>
        </w:div>
      </w:divsChild>
    </w:div>
    <w:div w:id="1357996774">
      <w:bodyDiv w:val="1"/>
      <w:marLeft w:val="0"/>
      <w:marRight w:val="0"/>
      <w:marTop w:val="0"/>
      <w:marBottom w:val="0"/>
      <w:divBdr>
        <w:top w:val="none" w:sz="0" w:space="0" w:color="auto"/>
        <w:left w:val="none" w:sz="0" w:space="0" w:color="auto"/>
        <w:bottom w:val="none" w:sz="0" w:space="0" w:color="auto"/>
        <w:right w:val="none" w:sz="0" w:space="0" w:color="auto"/>
      </w:divBdr>
      <w:divsChild>
        <w:div w:id="306395249">
          <w:marLeft w:val="0"/>
          <w:marRight w:val="0"/>
          <w:marTop w:val="0"/>
          <w:marBottom w:val="0"/>
          <w:divBdr>
            <w:top w:val="none" w:sz="0" w:space="0" w:color="auto"/>
            <w:left w:val="none" w:sz="0" w:space="0" w:color="auto"/>
            <w:bottom w:val="none" w:sz="0" w:space="0" w:color="auto"/>
            <w:right w:val="none" w:sz="0" w:space="0" w:color="auto"/>
          </w:divBdr>
        </w:div>
        <w:div w:id="1130128442">
          <w:marLeft w:val="0"/>
          <w:marRight w:val="0"/>
          <w:marTop w:val="0"/>
          <w:marBottom w:val="0"/>
          <w:divBdr>
            <w:top w:val="none" w:sz="0" w:space="0" w:color="auto"/>
            <w:left w:val="none" w:sz="0" w:space="0" w:color="auto"/>
            <w:bottom w:val="none" w:sz="0" w:space="0" w:color="auto"/>
            <w:right w:val="none" w:sz="0" w:space="0" w:color="auto"/>
          </w:divBdr>
        </w:div>
        <w:div w:id="1159273590">
          <w:marLeft w:val="0"/>
          <w:marRight w:val="0"/>
          <w:marTop w:val="0"/>
          <w:marBottom w:val="0"/>
          <w:divBdr>
            <w:top w:val="none" w:sz="0" w:space="0" w:color="auto"/>
            <w:left w:val="none" w:sz="0" w:space="0" w:color="auto"/>
            <w:bottom w:val="none" w:sz="0" w:space="0" w:color="auto"/>
            <w:right w:val="none" w:sz="0" w:space="0" w:color="auto"/>
          </w:divBdr>
        </w:div>
        <w:div w:id="1211919747">
          <w:marLeft w:val="0"/>
          <w:marRight w:val="0"/>
          <w:marTop w:val="0"/>
          <w:marBottom w:val="0"/>
          <w:divBdr>
            <w:top w:val="none" w:sz="0" w:space="0" w:color="auto"/>
            <w:left w:val="none" w:sz="0" w:space="0" w:color="auto"/>
            <w:bottom w:val="none" w:sz="0" w:space="0" w:color="auto"/>
            <w:right w:val="none" w:sz="0" w:space="0" w:color="auto"/>
          </w:divBdr>
        </w:div>
        <w:div w:id="1266764187">
          <w:marLeft w:val="0"/>
          <w:marRight w:val="0"/>
          <w:marTop w:val="0"/>
          <w:marBottom w:val="0"/>
          <w:divBdr>
            <w:top w:val="none" w:sz="0" w:space="0" w:color="auto"/>
            <w:left w:val="none" w:sz="0" w:space="0" w:color="auto"/>
            <w:bottom w:val="none" w:sz="0" w:space="0" w:color="auto"/>
            <w:right w:val="none" w:sz="0" w:space="0" w:color="auto"/>
          </w:divBdr>
        </w:div>
        <w:div w:id="1414932084">
          <w:marLeft w:val="0"/>
          <w:marRight w:val="0"/>
          <w:marTop w:val="0"/>
          <w:marBottom w:val="0"/>
          <w:divBdr>
            <w:top w:val="none" w:sz="0" w:space="0" w:color="auto"/>
            <w:left w:val="none" w:sz="0" w:space="0" w:color="auto"/>
            <w:bottom w:val="none" w:sz="0" w:space="0" w:color="auto"/>
            <w:right w:val="none" w:sz="0" w:space="0" w:color="auto"/>
          </w:divBdr>
        </w:div>
        <w:div w:id="2085495409">
          <w:marLeft w:val="0"/>
          <w:marRight w:val="0"/>
          <w:marTop w:val="0"/>
          <w:marBottom w:val="0"/>
          <w:divBdr>
            <w:top w:val="none" w:sz="0" w:space="0" w:color="auto"/>
            <w:left w:val="none" w:sz="0" w:space="0" w:color="auto"/>
            <w:bottom w:val="none" w:sz="0" w:space="0" w:color="auto"/>
            <w:right w:val="none" w:sz="0" w:space="0" w:color="auto"/>
          </w:divBdr>
        </w:div>
      </w:divsChild>
    </w:div>
    <w:div w:id="1393390345">
      <w:bodyDiv w:val="1"/>
      <w:marLeft w:val="0"/>
      <w:marRight w:val="0"/>
      <w:marTop w:val="0"/>
      <w:marBottom w:val="0"/>
      <w:divBdr>
        <w:top w:val="none" w:sz="0" w:space="0" w:color="auto"/>
        <w:left w:val="none" w:sz="0" w:space="0" w:color="auto"/>
        <w:bottom w:val="none" w:sz="0" w:space="0" w:color="auto"/>
        <w:right w:val="none" w:sz="0" w:space="0" w:color="auto"/>
      </w:divBdr>
    </w:div>
    <w:div w:id="1396709346">
      <w:bodyDiv w:val="1"/>
      <w:marLeft w:val="0"/>
      <w:marRight w:val="0"/>
      <w:marTop w:val="0"/>
      <w:marBottom w:val="0"/>
      <w:divBdr>
        <w:top w:val="none" w:sz="0" w:space="0" w:color="auto"/>
        <w:left w:val="none" w:sz="0" w:space="0" w:color="auto"/>
        <w:bottom w:val="none" w:sz="0" w:space="0" w:color="auto"/>
        <w:right w:val="none" w:sz="0" w:space="0" w:color="auto"/>
      </w:divBdr>
    </w:div>
    <w:div w:id="1411924814">
      <w:bodyDiv w:val="1"/>
      <w:marLeft w:val="0"/>
      <w:marRight w:val="0"/>
      <w:marTop w:val="0"/>
      <w:marBottom w:val="0"/>
      <w:divBdr>
        <w:top w:val="none" w:sz="0" w:space="0" w:color="auto"/>
        <w:left w:val="none" w:sz="0" w:space="0" w:color="auto"/>
        <w:bottom w:val="none" w:sz="0" w:space="0" w:color="auto"/>
        <w:right w:val="none" w:sz="0" w:space="0" w:color="auto"/>
      </w:divBdr>
    </w:div>
    <w:div w:id="1681271094">
      <w:bodyDiv w:val="1"/>
      <w:marLeft w:val="0"/>
      <w:marRight w:val="0"/>
      <w:marTop w:val="0"/>
      <w:marBottom w:val="0"/>
      <w:divBdr>
        <w:top w:val="none" w:sz="0" w:space="0" w:color="auto"/>
        <w:left w:val="none" w:sz="0" w:space="0" w:color="auto"/>
        <w:bottom w:val="none" w:sz="0" w:space="0" w:color="auto"/>
        <w:right w:val="none" w:sz="0" w:space="0" w:color="auto"/>
      </w:divBdr>
    </w:div>
    <w:div w:id="1716200647">
      <w:bodyDiv w:val="1"/>
      <w:marLeft w:val="0"/>
      <w:marRight w:val="0"/>
      <w:marTop w:val="0"/>
      <w:marBottom w:val="0"/>
      <w:divBdr>
        <w:top w:val="none" w:sz="0" w:space="0" w:color="auto"/>
        <w:left w:val="none" w:sz="0" w:space="0" w:color="auto"/>
        <w:bottom w:val="none" w:sz="0" w:space="0" w:color="auto"/>
        <w:right w:val="none" w:sz="0" w:space="0" w:color="auto"/>
      </w:divBdr>
      <w:divsChild>
        <w:div w:id="55784260">
          <w:marLeft w:val="0"/>
          <w:marRight w:val="0"/>
          <w:marTop w:val="0"/>
          <w:marBottom w:val="0"/>
          <w:divBdr>
            <w:top w:val="none" w:sz="0" w:space="0" w:color="auto"/>
            <w:left w:val="none" w:sz="0" w:space="0" w:color="auto"/>
            <w:bottom w:val="none" w:sz="0" w:space="0" w:color="auto"/>
            <w:right w:val="none" w:sz="0" w:space="0" w:color="auto"/>
          </w:divBdr>
        </w:div>
        <w:div w:id="1043752660">
          <w:marLeft w:val="0"/>
          <w:marRight w:val="0"/>
          <w:marTop w:val="0"/>
          <w:marBottom w:val="0"/>
          <w:divBdr>
            <w:top w:val="none" w:sz="0" w:space="0" w:color="auto"/>
            <w:left w:val="none" w:sz="0" w:space="0" w:color="auto"/>
            <w:bottom w:val="none" w:sz="0" w:space="0" w:color="auto"/>
            <w:right w:val="none" w:sz="0" w:space="0" w:color="auto"/>
          </w:divBdr>
        </w:div>
        <w:div w:id="1374618653">
          <w:marLeft w:val="0"/>
          <w:marRight w:val="0"/>
          <w:marTop w:val="0"/>
          <w:marBottom w:val="0"/>
          <w:divBdr>
            <w:top w:val="none" w:sz="0" w:space="0" w:color="auto"/>
            <w:left w:val="none" w:sz="0" w:space="0" w:color="auto"/>
            <w:bottom w:val="none" w:sz="0" w:space="0" w:color="auto"/>
            <w:right w:val="none" w:sz="0" w:space="0" w:color="auto"/>
          </w:divBdr>
        </w:div>
      </w:divsChild>
    </w:div>
    <w:div w:id="1757282621">
      <w:bodyDiv w:val="1"/>
      <w:marLeft w:val="0"/>
      <w:marRight w:val="0"/>
      <w:marTop w:val="0"/>
      <w:marBottom w:val="0"/>
      <w:divBdr>
        <w:top w:val="none" w:sz="0" w:space="0" w:color="auto"/>
        <w:left w:val="none" w:sz="0" w:space="0" w:color="auto"/>
        <w:bottom w:val="none" w:sz="0" w:space="0" w:color="auto"/>
        <w:right w:val="none" w:sz="0" w:space="0" w:color="auto"/>
      </w:divBdr>
    </w:div>
    <w:div w:id="1774591631">
      <w:bodyDiv w:val="1"/>
      <w:marLeft w:val="0"/>
      <w:marRight w:val="0"/>
      <w:marTop w:val="0"/>
      <w:marBottom w:val="0"/>
      <w:divBdr>
        <w:top w:val="none" w:sz="0" w:space="0" w:color="auto"/>
        <w:left w:val="none" w:sz="0" w:space="0" w:color="auto"/>
        <w:bottom w:val="none" w:sz="0" w:space="0" w:color="auto"/>
        <w:right w:val="none" w:sz="0" w:space="0" w:color="auto"/>
      </w:divBdr>
      <w:divsChild>
        <w:div w:id="291911009">
          <w:marLeft w:val="0"/>
          <w:marRight w:val="0"/>
          <w:marTop w:val="0"/>
          <w:marBottom w:val="0"/>
          <w:divBdr>
            <w:top w:val="none" w:sz="0" w:space="0" w:color="auto"/>
            <w:left w:val="none" w:sz="0" w:space="0" w:color="auto"/>
            <w:bottom w:val="none" w:sz="0" w:space="0" w:color="auto"/>
            <w:right w:val="none" w:sz="0" w:space="0" w:color="auto"/>
          </w:divBdr>
        </w:div>
        <w:div w:id="364911955">
          <w:marLeft w:val="0"/>
          <w:marRight w:val="0"/>
          <w:marTop w:val="0"/>
          <w:marBottom w:val="0"/>
          <w:divBdr>
            <w:top w:val="none" w:sz="0" w:space="0" w:color="auto"/>
            <w:left w:val="none" w:sz="0" w:space="0" w:color="auto"/>
            <w:bottom w:val="none" w:sz="0" w:space="0" w:color="auto"/>
            <w:right w:val="none" w:sz="0" w:space="0" w:color="auto"/>
          </w:divBdr>
        </w:div>
        <w:div w:id="386298767">
          <w:marLeft w:val="0"/>
          <w:marRight w:val="0"/>
          <w:marTop w:val="0"/>
          <w:marBottom w:val="0"/>
          <w:divBdr>
            <w:top w:val="none" w:sz="0" w:space="0" w:color="auto"/>
            <w:left w:val="none" w:sz="0" w:space="0" w:color="auto"/>
            <w:bottom w:val="none" w:sz="0" w:space="0" w:color="auto"/>
            <w:right w:val="none" w:sz="0" w:space="0" w:color="auto"/>
          </w:divBdr>
        </w:div>
        <w:div w:id="1507473398">
          <w:marLeft w:val="0"/>
          <w:marRight w:val="0"/>
          <w:marTop w:val="0"/>
          <w:marBottom w:val="0"/>
          <w:divBdr>
            <w:top w:val="none" w:sz="0" w:space="0" w:color="auto"/>
            <w:left w:val="none" w:sz="0" w:space="0" w:color="auto"/>
            <w:bottom w:val="none" w:sz="0" w:space="0" w:color="auto"/>
            <w:right w:val="none" w:sz="0" w:space="0" w:color="auto"/>
          </w:divBdr>
        </w:div>
        <w:div w:id="1917010465">
          <w:marLeft w:val="0"/>
          <w:marRight w:val="0"/>
          <w:marTop w:val="0"/>
          <w:marBottom w:val="0"/>
          <w:divBdr>
            <w:top w:val="none" w:sz="0" w:space="0" w:color="auto"/>
            <w:left w:val="none" w:sz="0" w:space="0" w:color="auto"/>
            <w:bottom w:val="none" w:sz="0" w:space="0" w:color="auto"/>
            <w:right w:val="none" w:sz="0" w:space="0" w:color="auto"/>
          </w:divBdr>
        </w:div>
      </w:divsChild>
    </w:div>
    <w:div w:id="1787384345">
      <w:bodyDiv w:val="1"/>
      <w:marLeft w:val="0"/>
      <w:marRight w:val="0"/>
      <w:marTop w:val="0"/>
      <w:marBottom w:val="0"/>
      <w:divBdr>
        <w:top w:val="none" w:sz="0" w:space="0" w:color="auto"/>
        <w:left w:val="none" w:sz="0" w:space="0" w:color="auto"/>
        <w:bottom w:val="none" w:sz="0" w:space="0" w:color="auto"/>
        <w:right w:val="none" w:sz="0" w:space="0" w:color="auto"/>
      </w:divBdr>
      <w:divsChild>
        <w:div w:id="577708958">
          <w:marLeft w:val="0"/>
          <w:marRight w:val="0"/>
          <w:marTop w:val="0"/>
          <w:marBottom w:val="0"/>
          <w:divBdr>
            <w:top w:val="none" w:sz="0" w:space="0" w:color="auto"/>
            <w:left w:val="none" w:sz="0" w:space="0" w:color="auto"/>
            <w:bottom w:val="none" w:sz="0" w:space="0" w:color="auto"/>
            <w:right w:val="none" w:sz="0" w:space="0" w:color="auto"/>
          </w:divBdr>
        </w:div>
        <w:div w:id="971982821">
          <w:marLeft w:val="0"/>
          <w:marRight w:val="0"/>
          <w:marTop w:val="0"/>
          <w:marBottom w:val="0"/>
          <w:divBdr>
            <w:top w:val="none" w:sz="0" w:space="0" w:color="auto"/>
            <w:left w:val="none" w:sz="0" w:space="0" w:color="auto"/>
            <w:bottom w:val="none" w:sz="0" w:space="0" w:color="auto"/>
            <w:right w:val="none" w:sz="0" w:space="0" w:color="auto"/>
          </w:divBdr>
        </w:div>
        <w:div w:id="1034497722">
          <w:marLeft w:val="0"/>
          <w:marRight w:val="0"/>
          <w:marTop w:val="0"/>
          <w:marBottom w:val="0"/>
          <w:divBdr>
            <w:top w:val="none" w:sz="0" w:space="0" w:color="auto"/>
            <w:left w:val="none" w:sz="0" w:space="0" w:color="auto"/>
            <w:bottom w:val="none" w:sz="0" w:space="0" w:color="auto"/>
            <w:right w:val="none" w:sz="0" w:space="0" w:color="auto"/>
          </w:divBdr>
        </w:div>
        <w:div w:id="1414157936">
          <w:marLeft w:val="0"/>
          <w:marRight w:val="0"/>
          <w:marTop w:val="0"/>
          <w:marBottom w:val="0"/>
          <w:divBdr>
            <w:top w:val="none" w:sz="0" w:space="0" w:color="auto"/>
            <w:left w:val="none" w:sz="0" w:space="0" w:color="auto"/>
            <w:bottom w:val="none" w:sz="0" w:space="0" w:color="auto"/>
            <w:right w:val="none" w:sz="0" w:space="0" w:color="auto"/>
          </w:divBdr>
        </w:div>
        <w:div w:id="1817793007">
          <w:marLeft w:val="0"/>
          <w:marRight w:val="0"/>
          <w:marTop w:val="0"/>
          <w:marBottom w:val="0"/>
          <w:divBdr>
            <w:top w:val="none" w:sz="0" w:space="0" w:color="auto"/>
            <w:left w:val="none" w:sz="0" w:space="0" w:color="auto"/>
            <w:bottom w:val="none" w:sz="0" w:space="0" w:color="auto"/>
            <w:right w:val="none" w:sz="0" w:space="0" w:color="auto"/>
          </w:divBdr>
        </w:div>
      </w:divsChild>
    </w:div>
    <w:div w:id="1850634231">
      <w:bodyDiv w:val="1"/>
      <w:marLeft w:val="0"/>
      <w:marRight w:val="0"/>
      <w:marTop w:val="0"/>
      <w:marBottom w:val="0"/>
      <w:divBdr>
        <w:top w:val="none" w:sz="0" w:space="0" w:color="auto"/>
        <w:left w:val="none" w:sz="0" w:space="0" w:color="auto"/>
        <w:bottom w:val="none" w:sz="0" w:space="0" w:color="auto"/>
        <w:right w:val="none" w:sz="0" w:space="0" w:color="auto"/>
      </w:divBdr>
    </w:div>
    <w:div w:id="1862668522">
      <w:bodyDiv w:val="1"/>
      <w:marLeft w:val="0"/>
      <w:marRight w:val="0"/>
      <w:marTop w:val="0"/>
      <w:marBottom w:val="0"/>
      <w:divBdr>
        <w:top w:val="none" w:sz="0" w:space="0" w:color="auto"/>
        <w:left w:val="none" w:sz="0" w:space="0" w:color="auto"/>
        <w:bottom w:val="none" w:sz="0" w:space="0" w:color="auto"/>
        <w:right w:val="none" w:sz="0" w:space="0" w:color="auto"/>
      </w:divBdr>
      <w:divsChild>
        <w:div w:id="873661827">
          <w:marLeft w:val="0"/>
          <w:marRight w:val="0"/>
          <w:marTop w:val="0"/>
          <w:marBottom w:val="0"/>
          <w:divBdr>
            <w:top w:val="none" w:sz="0" w:space="0" w:color="auto"/>
            <w:left w:val="none" w:sz="0" w:space="0" w:color="auto"/>
            <w:bottom w:val="none" w:sz="0" w:space="0" w:color="auto"/>
            <w:right w:val="none" w:sz="0" w:space="0" w:color="auto"/>
          </w:divBdr>
        </w:div>
        <w:div w:id="995379368">
          <w:marLeft w:val="0"/>
          <w:marRight w:val="0"/>
          <w:marTop w:val="0"/>
          <w:marBottom w:val="0"/>
          <w:divBdr>
            <w:top w:val="none" w:sz="0" w:space="0" w:color="auto"/>
            <w:left w:val="none" w:sz="0" w:space="0" w:color="auto"/>
            <w:bottom w:val="none" w:sz="0" w:space="0" w:color="auto"/>
            <w:right w:val="none" w:sz="0" w:space="0" w:color="auto"/>
          </w:divBdr>
        </w:div>
        <w:div w:id="1337071726">
          <w:marLeft w:val="0"/>
          <w:marRight w:val="0"/>
          <w:marTop w:val="0"/>
          <w:marBottom w:val="0"/>
          <w:divBdr>
            <w:top w:val="none" w:sz="0" w:space="0" w:color="auto"/>
            <w:left w:val="none" w:sz="0" w:space="0" w:color="auto"/>
            <w:bottom w:val="none" w:sz="0" w:space="0" w:color="auto"/>
            <w:right w:val="none" w:sz="0" w:space="0" w:color="auto"/>
          </w:divBdr>
        </w:div>
        <w:div w:id="1363362295">
          <w:marLeft w:val="0"/>
          <w:marRight w:val="0"/>
          <w:marTop w:val="0"/>
          <w:marBottom w:val="0"/>
          <w:divBdr>
            <w:top w:val="none" w:sz="0" w:space="0" w:color="auto"/>
            <w:left w:val="none" w:sz="0" w:space="0" w:color="auto"/>
            <w:bottom w:val="none" w:sz="0" w:space="0" w:color="auto"/>
            <w:right w:val="none" w:sz="0" w:space="0" w:color="auto"/>
          </w:divBdr>
        </w:div>
        <w:div w:id="1758743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www.ihacpa.gov.au/sites/default/files/2025-05/Consultation_Paper_on_the_Pricing_Framework_for_Australian_Public_Hospital_Services_2026%E2%80%9327.PDF" TargetMode="External"/><Relationship Id="rId21" Type="http://schemas.openxmlformats.org/officeDocument/2006/relationships/header" Target="header4.xml"/><Relationship Id="rId42" Type="http://schemas.openxmlformats.org/officeDocument/2006/relationships/footer" Target="footer9.xml"/><Relationship Id="rId47" Type="http://schemas.openxmlformats.org/officeDocument/2006/relationships/hyperlink" Target="https://learn.ihacpa.gov.au/" TargetMode="External"/><Relationship Id="rId63" Type="http://schemas.openxmlformats.org/officeDocument/2006/relationships/footer" Target="footer14.xml"/><Relationship Id="rId68" Type="http://schemas.openxmlformats.org/officeDocument/2006/relationships/hyperlink" Target="https://www.ihacpa.gov.au/resources/data-compliance-policy" TargetMode="External"/><Relationship Id="rId84" Type="http://schemas.openxmlformats.org/officeDocument/2006/relationships/footer" Target="footer19.xml"/><Relationship Id="rId89" Type="http://schemas.openxmlformats.org/officeDocument/2006/relationships/hyperlink" Target="https://www.safetyandquality.gov.au/publications-and-resources/resource-library/australian-sentinel-events-list-version-2-specifications" TargetMode="External"/><Relationship Id="rId16" Type="http://schemas.openxmlformats.org/officeDocument/2006/relationships/footer" Target="footer1.xml"/><Relationship Id="rId11" Type="http://schemas.openxmlformats.org/officeDocument/2006/relationships/endnotes" Target="endnotes.xml"/><Relationship Id="rId32" Type="http://schemas.openxmlformats.org/officeDocument/2006/relationships/footer" Target="footer6.xml"/><Relationship Id="rId37" Type="http://schemas.openxmlformats.org/officeDocument/2006/relationships/image" Target="media/image9.png"/><Relationship Id="rId53" Type="http://schemas.openxmlformats.org/officeDocument/2006/relationships/hyperlink" Target="https://www.ihacpa.gov.au/resources/ihacpa-work-program-and-corporate-plan-2025-26" TargetMode="External"/><Relationship Id="rId58" Type="http://schemas.openxmlformats.org/officeDocument/2006/relationships/footer" Target="footer12.xml"/><Relationship Id="rId74" Type="http://schemas.openxmlformats.org/officeDocument/2006/relationships/hyperlink" Target="https://www.ihacpa.gov.au/health-care/costing/costing-studies" TargetMode="External"/><Relationship Id="rId79" Type="http://schemas.openxmlformats.org/officeDocument/2006/relationships/header" Target="header23.xml"/><Relationship Id="rId102" Type="http://schemas.openxmlformats.org/officeDocument/2006/relationships/hyperlink" Target="http://www.ihacpa.gov.au/" TargetMode="External"/><Relationship Id="rId5" Type="http://schemas.openxmlformats.org/officeDocument/2006/relationships/customXml" Target="../customXml/item5.xml"/><Relationship Id="rId90" Type="http://schemas.openxmlformats.org/officeDocument/2006/relationships/hyperlink" Target="https://www.ihacpa.gov.au/resources/national-efficient-price-determination-2025-26" TargetMode="External"/><Relationship Id="rId95" Type="http://schemas.openxmlformats.org/officeDocument/2006/relationships/hyperlink" Target="https://www.safetyandquality.gov.au/publications-and-resources/resource-library/avoidable-hospital-readmissions-ahrs-specifications" TargetMode="External"/><Relationship Id="rId22" Type="http://schemas.openxmlformats.org/officeDocument/2006/relationships/footer" Target="footer4.xml"/><Relationship Id="rId27" Type="http://schemas.openxmlformats.org/officeDocument/2006/relationships/hyperlink" Target="https://engage.ihacpa.gov.au/pfaphs/pricing-framework-for-hospitals-26-27/consultation/published_select_respondent" TargetMode="External"/><Relationship Id="rId43" Type="http://schemas.openxmlformats.org/officeDocument/2006/relationships/hyperlink" Target="https://www.ihacpa.gov.au/resources/governance-framework-development-admitted-care-classifications" TargetMode="External"/><Relationship Id="rId48" Type="http://schemas.openxmlformats.org/officeDocument/2006/relationships/header" Target="header12.xml"/><Relationship Id="rId64" Type="http://schemas.openxmlformats.org/officeDocument/2006/relationships/header" Target="header19.xml"/><Relationship Id="rId69" Type="http://schemas.openxmlformats.org/officeDocument/2006/relationships/hyperlink" Target="https://www.ihacpa.gov.au/resources/three-year-data-plan" TargetMode="External"/><Relationship Id="rId80" Type="http://schemas.openxmlformats.org/officeDocument/2006/relationships/footer" Target="footer17.xml"/><Relationship Id="rId85" Type="http://schemas.openxmlformats.org/officeDocument/2006/relationships/header" Target="header26.xml"/><Relationship Id="rId12" Type="http://schemas.openxmlformats.org/officeDocument/2006/relationships/image" Target="media/image1.png"/><Relationship Id="rId17" Type="http://schemas.openxmlformats.org/officeDocument/2006/relationships/footer" Target="footer2.xml"/><Relationship Id="rId33" Type="http://schemas.openxmlformats.org/officeDocument/2006/relationships/header" Target="header8.xml"/><Relationship Id="rId38" Type="http://schemas.openxmlformats.org/officeDocument/2006/relationships/header" Target="header9.xml"/><Relationship Id="rId59" Type="http://schemas.openxmlformats.org/officeDocument/2006/relationships/header" Target="header16.xml"/><Relationship Id="rId103" Type="http://schemas.openxmlformats.org/officeDocument/2006/relationships/header" Target="header30.xml"/><Relationship Id="rId20" Type="http://schemas.openxmlformats.org/officeDocument/2006/relationships/image" Target="media/image6.jpg"/><Relationship Id="rId41" Type="http://schemas.openxmlformats.org/officeDocument/2006/relationships/header" Target="header11.xml"/><Relationship Id="rId54" Type="http://schemas.openxmlformats.org/officeDocument/2006/relationships/hyperlink" Target="https://www.ihacpa.gov.au/resources/assessment-adjustments-national-pricing-model-policy" TargetMode="External"/><Relationship Id="rId62" Type="http://schemas.openxmlformats.org/officeDocument/2006/relationships/header" Target="header18.xml"/><Relationship Id="rId70" Type="http://schemas.openxmlformats.org/officeDocument/2006/relationships/hyperlink" Target="https://www.ihacpa.gov.au/resources/data-compliance-policy" TargetMode="External"/><Relationship Id="rId75" Type="http://schemas.openxmlformats.org/officeDocument/2006/relationships/hyperlink" Target="https://www.ihacpa.gov.au/resources/virtual-care-project-final-report" TargetMode="External"/><Relationship Id="rId83" Type="http://schemas.openxmlformats.org/officeDocument/2006/relationships/header" Target="header25.xml"/><Relationship Id="rId88" Type="http://schemas.openxmlformats.org/officeDocument/2006/relationships/footer" Target="footer21.xml"/><Relationship Id="rId91" Type="http://schemas.openxmlformats.org/officeDocument/2006/relationships/hyperlink" Target="https://www.ihacpa.gov.au/resources/national-pricing-model-technical-specifications-2025-26" TargetMode="External"/><Relationship Id="rId96"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www.ihacpa.gov.au/resources/pricing-framework-australian-public-hospital-services-2026-27" TargetMode="External"/><Relationship Id="rId36" Type="http://schemas.openxmlformats.org/officeDocument/2006/relationships/image" Target="media/image8.png"/><Relationship Id="rId49" Type="http://schemas.openxmlformats.org/officeDocument/2006/relationships/footer" Target="footer10.xml"/><Relationship Id="rId57" Type="http://schemas.openxmlformats.org/officeDocument/2006/relationships/header" Target="header15.xml"/><Relationship Id="rId10" Type="http://schemas.openxmlformats.org/officeDocument/2006/relationships/footnotes" Target="footnotes.xml"/><Relationship Id="rId31" Type="http://schemas.openxmlformats.org/officeDocument/2006/relationships/header" Target="header7.xml"/><Relationship Id="rId44" Type="http://schemas.openxmlformats.org/officeDocument/2006/relationships/hyperlink" Target="https://learn.ihacpa.gov.au/" TargetMode="External"/><Relationship Id="rId52" Type="http://schemas.openxmlformats.org/officeDocument/2006/relationships/footer" Target="footer11.xml"/><Relationship Id="rId60" Type="http://schemas.openxmlformats.org/officeDocument/2006/relationships/header" Target="header17.xml"/><Relationship Id="rId65" Type="http://schemas.openxmlformats.org/officeDocument/2006/relationships/header" Target="header20.xml"/><Relationship Id="rId73" Type="http://schemas.openxmlformats.org/officeDocument/2006/relationships/hyperlink" Target="https://www.ihacpa.gov.au/resources/national-hospital-cost-data-collection-nhcdc-public-sector-2021-22" TargetMode="External"/><Relationship Id="rId78" Type="http://schemas.openxmlformats.org/officeDocument/2006/relationships/header" Target="header22.xml"/><Relationship Id="rId81" Type="http://schemas.openxmlformats.org/officeDocument/2006/relationships/header" Target="header24.xml"/><Relationship Id="rId86" Type="http://schemas.openxmlformats.org/officeDocument/2006/relationships/footer" Target="footer20.xml"/><Relationship Id="rId94" Type="http://schemas.openxmlformats.org/officeDocument/2006/relationships/hyperlink" Target="https://www.ihacpa.gov.au/resources/national-pricing-model-technical-specifications-2025-26" TargetMode="External"/><Relationship Id="rId99" Type="http://schemas.openxmlformats.org/officeDocument/2006/relationships/image" Target="media/image12.png"/><Relationship Id="rId101" Type="http://schemas.openxmlformats.org/officeDocument/2006/relationships/hyperlink" Target="mailto:enquiries.ihacpa@ihacpa.gov.au"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3.xml"/><Relationship Id="rId39" Type="http://schemas.openxmlformats.org/officeDocument/2006/relationships/footer" Target="footer8.xml"/><Relationship Id="rId34" Type="http://schemas.openxmlformats.org/officeDocument/2006/relationships/footer" Target="footer7.xml"/><Relationship Id="rId50" Type="http://schemas.openxmlformats.org/officeDocument/2006/relationships/header" Target="header13.xml"/><Relationship Id="rId55" Type="http://schemas.openxmlformats.org/officeDocument/2006/relationships/hyperlink" Target="https://www.ihacpa.gov.au/resources/national-efficient-price-determination-2025-26" TargetMode="External"/><Relationship Id="rId76" Type="http://schemas.openxmlformats.org/officeDocument/2006/relationships/header" Target="header21.xml"/><Relationship Id="rId97" Type="http://schemas.openxmlformats.org/officeDocument/2006/relationships/footer" Target="footer22.xml"/><Relationship Id="rId10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ihacpa.gov.au/health-care/costing/australian-hospital-patient-costing-standards" TargetMode="External"/><Relationship Id="rId92" Type="http://schemas.openxmlformats.org/officeDocument/2006/relationships/hyperlink" Target="https://www.safetyandquality.gov.au/publications-and-resources/resource-library/hospital-acquired-complications-hacs-list-specifications-version-32-13th-edn" TargetMode="External"/><Relationship Id="rId2" Type="http://schemas.openxmlformats.org/officeDocument/2006/relationships/customXml" Target="../customXml/item2.xml"/><Relationship Id="rId29" Type="http://schemas.openxmlformats.org/officeDocument/2006/relationships/hyperlink" Target="https://www.ihacpa.gov.au/resources/ihacpa-work-program-and-corporate-plan-2025-26" TargetMode="External"/><Relationship Id="rId24" Type="http://schemas.openxmlformats.org/officeDocument/2006/relationships/header" Target="header6.xml"/><Relationship Id="rId40" Type="http://schemas.openxmlformats.org/officeDocument/2006/relationships/header" Target="header10.xml"/><Relationship Id="rId45" Type="http://schemas.openxmlformats.org/officeDocument/2006/relationships/hyperlink" Target="https://www.ihacpa.gov.au/publications/national-pricing-model-consultation-policy" TargetMode="External"/><Relationship Id="rId66" Type="http://schemas.openxmlformats.org/officeDocument/2006/relationships/footer" Target="footer15.xml"/><Relationship Id="rId87" Type="http://schemas.openxmlformats.org/officeDocument/2006/relationships/header" Target="header27.xml"/><Relationship Id="rId61" Type="http://schemas.openxmlformats.org/officeDocument/2006/relationships/footer" Target="footer13.xml"/><Relationship Id="rId82" Type="http://schemas.openxmlformats.org/officeDocument/2006/relationships/footer" Target="footer18.xm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ihacpa.gov.au/resources/ihacpa-strategic-plan-2025-30" TargetMode="External"/><Relationship Id="rId35" Type="http://schemas.openxmlformats.org/officeDocument/2006/relationships/hyperlink" Target="https://www.ihacpa.gov.au/resources/virtual-care-project-final-report" TargetMode="External"/><Relationship Id="rId56" Type="http://schemas.openxmlformats.org/officeDocument/2006/relationships/hyperlink" Target="https://www.ihacpa.gov.au/health-care/pricing/pricing-framework-australian-public-hospital-services" TargetMode="External"/><Relationship Id="rId77" Type="http://schemas.openxmlformats.org/officeDocument/2006/relationships/footer" Target="footer16.xml"/><Relationship Id="rId100" Type="http://schemas.openxmlformats.org/officeDocument/2006/relationships/image" Target="media/image13.svg"/><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14.xml"/><Relationship Id="rId72" Type="http://schemas.openxmlformats.org/officeDocument/2006/relationships/hyperlink" Target="https://www.ihacpa.gov.au/sites/default/files/2025-10/data_quality_framework.pdf" TargetMode="External"/><Relationship Id="rId93" Type="http://schemas.openxmlformats.org/officeDocument/2006/relationships/hyperlink" Target="https://www.ihacpa.gov.au/resources/national-efficient-price-determination-2025-26" TargetMode="External"/><Relationship Id="rId98" Type="http://schemas.openxmlformats.org/officeDocument/2006/relationships/header" Target="header29.xml"/><Relationship Id="rId3" Type="http://schemas.openxmlformats.org/officeDocument/2006/relationships/customXml" Target="../customXml/item3.xml"/><Relationship Id="rId25" Type="http://schemas.openxmlformats.org/officeDocument/2006/relationships/footer" Target="footer5.xml"/><Relationship Id="rId46" Type="http://schemas.openxmlformats.org/officeDocument/2006/relationships/hyperlink" Target="https://www.ihacpa.gov.au/resources/shadow-pricing-guidelines" TargetMode="External"/><Relationship Id="rId67" Type="http://schemas.openxmlformats.org/officeDocument/2006/relationships/hyperlink" Target="https://www.ihacpa.gov.au/resources/three-year-data-plan" TargetMode="External"/></Relationships>
</file>

<file path=word/_rels/header10.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7.png"/></Relationships>
</file>

<file path=word/_rels/header1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4.xml.rels><?xml version="1.0" encoding="UTF-8" standalone="yes"?>
<Relationships xmlns="http://schemas.openxmlformats.org/package/2006/relationships"><Relationship Id="rId1" Type="http://schemas.openxmlformats.org/officeDocument/2006/relationships/image" Target="media/image7.png"/></Relationships>
</file>

<file path=word/_rels/header16.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7.xml.rels><?xml version="1.0" encoding="UTF-8" standalone="yes"?>
<Relationships xmlns="http://schemas.openxmlformats.org/package/2006/relationships"><Relationship Id="rId1" Type="http://schemas.openxmlformats.org/officeDocument/2006/relationships/image" Target="media/image7.png"/></Relationships>
</file>

<file path=word/_rels/header19.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7.png"/></Relationships>
</file>

<file path=word/_rels/header2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5.xml.rels><?xml version="1.0" encoding="UTF-8" standalone="yes"?>
<Relationships xmlns="http://schemas.openxmlformats.org/package/2006/relationships"><Relationship Id="rId1" Type="http://schemas.openxmlformats.org/officeDocument/2006/relationships/image" Target="media/image7.png"/></Relationships>
</file>

<file path=word/_rels/header26.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7.xml.rels><?xml version="1.0" encoding="UTF-8" standalone="yes"?>
<Relationships xmlns="http://schemas.openxmlformats.org/package/2006/relationships"><Relationship Id="rId1" Type="http://schemas.openxmlformats.org/officeDocument/2006/relationships/image" Target="media/image7.png"/></Relationships>
</file>

<file path=word/_rels/header29.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0.xml.rels><?xml version="1.0" encoding="UTF-8" standalone="yes"?>
<Relationships xmlns="http://schemas.openxmlformats.org/package/2006/relationships"><Relationship Id="rId1" Type="http://schemas.openxmlformats.org/officeDocument/2006/relationships/image" Target="media/image14.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TRD\OneDrive%20-%20Department%20of%20Health\Documents\IHACPA%20template%20-%20External%20-%20Consultation.dotx" TargetMode="External"/></Relationships>
</file>

<file path=word/theme/theme1.xml><?xml version="1.0" encoding="utf-8"?>
<a:theme xmlns:a="http://schemas.openxmlformats.org/drawingml/2006/main" name="Office Theme">
  <a:themeElements>
    <a:clrScheme name="IHACPA">
      <a:dk1>
        <a:srgbClr val="15272F"/>
      </a:dk1>
      <a:lt1>
        <a:srgbClr val="54C1AF"/>
      </a:lt1>
      <a:dk2>
        <a:srgbClr val="15272F"/>
      </a:dk2>
      <a:lt2>
        <a:srgbClr val="FFFFFF"/>
      </a:lt2>
      <a:accent1>
        <a:srgbClr val="15272F"/>
      </a:accent1>
      <a:accent2>
        <a:srgbClr val="104F99"/>
      </a:accent2>
      <a:accent3>
        <a:srgbClr val="0080C4"/>
      </a:accent3>
      <a:accent4>
        <a:srgbClr val="008F55"/>
      </a:accent4>
      <a:accent5>
        <a:srgbClr val="54C1AF"/>
      </a:accent5>
      <a:accent6>
        <a:srgbClr val="FFFFFF"/>
      </a:accent6>
      <a:hlink>
        <a:srgbClr val="0080C4"/>
      </a:hlink>
      <a:folHlink>
        <a:srgbClr val="104F99"/>
      </a:folHlink>
    </a:clrScheme>
    <a:fontScheme name="IHACPA">
      <a:majorFont>
        <a:latin typeface="Josefin Sans Bold"/>
        <a:ea typeface=""/>
        <a:cs typeface=""/>
      </a:majorFont>
      <a:minorFont>
        <a:latin typeface="Fira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126157A835914B9A97DEBCDDFCC7A1" ma:contentTypeVersion="3" ma:contentTypeDescription="Create a new document." ma:contentTypeScope="" ma:versionID="e8507fa015c2dfda4467768e963442fa">
  <xsd:schema xmlns:xsd="http://www.w3.org/2001/XMLSchema" xmlns:xs="http://www.w3.org/2001/XMLSchema" xmlns:p="http://schemas.microsoft.com/office/2006/metadata/properties" xmlns:ns2="5d6b6c03-11a2-48e1-a018-e72dec78b149" targetNamespace="http://schemas.microsoft.com/office/2006/metadata/properties" ma:root="true" ma:fieldsID="cf571529afd7e74d5be363a5008af3c0" ns2:_="">
    <xsd:import namespace="5d6b6c03-11a2-48e1-a018-e72dec78b1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b6c03-11a2-48e1-a018-e72dec78b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736A41C46341A4EB433AB9CFA376FCF" ma:contentTypeVersion="21" ma:contentTypeDescription="Create a new document." ma:contentTypeScope="" ma:versionID="b4fbbf867b32cd87b86aa94af3b40d63">
  <xsd:schema xmlns:xsd="http://www.w3.org/2001/XMLSchema" xmlns:xs="http://www.w3.org/2001/XMLSchema" xmlns:p="http://schemas.microsoft.com/office/2006/metadata/properties" xmlns:ns2="2890e816-91e8-4f4f-9f85-30577999f8b5" xmlns:ns3="33d10c6f-0c16-4b9b-af64-e700fb2b70ed" targetNamespace="http://schemas.microsoft.com/office/2006/metadata/properties" ma:root="true" ma:fieldsID="c72302d89916a1e3ccbd864c498100eb" ns2:_="" ns3:_="">
    <xsd:import namespace="2890e816-91e8-4f4f-9f85-30577999f8b5"/>
    <xsd:import namespace="33d10c6f-0c16-4b9b-af64-e700fb2b70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resentation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0e816-91e8-4f4f-9f85-30577999f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resentations" ma:index="12" nillable="true" ma:displayName="Presentations" ma:format="Dropdown" ma:indexed="true" ma:internalName="Presentations">
      <xsd:simpleType>
        <xsd:restriction base="dms:Choice">
          <xsd:enumeration value="2018"/>
          <xsd:enumeration value="2019"/>
          <xsd:enumeration value="2020"/>
          <xsd:enumeration value="Schedule"/>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10c6f-0c16-4b9b-af64-e700fb2b70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ba50703-4b87-48f9-a99b-a515d25bd988}" ma:internalName="TaxCatchAll" ma:showField="CatchAllData" ma:web="33d10c6f-0c16-4b9b-af64-e700fb2b70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mage xmlns="2890e816-91e8-4f4f-9f85-30577999f8b5" xsi:nil="true"/>
    <lcf76f155ced4ddcb4097134ff3c332f xmlns="2890e816-91e8-4f4f-9f85-30577999f8b5">
      <Terms xmlns="http://schemas.microsoft.com/office/infopath/2007/PartnerControls"/>
    </lcf76f155ced4ddcb4097134ff3c332f>
    <Presentations xmlns="2890e816-91e8-4f4f-9f85-30577999f8b5" xsi:nil="true"/>
    <TaxCatchAll xmlns="33d10c6f-0c16-4b9b-af64-e700fb2b70ed" xsi:nil="true"/>
  </documentManagement>
</p:properties>
</file>

<file path=customXml/itemProps1.xml><?xml version="1.0" encoding="utf-8"?>
<ds:datastoreItem xmlns:ds="http://schemas.openxmlformats.org/officeDocument/2006/customXml" ds:itemID="{C271B4B0-2AC1-4CD4-BEF4-D0E98916C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b6c03-11a2-48e1-a018-e72dec78b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6D5E8-9842-42D5-A2F1-CA91CDA03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0e816-91e8-4f4f-9f85-30577999f8b5"/>
    <ds:schemaRef ds:uri="33d10c6f-0c16-4b9b-af64-e700fb2b7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CBD2A-6D34-452B-B0A7-BE3216F11904}">
  <ds:schemaRefs>
    <ds:schemaRef ds:uri="http://schemas.microsoft.com/sharepoint/v3/contenttype/forms"/>
  </ds:schemaRefs>
</ds:datastoreItem>
</file>

<file path=customXml/itemProps4.xml><?xml version="1.0" encoding="utf-8"?>
<ds:datastoreItem xmlns:ds="http://schemas.openxmlformats.org/officeDocument/2006/customXml" ds:itemID="{6A96822A-1CD2-483E-8A1D-E38221B7C25C}">
  <ds:schemaRefs>
    <ds:schemaRef ds:uri="http://schemas.openxmlformats.org/officeDocument/2006/bibliography"/>
  </ds:schemaRefs>
</ds:datastoreItem>
</file>

<file path=customXml/itemProps5.xml><?xml version="1.0" encoding="utf-8"?>
<ds:datastoreItem xmlns:ds="http://schemas.openxmlformats.org/officeDocument/2006/customXml" ds:itemID="{43D5C7C2-C910-4C0E-A67A-DF63285AF74F}">
  <ds:schemaRefs>
    <ds:schemaRef ds:uri="http://schemas.microsoft.com/office/2006/metadata/properties"/>
    <ds:schemaRef ds:uri="http://schemas.microsoft.com/office/infopath/2007/PartnerControls"/>
    <ds:schemaRef ds:uri="2890e816-91e8-4f4f-9f85-30577999f8b5"/>
    <ds:schemaRef ds:uri="33d10c6f-0c16-4b9b-af64-e700fb2b70ed"/>
  </ds:schemaRefs>
</ds:datastoreItem>
</file>

<file path=docProps/app.xml><?xml version="1.0" encoding="utf-8"?>
<Properties xmlns="http://schemas.openxmlformats.org/officeDocument/2006/extended-properties" xmlns:vt="http://schemas.openxmlformats.org/officeDocument/2006/docPropsVTypes">
  <Template>IHACPA template - External - Consultation.dotx</Template>
  <TotalTime>1703</TotalTime>
  <Pages>45</Pages>
  <Words>11644</Words>
  <Characters>68855</Characters>
  <Application>Microsoft Office Word</Application>
  <DocSecurity>0</DocSecurity>
  <Lines>1246</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CONTRERAS, Danielle</dc:creator>
  <cp:keywords/>
  <dc:description/>
  <cp:lastModifiedBy>CZEIZLER, Amalia</cp:lastModifiedBy>
  <cp:revision>39</cp:revision>
  <cp:lastPrinted>2025-11-19T23:42:00Z</cp:lastPrinted>
  <dcterms:created xsi:type="dcterms:W3CDTF">2025-11-18T05:23:00Z</dcterms:created>
  <dcterms:modified xsi:type="dcterms:W3CDTF">2025-12-02T05:37:00Z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0x010100A736A41C46341A4EB433AB9CFA376FCF</vt:lpwstr>
  </property>
  <property fmtid="{D5CDD505-2E9C-101B-9397-08002B2CF9AE}" pid="3" name="MediaServiceImageTags">
    <vt:lpwstr/>
  </property>
  <property fmtid="{D5CDD505-2E9C-101B-9397-08002B2CF9AE}" pid="4" name="ClassificationContentMarkingHeaderShapeIds">
    <vt:lpwstr>7bef15f9,82a9b7f,1c8cc82d,87fe13e,5ddfdda0,76fa5b0,200a53bc,6ea34c52,33c8a6bd,65ea1cbe,6b6e2808,499c75cc,39d0a68e,4a5e2ae1,75072870,16383f31,e086490,402a2504,6f30530d,34c309f4,506ff9c9,7ff6ebe2,5c213db3</vt:lpwstr>
  </property>
  <property fmtid="{D5CDD505-2E9C-101B-9397-08002B2CF9AE}" pid="5" name="ClassificationContentMarkingHeaderShapeIds-1">
    <vt:lpwstr>783bad5d,5e799216,90d5180,41c7a94f,19f069c9,3d34588d,2b803c4b</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21e10a73,7fc309e0,194d45ea,2590d663,550815b5,224ebdbf,3493b442,74f1434c,462d193f,5432cd03,94c30cf,15e87ebc,1d87bf08,2d999ac0,8bb846d,7000cdf,7178ebb8,2d44bdcf,f20ff88,4f28d38,d30820a,31848b46</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2025-10-28T02:38:09Z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c4e807e3-1465-4e0a-8937-ef6235f9ab7d</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