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EBC3" w14:textId="6E44261B" w:rsidR="00707A91" w:rsidRPr="00A51443" w:rsidRDefault="00707A91" w:rsidP="000D4C7B">
      <w:pPr>
        <w:pStyle w:val="Copyrightcopy"/>
      </w:pPr>
      <w:r w:rsidRPr="00A51443">
        <w:rPr>
          <w:noProof/>
        </w:rPr>
        <w:drawing>
          <wp:inline distT="0" distB="0" distL="0" distR="0" wp14:anchorId="7E5C6FDC" wp14:editId="20DDC347">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791651" cy="1122098"/>
                    </a:xfrm>
                    <a:prstGeom prst="rect">
                      <a:avLst/>
                    </a:prstGeom>
                  </pic:spPr>
                </pic:pic>
              </a:graphicData>
            </a:graphic>
          </wp:inline>
        </w:drawing>
      </w:r>
    </w:p>
    <w:p w14:paraId="2A6E7FD4" w14:textId="77777777" w:rsidR="006373CB" w:rsidRPr="00A51443" w:rsidRDefault="006373CB" w:rsidP="00F07D2D">
      <w:pPr>
        <w:pStyle w:val="CoverTitle"/>
        <w:rPr>
          <w:sz w:val="88"/>
          <w:szCs w:val="88"/>
        </w:rPr>
      </w:pPr>
      <w:bookmarkStart w:id="0" w:name="_Hlk181603736"/>
    </w:p>
    <w:p w14:paraId="6F657118" w14:textId="77777777" w:rsidR="000F25AD" w:rsidRDefault="00367B5A" w:rsidP="00A5626C">
      <w:pPr>
        <w:pStyle w:val="CoverTitle"/>
        <w:rPr>
          <w:sz w:val="88"/>
          <w:szCs w:val="88"/>
        </w:rPr>
      </w:pPr>
      <w:r w:rsidRPr="00A51443">
        <w:rPr>
          <w:sz w:val="88"/>
          <w:szCs w:val="88"/>
        </w:rPr>
        <w:t xml:space="preserve">Australian Refined Diagnosis Related Groups Version </w:t>
      </w:r>
      <w:r w:rsidR="00756665" w:rsidRPr="00A51443">
        <w:rPr>
          <w:sz w:val="88"/>
          <w:szCs w:val="88"/>
        </w:rPr>
        <w:t>12.0</w:t>
      </w:r>
      <w:r w:rsidRPr="00A51443">
        <w:rPr>
          <w:sz w:val="88"/>
          <w:szCs w:val="88"/>
        </w:rPr>
        <w:t xml:space="preserve"> </w:t>
      </w:r>
    </w:p>
    <w:p w14:paraId="1058C661" w14:textId="77777777" w:rsidR="000F25AD" w:rsidRDefault="000F25AD" w:rsidP="00A5626C">
      <w:pPr>
        <w:pStyle w:val="CoverTitle"/>
        <w:rPr>
          <w:sz w:val="88"/>
          <w:szCs w:val="88"/>
        </w:rPr>
      </w:pPr>
    </w:p>
    <w:p w14:paraId="3126E457" w14:textId="21B0A28D" w:rsidR="00707A91" w:rsidRPr="00A51443" w:rsidRDefault="00367B5A" w:rsidP="00A5626C">
      <w:pPr>
        <w:pStyle w:val="CoverTitle"/>
        <w:rPr>
          <w:color w:val="54C1AF" w:themeColor="accent5"/>
          <w:sz w:val="48"/>
          <w:szCs w:val="48"/>
        </w:rPr>
      </w:pPr>
      <w:r w:rsidRPr="00A51443">
        <w:rPr>
          <w:color w:val="54C1AF" w:themeColor="accent5"/>
          <w:sz w:val="48"/>
          <w:szCs w:val="48"/>
        </w:rPr>
        <w:t>Final Report</w:t>
      </w:r>
    </w:p>
    <w:p w14:paraId="5867E2AE" w14:textId="4F0E93EF" w:rsidR="00B209C6" w:rsidRPr="000F25AD" w:rsidRDefault="00B209C6" w:rsidP="00CC31F8">
      <w:pPr>
        <w:autoSpaceDE w:val="0"/>
        <w:autoSpaceDN w:val="0"/>
        <w:adjustRightInd w:val="0"/>
        <w:spacing w:after="0" w:line="240" w:lineRule="auto"/>
        <w:rPr>
          <w:b/>
          <w:sz w:val="40"/>
        </w:rPr>
        <w:sectPr w:rsidR="00B209C6" w:rsidRPr="000F25AD" w:rsidSect="009519E0">
          <w:headerReference w:type="default" r:id="rId13"/>
          <w:footerReference w:type="default" r:id="rId14"/>
          <w:type w:val="continuous"/>
          <w:pgSz w:w="11906" w:h="16838" w:code="9"/>
          <w:pgMar w:top="1440" w:right="1080" w:bottom="1440" w:left="1080" w:header="708" w:footer="708" w:gutter="0"/>
          <w:cols w:space="720"/>
          <w:docGrid w:linePitch="360"/>
        </w:sectPr>
      </w:pPr>
      <w:bookmarkStart w:id="1" w:name="_Hlk190327129"/>
      <w:bookmarkEnd w:id="0"/>
    </w:p>
    <w:bookmarkEnd w:id="1"/>
    <w:p w14:paraId="20BF2D79" w14:textId="44894A27" w:rsidR="00276510" w:rsidRPr="00A51443" w:rsidRDefault="00367B5A" w:rsidP="00B95A9B">
      <w:pPr>
        <w:pStyle w:val="Heading4"/>
        <w:numPr>
          <w:ilvl w:val="0"/>
          <w:numId w:val="0"/>
        </w:numPr>
      </w:pPr>
      <w:r w:rsidRPr="00A51443">
        <w:lastRenderedPageBreak/>
        <w:t xml:space="preserve">Australian Refined Diagnosis Related Groups Version </w:t>
      </w:r>
      <w:r w:rsidR="00756665" w:rsidRPr="00A51443">
        <w:t>12.0</w:t>
      </w:r>
      <w:r w:rsidRPr="00A51443">
        <w:t xml:space="preserve"> </w:t>
      </w:r>
      <w:r w:rsidR="00BB5DE8" w:rsidRPr="00A51443">
        <w:rPr>
          <w:rFonts w:hint="cs"/>
        </w:rPr>
        <w:t>—</w:t>
      </w:r>
      <w:r w:rsidR="00BB5DE8" w:rsidRPr="00A51443">
        <w:t xml:space="preserve"> </w:t>
      </w:r>
      <w:r w:rsidRPr="00A51443">
        <w:t xml:space="preserve">Final Report </w:t>
      </w:r>
      <w:r w:rsidR="00BB5DE8" w:rsidRPr="00A51443">
        <w:br/>
      </w:r>
      <w:r w:rsidR="00770B7C">
        <w:t>April</w:t>
      </w:r>
      <w:r w:rsidR="00083D7E" w:rsidRPr="00A51443">
        <w:t xml:space="preserve"> </w:t>
      </w:r>
      <w:r w:rsidR="0017111C" w:rsidRPr="00A51443">
        <w:t>2025</w:t>
      </w:r>
    </w:p>
    <w:p w14:paraId="5715E9FC" w14:textId="77777777" w:rsidR="00EE4954" w:rsidRPr="00A51443" w:rsidRDefault="00EE4954" w:rsidP="00EE4954">
      <w:pPr>
        <w:ind w:right="4064"/>
        <w:rPr>
          <w:rFonts w:eastAsia="Fira Sans regular" w:cs="Times New Roman"/>
          <w:color w:val="15272F"/>
          <w:sz w:val="18"/>
          <w:lang w:val="en-PH"/>
        </w:rPr>
      </w:pPr>
      <w:r w:rsidRPr="00A51443">
        <w:rPr>
          <w:rFonts w:eastAsia="Fira Sans regular" w:cs="Times New Roman"/>
          <w:color w:val="15272F"/>
          <w:sz w:val="18"/>
        </w:rPr>
        <w:t>© Independent Health and Aged Care Pricing Authority 202</w:t>
      </w:r>
      <w:r w:rsidRPr="00A51443">
        <w:rPr>
          <w:rFonts w:eastAsia="Fira Sans regular" w:cs="Times New Roman"/>
          <w:color w:val="15272F"/>
          <w:sz w:val="18"/>
          <w:lang w:val="en-PH"/>
        </w:rPr>
        <w:t>5</w:t>
      </w:r>
    </w:p>
    <w:p w14:paraId="7DFF62E9" w14:textId="77777777" w:rsidR="000077C8" w:rsidRPr="00A51443" w:rsidRDefault="000077C8" w:rsidP="000077C8">
      <w:pPr>
        <w:ind w:right="4076"/>
        <w:rPr>
          <w:rFonts w:eastAsia="Fira Sans regular" w:cs="Times New Roman"/>
          <w:color w:val="15272F"/>
          <w:sz w:val="18"/>
          <w:lang w:val="en-PH"/>
        </w:rPr>
      </w:pPr>
      <w:r w:rsidRPr="00A51443">
        <w:rPr>
          <w:rFonts w:eastAsia="Fira Sans regular" w:cs="Times New Roman"/>
          <w:color w:val="15272F"/>
          <w:sz w:val="18"/>
          <w:lang w:val="en-PH"/>
        </w:rPr>
        <w:t xml:space="preserve">This publication is available for your use under a Creative Commons BY-NC-ND Attribution-Noncommercial-Noderivatives 4.0 International licence, with the exception of the Independent Health and Aged Care Pricing Authority logo, photographs, </w:t>
      </w:r>
      <w:r w:rsidRPr="000F25AD">
        <w:rPr>
          <w:color w:val="15272F"/>
          <w:sz w:val="18"/>
        </w:rPr>
        <w:t>images</w:t>
      </w:r>
      <w:r w:rsidRPr="00A51443">
        <w:rPr>
          <w:rFonts w:eastAsia="Fira Sans regular" w:cs="Times New Roman"/>
          <w:color w:val="15272F"/>
          <w:sz w:val="18"/>
          <w:lang w:val="en-PH"/>
        </w:rPr>
        <w:t xml:space="preserve">, signatures and where otherwise stated. The full licence terms are available from the </w:t>
      </w:r>
      <w:hyperlink r:id="rId15" w:history="1">
        <w:r w:rsidRPr="00A51443">
          <w:rPr>
            <w:rFonts w:eastAsia="Fira Sans regular" w:cs="Times New Roman"/>
            <w:color w:val="0080C4"/>
            <w:sz w:val="18"/>
            <w:u w:val="single"/>
            <w:lang w:val="en-PH"/>
          </w:rPr>
          <w:t>Creative Commons website</w:t>
        </w:r>
      </w:hyperlink>
      <w:r w:rsidRPr="00A51443">
        <w:rPr>
          <w:rFonts w:eastAsia="Fira Sans regular" w:cs="Times New Roman"/>
          <w:color w:val="15272F"/>
          <w:sz w:val="18"/>
          <w:lang w:val="en-PH"/>
        </w:rPr>
        <w:t>.</w:t>
      </w:r>
    </w:p>
    <w:p w14:paraId="498278EF" w14:textId="77777777" w:rsidR="000077C8" w:rsidRPr="00A51443" w:rsidRDefault="000077C8" w:rsidP="000077C8">
      <w:pPr>
        <w:ind w:right="4064"/>
        <w:rPr>
          <w:rFonts w:eastAsia="Fira Sans regular" w:cs="Times New Roman"/>
          <w:color w:val="15272F"/>
          <w:sz w:val="18"/>
          <w:lang w:val="en-PH"/>
        </w:rPr>
      </w:pPr>
      <w:r w:rsidRPr="00A51443">
        <w:rPr>
          <w:rFonts w:eastAsia="Fira Sans regular" w:cs="Times New Roman"/>
          <w:color w:val="15272F"/>
          <w:sz w:val="18"/>
          <w:lang w:val="en-PH"/>
        </w:rPr>
        <w:t xml:space="preserve"> </w:t>
      </w:r>
      <w:r w:rsidRPr="00A51443">
        <w:rPr>
          <w:rFonts w:eastAsia="Fira Sans regular" w:cs="Times New Roman"/>
          <w:noProof/>
          <w:color w:val="15272F"/>
          <w:sz w:val="18"/>
          <w:lang w:val="en-PH"/>
        </w:rPr>
        <w:drawing>
          <wp:inline distT="0" distB="0" distL="0" distR="0" wp14:anchorId="3767A36F" wp14:editId="1DF5AF0B">
            <wp:extent cx="1400175" cy="616495"/>
            <wp:effectExtent l="0" t="0" r="0" b="0"/>
            <wp:docPr id="248112158" name="Picture 248112158" descr="A grey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and black sign with black text&#10;&#10;Description automatically generated"/>
                    <pic:cNvPicPr/>
                  </pic:nvPicPr>
                  <pic:blipFill>
                    <a:blip r:embed="rId16"/>
                    <a:stretch>
                      <a:fillRect/>
                    </a:stretch>
                  </pic:blipFill>
                  <pic:spPr>
                    <a:xfrm>
                      <a:off x="0" y="0"/>
                      <a:ext cx="1412214" cy="621796"/>
                    </a:xfrm>
                    <a:prstGeom prst="rect">
                      <a:avLst/>
                    </a:prstGeom>
                  </pic:spPr>
                </pic:pic>
              </a:graphicData>
            </a:graphic>
          </wp:inline>
        </w:drawing>
      </w:r>
    </w:p>
    <w:p w14:paraId="2D663F11" w14:textId="77777777" w:rsidR="000077C8" w:rsidRPr="00A51443" w:rsidRDefault="000077C8" w:rsidP="000077C8">
      <w:pPr>
        <w:tabs>
          <w:tab w:val="left" w:pos="5670"/>
        </w:tabs>
        <w:ind w:right="4076"/>
        <w:rPr>
          <w:rFonts w:eastAsia="Fira Sans regular" w:cs="Times New Roman"/>
          <w:color w:val="15272F"/>
          <w:sz w:val="18"/>
          <w:lang w:val="en-PH"/>
        </w:rPr>
      </w:pPr>
      <w:r w:rsidRPr="00A51443">
        <w:rPr>
          <w:rFonts w:eastAsia="Fira Sans regular" w:cs="Times New Roman"/>
          <w:color w:val="15272F"/>
          <w:sz w:val="18"/>
          <w:lang w:val="en-PH"/>
        </w:rPr>
        <w:t>Use of Independent Health and Aged Care Pricing Authority material under a Creative Commons BY-NC-ND Attribution-Noncommercial-Noderivs 4.0 International licence requires you to:</w:t>
      </w:r>
    </w:p>
    <w:p w14:paraId="468E4BA3" w14:textId="77777777" w:rsidR="000077C8" w:rsidRPr="00A51443" w:rsidRDefault="000077C8" w:rsidP="000077C8">
      <w:pPr>
        <w:numPr>
          <w:ilvl w:val="0"/>
          <w:numId w:val="49"/>
        </w:numPr>
        <w:spacing w:line="278" w:lineRule="auto"/>
        <w:ind w:right="4076"/>
        <w:contextualSpacing/>
        <w:rPr>
          <w:rFonts w:eastAsia="Fira Sans regular" w:cs="Times New Roman"/>
          <w:color w:val="15272F"/>
          <w:sz w:val="18"/>
          <w:szCs w:val="18"/>
          <w:lang w:val="en-PH"/>
        </w:rPr>
      </w:pPr>
      <w:r w:rsidRPr="00A51443">
        <w:rPr>
          <w:rFonts w:eastAsia="Fira Sans regular" w:cs="Times New Roman"/>
          <w:color w:val="15272F"/>
          <w:sz w:val="18"/>
          <w:szCs w:val="18"/>
          <w:lang w:val="en-PH"/>
        </w:rPr>
        <w:t xml:space="preserve">attribute the work (but not in any way that suggests that the Independent Health and Aged Care Pricing Authority endorses your use of the work. </w:t>
      </w:r>
    </w:p>
    <w:p w14:paraId="5BF88B99" w14:textId="77777777" w:rsidR="000077C8" w:rsidRPr="00A51443" w:rsidRDefault="000077C8" w:rsidP="000077C8">
      <w:pPr>
        <w:numPr>
          <w:ilvl w:val="0"/>
          <w:numId w:val="49"/>
        </w:numPr>
        <w:spacing w:line="278" w:lineRule="auto"/>
        <w:ind w:right="4082"/>
        <w:contextualSpacing/>
        <w:rPr>
          <w:rFonts w:eastAsia="Fira Sans regular" w:cs="Times New Roman"/>
          <w:color w:val="15272F"/>
          <w:sz w:val="18"/>
          <w:szCs w:val="18"/>
          <w:lang w:val="en-PH"/>
        </w:rPr>
      </w:pPr>
      <w:r w:rsidRPr="00A51443">
        <w:rPr>
          <w:rFonts w:eastAsia="Fira Sans regular" w:cs="Times New Roman"/>
          <w:color w:val="15272F"/>
          <w:sz w:val="18"/>
          <w:szCs w:val="18"/>
          <w:lang w:val="en-PH"/>
        </w:rPr>
        <w:t xml:space="preserve">not use the material for commercial purposes. </w:t>
      </w:r>
    </w:p>
    <w:p w14:paraId="69104F2F" w14:textId="77777777" w:rsidR="000077C8" w:rsidRPr="00A51443" w:rsidRDefault="000077C8" w:rsidP="000077C8">
      <w:pPr>
        <w:numPr>
          <w:ilvl w:val="0"/>
          <w:numId w:val="49"/>
        </w:numPr>
        <w:spacing w:line="240" w:lineRule="auto"/>
        <w:ind w:left="714" w:right="4076" w:hanging="357"/>
        <w:contextualSpacing/>
        <w:rPr>
          <w:rFonts w:eastAsia="Fira Sans regular" w:cs="Times New Roman"/>
          <w:color w:val="15272F"/>
          <w:sz w:val="18"/>
          <w:szCs w:val="18"/>
          <w:lang w:val="en-PH"/>
        </w:rPr>
      </w:pPr>
      <w:r w:rsidRPr="00A51443">
        <w:rPr>
          <w:rFonts w:eastAsia="Fira Sans regular" w:cs="Times New Roman"/>
          <w:color w:val="15272F"/>
          <w:sz w:val="18"/>
          <w:szCs w:val="18"/>
          <w:lang w:val="en-PH"/>
        </w:rPr>
        <w:t>use the material as supplied. If remixed, transformed or built upon, the modified material may not be distributed.</w:t>
      </w:r>
    </w:p>
    <w:p w14:paraId="31BABFC7" w14:textId="77777777" w:rsidR="000077C8" w:rsidRPr="00A51443" w:rsidRDefault="000077C8" w:rsidP="000077C8">
      <w:pPr>
        <w:tabs>
          <w:tab w:val="left" w:pos="4536"/>
          <w:tab w:val="left" w:pos="4962"/>
        </w:tabs>
        <w:spacing w:before="240"/>
        <w:ind w:right="4065"/>
        <w:rPr>
          <w:rFonts w:eastAsia="Fira Sans regular" w:cs="Times New Roman"/>
          <w:color w:val="15272F"/>
          <w:sz w:val="18"/>
          <w:lang w:val="en-PH"/>
        </w:rPr>
      </w:pPr>
      <w:r w:rsidRPr="00A51443">
        <w:rPr>
          <w:rFonts w:eastAsia="Fira Sans regular" w:cs="Times New Roman"/>
          <w:color w:val="15272F"/>
          <w:sz w:val="18"/>
          <w:lang w:val="en-PH"/>
        </w:rPr>
        <w:t>The Independent Health and Aged Care Pricing Authority prefers the following attribution:</w:t>
      </w:r>
    </w:p>
    <w:p w14:paraId="645BF8E0" w14:textId="59BD0F72" w:rsidR="000077C8" w:rsidRPr="00A51443" w:rsidRDefault="000077C8" w:rsidP="004D6392">
      <w:pPr>
        <w:ind w:right="3367"/>
        <w:rPr>
          <w:rFonts w:eastAsia="Fira Sans regular" w:cs="Times New Roman"/>
          <w:color w:val="15272F"/>
          <w:sz w:val="18"/>
          <w:lang w:val="en-PH"/>
        </w:rPr>
      </w:pPr>
      <w:r w:rsidRPr="00A51443">
        <w:rPr>
          <w:rFonts w:eastAsia="Fira Sans regular" w:cs="Times New Roman"/>
          <w:color w:val="15272F"/>
          <w:sz w:val="18"/>
          <w:lang w:val="en-PH"/>
        </w:rPr>
        <w:t>Source: The Independent Health and Aged Care Pricing</w:t>
      </w:r>
      <w:r w:rsidRPr="00A51443">
        <w:rPr>
          <w:rFonts w:eastAsia="Fira Sans regular" w:cs="Times New Roman" w:hint="cs"/>
          <w:color w:val="15272F"/>
          <w:sz w:val="18"/>
          <w:lang w:val="en-PH"/>
        </w:rPr>
        <w:t> </w:t>
      </w:r>
      <w:r w:rsidRPr="00A51443">
        <w:rPr>
          <w:rFonts w:eastAsia="Fira Sans regular" w:cs="Times New Roman"/>
          <w:color w:val="15272F"/>
          <w:sz w:val="18"/>
          <w:lang w:val="en-PH"/>
        </w:rPr>
        <w:t xml:space="preserve">Authority </w:t>
      </w:r>
    </w:p>
    <w:p w14:paraId="3B75C6A0" w14:textId="77777777" w:rsidR="00EE4954" w:rsidRPr="00A51443" w:rsidRDefault="00EE4954">
      <w:pPr>
        <w:rPr>
          <w:rFonts w:eastAsia="Fira Sans regular" w:cs="Times New Roman"/>
          <w:color w:val="15272F"/>
          <w:sz w:val="18"/>
          <w:lang w:val="en-PH"/>
        </w:rPr>
      </w:pPr>
      <w:r w:rsidRPr="00A51443">
        <w:rPr>
          <w:rFonts w:eastAsia="Fira Sans regular" w:cs="Times New Roman"/>
          <w:color w:val="15272F"/>
          <w:sz w:val="18"/>
          <w:lang w:val="en-PH"/>
        </w:rPr>
        <w:br w:type="page"/>
      </w:r>
    </w:p>
    <w:sdt>
      <w:sdtPr>
        <w:rPr>
          <w:rFonts w:ascii="Arial" w:eastAsiaTheme="minorHAnsi" w:hAnsi="Arial" w:cstheme="minorBidi"/>
          <w:b/>
          <w:color w:val="15272F" w:themeColor="text1"/>
          <w:sz w:val="22"/>
          <w:szCs w:val="22"/>
          <w:lang w:val="en-PH"/>
        </w:rPr>
        <w:id w:val="-1576894349"/>
        <w:docPartObj>
          <w:docPartGallery w:val="Table of Contents"/>
          <w:docPartUnique/>
        </w:docPartObj>
      </w:sdtPr>
      <w:sdtEndPr>
        <w:rPr>
          <w:noProof/>
          <w:sz w:val="28"/>
          <w:lang w:val="en-AU"/>
        </w:rPr>
      </w:sdtEndPr>
      <w:sdtContent>
        <w:p w14:paraId="076C1C70" w14:textId="0E7D10E5" w:rsidR="00367B5A" w:rsidRPr="00A51443" w:rsidRDefault="00367B5A" w:rsidP="003F21CB">
          <w:pPr>
            <w:pStyle w:val="TOCHeading"/>
            <w:rPr>
              <w:rFonts w:ascii="Arial" w:hAnsi="Arial" w:cs="Arial"/>
              <w:b/>
              <w:bCs/>
              <w:color w:val="15272F" w:themeColor="text1"/>
              <w:sz w:val="64"/>
              <w:szCs w:val="64"/>
            </w:rPr>
          </w:pPr>
          <w:r w:rsidRPr="00A51443">
            <w:rPr>
              <w:rFonts w:ascii="Arial" w:hAnsi="Arial" w:cs="Arial"/>
              <w:b/>
              <w:bCs/>
              <w:color w:val="15272F" w:themeColor="text1"/>
              <w:sz w:val="64"/>
              <w:szCs w:val="64"/>
            </w:rPr>
            <w:t>Table of Contents</w:t>
          </w:r>
        </w:p>
        <w:p w14:paraId="77C44EB4" w14:textId="7C165FFA" w:rsidR="00570B4E" w:rsidRDefault="00367B5A">
          <w:pPr>
            <w:pStyle w:val="TOC1"/>
            <w:rPr>
              <w:rFonts w:asciiTheme="minorHAnsi" w:eastAsiaTheme="minorEastAsia" w:hAnsiTheme="minorHAnsi"/>
              <w:b w:val="0"/>
              <w:noProof/>
              <w:color w:val="auto"/>
              <w:kern w:val="2"/>
              <w:sz w:val="24"/>
              <w:szCs w:val="24"/>
              <w:lang w:eastAsia="en-AU"/>
              <w14:ligatures w14:val="standardContextual"/>
            </w:rPr>
          </w:pPr>
          <w:r w:rsidRPr="00A51443">
            <w:fldChar w:fldCharType="begin"/>
          </w:r>
          <w:r w:rsidRPr="00A51443">
            <w:instrText xml:space="preserve"> TOC \o "1-3" \h \z \u </w:instrText>
          </w:r>
          <w:r w:rsidRPr="00A51443">
            <w:fldChar w:fldCharType="separate"/>
          </w:r>
          <w:hyperlink w:anchor="_Toc193462690" w:history="1">
            <w:r w:rsidR="00570B4E" w:rsidRPr="005475FD">
              <w:rPr>
                <w:rStyle w:val="Hyperlink"/>
                <w:noProof/>
              </w:rPr>
              <w:t>Acronyms and Abbreviations</w:t>
            </w:r>
            <w:r w:rsidR="00570B4E">
              <w:rPr>
                <w:noProof/>
                <w:webHidden/>
              </w:rPr>
              <w:tab/>
            </w:r>
            <w:r w:rsidR="00570B4E">
              <w:rPr>
                <w:noProof/>
                <w:webHidden/>
              </w:rPr>
              <w:fldChar w:fldCharType="begin"/>
            </w:r>
            <w:r w:rsidR="00570B4E">
              <w:rPr>
                <w:noProof/>
                <w:webHidden/>
              </w:rPr>
              <w:instrText xml:space="preserve"> PAGEREF _Toc193462690 \h </w:instrText>
            </w:r>
            <w:r w:rsidR="00570B4E">
              <w:rPr>
                <w:noProof/>
                <w:webHidden/>
              </w:rPr>
            </w:r>
            <w:r w:rsidR="00570B4E">
              <w:rPr>
                <w:noProof/>
                <w:webHidden/>
              </w:rPr>
              <w:fldChar w:fldCharType="separate"/>
            </w:r>
            <w:r w:rsidR="00570B4E">
              <w:rPr>
                <w:noProof/>
                <w:webHidden/>
              </w:rPr>
              <w:t>5</w:t>
            </w:r>
            <w:r w:rsidR="00570B4E">
              <w:rPr>
                <w:noProof/>
                <w:webHidden/>
              </w:rPr>
              <w:fldChar w:fldCharType="end"/>
            </w:r>
          </w:hyperlink>
        </w:p>
        <w:p w14:paraId="410C39CA" w14:textId="627F679E" w:rsidR="00570B4E" w:rsidRDefault="00570B4E">
          <w:pPr>
            <w:pStyle w:val="TOC1"/>
            <w:rPr>
              <w:rFonts w:asciiTheme="minorHAnsi" w:eastAsiaTheme="minorEastAsia" w:hAnsiTheme="minorHAnsi"/>
              <w:b w:val="0"/>
              <w:noProof/>
              <w:color w:val="auto"/>
              <w:kern w:val="2"/>
              <w:sz w:val="24"/>
              <w:szCs w:val="24"/>
              <w:lang w:eastAsia="en-AU"/>
              <w14:ligatures w14:val="standardContextual"/>
            </w:rPr>
          </w:pPr>
          <w:hyperlink w:anchor="_Toc193462691" w:history="1">
            <w:r w:rsidRPr="005475FD">
              <w:rPr>
                <w:rStyle w:val="Hyperlink"/>
                <w:noProof/>
              </w:rPr>
              <w:t>Executive Summary</w:t>
            </w:r>
            <w:r>
              <w:rPr>
                <w:noProof/>
                <w:webHidden/>
              </w:rPr>
              <w:tab/>
            </w:r>
            <w:r>
              <w:rPr>
                <w:noProof/>
                <w:webHidden/>
              </w:rPr>
              <w:fldChar w:fldCharType="begin"/>
            </w:r>
            <w:r>
              <w:rPr>
                <w:noProof/>
                <w:webHidden/>
              </w:rPr>
              <w:instrText xml:space="preserve"> PAGEREF _Toc193462691 \h </w:instrText>
            </w:r>
            <w:r>
              <w:rPr>
                <w:noProof/>
                <w:webHidden/>
              </w:rPr>
            </w:r>
            <w:r>
              <w:rPr>
                <w:noProof/>
                <w:webHidden/>
              </w:rPr>
              <w:fldChar w:fldCharType="separate"/>
            </w:r>
            <w:r>
              <w:rPr>
                <w:noProof/>
                <w:webHidden/>
              </w:rPr>
              <w:t>6</w:t>
            </w:r>
            <w:r>
              <w:rPr>
                <w:noProof/>
                <w:webHidden/>
              </w:rPr>
              <w:fldChar w:fldCharType="end"/>
            </w:r>
          </w:hyperlink>
        </w:p>
        <w:p w14:paraId="0D11D187" w14:textId="7EC1DB81" w:rsidR="00570B4E" w:rsidRDefault="00570B4E">
          <w:pPr>
            <w:pStyle w:val="TOC1"/>
            <w:rPr>
              <w:rFonts w:asciiTheme="minorHAnsi" w:eastAsiaTheme="minorEastAsia" w:hAnsiTheme="minorHAnsi"/>
              <w:b w:val="0"/>
              <w:noProof/>
              <w:color w:val="auto"/>
              <w:kern w:val="2"/>
              <w:sz w:val="24"/>
              <w:szCs w:val="24"/>
              <w:lang w:eastAsia="en-AU"/>
              <w14:ligatures w14:val="standardContextual"/>
            </w:rPr>
          </w:pPr>
          <w:hyperlink w:anchor="_Toc193462692" w:history="1">
            <w:r w:rsidRPr="005475FD">
              <w:rPr>
                <w:rStyle w:val="Hyperlink"/>
                <w:noProof/>
                <w:lang w:val="en-PH"/>
              </w:rPr>
              <w:t>1</w:t>
            </w:r>
            <w:r>
              <w:rPr>
                <w:rFonts w:asciiTheme="minorHAnsi" w:eastAsiaTheme="minorEastAsia" w:hAnsiTheme="minorHAnsi"/>
                <w:b w:val="0"/>
                <w:noProof/>
                <w:color w:val="auto"/>
                <w:kern w:val="2"/>
                <w:sz w:val="24"/>
                <w:szCs w:val="24"/>
                <w:lang w:eastAsia="en-AU"/>
                <w14:ligatures w14:val="standardContextual"/>
              </w:rPr>
              <w:tab/>
            </w:r>
            <w:r w:rsidRPr="005475FD">
              <w:rPr>
                <w:rStyle w:val="Hyperlink"/>
                <w:noProof/>
                <w:lang w:val="en-PH"/>
              </w:rPr>
              <w:t>Introduction</w:t>
            </w:r>
            <w:r>
              <w:rPr>
                <w:noProof/>
                <w:webHidden/>
              </w:rPr>
              <w:tab/>
            </w:r>
            <w:r>
              <w:rPr>
                <w:noProof/>
                <w:webHidden/>
              </w:rPr>
              <w:fldChar w:fldCharType="begin"/>
            </w:r>
            <w:r>
              <w:rPr>
                <w:noProof/>
                <w:webHidden/>
              </w:rPr>
              <w:instrText xml:space="preserve"> PAGEREF _Toc193462692 \h </w:instrText>
            </w:r>
            <w:r>
              <w:rPr>
                <w:noProof/>
                <w:webHidden/>
              </w:rPr>
            </w:r>
            <w:r>
              <w:rPr>
                <w:noProof/>
                <w:webHidden/>
              </w:rPr>
              <w:fldChar w:fldCharType="separate"/>
            </w:r>
            <w:r>
              <w:rPr>
                <w:noProof/>
                <w:webHidden/>
              </w:rPr>
              <w:t>8</w:t>
            </w:r>
            <w:r>
              <w:rPr>
                <w:noProof/>
                <w:webHidden/>
              </w:rPr>
              <w:fldChar w:fldCharType="end"/>
            </w:r>
          </w:hyperlink>
        </w:p>
        <w:p w14:paraId="7F9FE508" w14:textId="19CD88CD"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693" w:history="1">
            <w:r w:rsidRPr="005475FD">
              <w:rPr>
                <w:rStyle w:val="Hyperlink"/>
                <w:noProof/>
                <w:lang w:val="en-PH"/>
              </w:rPr>
              <w:t>1.1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AR-DRG classification</w:t>
            </w:r>
            <w:r>
              <w:rPr>
                <w:noProof/>
                <w:webHidden/>
              </w:rPr>
              <w:tab/>
            </w:r>
            <w:r>
              <w:rPr>
                <w:noProof/>
                <w:webHidden/>
              </w:rPr>
              <w:fldChar w:fldCharType="begin"/>
            </w:r>
            <w:r>
              <w:rPr>
                <w:noProof/>
                <w:webHidden/>
              </w:rPr>
              <w:instrText xml:space="preserve"> PAGEREF _Toc193462693 \h </w:instrText>
            </w:r>
            <w:r>
              <w:rPr>
                <w:noProof/>
                <w:webHidden/>
              </w:rPr>
            </w:r>
            <w:r>
              <w:rPr>
                <w:noProof/>
                <w:webHidden/>
              </w:rPr>
              <w:fldChar w:fldCharType="separate"/>
            </w:r>
            <w:r>
              <w:rPr>
                <w:noProof/>
                <w:webHidden/>
              </w:rPr>
              <w:t>8</w:t>
            </w:r>
            <w:r>
              <w:rPr>
                <w:noProof/>
                <w:webHidden/>
              </w:rPr>
              <w:fldChar w:fldCharType="end"/>
            </w:r>
          </w:hyperlink>
        </w:p>
        <w:p w14:paraId="34225E91" w14:textId="1238A4AD"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694" w:history="1">
            <w:r w:rsidRPr="005475FD">
              <w:rPr>
                <w:rStyle w:val="Hyperlink"/>
                <w:noProof/>
                <w:lang w:val="en-PH"/>
              </w:rPr>
              <w:t>1.2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Classification process</w:t>
            </w:r>
            <w:r>
              <w:rPr>
                <w:noProof/>
                <w:webHidden/>
              </w:rPr>
              <w:tab/>
            </w:r>
            <w:r>
              <w:rPr>
                <w:noProof/>
                <w:webHidden/>
              </w:rPr>
              <w:fldChar w:fldCharType="begin"/>
            </w:r>
            <w:r>
              <w:rPr>
                <w:noProof/>
                <w:webHidden/>
              </w:rPr>
              <w:instrText xml:space="preserve"> PAGEREF _Toc193462694 \h </w:instrText>
            </w:r>
            <w:r>
              <w:rPr>
                <w:noProof/>
                <w:webHidden/>
              </w:rPr>
            </w:r>
            <w:r>
              <w:rPr>
                <w:noProof/>
                <w:webHidden/>
              </w:rPr>
              <w:fldChar w:fldCharType="separate"/>
            </w:r>
            <w:r>
              <w:rPr>
                <w:noProof/>
                <w:webHidden/>
              </w:rPr>
              <w:t>8</w:t>
            </w:r>
            <w:r>
              <w:rPr>
                <w:noProof/>
                <w:webHidden/>
              </w:rPr>
              <w:fldChar w:fldCharType="end"/>
            </w:r>
          </w:hyperlink>
        </w:p>
        <w:p w14:paraId="2592A17E" w14:textId="5527166E"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695" w:history="1">
            <w:r w:rsidRPr="005475FD">
              <w:rPr>
                <w:rStyle w:val="Hyperlink"/>
                <w:noProof/>
                <w:lang w:val="en-PH"/>
              </w:rPr>
              <w:t>1.3</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Episode clinical complexity</w:t>
            </w:r>
            <w:r>
              <w:rPr>
                <w:noProof/>
                <w:webHidden/>
              </w:rPr>
              <w:tab/>
            </w:r>
            <w:r>
              <w:rPr>
                <w:noProof/>
                <w:webHidden/>
              </w:rPr>
              <w:fldChar w:fldCharType="begin"/>
            </w:r>
            <w:r>
              <w:rPr>
                <w:noProof/>
                <w:webHidden/>
              </w:rPr>
              <w:instrText xml:space="preserve"> PAGEREF _Toc193462695 \h </w:instrText>
            </w:r>
            <w:r>
              <w:rPr>
                <w:noProof/>
                <w:webHidden/>
              </w:rPr>
            </w:r>
            <w:r>
              <w:rPr>
                <w:noProof/>
                <w:webHidden/>
              </w:rPr>
              <w:fldChar w:fldCharType="separate"/>
            </w:r>
            <w:r>
              <w:rPr>
                <w:noProof/>
                <w:webHidden/>
              </w:rPr>
              <w:t>10</w:t>
            </w:r>
            <w:r>
              <w:rPr>
                <w:noProof/>
                <w:webHidden/>
              </w:rPr>
              <w:fldChar w:fldCharType="end"/>
            </w:r>
          </w:hyperlink>
        </w:p>
        <w:p w14:paraId="054A16D3" w14:textId="25AB3FBF"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696" w:history="1">
            <w:r w:rsidRPr="005475FD">
              <w:rPr>
                <w:rStyle w:val="Hyperlink"/>
                <w:noProof/>
                <w:lang w:val="en-PH"/>
              </w:rPr>
              <w:t>1.4</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Additional resources for AR-DRG V12.0</w:t>
            </w:r>
            <w:r>
              <w:rPr>
                <w:noProof/>
                <w:webHidden/>
              </w:rPr>
              <w:tab/>
            </w:r>
            <w:r>
              <w:rPr>
                <w:noProof/>
                <w:webHidden/>
              </w:rPr>
              <w:fldChar w:fldCharType="begin"/>
            </w:r>
            <w:r>
              <w:rPr>
                <w:noProof/>
                <w:webHidden/>
              </w:rPr>
              <w:instrText xml:space="preserve"> PAGEREF _Toc193462696 \h </w:instrText>
            </w:r>
            <w:r>
              <w:rPr>
                <w:noProof/>
                <w:webHidden/>
              </w:rPr>
            </w:r>
            <w:r>
              <w:rPr>
                <w:noProof/>
                <w:webHidden/>
              </w:rPr>
              <w:fldChar w:fldCharType="separate"/>
            </w:r>
            <w:r>
              <w:rPr>
                <w:noProof/>
                <w:webHidden/>
              </w:rPr>
              <w:t>11</w:t>
            </w:r>
            <w:r>
              <w:rPr>
                <w:noProof/>
                <w:webHidden/>
              </w:rPr>
              <w:fldChar w:fldCharType="end"/>
            </w:r>
          </w:hyperlink>
        </w:p>
        <w:p w14:paraId="065A4B09" w14:textId="70854AC7"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697" w:history="1">
            <w:r w:rsidRPr="005475FD">
              <w:rPr>
                <w:rStyle w:val="Hyperlink"/>
                <w:noProof/>
              </w:rPr>
              <w:t>1.4.1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AR-DRG Version 12.0 Technical Specifications</w:t>
            </w:r>
            <w:r>
              <w:rPr>
                <w:noProof/>
                <w:webHidden/>
              </w:rPr>
              <w:tab/>
            </w:r>
            <w:r>
              <w:rPr>
                <w:noProof/>
                <w:webHidden/>
              </w:rPr>
              <w:fldChar w:fldCharType="begin"/>
            </w:r>
            <w:r>
              <w:rPr>
                <w:noProof/>
                <w:webHidden/>
              </w:rPr>
              <w:instrText xml:space="preserve"> PAGEREF _Toc193462697 \h </w:instrText>
            </w:r>
            <w:r>
              <w:rPr>
                <w:noProof/>
                <w:webHidden/>
              </w:rPr>
            </w:r>
            <w:r>
              <w:rPr>
                <w:noProof/>
                <w:webHidden/>
              </w:rPr>
              <w:fldChar w:fldCharType="separate"/>
            </w:r>
            <w:r>
              <w:rPr>
                <w:noProof/>
                <w:webHidden/>
              </w:rPr>
              <w:t>11</w:t>
            </w:r>
            <w:r>
              <w:rPr>
                <w:noProof/>
                <w:webHidden/>
              </w:rPr>
              <w:fldChar w:fldCharType="end"/>
            </w:r>
          </w:hyperlink>
        </w:p>
        <w:p w14:paraId="50FD5C74" w14:textId="2001066C"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698" w:history="1">
            <w:r w:rsidRPr="005475FD">
              <w:rPr>
                <w:rStyle w:val="Hyperlink"/>
                <w:noProof/>
              </w:rPr>
              <w:t>1.4.2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AR-DRG Version 12.0 Definitions Manual</w:t>
            </w:r>
            <w:r>
              <w:rPr>
                <w:noProof/>
                <w:webHidden/>
              </w:rPr>
              <w:tab/>
            </w:r>
            <w:r>
              <w:rPr>
                <w:noProof/>
                <w:webHidden/>
              </w:rPr>
              <w:fldChar w:fldCharType="begin"/>
            </w:r>
            <w:r>
              <w:rPr>
                <w:noProof/>
                <w:webHidden/>
              </w:rPr>
              <w:instrText xml:space="preserve"> PAGEREF _Toc193462698 \h </w:instrText>
            </w:r>
            <w:r>
              <w:rPr>
                <w:noProof/>
                <w:webHidden/>
              </w:rPr>
            </w:r>
            <w:r>
              <w:rPr>
                <w:noProof/>
                <w:webHidden/>
              </w:rPr>
              <w:fldChar w:fldCharType="separate"/>
            </w:r>
            <w:r>
              <w:rPr>
                <w:noProof/>
                <w:webHidden/>
              </w:rPr>
              <w:t>11</w:t>
            </w:r>
            <w:r>
              <w:rPr>
                <w:noProof/>
                <w:webHidden/>
              </w:rPr>
              <w:fldChar w:fldCharType="end"/>
            </w:r>
          </w:hyperlink>
        </w:p>
        <w:p w14:paraId="22D0B339" w14:textId="36A1E6DE"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699" w:history="1">
            <w:r w:rsidRPr="005475FD">
              <w:rPr>
                <w:rStyle w:val="Hyperlink"/>
                <w:noProof/>
              </w:rPr>
              <w:t>1.4.3</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AR-DRG V12.0 Descriptions</w:t>
            </w:r>
            <w:r>
              <w:rPr>
                <w:noProof/>
                <w:webHidden/>
              </w:rPr>
              <w:tab/>
            </w:r>
            <w:r>
              <w:rPr>
                <w:noProof/>
                <w:webHidden/>
              </w:rPr>
              <w:fldChar w:fldCharType="begin"/>
            </w:r>
            <w:r>
              <w:rPr>
                <w:noProof/>
                <w:webHidden/>
              </w:rPr>
              <w:instrText xml:space="preserve"> PAGEREF _Toc193462699 \h </w:instrText>
            </w:r>
            <w:r>
              <w:rPr>
                <w:noProof/>
                <w:webHidden/>
              </w:rPr>
            </w:r>
            <w:r>
              <w:rPr>
                <w:noProof/>
                <w:webHidden/>
              </w:rPr>
              <w:fldChar w:fldCharType="separate"/>
            </w:r>
            <w:r>
              <w:rPr>
                <w:noProof/>
                <w:webHidden/>
              </w:rPr>
              <w:t>11</w:t>
            </w:r>
            <w:r>
              <w:rPr>
                <w:noProof/>
                <w:webHidden/>
              </w:rPr>
              <w:fldChar w:fldCharType="end"/>
            </w:r>
          </w:hyperlink>
        </w:p>
        <w:p w14:paraId="3B784675" w14:textId="3A467882"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00" w:history="1">
            <w:r w:rsidRPr="005475FD">
              <w:rPr>
                <w:rStyle w:val="Hyperlink"/>
                <w:noProof/>
              </w:rPr>
              <w:t>1.4.4</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ICD-10-AM/ACHI/ACS Thirteenth Edition</w:t>
            </w:r>
            <w:r>
              <w:rPr>
                <w:noProof/>
                <w:webHidden/>
              </w:rPr>
              <w:tab/>
            </w:r>
            <w:r>
              <w:rPr>
                <w:noProof/>
                <w:webHidden/>
              </w:rPr>
              <w:fldChar w:fldCharType="begin"/>
            </w:r>
            <w:r>
              <w:rPr>
                <w:noProof/>
                <w:webHidden/>
              </w:rPr>
              <w:instrText xml:space="preserve"> PAGEREF _Toc193462700 \h </w:instrText>
            </w:r>
            <w:r>
              <w:rPr>
                <w:noProof/>
                <w:webHidden/>
              </w:rPr>
            </w:r>
            <w:r>
              <w:rPr>
                <w:noProof/>
                <w:webHidden/>
              </w:rPr>
              <w:fldChar w:fldCharType="separate"/>
            </w:r>
            <w:r>
              <w:rPr>
                <w:noProof/>
                <w:webHidden/>
              </w:rPr>
              <w:t>11</w:t>
            </w:r>
            <w:r>
              <w:rPr>
                <w:noProof/>
                <w:webHidden/>
              </w:rPr>
              <w:fldChar w:fldCharType="end"/>
            </w:r>
          </w:hyperlink>
        </w:p>
        <w:p w14:paraId="1033CB8D" w14:textId="43802D1C" w:rsidR="00570B4E" w:rsidRDefault="00570B4E">
          <w:pPr>
            <w:pStyle w:val="TOC1"/>
            <w:rPr>
              <w:rFonts w:asciiTheme="minorHAnsi" w:eastAsiaTheme="minorEastAsia" w:hAnsiTheme="minorHAnsi"/>
              <w:b w:val="0"/>
              <w:noProof/>
              <w:color w:val="auto"/>
              <w:kern w:val="2"/>
              <w:sz w:val="24"/>
              <w:szCs w:val="24"/>
              <w:lang w:eastAsia="en-AU"/>
              <w14:ligatures w14:val="standardContextual"/>
            </w:rPr>
          </w:pPr>
          <w:hyperlink w:anchor="_Toc193462701" w:history="1">
            <w:r w:rsidRPr="005475FD">
              <w:rPr>
                <w:rStyle w:val="Hyperlink"/>
                <w:noProof/>
                <w:lang w:val="en-PH"/>
              </w:rPr>
              <w:t>2</w:t>
            </w:r>
            <w:r>
              <w:rPr>
                <w:rFonts w:asciiTheme="minorHAnsi" w:eastAsiaTheme="minorEastAsia" w:hAnsiTheme="minorHAnsi"/>
                <w:b w:val="0"/>
                <w:noProof/>
                <w:color w:val="auto"/>
                <w:kern w:val="2"/>
                <w:sz w:val="24"/>
                <w:szCs w:val="24"/>
                <w:lang w:eastAsia="en-AU"/>
                <w14:ligatures w14:val="standardContextual"/>
              </w:rPr>
              <w:tab/>
            </w:r>
            <w:r w:rsidRPr="005475FD">
              <w:rPr>
                <w:rStyle w:val="Hyperlink"/>
                <w:noProof/>
                <w:lang w:val="en-PH"/>
              </w:rPr>
              <w:t>Development Process</w:t>
            </w:r>
            <w:r>
              <w:rPr>
                <w:noProof/>
                <w:webHidden/>
              </w:rPr>
              <w:tab/>
            </w:r>
            <w:r>
              <w:rPr>
                <w:noProof/>
                <w:webHidden/>
              </w:rPr>
              <w:fldChar w:fldCharType="begin"/>
            </w:r>
            <w:r>
              <w:rPr>
                <w:noProof/>
                <w:webHidden/>
              </w:rPr>
              <w:instrText xml:space="preserve"> PAGEREF _Toc193462701 \h </w:instrText>
            </w:r>
            <w:r>
              <w:rPr>
                <w:noProof/>
                <w:webHidden/>
              </w:rPr>
            </w:r>
            <w:r>
              <w:rPr>
                <w:noProof/>
                <w:webHidden/>
              </w:rPr>
              <w:fldChar w:fldCharType="separate"/>
            </w:r>
            <w:r>
              <w:rPr>
                <w:noProof/>
                <w:webHidden/>
              </w:rPr>
              <w:t>12</w:t>
            </w:r>
            <w:r>
              <w:rPr>
                <w:noProof/>
                <w:webHidden/>
              </w:rPr>
              <w:fldChar w:fldCharType="end"/>
            </w:r>
          </w:hyperlink>
        </w:p>
        <w:p w14:paraId="2E1499EB" w14:textId="548872A3"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02" w:history="1">
            <w:r w:rsidRPr="005475FD">
              <w:rPr>
                <w:rStyle w:val="Hyperlink"/>
                <w:noProof/>
                <w:lang w:val="en-PH"/>
              </w:rPr>
              <w:t>2.1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Governance and consultation process</w:t>
            </w:r>
            <w:r>
              <w:rPr>
                <w:noProof/>
                <w:webHidden/>
              </w:rPr>
              <w:tab/>
            </w:r>
            <w:r>
              <w:rPr>
                <w:noProof/>
                <w:webHidden/>
              </w:rPr>
              <w:fldChar w:fldCharType="begin"/>
            </w:r>
            <w:r>
              <w:rPr>
                <w:noProof/>
                <w:webHidden/>
              </w:rPr>
              <w:instrText xml:space="preserve"> PAGEREF _Toc193462702 \h </w:instrText>
            </w:r>
            <w:r>
              <w:rPr>
                <w:noProof/>
                <w:webHidden/>
              </w:rPr>
            </w:r>
            <w:r>
              <w:rPr>
                <w:noProof/>
                <w:webHidden/>
              </w:rPr>
              <w:fldChar w:fldCharType="separate"/>
            </w:r>
            <w:r>
              <w:rPr>
                <w:noProof/>
                <w:webHidden/>
              </w:rPr>
              <w:t>12</w:t>
            </w:r>
            <w:r>
              <w:rPr>
                <w:noProof/>
                <w:webHidden/>
              </w:rPr>
              <w:fldChar w:fldCharType="end"/>
            </w:r>
          </w:hyperlink>
        </w:p>
        <w:p w14:paraId="6761A0F7" w14:textId="5BDBA6DA"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03" w:history="1">
            <w:r w:rsidRPr="005475FD">
              <w:rPr>
                <w:rStyle w:val="Hyperlink"/>
                <w:noProof/>
                <w:lang w:val="en-PH"/>
              </w:rPr>
              <w:t>2.2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Development of work program</w:t>
            </w:r>
            <w:r>
              <w:rPr>
                <w:noProof/>
                <w:webHidden/>
              </w:rPr>
              <w:tab/>
            </w:r>
            <w:r>
              <w:rPr>
                <w:noProof/>
                <w:webHidden/>
              </w:rPr>
              <w:fldChar w:fldCharType="begin"/>
            </w:r>
            <w:r>
              <w:rPr>
                <w:noProof/>
                <w:webHidden/>
              </w:rPr>
              <w:instrText xml:space="preserve"> PAGEREF _Toc193462703 \h </w:instrText>
            </w:r>
            <w:r>
              <w:rPr>
                <w:noProof/>
                <w:webHidden/>
              </w:rPr>
            </w:r>
            <w:r>
              <w:rPr>
                <w:noProof/>
                <w:webHidden/>
              </w:rPr>
              <w:fldChar w:fldCharType="separate"/>
            </w:r>
            <w:r>
              <w:rPr>
                <w:noProof/>
                <w:webHidden/>
              </w:rPr>
              <w:t>13</w:t>
            </w:r>
            <w:r>
              <w:rPr>
                <w:noProof/>
                <w:webHidden/>
              </w:rPr>
              <w:fldChar w:fldCharType="end"/>
            </w:r>
          </w:hyperlink>
        </w:p>
        <w:p w14:paraId="27690058" w14:textId="1E7C86D2"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04" w:history="1">
            <w:r w:rsidRPr="005475FD">
              <w:rPr>
                <w:rStyle w:val="Hyperlink"/>
                <w:noProof/>
                <w:lang w:val="en-PH"/>
              </w:rPr>
              <w:t>2.3</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Data used for AR-DRG V12.0</w:t>
            </w:r>
            <w:r>
              <w:rPr>
                <w:noProof/>
                <w:webHidden/>
              </w:rPr>
              <w:tab/>
            </w:r>
            <w:r>
              <w:rPr>
                <w:noProof/>
                <w:webHidden/>
              </w:rPr>
              <w:fldChar w:fldCharType="begin"/>
            </w:r>
            <w:r>
              <w:rPr>
                <w:noProof/>
                <w:webHidden/>
              </w:rPr>
              <w:instrText xml:space="preserve"> PAGEREF _Toc193462704 \h </w:instrText>
            </w:r>
            <w:r>
              <w:rPr>
                <w:noProof/>
                <w:webHidden/>
              </w:rPr>
            </w:r>
            <w:r>
              <w:rPr>
                <w:noProof/>
                <w:webHidden/>
              </w:rPr>
              <w:fldChar w:fldCharType="separate"/>
            </w:r>
            <w:r>
              <w:rPr>
                <w:noProof/>
                <w:webHidden/>
              </w:rPr>
              <w:t>13</w:t>
            </w:r>
            <w:r>
              <w:rPr>
                <w:noProof/>
                <w:webHidden/>
              </w:rPr>
              <w:fldChar w:fldCharType="end"/>
            </w:r>
          </w:hyperlink>
        </w:p>
        <w:p w14:paraId="023EF6EE" w14:textId="46934D1C" w:rsidR="00570B4E" w:rsidRDefault="00570B4E">
          <w:pPr>
            <w:pStyle w:val="TOC1"/>
            <w:rPr>
              <w:rFonts w:asciiTheme="minorHAnsi" w:eastAsiaTheme="minorEastAsia" w:hAnsiTheme="minorHAnsi"/>
              <w:b w:val="0"/>
              <w:noProof/>
              <w:color w:val="auto"/>
              <w:kern w:val="2"/>
              <w:sz w:val="24"/>
              <w:szCs w:val="24"/>
              <w:lang w:eastAsia="en-AU"/>
              <w14:ligatures w14:val="standardContextual"/>
            </w:rPr>
          </w:pPr>
          <w:hyperlink w:anchor="_Toc193462705" w:history="1">
            <w:r w:rsidRPr="005475FD">
              <w:rPr>
                <w:rStyle w:val="Hyperlink"/>
                <w:noProof/>
              </w:rPr>
              <w:t>3</w:t>
            </w:r>
            <w:r>
              <w:rPr>
                <w:rFonts w:asciiTheme="minorHAnsi" w:eastAsiaTheme="minorEastAsia" w:hAnsiTheme="minorHAnsi"/>
                <w:b w:val="0"/>
                <w:noProof/>
                <w:color w:val="auto"/>
                <w:kern w:val="2"/>
                <w:sz w:val="24"/>
                <w:szCs w:val="24"/>
                <w:lang w:eastAsia="en-AU"/>
                <w14:ligatures w14:val="standardContextual"/>
              </w:rPr>
              <w:tab/>
            </w:r>
            <w:r w:rsidRPr="005475FD">
              <w:rPr>
                <w:rStyle w:val="Hyperlink"/>
                <w:noProof/>
                <w:lang w:val="en-PH"/>
              </w:rPr>
              <w:t>AR-DRG V12.0 Refinements</w:t>
            </w:r>
            <w:r>
              <w:rPr>
                <w:noProof/>
                <w:webHidden/>
              </w:rPr>
              <w:tab/>
            </w:r>
            <w:r>
              <w:rPr>
                <w:noProof/>
                <w:webHidden/>
              </w:rPr>
              <w:fldChar w:fldCharType="begin"/>
            </w:r>
            <w:r>
              <w:rPr>
                <w:noProof/>
                <w:webHidden/>
              </w:rPr>
              <w:instrText xml:space="preserve"> PAGEREF _Toc193462705 \h </w:instrText>
            </w:r>
            <w:r>
              <w:rPr>
                <w:noProof/>
                <w:webHidden/>
              </w:rPr>
            </w:r>
            <w:r>
              <w:rPr>
                <w:noProof/>
                <w:webHidden/>
              </w:rPr>
              <w:fldChar w:fldCharType="separate"/>
            </w:r>
            <w:r>
              <w:rPr>
                <w:noProof/>
                <w:webHidden/>
              </w:rPr>
              <w:t>14</w:t>
            </w:r>
            <w:r>
              <w:rPr>
                <w:noProof/>
                <w:webHidden/>
              </w:rPr>
              <w:fldChar w:fldCharType="end"/>
            </w:r>
          </w:hyperlink>
        </w:p>
        <w:p w14:paraId="4493BC76" w14:textId="1767CCD4"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06" w:history="1">
            <w:r w:rsidRPr="005475FD">
              <w:rPr>
                <w:rStyle w:val="Hyperlink"/>
                <w:noProof/>
                <w:lang w:val="en-PH"/>
              </w:rPr>
              <w:t>3.1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 xml:space="preserve">MDC 14 </w:t>
            </w:r>
            <w:r w:rsidRPr="005475FD">
              <w:rPr>
                <w:rStyle w:val="Hyperlink"/>
                <w:i/>
                <w:iCs/>
                <w:noProof/>
                <w:lang w:val="en-PH"/>
              </w:rPr>
              <w:t>Pregnancy, childbirth and the puerperium</w:t>
            </w:r>
            <w:r>
              <w:rPr>
                <w:noProof/>
                <w:webHidden/>
              </w:rPr>
              <w:tab/>
            </w:r>
            <w:r>
              <w:rPr>
                <w:noProof/>
                <w:webHidden/>
              </w:rPr>
              <w:fldChar w:fldCharType="begin"/>
            </w:r>
            <w:r>
              <w:rPr>
                <w:noProof/>
                <w:webHidden/>
              </w:rPr>
              <w:instrText xml:space="preserve"> PAGEREF _Toc193462706 \h </w:instrText>
            </w:r>
            <w:r>
              <w:rPr>
                <w:noProof/>
                <w:webHidden/>
              </w:rPr>
            </w:r>
            <w:r>
              <w:rPr>
                <w:noProof/>
                <w:webHidden/>
              </w:rPr>
              <w:fldChar w:fldCharType="separate"/>
            </w:r>
            <w:r>
              <w:rPr>
                <w:noProof/>
                <w:webHidden/>
              </w:rPr>
              <w:t>14</w:t>
            </w:r>
            <w:r>
              <w:rPr>
                <w:noProof/>
                <w:webHidden/>
              </w:rPr>
              <w:fldChar w:fldCharType="end"/>
            </w:r>
          </w:hyperlink>
        </w:p>
        <w:p w14:paraId="72B1D6F4" w14:textId="2ABC8CBA"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07" w:history="1">
            <w:r w:rsidRPr="005475FD">
              <w:rPr>
                <w:rStyle w:val="Hyperlink"/>
                <w:noProof/>
              </w:rPr>
              <w:t>3.1.1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New ADRG for mental health and behavioural disorders in the postnatal period</w:t>
            </w:r>
            <w:r>
              <w:rPr>
                <w:noProof/>
                <w:webHidden/>
              </w:rPr>
              <w:tab/>
            </w:r>
            <w:r>
              <w:rPr>
                <w:noProof/>
                <w:webHidden/>
              </w:rPr>
              <w:fldChar w:fldCharType="begin"/>
            </w:r>
            <w:r>
              <w:rPr>
                <w:noProof/>
                <w:webHidden/>
              </w:rPr>
              <w:instrText xml:space="preserve"> PAGEREF _Toc193462707 \h </w:instrText>
            </w:r>
            <w:r>
              <w:rPr>
                <w:noProof/>
                <w:webHidden/>
              </w:rPr>
            </w:r>
            <w:r>
              <w:rPr>
                <w:noProof/>
                <w:webHidden/>
              </w:rPr>
              <w:fldChar w:fldCharType="separate"/>
            </w:r>
            <w:r>
              <w:rPr>
                <w:noProof/>
                <w:webHidden/>
              </w:rPr>
              <w:t>14</w:t>
            </w:r>
            <w:r>
              <w:rPr>
                <w:noProof/>
                <w:webHidden/>
              </w:rPr>
              <w:fldChar w:fldCharType="end"/>
            </w:r>
          </w:hyperlink>
        </w:p>
        <w:p w14:paraId="2B90488D" w14:textId="729132DC"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08" w:history="1">
            <w:r w:rsidRPr="005475FD">
              <w:rPr>
                <w:rStyle w:val="Hyperlink"/>
                <w:noProof/>
              </w:rPr>
              <w:t>3.1.2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 xml:space="preserve">Disaggregation of ADRG O66 </w:t>
            </w:r>
            <w:r w:rsidRPr="005475FD">
              <w:rPr>
                <w:rStyle w:val="Hyperlink"/>
                <w:i/>
                <w:iCs/>
                <w:noProof/>
              </w:rPr>
              <w:t>Antenatal and other admissions related to pregnancy, childbirth and the puerperium</w:t>
            </w:r>
            <w:r>
              <w:rPr>
                <w:noProof/>
                <w:webHidden/>
              </w:rPr>
              <w:tab/>
            </w:r>
            <w:r>
              <w:rPr>
                <w:noProof/>
                <w:webHidden/>
              </w:rPr>
              <w:fldChar w:fldCharType="begin"/>
            </w:r>
            <w:r>
              <w:rPr>
                <w:noProof/>
                <w:webHidden/>
              </w:rPr>
              <w:instrText xml:space="preserve"> PAGEREF _Toc193462708 \h </w:instrText>
            </w:r>
            <w:r>
              <w:rPr>
                <w:noProof/>
                <w:webHidden/>
              </w:rPr>
            </w:r>
            <w:r>
              <w:rPr>
                <w:noProof/>
                <w:webHidden/>
              </w:rPr>
              <w:fldChar w:fldCharType="separate"/>
            </w:r>
            <w:r>
              <w:rPr>
                <w:noProof/>
                <w:webHidden/>
              </w:rPr>
              <w:t>15</w:t>
            </w:r>
            <w:r>
              <w:rPr>
                <w:noProof/>
                <w:webHidden/>
              </w:rPr>
              <w:fldChar w:fldCharType="end"/>
            </w:r>
          </w:hyperlink>
        </w:p>
        <w:p w14:paraId="593C1114" w14:textId="3AF512C4"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09" w:history="1">
            <w:r w:rsidRPr="005475FD">
              <w:rPr>
                <w:rStyle w:val="Hyperlink"/>
                <w:noProof/>
              </w:rPr>
              <w:t>3.1.3</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Relocation of episodes for conditions related to lactation</w:t>
            </w:r>
            <w:r>
              <w:rPr>
                <w:noProof/>
                <w:webHidden/>
              </w:rPr>
              <w:tab/>
            </w:r>
            <w:r>
              <w:rPr>
                <w:noProof/>
                <w:webHidden/>
              </w:rPr>
              <w:fldChar w:fldCharType="begin"/>
            </w:r>
            <w:r>
              <w:rPr>
                <w:noProof/>
                <w:webHidden/>
              </w:rPr>
              <w:instrText xml:space="preserve"> PAGEREF _Toc193462709 \h </w:instrText>
            </w:r>
            <w:r>
              <w:rPr>
                <w:noProof/>
                <w:webHidden/>
              </w:rPr>
            </w:r>
            <w:r>
              <w:rPr>
                <w:noProof/>
                <w:webHidden/>
              </w:rPr>
              <w:fldChar w:fldCharType="separate"/>
            </w:r>
            <w:r>
              <w:rPr>
                <w:noProof/>
                <w:webHidden/>
              </w:rPr>
              <w:t>16</w:t>
            </w:r>
            <w:r>
              <w:rPr>
                <w:noProof/>
                <w:webHidden/>
              </w:rPr>
              <w:fldChar w:fldCharType="end"/>
            </w:r>
          </w:hyperlink>
        </w:p>
        <w:p w14:paraId="70680D85" w14:textId="36E43849"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10" w:history="1">
            <w:r w:rsidRPr="005475FD">
              <w:rPr>
                <w:rStyle w:val="Hyperlink"/>
                <w:noProof/>
                <w:lang w:val="en-PH"/>
              </w:rPr>
              <w:t>3.2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Guiding principles for intervention type (General Intervention review)</w:t>
            </w:r>
            <w:r>
              <w:rPr>
                <w:noProof/>
                <w:webHidden/>
              </w:rPr>
              <w:tab/>
            </w:r>
            <w:r>
              <w:rPr>
                <w:noProof/>
                <w:webHidden/>
              </w:rPr>
              <w:fldChar w:fldCharType="begin"/>
            </w:r>
            <w:r>
              <w:rPr>
                <w:noProof/>
                <w:webHidden/>
              </w:rPr>
              <w:instrText xml:space="preserve"> PAGEREF _Toc193462710 \h </w:instrText>
            </w:r>
            <w:r>
              <w:rPr>
                <w:noProof/>
                <w:webHidden/>
              </w:rPr>
            </w:r>
            <w:r>
              <w:rPr>
                <w:noProof/>
                <w:webHidden/>
              </w:rPr>
              <w:fldChar w:fldCharType="separate"/>
            </w:r>
            <w:r>
              <w:rPr>
                <w:noProof/>
                <w:webHidden/>
              </w:rPr>
              <w:t>17</w:t>
            </w:r>
            <w:r>
              <w:rPr>
                <w:noProof/>
                <w:webHidden/>
              </w:rPr>
              <w:fldChar w:fldCharType="end"/>
            </w:r>
          </w:hyperlink>
        </w:p>
        <w:p w14:paraId="62DB9EAD" w14:textId="1479F20B"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11" w:history="1">
            <w:r w:rsidRPr="005475FD">
              <w:rPr>
                <w:rStyle w:val="Hyperlink"/>
                <w:noProof/>
                <w:lang w:val="en-PH"/>
              </w:rPr>
              <w:t>3.3</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Enhancement of Diagnosis Complexity Level (DCL) precision for diabetes mellitus</w:t>
            </w:r>
            <w:r>
              <w:rPr>
                <w:noProof/>
                <w:webHidden/>
              </w:rPr>
              <w:tab/>
            </w:r>
            <w:r>
              <w:rPr>
                <w:noProof/>
                <w:webHidden/>
              </w:rPr>
              <w:fldChar w:fldCharType="begin"/>
            </w:r>
            <w:r>
              <w:rPr>
                <w:noProof/>
                <w:webHidden/>
              </w:rPr>
              <w:instrText xml:space="preserve"> PAGEREF _Toc193462711 \h </w:instrText>
            </w:r>
            <w:r>
              <w:rPr>
                <w:noProof/>
                <w:webHidden/>
              </w:rPr>
            </w:r>
            <w:r>
              <w:rPr>
                <w:noProof/>
                <w:webHidden/>
              </w:rPr>
              <w:fldChar w:fldCharType="separate"/>
            </w:r>
            <w:r>
              <w:rPr>
                <w:noProof/>
                <w:webHidden/>
              </w:rPr>
              <w:t>19</w:t>
            </w:r>
            <w:r>
              <w:rPr>
                <w:noProof/>
                <w:webHidden/>
              </w:rPr>
              <w:fldChar w:fldCharType="end"/>
            </w:r>
          </w:hyperlink>
        </w:p>
        <w:p w14:paraId="1E633A53" w14:textId="4E4078F5"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12" w:history="1">
            <w:r w:rsidRPr="005475FD">
              <w:rPr>
                <w:rStyle w:val="Hyperlink"/>
                <w:noProof/>
                <w:lang w:val="en-PH"/>
              </w:rPr>
              <w:t>3.4</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Posthumous organ procurement</w:t>
            </w:r>
            <w:r>
              <w:rPr>
                <w:noProof/>
                <w:webHidden/>
              </w:rPr>
              <w:tab/>
            </w:r>
            <w:r>
              <w:rPr>
                <w:noProof/>
                <w:webHidden/>
              </w:rPr>
              <w:fldChar w:fldCharType="begin"/>
            </w:r>
            <w:r>
              <w:rPr>
                <w:noProof/>
                <w:webHidden/>
              </w:rPr>
              <w:instrText xml:space="preserve"> PAGEREF _Toc193462712 \h </w:instrText>
            </w:r>
            <w:r>
              <w:rPr>
                <w:noProof/>
                <w:webHidden/>
              </w:rPr>
            </w:r>
            <w:r>
              <w:rPr>
                <w:noProof/>
                <w:webHidden/>
              </w:rPr>
              <w:fldChar w:fldCharType="separate"/>
            </w:r>
            <w:r>
              <w:rPr>
                <w:noProof/>
                <w:webHidden/>
              </w:rPr>
              <w:t>21</w:t>
            </w:r>
            <w:r>
              <w:rPr>
                <w:noProof/>
                <w:webHidden/>
              </w:rPr>
              <w:fldChar w:fldCharType="end"/>
            </w:r>
          </w:hyperlink>
        </w:p>
        <w:p w14:paraId="5FC15612" w14:textId="051A0AD1"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13" w:history="1">
            <w:r w:rsidRPr="005475FD">
              <w:rPr>
                <w:rStyle w:val="Hyperlink"/>
                <w:noProof/>
                <w:lang w:val="en-PH"/>
              </w:rPr>
              <w:t>3.5</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Standard AR-DRG refinements</w:t>
            </w:r>
            <w:r>
              <w:rPr>
                <w:noProof/>
                <w:webHidden/>
              </w:rPr>
              <w:tab/>
            </w:r>
            <w:r>
              <w:rPr>
                <w:noProof/>
                <w:webHidden/>
              </w:rPr>
              <w:fldChar w:fldCharType="begin"/>
            </w:r>
            <w:r>
              <w:rPr>
                <w:noProof/>
                <w:webHidden/>
              </w:rPr>
              <w:instrText xml:space="preserve"> PAGEREF _Toc193462713 \h </w:instrText>
            </w:r>
            <w:r>
              <w:rPr>
                <w:noProof/>
                <w:webHidden/>
              </w:rPr>
            </w:r>
            <w:r>
              <w:rPr>
                <w:noProof/>
                <w:webHidden/>
              </w:rPr>
              <w:fldChar w:fldCharType="separate"/>
            </w:r>
            <w:r>
              <w:rPr>
                <w:noProof/>
                <w:webHidden/>
              </w:rPr>
              <w:t>22</w:t>
            </w:r>
            <w:r>
              <w:rPr>
                <w:noProof/>
                <w:webHidden/>
              </w:rPr>
              <w:fldChar w:fldCharType="end"/>
            </w:r>
          </w:hyperlink>
        </w:p>
        <w:p w14:paraId="170FDB2A" w14:textId="652FB06C"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14" w:history="1">
            <w:r w:rsidRPr="005475FD">
              <w:rPr>
                <w:rStyle w:val="Hyperlink"/>
                <w:noProof/>
              </w:rPr>
              <w:t>3.5.1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ADRG intervention hierarchy review</w:t>
            </w:r>
            <w:r>
              <w:rPr>
                <w:noProof/>
                <w:webHidden/>
              </w:rPr>
              <w:tab/>
            </w:r>
            <w:r>
              <w:rPr>
                <w:noProof/>
                <w:webHidden/>
              </w:rPr>
              <w:fldChar w:fldCharType="begin"/>
            </w:r>
            <w:r>
              <w:rPr>
                <w:noProof/>
                <w:webHidden/>
              </w:rPr>
              <w:instrText xml:space="preserve"> PAGEREF _Toc193462714 \h </w:instrText>
            </w:r>
            <w:r>
              <w:rPr>
                <w:noProof/>
                <w:webHidden/>
              </w:rPr>
            </w:r>
            <w:r>
              <w:rPr>
                <w:noProof/>
                <w:webHidden/>
              </w:rPr>
              <w:fldChar w:fldCharType="separate"/>
            </w:r>
            <w:r>
              <w:rPr>
                <w:noProof/>
                <w:webHidden/>
              </w:rPr>
              <w:t>22</w:t>
            </w:r>
            <w:r>
              <w:rPr>
                <w:noProof/>
                <w:webHidden/>
              </w:rPr>
              <w:fldChar w:fldCharType="end"/>
            </w:r>
          </w:hyperlink>
        </w:p>
        <w:p w14:paraId="56579FF1" w14:textId="2BA68A44"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15" w:history="1">
            <w:r w:rsidRPr="005475FD">
              <w:rPr>
                <w:rStyle w:val="Hyperlink"/>
                <w:noProof/>
              </w:rPr>
              <w:t>3.5.2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 xml:space="preserve">Review of ADRG 801 </w:t>
            </w:r>
            <w:r w:rsidRPr="005475FD">
              <w:rPr>
                <w:rStyle w:val="Hyperlink"/>
                <w:i/>
                <w:iCs/>
                <w:noProof/>
              </w:rPr>
              <w:t>General Intervention unrelated to principal diagnosis</w:t>
            </w:r>
            <w:r>
              <w:rPr>
                <w:noProof/>
                <w:webHidden/>
              </w:rPr>
              <w:tab/>
            </w:r>
            <w:r>
              <w:rPr>
                <w:noProof/>
                <w:webHidden/>
              </w:rPr>
              <w:fldChar w:fldCharType="begin"/>
            </w:r>
            <w:r>
              <w:rPr>
                <w:noProof/>
                <w:webHidden/>
              </w:rPr>
              <w:instrText xml:space="preserve"> PAGEREF _Toc193462715 \h </w:instrText>
            </w:r>
            <w:r>
              <w:rPr>
                <w:noProof/>
                <w:webHidden/>
              </w:rPr>
            </w:r>
            <w:r>
              <w:rPr>
                <w:noProof/>
                <w:webHidden/>
              </w:rPr>
              <w:fldChar w:fldCharType="separate"/>
            </w:r>
            <w:r>
              <w:rPr>
                <w:noProof/>
                <w:webHidden/>
              </w:rPr>
              <w:t>23</w:t>
            </w:r>
            <w:r>
              <w:rPr>
                <w:noProof/>
                <w:webHidden/>
              </w:rPr>
              <w:fldChar w:fldCharType="end"/>
            </w:r>
          </w:hyperlink>
        </w:p>
        <w:p w14:paraId="7A9FB78A" w14:textId="7A1A9F2E"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16" w:history="1">
            <w:r w:rsidRPr="005475FD">
              <w:rPr>
                <w:rStyle w:val="Hyperlink"/>
                <w:noProof/>
              </w:rPr>
              <w:t>3.5.3</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Diagnosis codes in-scope for receiving a Diagnosis Complexity Level</w:t>
            </w:r>
            <w:r>
              <w:rPr>
                <w:noProof/>
                <w:webHidden/>
              </w:rPr>
              <w:tab/>
            </w:r>
            <w:r>
              <w:rPr>
                <w:noProof/>
                <w:webHidden/>
              </w:rPr>
              <w:fldChar w:fldCharType="begin"/>
            </w:r>
            <w:r>
              <w:rPr>
                <w:noProof/>
                <w:webHidden/>
              </w:rPr>
              <w:instrText xml:space="preserve"> PAGEREF _Toc193462716 \h </w:instrText>
            </w:r>
            <w:r>
              <w:rPr>
                <w:noProof/>
                <w:webHidden/>
              </w:rPr>
            </w:r>
            <w:r>
              <w:rPr>
                <w:noProof/>
                <w:webHidden/>
              </w:rPr>
              <w:fldChar w:fldCharType="separate"/>
            </w:r>
            <w:r>
              <w:rPr>
                <w:noProof/>
                <w:webHidden/>
              </w:rPr>
              <w:t>23</w:t>
            </w:r>
            <w:r>
              <w:rPr>
                <w:noProof/>
                <w:webHidden/>
              </w:rPr>
              <w:fldChar w:fldCharType="end"/>
            </w:r>
          </w:hyperlink>
        </w:p>
        <w:p w14:paraId="5C5124EA" w14:textId="7E4A4B48"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17" w:history="1">
            <w:r w:rsidRPr="005475FD">
              <w:rPr>
                <w:rStyle w:val="Hyperlink"/>
                <w:noProof/>
              </w:rPr>
              <w:t>3.5.4</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ADRG splitting review</w:t>
            </w:r>
            <w:r>
              <w:rPr>
                <w:noProof/>
                <w:webHidden/>
              </w:rPr>
              <w:tab/>
            </w:r>
            <w:r>
              <w:rPr>
                <w:noProof/>
                <w:webHidden/>
              </w:rPr>
              <w:fldChar w:fldCharType="begin"/>
            </w:r>
            <w:r>
              <w:rPr>
                <w:noProof/>
                <w:webHidden/>
              </w:rPr>
              <w:instrText xml:space="preserve"> PAGEREF _Toc193462717 \h </w:instrText>
            </w:r>
            <w:r>
              <w:rPr>
                <w:noProof/>
                <w:webHidden/>
              </w:rPr>
            </w:r>
            <w:r>
              <w:rPr>
                <w:noProof/>
                <w:webHidden/>
              </w:rPr>
              <w:fldChar w:fldCharType="separate"/>
            </w:r>
            <w:r>
              <w:rPr>
                <w:noProof/>
                <w:webHidden/>
              </w:rPr>
              <w:t>24</w:t>
            </w:r>
            <w:r>
              <w:rPr>
                <w:noProof/>
                <w:webHidden/>
              </w:rPr>
              <w:fldChar w:fldCharType="end"/>
            </w:r>
          </w:hyperlink>
        </w:p>
        <w:p w14:paraId="3002018C" w14:textId="63593202"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18" w:history="1">
            <w:r w:rsidRPr="005475FD">
              <w:rPr>
                <w:rStyle w:val="Hyperlink"/>
                <w:noProof/>
              </w:rPr>
              <w:t>3.5.5</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ICD-10-AM/ACHI/ACS Thirteenth Edition amendments</w:t>
            </w:r>
            <w:r>
              <w:rPr>
                <w:noProof/>
                <w:webHidden/>
              </w:rPr>
              <w:tab/>
            </w:r>
            <w:r>
              <w:rPr>
                <w:noProof/>
                <w:webHidden/>
              </w:rPr>
              <w:fldChar w:fldCharType="begin"/>
            </w:r>
            <w:r>
              <w:rPr>
                <w:noProof/>
                <w:webHidden/>
              </w:rPr>
              <w:instrText xml:space="preserve"> PAGEREF _Toc193462718 \h </w:instrText>
            </w:r>
            <w:r>
              <w:rPr>
                <w:noProof/>
                <w:webHidden/>
              </w:rPr>
            </w:r>
            <w:r>
              <w:rPr>
                <w:noProof/>
                <w:webHidden/>
              </w:rPr>
              <w:fldChar w:fldCharType="separate"/>
            </w:r>
            <w:r>
              <w:rPr>
                <w:noProof/>
                <w:webHidden/>
              </w:rPr>
              <w:t>25</w:t>
            </w:r>
            <w:r>
              <w:rPr>
                <w:noProof/>
                <w:webHidden/>
              </w:rPr>
              <w:fldChar w:fldCharType="end"/>
            </w:r>
          </w:hyperlink>
        </w:p>
        <w:p w14:paraId="580217D9" w14:textId="121EAD50"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19" w:history="1">
            <w:r w:rsidRPr="005475FD">
              <w:rPr>
                <w:rStyle w:val="Hyperlink"/>
                <w:noProof/>
                <w:lang w:val="en-PH"/>
              </w:rPr>
              <w:t>3.6</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Potential refinements assessed and not progressed for AR-DRG V12.0</w:t>
            </w:r>
            <w:r>
              <w:rPr>
                <w:noProof/>
                <w:webHidden/>
              </w:rPr>
              <w:tab/>
            </w:r>
            <w:r>
              <w:rPr>
                <w:noProof/>
                <w:webHidden/>
              </w:rPr>
              <w:fldChar w:fldCharType="begin"/>
            </w:r>
            <w:r>
              <w:rPr>
                <w:noProof/>
                <w:webHidden/>
              </w:rPr>
              <w:instrText xml:space="preserve"> PAGEREF _Toc193462719 \h </w:instrText>
            </w:r>
            <w:r>
              <w:rPr>
                <w:noProof/>
                <w:webHidden/>
              </w:rPr>
            </w:r>
            <w:r>
              <w:rPr>
                <w:noProof/>
                <w:webHidden/>
              </w:rPr>
              <w:fldChar w:fldCharType="separate"/>
            </w:r>
            <w:r>
              <w:rPr>
                <w:noProof/>
                <w:webHidden/>
              </w:rPr>
              <w:t>25</w:t>
            </w:r>
            <w:r>
              <w:rPr>
                <w:noProof/>
                <w:webHidden/>
              </w:rPr>
              <w:fldChar w:fldCharType="end"/>
            </w:r>
          </w:hyperlink>
        </w:p>
        <w:p w14:paraId="6359BE51" w14:textId="3D4F5609"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20" w:history="1">
            <w:r w:rsidRPr="005475FD">
              <w:rPr>
                <w:rStyle w:val="Hyperlink"/>
                <w:noProof/>
              </w:rPr>
              <w:t>3.6.1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Continuous ventilatory support</w:t>
            </w:r>
            <w:r>
              <w:rPr>
                <w:noProof/>
                <w:webHidden/>
              </w:rPr>
              <w:tab/>
            </w:r>
            <w:r>
              <w:rPr>
                <w:noProof/>
                <w:webHidden/>
              </w:rPr>
              <w:fldChar w:fldCharType="begin"/>
            </w:r>
            <w:r>
              <w:rPr>
                <w:noProof/>
                <w:webHidden/>
              </w:rPr>
              <w:instrText xml:space="preserve"> PAGEREF _Toc193462720 \h </w:instrText>
            </w:r>
            <w:r>
              <w:rPr>
                <w:noProof/>
                <w:webHidden/>
              </w:rPr>
            </w:r>
            <w:r>
              <w:rPr>
                <w:noProof/>
                <w:webHidden/>
              </w:rPr>
              <w:fldChar w:fldCharType="separate"/>
            </w:r>
            <w:r>
              <w:rPr>
                <w:noProof/>
                <w:webHidden/>
              </w:rPr>
              <w:t>26</w:t>
            </w:r>
            <w:r>
              <w:rPr>
                <w:noProof/>
                <w:webHidden/>
              </w:rPr>
              <w:fldChar w:fldCharType="end"/>
            </w:r>
          </w:hyperlink>
        </w:p>
        <w:p w14:paraId="04E70524" w14:textId="4B7023CB"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21" w:history="1">
            <w:r w:rsidRPr="005475FD">
              <w:rPr>
                <w:rStyle w:val="Hyperlink"/>
                <w:noProof/>
              </w:rPr>
              <w:t>3.6.2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Analysis of gestational age for neonates</w:t>
            </w:r>
            <w:r>
              <w:rPr>
                <w:noProof/>
                <w:webHidden/>
              </w:rPr>
              <w:tab/>
            </w:r>
            <w:r>
              <w:rPr>
                <w:noProof/>
                <w:webHidden/>
              </w:rPr>
              <w:fldChar w:fldCharType="begin"/>
            </w:r>
            <w:r>
              <w:rPr>
                <w:noProof/>
                <w:webHidden/>
              </w:rPr>
              <w:instrText xml:space="preserve"> PAGEREF _Toc193462721 \h </w:instrText>
            </w:r>
            <w:r>
              <w:rPr>
                <w:noProof/>
                <w:webHidden/>
              </w:rPr>
            </w:r>
            <w:r>
              <w:rPr>
                <w:noProof/>
                <w:webHidden/>
              </w:rPr>
              <w:fldChar w:fldCharType="separate"/>
            </w:r>
            <w:r>
              <w:rPr>
                <w:noProof/>
                <w:webHidden/>
              </w:rPr>
              <w:t>26</w:t>
            </w:r>
            <w:r>
              <w:rPr>
                <w:noProof/>
                <w:webHidden/>
              </w:rPr>
              <w:fldChar w:fldCharType="end"/>
            </w:r>
          </w:hyperlink>
        </w:p>
        <w:p w14:paraId="2DBCF625" w14:textId="224FD34C"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22" w:history="1">
            <w:r w:rsidRPr="005475FD">
              <w:rPr>
                <w:rStyle w:val="Hyperlink"/>
                <w:noProof/>
              </w:rPr>
              <w:t>3.6.3</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Care types used in development</w:t>
            </w:r>
            <w:r>
              <w:rPr>
                <w:noProof/>
                <w:webHidden/>
              </w:rPr>
              <w:tab/>
            </w:r>
            <w:r>
              <w:rPr>
                <w:noProof/>
                <w:webHidden/>
              </w:rPr>
              <w:fldChar w:fldCharType="begin"/>
            </w:r>
            <w:r>
              <w:rPr>
                <w:noProof/>
                <w:webHidden/>
              </w:rPr>
              <w:instrText xml:space="preserve"> PAGEREF _Toc193462722 \h </w:instrText>
            </w:r>
            <w:r>
              <w:rPr>
                <w:noProof/>
                <w:webHidden/>
              </w:rPr>
            </w:r>
            <w:r>
              <w:rPr>
                <w:noProof/>
                <w:webHidden/>
              </w:rPr>
              <w:fldChar w:fldCharType="separate"/>
            </w:r>
            <w:r>
              <w:rPr>
                <w:noProof/>
                <w:webHidden/>
              </w:rPr>
              <w:t>27</w:t>
            </w:r>
            <w:r>
              <w:rPr>
                <w:noProof/>
                <w:webHidden/>
              </w:rPr>
              <w:fldChar w:fldCharType="end"/>
            </w:r>
          </w:hyperlink>
        </w:p>
        <w:p w14:paraId="453BA888" w14:textId="6591364F" w:rsidR="00570B4E" w:rsidRDefault="00570B4E">
          <w:pPr>
            <w:pStyle w:val="TOC3"/>
            <w:rPr>
              <w:rFonts w:asciiTheme="minorHAnsi" w:eastAsiaTheme="minorEastAsia" w:hAnsiTheme="minorHAnsi"/>
              <w:noProof/>
              <w:color w:val="auto"/>
              <w:kern w:val="2"/>
              <w:sz w:val="24"/>
              <w:szCs w:val="24"/>
              <w:lang w:eastAsia="en-AU"/>
              <w14:ligatures w14:val="standardContextual"/>
            </w:rPr>
          </w:pPr>
          <w:hyperlink w:anchor="_Toc193462723" w:history="1">
            <w:r w:rsidRPr="005475FD">
              <w:rPr>
                <w:rStyle w:val="Hyperlink"/>
                <w:noProof/>
              </w:rPr>
              <w:t>3.6.4</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rPr>
              <w:t>The impact of coronavirus disease 2019 (COVID-19)</w:t>
            </w:r>
            <w:r>
              <w:rPr>
                <w:noProof/>
                <w:webHidden/>
              </w:rPr>
              <w:tab/>
            </w:r>
            <w:r>
              <w:rPr>
                <w:noProof/>
                <w:webHidden/>
              </w:rPr>
              <w:fldChar w:fldCharType="begin"/>
            </w:r>
            <w:r>
              <w:rPr>
                <w:noProof/>
                <w:webHidden/>
              </w:rPr>
              <w:instrText xml:space="preserve"> PAGEREF _Toc193462723 \h </w:instrText>
            </w:r>
            <w:r>
              <w:rPr>
                <w:noProof/>
                <w:webHidden/>
              </w:rPr>
            </w:r>
            <w:r>
              <w:rPr>
                <w:noProof/>
                <w:webHidden/>
              </w:rPr>
              <w:fldChar w:fldCharType="separate"/>
            </w:r>
            <w:r>
              <w:rPr>
                <w:noProof/>
                <w:webHidden/>
              </w:rPr>
              <w:t>27</w:t>
            </w:r>
            <w:r>
              <w:rPr>
                <w:noProof/>
                <w:webHidden/>
              </w:rPr>
              <w:fldChar w:fldCharType="end"/>
            </w:r>
          </w:hyperlink>
        </w:p>
        <w:p w14:paraId="1CBD4100" w14:textId="65E210F9" w:rsidR="00570B4E" w:rsidRDefault="00570B4E">
          <w:pPr>
            <w:pStyle w:val="TOC1"/>
            <w:rPr>
              <w:rFonts w:asciiTheme="minorHAnsi" w:eastAsiaTheme="minorEastAsia" w:hAnsiTheme="minorHAnsi"/>
              <w:b w:val="0"/>
              <w:noProof/>
              <w:color w:val="auto"/>
              <w:kern w:val="2"/>
              <w:sz w:val="24"/>
              <w:szCs w:val="24"/>
              <w:lang w:eastAsia="en-AU"/>
              <w14:ligatures w14:val="standardContextual"/>
            </w:rPr>
          </w:pPr>
          <w:hyperlink w:anchor="_Toc193462724" w:history="1">
            <w:r w:rsidRPr="005475FD">
              <w:rPr>
                <w:rStyle w:val="Hyperlink"/>
                <w:noProof/>
                <w:lang w:val="en-PH"/>
              </w:rPr>
              <w:t>4</w:t>
            </w:r>
            <w:r>
              <w:rPr>
                <w:rFonts w:asciiTheme="minorHAnsi" w:eastAsiaTheme="minorEastAsia" w:hAnsiTheme="minorHAnsi"/>
                <w:b w:val="0"/>
                <w:noProof/>
                <w:color w:val="auto"/>
                <w:kern w:val="2"/>
                <w:sz w:val="24"/>
                <w:szCs w:val="24"/>
                <w:lang w:eastAsia="en-AU"/>
                <w14:ligatures w14:val="standardContextual"/>
              </w:rPr>
              <w:tab/>
            </w:r>
            <w:r w:rsidRPr="005475FD">
              <w:rPr>
                <w:rStyle w:val="Hyperlink"/>
                <w:noProof/>
                <w:lang w:val="en-PH"/>
              </w:rPr>
              <w:t>AR-DRG V12.0 Overview</w:t>
            </w:r>
            <w:r>
              <w:rPr>
                <w:noProof/>
                <w:webHidden/>
              </w:rPr>
              <w:tab/>
            </w:r>
            <w:r>
              <w:rPr>
                <w:noProof/>
                <w:webHidden/>
              </w:rPr>
              <w:fldChar w:fldCharType="begin"/>
            </w:r>
            <w:r>
              <w:rPr>
                <w:noProof/>
                <w:webHidden/>
              </w:rPr>
              <w:instrText xml:space="preserve"> PAGEREF _Toc193462724 \h </w:instrText>
            </w:r>
            <w:r>
              <w:rPr>
                <w:noProof/>
                <w:webHidden/>
              </w:rPr>
            </w:r>
            <w:r>
              <w:rPr>
                <w:noProof/>
                <w:webHidden/>
              </w:rPr>
              <w:fldChar w:fldCharType="separate"/>
            </w:r>
            <w:r>
              <w:rPr>
                <w:noProof/>
                <w:webHidden/>
              </w:rPr>
              <w:t>29</w:t>
            </w:r>
            <w:r>
              <w:rPr>
                <w:noProof/>
                <w:webHidden/>
              </w:rPr>
              <w:fldChar w:fldCharType="end"/>
            </w:r>
          </w:hyperlink>
        </w:p>
        <w:p w14:paraId="23735D71" w14:textId="32AF9030"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25" w:history="1">
            <w:r w:rsidRPr="005475FD">
              <w:rPr>
                <w:rStyle w:val="Hyperlink"/>
                <w:noProof/>
                <w:lang w:val="en-PH"/>
              </w:rPr>
              <w:t>4.1</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Overall Summary</w:t>
            </w:r>
            <w:r>
              <w:rPr>
                <w:noProof/>
                <w:webHidden/>
              </w:rPr>
              <w:tab/>
            </w:r>
            <w:r>
              <w:rPr>
                <w:noProof/>
                <w:webHidden/>
              </w:rPr>
              <w:fldChar w:fldCharType="begin"/>
            </w:r>
            <w:r>
              <w:rPr>
                <w:noProof/>
                <w:webHidden/>
              </w:rPr>
              <w:instrText xml:space="preserve"> PAGEREF _Toc193462725 \h </w:instrText>
            </w:r>
            <w:r>
              <w:rPr>
                <w:noProof/>
                <w:webHidden/>
              </w:rPr>
            </w:r>
            <w:r>
              <w:rPr>
                <w:noProof/>
                <w:webHidden/>
              </w:rPr>
              <w:fldChar w:fldCharType="separate"/>
            </w:r>
            <w:r>
              <w:rPr>
                <w:noProof/>
                <w:webHidden/>
              </w:rPr>
              <w:t>29</w:t>
            </w:r>
            <w:r>
              <w:rPr>
                <w:noProof/>
                <w:webHidden/>
              </w:rPr>
              <w:fldChar w:fldCharType="end"/>
            </w:r>
          </w:hyperlink>
        </w:p>
        <w:p w14:paraId="1BD4739F" w14:textId="46F74DB2" w:rsidR="00570B4E" w:rsidRDefault="00570B4E">
          <w:pPr>
            <w:pStyle w:val="TOC2"/>
            <w:tabs>
              <w:tab w:val="left" w:pos="960"/>
              <w:tab w:val="right" w:leader="dot" w:pos="9736"/>
            </w:tabs>
            <w:rPr>
              <w:rFonts w:asciiTheme="minorHAnsi" w:eastAsiaTheme="minorEastAsia" w:hAnsiTheme="minorHAnsi"/>
              <w:noProof/>
              <w:color w:val="auto"/>
              <w:kern w:val="2"/>
              <w:sz w:val="24"/>
              <w:szCs w:val="24"/>
              <w:lang w:eastAsia="en-AU"/>
              <w14:ligatures w14:val="standardContextual"/>
            </w:rPr>
          </w:pPr>
          <w:hyperlink w:anchor="_Toc193462726" w:history="1">
            <w:r w:rsidRPr="005475FD">
              <w:rPr>
                <w:rStyle w:val="Hyperlink"/>
                <w:noProof/>
                <w:lang w:val="en-PH"/>
              </w:rPr>
              <w:t>4.2</w:t>
            </w:r>
            <w:r>
              <w:rPr>
                <w:rFonts w:asciiTheme="minorHAnsi" w:eastAsiaTheme="minorEastAsia" w:hAnsiTheme="minorHAnsi"/>
                <w:noProof/>
                <w:color w:val="auto"/>
                <w:kern w:val="2"/>
                <w:sz w:val="24"/>
                <w:szCs w:val="24"/>
                <w:lang w:eastAsia="en-AU"/>
                <w14:ligatures w14:val="standardContextual"/>
              </w:rPr>
              <w:tab/>
            </w:r>
            <w:r w:rsidRPr="005475FD">
              <w:rPr>
                <w:rStyle w:val="Hyperlink"/>
                <w:noProof/>
                <w:lang w:val="en-PH"/>
              </w:rPr>
              <w:t>Statistical Performance</w:t>
            </w:r>
            <w:r>
              <w:rPr>
                <w:noProof/>
                <w:webHidden/>
              </w:rPr>
              <w:tab/>
            </w:r>
            <w:r>
              <w:rPr>
                <w:noProof/>
                <w:webHidden/>
              </w:rPr>
              <w:fldChar w:fldCharType="begin"/>
            </w:r>
            <w:r>
              <w:rPr>
                <w:noProof/>
                <w:webHidden/>
              </w:rPr>
              <w:instrText xml:space="preserve"> PAGEREF _Toc193462726 \h </w:instrText>
            </w:r>
            <w:r>
              <w:rPr>
                <w:noProof/>
                <w:webHidden/>
              </w:rPr>
            </w:r>
            <w:r>
              <w:rPr>
                <w:noProof/>
                <w:webHidden/>
              </w:rPr>
              <w:fldChar w:fldCharType="separate"/>
            </w:r>
            <w:r>
              <w:rPr>
                <w:noProof/>
                <w:webHidden/>
              </w:rPr>
              <w:t>30</w:t>
            </w:r>
            <w:r>
              <w:rPr>
                <w:noProof/>
                <w:webHidden/>
              </w:rPr>
              <w:fldChar w:fldCharType="end"/>
            </w:r>
          </w:hyperlink>
        </w:p>
        <w:p w14:paraId="40645DBF" w14:textId="4771E880" w:rsidR="00570B4E" w:rsidRDefault="00570B4E">
          <w:pPr>
            <w:pStyle w:val="TOC1"/>
            <w:rPr>
              <w:rFonts w:asciiTheme="minorHAnsi" w:eastAsiaTheme="minorEastAsia" w:hAnsiTheme="minorHAnsi"/>
              <w:b w:val="0"/>
              <w:noProof/>
              <w:color w:val="auto"/>
              <w:kern w:val="2"/>
              <w:sz w:val="24"/>
              <w:szCs w:val="24"/>
              <w:lang w:eastAsia="en-AU"/>
              <w14:ligatures w14:val="standardContextual"/>
            </w:rPr>
          </w:pPr>
          <w:hyperlink w:anchor="_Toc193462727" w:history="1">
            <w:r w:rsidRPr="005475FD">
              <w:rPr>
                <w:rStyle w:val="Hyperlink"/>
                <w:noProof/>
              </w:rPr>
              <w:t>Appendix A: ICD-10-AM and ACHI code references</w:t>
            </w:r>
            <w:r>
              <w:rPr>
                <w:noProof/>
                <w:webHidden/>
              </w:rPr>
              <w:tab/>
            </w:r>
            <w:r>
              <w:rPr>
                <w:noProof/>
                <w:webHidden/>
              </w:rPr>
              <w:fldChar w:fldCharType="begin"/>
            </w:r>
            <w:r>
              <w:rPr>
                <w:noProof/>
                <w:webHidden/>
              </w:rPr>
              <w:instrText xml:space="preserve"> PAGEREF _Toc193462727 \h </w:instrText>
            </w:r>
            <w:r>
              <w:rPr>
                <w:noProof/>
                <w:webHidden/>
              </w:rPr>
            </w:r>
            <w:r>
              <w:rPr>
                <w:noProof/>
                <w:webHidden/>
              </w:rPr>
              <w:fldChar w:fldCharType="separate"/>
            </w:r>
            <w:r>
              <w:rPr>
                <w:noProof/>
                <w:webHidden/>
              </w:rPr>
              <w:t>31</w:t>
            </w:r>
            <w:r>
              <w:rPr>
                <w:noProof/>
                <w:webHidden/>
              </w:rPr>
              <w:fldChar w:fldCharType="end"/>
            </w:r>
          </w:hyperlink>
        </w:p>
        <w:p w14:paraId="598BBA12" w14:textId="656D510F" w:rsidR="00367B5A" w:rsidRPr="00A51443" w:rsidRDefault="00367B5A" w:rsidP="006373CB">
          <w:pPr>
            <w:pStyle w:val="TOC1"/>
            <w:rPr>
              <w:rFonts w:asciiTheme="minorHAnsi" w:eastAsiaTheme="minorEastAsia" w:hAnsiTheme="minorHAnsi"/>
              <w:noProof/>
              <w:color w:val="auto"/>
              <w:kern w:val="2"/>
              <w:lang w:eastAsia="en-AU"/>
              <w14:ligatures w14:val="standardContextual"/>
            </w:rPr>
          </w:pPr>
          <w:r w:rsidRPr="00A51443">
            <w:rPr>
              <w:noProof/>
            </w:rPr>
            <w:fldChar w:fldCharType="end"/>
          </w:r>
        </w:p>
      </w:sdtContent>
    </w:sdt>
    <w:p w14:paraId="1A30DF84" w14:textId="77777777" w:rsidR="00C23AFD" w:rsidRPr="00A51443" w:rsidRDefault="00C23AFD">
      <w:pPr>
        <w:spacing w:line="259" w:lineRule="auto"/>
        <w:rPr>
          <w:rFonts w:eastAsiaTheme="majorEastAsia" w:cstheme="majorBidi"/>
          <w:b/>
          <w:sz w:val="72"/>
          <w:szCs w:val="32"/>
        </w:rPr>
        <w:sectPr w:rsidR="00C23AFD" w:rsidRPr="00A51443" w:rsidSect="009519E0">
          <w:headerReference w:type="default" r:id="rId17"/>
          <w:footerReference w:type="default" r:id="rId18"/>
          <w:pgSz w:w="11906" w:h="16838" w:code="9"/>
          <w:pgMar w:top="1440" w:right="1080" w:bottom="1440" w:left="1080" w:header="708" w:footer="708" w:gutter="0"/>
          <w:cols w:space="708"/>
          <w:docGrid w:linePitch="360"/>
        </w:sectPr>
      </w:pPr>
    </w:p>
    <w:p w14:paraId="4D8EB340" w14:textId="77777777" w:rsidR="00367B5A" w:rsidRPr="00A51443" w:rsidRDefault="00367B5A" w:rsidP="00367B5A">
      <w:pPr>
        <w:pStyle w:val="Heading1"/>
        <w:rPr>
          <w:sz w:val="64"/>
          <w:szCs w:val="64"/>
        </w:rPr>
      </w:pPr>
      <w:bookmarkStart w:id="2" w:name="_Toc100328185"/>
      <w:bookmarkStart w:id="3" w:name="_Toc188263098"/>
      <w:bookmarkStart w:id="4" w:name="_Toc193462690"/>
      <w:r w:rsidRPr="00A51443">
        <w:rPr>
          <w:sz w:val="64"/>
          <w:szCs w:val="64"/>
        </w:rPr>
        <w:lastRenderedPageBreak/>
        <w:t>Acronyms and Abbreviations</w:t>
      </w:r>
      <w:bookmarkEnd w:id="2"/>
      <w:bookmarkEnd w:id="3"/>
      <w:bookmarkEnd w:id="4"/>
    </w:p>
    <w:tbl>
      <w:tblPr>
        <w:tblW w:w="9943" w:type="dxa"/>
        <w:tblInd w:w="284" w:type="dxa"/>
        <w:tblLook w:val="04A0" w:firstRow="1" w:lastRow="0" w:firstColumn="1" w:lastColumn="0" w:noHBand="0" w:noVBand="1"/>
      </w:tblPr>
      <w:tblGrid>
        <w:gridCol w:w="3084"/>
        <w:gridCol w:w="6859"/>
      </w:tblGrid>
      <w:tr w:rsidR="00AB1D1A" w:rsidRPr="00A51443" w14:paraId="30C48D50" w14:textId="77777777" w:rsidTr="00F20FDB">
        <w:tc>
          <w:tcPr>
            <w:tcW w:w="3084" w:type="dxa"/>
          </w:tcPr>
          <w:p w14:paraId="767F84E6" w14:textId="77777777" w:rsidR="00367B5A" w:rsidRPr="00A51443" w:rsidRDefault="00367B5A" w:rsidP="00D92203">
            <w:pPr>
              <w:rPr>
                <w:color w:val="auto"/>
              </w:rPr>
            </w:pPr>
            <w:r w:rsidRPr="00A51443">
              <w:rPr>
                <w:color w:val="auto"/>
              </w:rPr>
              <w:t>ABF</w:t>
            </w:r>
          </w:p>
        </w:tc>
        <w:tc>
          <w:tcPr>
            <w:tcW w:w="6859" w:type="dxa"/>
          </w:tcPr>
          <w:p w14:paraId="151A65EA" w14:textId="77777777" w:rsidR="00367B5A" w:rsidRPr="00A51443" w:rsidRDefault="00367B5A" w:rsidP="00D92203">
            <w:pPr>
              <w:rPr>
                <w:color w:val="auto"/>
              </w:rPr>
            </w:pPr>
            <w:r w:rsidRPr="00A51443">
              <w:rPr>
                <w:color w:val="auto"/>
              </w:rPr>
              <w:t>Activity Based Funding</w:t>
            </w:r>
          </w:p>
        </w:tc>
      </w:tr>
      <w:tr w:rsidR="00AB1D1A" w:rsidRPr="00A51443" w14:paraId="03CC0795" w14:textId="77777777" w:rsidTr="00F20FDB">
        <w:tc>
          <w:tcPr>
            <w:tcW w:w="3084" w:type="dxa"/>
          </w:tcPr>
          <w:p w14:paraId="7F6DFE97" w14:textId="77777777" w:rsidR="00367B5A" w:rsidRPr="00A51443" w:rsidRDefault="00367B5A" w:rsidP="00D92203">
            <w:pPr>
              <w:rPr>
                <w:color w:val="auto"/>
              </w:rPr>
            </w:pPr>
            <w:r w:rsidRPr="00A51443">
              <w:rPr>
                <w:color w:val="auto"/>
              </w:rPr>
              <w:t>ACHI</w:t>
            </w:r>
          </w:p>
        </w:tc>
        <w:tc>
          <w:tcPr>
            <w:tcW w:w="6859" w:type="dxa"/>
          </w:tcPr>
          <w:p w14:paraId="39CCE077" w14:textId="77777777" w:rsidR="00367B5A" w:rsidRPr="00A51443" w:rsidRDefault="00367B5A" w:rsidP="00D92203">
            <w:pPr>
              <w:rPr>
                <w:color w:val="auto"/>
              </w:rPr>
            </w:pPr>
            <w:r w:rsidRPr="00A51443">
              <w:rPr>
                <w:color w:val="auto"/>
              </w:rPr>
              <w:t>Australian Classification of Health Interventions</w:t>
            </w:r>
          </w:p>
        </w:tc>
      </w:tr>
      <w:tr w:rsidR="00AB1D1A" w:rsidRPr="00A51443" w14:paraId="4EF642AD" w14:textId="77777777" w:rsidTr="00F20FDB">
        <w:tc>
          <w:tcPr>
            <w:tcW w:w="3084" w:type="dxa"/>
          </w:tcPr>
          <w:p w14:paraId="454B8425" w14:textId="77777777" w:rsidR="00367B5A" w:rsidRPr="00A51443" w:rsidRDefault="00367B5A" w:rsidP="00D92203">
            <w:pPr>
              <w:rPr>
                <w:color w:val="auto"/>
              </w:rPr>
            </w:pPr>
            <w:r w:rsidRPr="00A51443">
              <w:rPr>
                <w:color w:val="auto"/>
              </w:rPr>
              <w:t>ACS</w:t>
            </w:r>
          </w:p>
        </w:tc>
        <w:tc>
          <w:tcPr>
            <w:tcW w:w="6859" w:type="dxa"/>
          </w:tcPr>
          <w:p w14:paraId="7D194EF0" w14:textId="77777777" w:rsidR="00367B5A" w:rsidRPr="00A51443" w:rsidRDefault="00367B5A" w:rsidP="00D92203">
            <w:pPr>
              <w:rPr>
                <w:color w:val="auto"/>
              </w:rPr>
            </w:pPr>
            <w:r w:rsidRPr="00A51443">
              <w:rPr>
                <w:color w:val="auto"/>
              </w:rPr>
              <w:t>Australian Coding Standards</w:t>
            </w:r>
          </w:p>
        </w:tc>
      </w:tr>
      <w:tr w:rsidR="00AB1D1A" w:rsidRPr="00A51443" w14:paraId="6F3E118E" w14:textId="77777777" w:rsidTr="00F20FDB">
        <w:tc>
          <w:tcPr>
            <w:tcW w:w="3084" w:type="dxa"/>
          </w:tcPr>
          <w:p w14:paraId="5868B97E" w14:textId="42B67A01" w:rsidR="00091BB7" w:rsidRPr="00A51443" w:rsidRDefault="00367B5A" w:rsidP="003D1FAC">
            <w:pPr>
              <w:rPr>
                <w:color w:val="auto"/>
              </w:rPr>
            </w:pPr>
            <w:r w:rsidRPr="00A51443">
              <w:rPr>
                <w:color w:val="auto"/>
              </w:rPr>
              <w:t>ADRG</w:t>
            </w:r>
          </w:p>
        </w:tc>
        <w:tc>
          <w:tcPr>
            <w:tcW w:w="6859" w:type="dxa"/>
          </w:tcPr>
          <w:p w14:paraId="44A0FE06" w14:textId="69B99570" w:rsidR="00091BB7" w:rsidRPr="00A51443" w:rsidRDefault="00367B5A" w:rsidP="003D1FAC">
            <w:pPr>
              <w:rPr>
                <w:color w:val="auto"/>
              </w:rPr>
            </w:pPr>
            <w:r w:rsidRPr="00A51443">
              <w:rPr>
                <w:color w:val="auto"/>
              </w:rPr>
              <w:t>Adjacent Diagnosis Related Group</w:t>
            </w:r>
          </w:p>
        </w:tc>
      </w:tr>
      <w:tr w:rsidR="008A0E86" w:rsidRPr="00A51443" w14:paraId="30B79B0B" w14:textId="77777777" w:rsidTr="00F20FDB">
        <w:tc>
          <w:tcPr>
            <w:tcW w:w="3084" w:type="dxa"/>
          </w:tcPr>
          <w:p w14:paraId="5EA3AA3D" w14:textId="4D8FC12D" w:rsidR="008A0E86" w:rsidRPr="00A51443" w:rsidRDefault="008A0E86" w:rsidP="008A0E86">
            <w:pPr>
              <w:rPr>
                <w:color w:val="auto"/>
              </w:rPr>
            </w:pPr>
            <w:r w:rsidRPr="00A51443">
              <w:rPr>
                <w:color w:val="auto"/>
              </w:rPr>
              <w:t>APC</w:t>
            </w:r>
          </w:p>
        </w:tc>
        <w:tc>
          <w:tcPr>
            <w:tcW w:w="6859" w:type="dxa"/>
          </w:tcPr>
          <w:p w14:paraId="47C6CD1D" w14:textId="1EF2B4D0" w:rsidR="008A0E86" w:rsidRPr="00A51443" w:rsidRDefault="008A0E86" w:rsidP="008A0E86">
            <w:pPr>
              <w:rPr>
                <w:color w:val="auto"/>
              </w:rPr>
            </w:pPr>
            <w:r w:rsidRPr="00A51443">
              <w:rPr>
                <w:color w:val="auto"/>
              </w:rPr>
              <w:t>Admitted Patient Care</w:t>
            </w:r>
          </w:p>
        </w:tc>
      </w:tr>
      <w:tr w:rsidR="00AB1D1A" w:rsidRPr="00A51443" w14:paraId="251E80ED" w14:textId="77777777" w:rsidTr="00BF6BA7">
        <w:trPr>
          <w:trHeight w:val="420"/>
        </w:trPr>
        <w:tc>
          <w:tcPr>
            <w:tcW w:w="3084" w:type="dxa"/>
          </w:tcPr>
          <w:p w14:paraId="3B346B93" w14:textId="0BC8D605" w:rsidR="00091E71" w:rsidRPr="00A51443" w:rsidRDefault="00367B5A" w:rsidP="00D92203">
            <w:pPr>
              <w:rPr>
                <w:color w:val="auto"/>
              </w:rPr>
            </w:pPr>
            <w:r w:rsidRPr="00A51443">
              <w:rPr>
                <w:color w:val="auto"/>
              </w:rPr>
              <w:t>AR-DRG</w:t>
            </w:r>
          </w:p>
        </w:tc>
        <w:tc>
          <w:tcPr>
            <w:tcW w:w="6859" w:type="dxa"/>
          </w:tcPr>
          <w:p w14:paraId="650FAAF6" w14:textId="4C8DD397" w:rsidR="00091E71" w:rsidRPr="00A51443" w:rsidRDefault="00367B5A" w:rsidP="00BF6BA7">
            <w:pPr>
              <w:rPr>
                <w:color w:val="auto"/>
              </w:rPr>
            </w:pPr>
            <w:r w:rsidRPr="00A51443">
              <w:rPr>
                <w:color w:val="auto"/>
              </w:rPr>
              <w:t>Australian Refined Diagnosis Related Groups</w:t>
            </w:r>
          </w:p>
        </w:tc>
      </w:tr>
      <w:tr w:rsidR="00BF6BA7" w:rsidRPr="00A51443" w14:paraId="3CA48996" w14:textId="77777777" w:rsidTr="00F20FDB">
        <w:tc>
          <w:tcPr>
            <w:tcW w:w="3084" w:type="dxa"/>
          </w:tcPr>
          <w:p w14:paraId="2AB3EFA6" w14:textId="4B7171C9" w:rsidR="00BF6BA7" w:rsidRPr="00A51443" w:rsidRDefault="00BF6BA7" w:rsidP="00D92203">
            <w:pPr>
              <w:rPr>
                <w:color w:val="auto"/>
              </w:rPr>
            </w:pPr>
            <w:r w:rsidRPr="00A51443">
              <w:rPr>
                <w:color w:val="auto"/>
              </w:rPr>
              <w:t>AUG</w:t>
            </w:r>
          </w:p>
        </w:tc>
        <w:tc>
          <w:tcPr>
            <w:tcW w:w="6859" w:type="dxa"/>
          </w:tcPr>
          <w:p w14:paraId="53FD6F52" w14:textId="6CFA616B" w:rsidR="00BF6BA7" w:rsidRPr="00A51443" w:rsidRDefault="00BF6BA7" w:rsidP="00D92203">
            <w:pPr>
              <w:rPr>
                <w:color w:val="auto"/>
              </w:rPr>
            </w:pPr>
            <w:r w:rsidRPr="00A51443">
              <w:rPr>
                <w:color w:val="auto"/>
              </w:rPr>
              <w:t>Area Under Gains</w:t>
            </w:r>
          </w:p>
        </w:tc>
      </w:tr>
      <w:tr w:rsidR="00AB1D1A" w:rsidRPr="00A51443" w14:paraId="14DA4686" w14:textId="77777777" w:rsidTr="00F20FDB">
        <w:tc>
          <w:tcPr>
            <w:tcW w:w="3084" w:type="dxa"/>
          </w:tcPr>
          <w:p w14:paraId="1E44CA9C" w14:textId="77777777" w:rsidR="00367B5A" w:rsidRPr="00A51443" w:rsidRDefault="00367B5A" w:rsidP="00D92203">
            <w:pPr>
              <w:rPr>
                <w:color w:val="auto"/>
              </w:rPr>
            </w:pPr>
            <w:r w:rsidRPr="00A51443">
              <w:rPr>
                <w:color w:val="auto"/>
              </w:rPr>
              <w:t>CAC</w:t>
            </w:r>
          </w:p>
        </w:tc>
        <w:tc>
          <w:tcPr>
            <w:tcW w:w="6859" w:type="dxa"/>
          </w:tcPr>
          <w:p w14:paraId="501D733A" w14:textId="77777777" w:rsidR="00367B5A" w:rsidRPr="00A51443" w:rsidRDefault="00367B5A" w:rsidP="00D92203">
            <w:pPr>
              <w:rPr>
                <w:color w:val="auto"/>
              </w:rPr>
            </w:pPr>
            <w:r w:rsidRPr="00A51443">
              <w:rPr>
                <w:color w:val="auto"/>
              </w:rPr>
              <w:t>Clinical Advisory Committee</w:t>
            </w:r>
          </w:p>
        </w:tc>
      </w:tr>
      <w:tr w:rsidR="00AB1D1A" w:rsidRPr="00A51443" w14:paraId="482A3E55" w14:textId="77777777" w:rsidTr="00F20FDB">
        <w:tc>
          <w:tcPr>
            <w:tcW w:w="3084" w:type="dxa"/>
          </w:tcPr>
          <w:p w14:paraId="14D03CFA" w14:textId="3AD16777" w:rsidR="00FA6BED" w:rsidRPr="00A51443" w:rsidRDefault="00367B5A" w:rsidP="003D1FAC">
            <w:pPr>
              <w:rPr>
                <w:color w:val="auto"/>
              </w:rPr>
            </w:pPr>
            <w:r w:rsidRPr="00A51443">
              <w:rPr>
                <w:color w:val="auto"/>
              </w:rPr>
              <w:t>CCAG</w:t>
            </w:r>
          </w:p>
        </w:tc>
        <w:tc>
          <w:tcPr>
            <w:tcW w:w="6859" w:type="dxa"/>
          </w:tcPr>
          <w:p w14:paraId="13C00270" w14:textId="27463086" w:rsidR="00FA6BED" w:rsidRPr="00A51443" w:rsidRDefault="00367B5A" w:rsidP="003D1FAC">
            <w:pPr>
              <w:rPr>
                <w:color w:val="auto"/>
              </w:rPr>
            </w:pPr>
            <w:r w:rsidRPr="00A51443">
              <w:rPr>
                <w:color w:val="auto"/>
              </w:rPr>
              <w:t>Classifications Clinical Advisory Group</w:t>
            </w:r>
          </w:p>
        </w:tc>
      </w:tr>
      <w:tr w:rsidR="00AB1D1A" w:rsidRPr="00A51443" w14:paraId="5FBBA34A" w14:textId="77777777" w:rsidTr="00F20FDB">
        <w:tc>
          <w:tcPr>
            <w:tcW w:w="3084" w:type="dxa"/>
          </w:tcPr>
          <w:p w14:paraId="1CA682CE" w14:textId="5595D6F3" w:rsidR="003D1FAC" w:rsidRPr="00A51443" w:rsidRDefault="003D1FAC" w:rsidP="00D92203">
            <w:pPr>
              <w:rPr>
                <w:color w:val="auto"/>
              </w:rPr>
            </w:pPr>
            <w:r w:rsidRPr="00A51443">
              <w:rPr>
                <w:color w:val="auto"/>
              </w:rPr>
              <w:t>CDC</w:t>
            </w:r>
          </w:p>
        </w:tc>
        <w:tc>
          <w:tcPr>
            <w:tcW w:w="6859" w:type="dxa"/>
          </w:tcPr>
          <w:p w14:paraId="3AF4E32A" w14:textId="51A59A81" w:rsidR="003D1FAC" w:rsidRPr="00A51443" w:rsidRDefault="003D1FAC" w:rsidP="00D92203">
            <w:pPr>
              <w:rPr>
                <w:color w:val="auto"/>
              </w:rPr>
            </w:pPr>
            <w:r w:rsidRPr="00A51443">
              <w:rPr>
                <w:color w:val="auto"/>
              </w:rPr>
              <w:t>Coherent Diagnosis Class</w:t>
            </w:r>
          </w:p>
        </w:tc>
      </w:tr>
      <w:tr w:rsidR="00AB1D1A" w:rsidRPr="00A51443" w14:paraId="3D6D4086" w14:textId="77777777" w:rsidTr="00F20FDB">
        <w:tc>
          <w:tcPr>
            <w:tcW w:w="3084" w:type="dxa"/>
            <w:shd w:val="clear" w:color="auto" w:fill="auto"/>
          </w:tcPr>
          <w:p w14:paraId="17A60CD6" w14:textId="77777777" w:rsidR="00367B5A" w:rsidRPr="00A51443" w:rsidRDefault="00367B5A" w:rsidP="00D92203">
            <w:pPr>
              <w:rPr>
                <w:color w:val="auto"/>
              </w:rPr>
            </w:pPr>
            <w:r w:rsidRPr="00A51443">
              <w:rPr>
                <w:color w:val="auto"/>
              </w:rPr>
              <w:t>DCL</w:t>
            </w:r>
          </w:p>
        </w:tc>
        <w:tc>
          <w:tcPr>
            <w:tcW w:w="6859" w:type="dxa"/>
            <w:shd w:val="clear" w:color="auto" w:fill="auto"/>
          </w:tcPr>
          <w:p w14:paraId="58472BEE" w14:textId="77777777" w:rsidR="00367B5A" w:rsidRPr="00A51443" w:rsidRDefault="00367B5A" w:rsidP="00D92203">
            <w:pPr>
              <w:rPr>
                <w:color w:val="auto"/>
              </w:rPr>
            </w:pPr>
            <w:r w:rsidRPr="00A51443">
              <w:rPr>
                <w:color w:val="auto"/>
              </w:rPr>
              <w:t>Diagnosis Complexity Level</w:t>
            </w:r>
          </w:p>
        </w:tc>
      </w:tr>
      <w:tr w:rsidR="00AB1D1A" w:rsidRPr="00A51443" w14:paraId="079C4330" w14:textId="77777777" w:rsidTr="00F20FDB">
        <w:tc>
          <w:tcPr>
            <w:tcW w:w="3084" w:type="dxa"/>
          </w:tcPr>
          <w:p w14:paraId="23512036" w14:textId="77777777" w:rsidR="00367B5A" w:rsidRPr="00A51443" w:rsidRDefault="00367B5A" w:rsidP="00D92203">
            <w:pPr>
              <w:rPr>
                <w:color w:val="auto"/>
              </w:rPr>
            </w:pPr>
            <w:r w:rsidRPr="00A51443">
              <w:rPr>
                <w:color w:val="auto"/>
              </w:rPr>
              <w:t>DRG</w:t>
            </w:r>
          </w:p>
        </w:tc>
        <w:tc>
          <w:tcPr>
            <w:tcW w:w="6859" w:type="dxa"/>
          </w:tcPr>
          <w:p w14:paraId="7A4D6EB0" w14:textId="77777777" w:rsidR="00367B5A" w:rsidRPr="00A51443" w:rsidRDefault="00367B5A" w:rsidP="00D92203">
            <w:pPr>
              <w:rPr>
                <w:color w:val="auto"/>
              </w:rPr>
            </w:pPr>
            <w:r w:rsidRPr="00A51443">
              <w:rPr>
                <w:color w:val="auto"/>
              </w:rPr>
              <w:t>Diagnosis Related Group</w:t>
            </w:r>
          </w:p>
        </w:tc>
      </w:tr>
      <w:tr w:rsidR="00AB1D1A" w:rsidRPr="00A51443" w14:paraId="69549AC8" w14:textId="77777777" w:rsidTr="00F20FDB">
        <w:tc>
          <w:tcPr>
            <w:tcW w:w="3084" w:type="dxa"/>
          </w:tcPr>
          <w:p w14:paraId="10CA359F" w14:textId="77777777" w:rsidR="00367B5A" w:rsidRPr="00A51443" w:rsidRDefault="00367B5A" w:rsidP="00D92203">
            <w:pPr>
              <w:rPr>
                <w:color w:val="auto"/>
              </w:rPr>
            </w:pPr>
            <w:r w:rsidRPr="00A51443">
              <w:rPr>
                <w:color w:val="auto"/>
              </w:rPr>
              <w:t xml:space="preserve">DTG </w:t>
            </w:r>
          </w:p>
        </w:tc>
        <w:tc>
          <w:tcPr>
            <w:tcW w:w="6859" w:type="dxa"/>
          </w:tcPr>
          <w:p w14:paraId="3877DC8B" w14:textId="77777777" w:rsidR="00367B5A" w:rsidRPr="00A51443" w:rsidRDefault="00367B5A" w:rsidP="00D92203">
            <w:pPr>
              <w:rPr>
                <w:color w:val="auto"/>
              </w:rPr>
            </w:pPr>
            <w:r w:rsidRPr="00A51443">
              <w:rPr>
                <w:color w:val="auto"/>
              </w:rPr>
              <w:t>DRG Technical Group</w:t>
            </w:r>
          </w:p>
        </w:tc>
      </w:tr>
      <w:tr w:rsidR="00AB1D1A" w:rsidRPr="00A51443" w14:paraId="4E135092" w14:textId="77777777" w:rsidTr="00F20FDB">
        <w:tc>
          <w:tcPr>
            <w:tcW w:w="3084" w:type="dxa"/>
          </w:tcPr>
          <w:p w14:paraId="6DC2E623" w14:textId="77777777" w:rsidR="00367B5A" w:rsidRPr="00A51443" w:rsidRDefault="00367B5A" w:rsidP="00D92203">
            <w:pPr>
              <w:rPr>
                <w:color w:val="auto"/>
              </w:rPr>
            </w:pPr>
            <w:r w:rsidRPr="00A51443">
              <w:rPr>
                <w:color w:val="auto"/>
              </w:rPr>
              <w:t>ECC</w:t>
            </w:r>
          </w:p>
        </w:tc>
        <w:tc>
          <w:tcPr>
            <w:tcW w:w="6859" w:type="dxa"/>
          </w:tcPr>
          <w:p w14:paraId="6903B3BD" w14:textId="77777777" w:rsidR="00367B5A" w:rsidRPr="00A51443" w:rsidRDefault="00367B5A" w:rsidP="00D92203">
            <w:pPr>
              <w:rPr>
                <w:color w:val="auto"/>
              </w:rPr>
            </w:pPr>
            <w:r w:rsidRPr="00A51443">
              <w:rPr>
                <w:color w:val="auto"/>
              </w:rPr>
              <w:t>Episode Clinical Complexity</w:t>
            </w:r>
          </w:p>
        </w:tc>
      </w:tr>
      <w:tr w:rsidR="00AB1D1A" w:rsidRPr="00A51443" w14:paraId="4EF2CBC6" w14:textId="77777777" w:rsidTr="00F20FDB">
        <w:tc>
          <w:tcPr>
            <w:tcW w:w="3084" w:type="dxa"/>
          </w:tcPr>
          <w:p w14:paraId="5606D4FE" w14:textId="77777777" w:rsidR="00367B5A" w:rsidRPr="00A51443" w:rsidRDefault="00367B5A" w:rsidP="00D92203">
            <w:pPr>
              <w:rPr>
                <w:color w:val="auto"/>
              </w:rPr>
            </w:pPr>
            <w:r w:rsidRPr="00A51443">
              <w:rPr>
                <w:color w:val="auto"/>
              </w:rPr>
              <w:t>ECCS</w:t>
            </w:r>
          </w:p>
        </w:tc>
        <w:tc>
          <w:tcPr>
            <w:tcW w:w="6859" w:type="dxa"/>
          </w:tcPr>
          <w:p w14:paraId="5F25F9F3" w14:textId="77777777" w:rsidR="00367B5A" w:rsidRPr="00A51443" w:rsidRDefault="00367B5A" w:rsidP="00D92203">
            <w:pPr>
              <w:rPr>
                <w:color w:val="auto"/>
              </w:rPr>
            </w:pPr>
            <w:r w:rsidRPr="00A51443">
              <w:rPr>
                <w:color w:val="auto"/>
              </w:rPr>
              <w:t>Episode Clinical Complexity Score</w:t>
            </w:r>
          </w:p>
        </w:tc>
      </w:tr>
      <w:tr w:rsidR="00AB1D1A" w:rsidRPr="00A51443" w14:paraId="327E4BAD" w14:textId="77777777" w:rsidTr="00F20FDB">
        <w:tc>
          <w:tcPr>
            <w:tcW w:w="3084" w:type="dxa"/>
          </w:tcPr>
          <w:p w14:paraId="5380455E" w14:textId="3DB28003" w:rsidR="00367B5A" w:rsidRPr="00A51443" w:rsidRDefault="00367B5A" w:rsidP="00D92203">
            <w:pPr>
              <w:rPr>
                <w:color w:val="auto"/>
              </w:rPr>
            </w:pPr>
            <w:r w:rsidRPr="00A51443">
              <w:rPr>
                <w:color w:val="auto"/>
              </w:rPr>
              <w:t>GI</w:t>
            </w:r>
          </w:p>
        </w:tc>
        <w:tc>
          <w:tcPr>
            <w:tcW w:w="6859" w:type="dxa"/>
          </w:tcPr>
          <w:p w14:paraId="7AF20A33" w14:textId="03E5BE06" w:rsidR="00367B5A" w:rsidRPr="00A51443" w:rsidRDefault="00367B5A" w:rsidP="00D92203">
            <w:pPr>
              <w:rPr>
                <w:color w:val="auto"/>
              </w:rPr>
            </w:pPr>
            <w:r w:rsidRPr="00A51443">
              <w:rPr>
                <w:color w:val="auto"/>
              </w:rPr>
              <w:t>General Intervention</w:t>
            </w:r>
          </w:p>
        </w:tc>
      </w:tr>
      <w:tr w:rsidR="00AB1D1A" w:rsidRPr="00A51443" w14:paraId="51FACC86" w14:textId="77777777" w:rsidTr="00F20FDB">
        <w:tc>
          <w:tcPr>
            <w:tcW w:w="3084" w:type="dxa"/>
          </w:tcPr>
          <w:p w14:paraId="3229FD25" w14:textId="77777777" w:rsidR="00367B5A" w:rsidRPr="00A51443" w:rsidRDefault="00367B5A" w:rsidP="00D92203">
            <w:pPr>
              <w:rPr>
                <w:color w:val="auto"/>
              </w:rPr>
            </w:pPr>
            <w:r w:rsidRPr="00A51443">
              <w:rPr>
                <w:color w:val="auto"/>
              </w:rPr>
              <w:t>ICD-10-AM</w:t>
            </w:r>
          </w:p>
        </w:tc>
        <w:tc>
          <w:tcPr>
            <w:tcW w:w="6859" w:type="dxa"/>
          </w:tcPr>
          <w:p w14:paraId="0FE1515B" w14:textId="77777777" w:rsidR="00367B5A" w:rsidRPr="00A51443" w:rsidRDefault="00367B5A" w:rsidP="00D92203">
            <w:pPr>
              <w:rPr>
                <w:color w:val="auto"/>
              </w:rPr>
            </w:pPr>
            <w:r w:rsidRPr="00A51443">
              <w:rPr>
                <w:color w:val="auto"/>
              </w:rPr>
              <w:t>International Statistical Classification of Diseases and Related Health Problems, Tenth Revision, Australian Modification</w:t>
            </w:r>
          </w:p>
        </w:tc>
      </w:tr>
      <w:tr w:rsidR="00AB1D1A" w:rsidRPr="00A51443" w14:paraId="7A86AD9B" w14:textId="77777777" w:rsidTr="00F20FDB">
        <w:tc>
          <w:tcPr>
            <w:tcW w:w="3084" w:type="dxa"/>
          </w:tcPr>
          <w:p w14:paraId="1D8520ED" w14:textId="12E18C09" w:rsidR="00367B5A" w:rsidRPr="00A51443" w:rsidRDefault="002F3832" w:rsidP="00D92203">
            <w:pPr>
              <w:rPr>
                <w:color w:val="auto"/>
              </w:rPr>
            </w:pPr>
            <w:r w:rsidRPr="00A51443">
              <w:rPr>
                <w:color w:val="auto"/>
              </w:rPr>
              <w:t>IHACPA</w:t>
            </w:r>
          </w:p>
        </w:tc>
        <w:tc>
          <w:tcPr>
            <w:tcW w:w="6859" w:type="dxa"/>
          </w:tcPr>
          <w:p w14:paraId="174CDB53" w14:textId="5313DB50" w:rsidR="00367B5A" w:rsidRPr="00A51443" w:rsidRDefault="002F3832" w:rsidP="00D92203">
            <w:pPr>
              <w:rPr>
                <w:color w:val="auto"/>
              </w:rPr>
            </w:pPr>
            <w:r w:rsidRPr="00A51443">
              <w:rPr>
                <w:color w:val="auto"/>
              </w:rPr>
              <w:t>Independent Health and Aged Care Pricing Authority</w:t>
            </w:r>
          </w:p>
        </w:tc>
      </w:tr>
      <w:tr w:rsidR="00AB1D1A" w:rsidRPr="00A51443" w14:paraId="60196307" w14:textId="77777777" w:rsidTr="00F20FDB">
        <w:tc>
          <w:tcPr>
            <w:tcW w:w="3084" w:type="dxa"/>
          </w:tcPr>
          <w:p w14:paraId="1BBF04D4" w14:textId="366B48FE" w:rsidR="00E967FE" w:rsidRPr="00A51443" w:rsidRDefault="00367B5A" w:rsidP="00D92203">
            <w:pPr>
              <w:rPr>
                <w:color w:val="auto"/>
              </w:rPr>
            </w:pPr>
            <w:r w:rsidRPr="00A51443">
              <w:rPr>
                <w:color w:val="auto"/>
              </w:rPr>
              <w:t>MDC</w:t>
            </w:r>
          </w:p>
        </w:tc>
        <w:tc>
          <w:tcPr>
            <w:tcW w:w="6859" w:type="dxa"/>
          </w:tcPr>
          <w:p w14:paraId="0A28F3B0" w14:textId="45974AB5" w:rsidR="00E967FE" w:rsidRPr="00A51443" w:rsidRDefault="00367B5A" w:rsidP="00E967FE">
            <w:pPr>
              <w:rPr>
                <w:color w:val="auto"/>
              </w:rPr>
            </w:pPr>
            <w:r w:rsidRPr="00A51443">
              <w:rPr>
                <w:color w:val="auto"/>
              </w:rPr>
              <w:t>Major Diagnostic Category</w:t>
            </w:r>
          </w:p>
        </w:tc>
      </w:tr>
      <w:tr w:rsidR="00D0796F" w:rsidRPr="00A51443" w14:paraId="76F3FD9E" w14:textId="77777777" w:rsidTr="00F20FDB">
        <w:tc>
          <w:tcPr>
            <w:tcW w:w="3084" w:type="dxa"/>
          </w:tcPr>
          <w:p w14:paraId="0979B6CB" w14:textId="0C80720F" w:rsidR="00D0796F" w:rsidRPr="00A51443" w:rsidRDefault="00D0796F" w:rsidP="00D92203">
            <w:pPr>
              <w:rPr>
                <w:color w:val="auto"/>
              </w:rPr>
            </w:pPr>
            <w:r w:rsidRPr="00A51443">
              <w:rPr>
                <w:color w:val="auto"/>
              </w:rPr>
              <w:t>NMDS</w:t>
            </w:r>
          </w:p>
        </w:tc>
        <w:tc>
          <w:tcPr>
            <w:tcW w:w="6859" w:type="dxa"/>
          </w:tcPr>
          <w:p w14:paraId="1D6641B8" w14:textId="2AC34EEC" w:rsidR="00D0796F" w:rsidRPr="00A51443" w:rsidRDefault="00D0796F" w:rsidP="00D92203">
            <w:pPr>
              <w:rPr>
                <w:color w:val="auto"/>
              </w:rPr>
            </w:pPr>
            <w:r w:rsidRPr="00A51443">
              <w:rPr>
                <w:color w:val="auto"/>
              </w:rPr>
              <w:t>National Minimum Data Set</w:t>
            </w:r>
          </w:p>
        </w:tc>
      </w:tr>
      <w:tr w:rsidR="00AB1D1A" w:rsidRPr="00A51443" w14:paraId="7DF4D6FC" w14:textId="77777777" w:rsidTr="00F20FDB">
        <w:tc>
          <w:tcPr>
            <w:tcW w:w="3084" w:type="dxa"/>
          </w:tcPr>
          <w:p w14:paraId="48F8F74F" w14:textId="77777777" w:rsidR="00367B5A" w:rsidRPr="00A51443" w:rsidRDefault="00367B5A" w:rsidP="00D92203">
            <w:pPr>
              <w:rPr>
                <w:color w:val="auto"/>
              </w:rPr>
            </w:pPr>
            <w:r w:rsidRPr="00A51443">
              <w:rPr>
                <w:color w:val="auto"/>
              </w:rPr>
              <w:t>RID</w:t>
            </w:r>
          </w:p>
        </w:tc>
        <w:tc>
          <w:tcPr>
            <w:tcW w:w="6859" w:type="dxa"/>
          </w:tcPr>
          <w:p w14:paraId="12345D88" w14:textId="6F39A1CB" w:rsidR="00367B5A" w:rsidRPr="00A51443" w:rsidRDefault="00367B5A" w:rsidP="00D92203">
            <w:pPr>
              <w:rPr>
                <w:color w:val="auto"/>
              </w:rPr>
            </w:pPr>
            <w:r w:rsidRPr="00A51443">
              <w:rPr>
                <w:color w:val="auto"/>
              </w:rPr>
              <w:t xml:space="preserve">Reduction in </w:t>
            </w:r>
            <w:r w:rsidR="004E3CD4" w:rsidRPr="00A51443">
              <w:rPr>
                <w:color w:val="auto"/>
              </w:rPr>
              <w:t>D</w:t>
            </w:r>
            <w:r w:rsidRPr="00A51443">
              <w:rPr>
                <w:color w:val="auto"/>
              </w:rPr>
              <w:t>eviance</w:t>
            </w:r>
          </w:p>
        </w:tc>
      </w:tr>
    </w:tbl>
    <w:p w14:paraId="49E3B725" w14:textId="77777777" w:rsidR="00970318" w:rsidRPr="00A51443" w:rsidRDefault="00970318">
      <w:pPr>
        <w:spacing w:line="259" w:lineRule="auto"/>
        <w:sectPr w:rsidR="00970318" w:rsidRPr="00A51443" w:rsidSect="009519E0">
          <w:pgSz w:w="11906" w:h="16838" w:code="9"/>
          <w:pgMar w:top="1440" w:right="1080" w:bottom="1440" w:left="1080" w:header="708" w:footer="708" w:gutter="0"/>
          <w:cols w:space="708"/>
          <w:docGrid w:linePitch="360"/>
        </w:sectPr>
      </w:pPr>
    </w:p>
    <w:p w14:paraId="55A7A68E" w14:textId="77777777" w:rsidR="00AF6386" w:rsidRPr="00A51443" w:rsidRDefault="00AF6386" w:rsidP="000A6047">
      <w:pPr>
        <w:pStyle w:val="Heading1"/>
        <w:spacing w:before="200" w:after="40"/>
        <w:ind w:left="432" w:hanging="432"/>
        <w:rPr>
          <w:sz w:val="64"/>
          <w:szCs w:val="64"/>
        </w:rPr>
      </w:pPr>
      <w:bookmarkStart w:id="5" w:name="_Toc534625477"/>
      <w:bookmarkStart w:id="6" w:name="_Toc534633014"/>
      <w:bookmarkStart w:id="7" w:name="_Toc534875720"/>
      <w:bookmarkStart w:id="8" w:name="_Toc534965658"/>
      <w:bookmarkStart w:id="9" w:name="_Toc100328186"/>
      <w:bookmarkStart w:id="10" w:name="_Toc188263099"/>
      <w:bookmarkStart w:id="11" w:name="_Toc193462691"/>
      <w:r w:rsidRPr="00A51443">
        <w:rPr>
          <w:sz w:val="64"/>
          <w:szCs w:val="64"/>
        </w:rPr>
        <w:lastRenderedPageBreak/>
        <w:t>Executive Summary</w:t>
      </w:r>
      <w:bookmarkEnd w:id="5"/>
      <w:bookmarkEnd w:id="6"/>
      <w:bookmarkEnd w:id="7"/>
      <w:bookmarkEnd w:id="8"/>
      <w:bookmarkEnd w:id="9"/>
      <w:bookmarkEnd w:id="10"/>
      <w:bookmarkEnd w:id="11"/>
    </w:p>
    <w:p w14:paraId="1BAD768C" w14:textId="44E700D6" w:rsidR="00AF6386" w:rsidRPr="00A51443" w:rsidRDefault="00AF6386" w:rsidP="00C006E1">
      <w:pPr>
        <w:rPr>
          <w:color w:val="auto"/>
        </w:rPr>
      </w:pPr>
      <w:r w:rsidRPr="00A51443">
        <w:rPr>
          <w:color w:val="auto"/>
        </w:rPr>
        <w:t xml:space="preserve">The </w:t>
      </w:r>
      <w:r w:rsidR="002F3832" w:rsidRPr="00A51443">
        <w:rPr>
          <w:color w:val="auto"/>
        </w:rPr>
        <w:t xml:space="preserve">Independent Health and Aged Care Pricing Authority (IHACPA) </w:t>
      </w:r>
      <w:r w:rsidRPr="00A51443">
        <w:rPr>
          <w:color w:val="auto"/>
        </w:rPr>
        <w:t xml:space="preserve">is responsible for the development of the Australian Refined Diagnosis Related Groups (AR-DRG) classification. </w:t>
      </w:r>
      <w:r w:rsidR="0050296D" w:rsidRPr="00A51443">
        <w:rPr>
          <w:color w:val="auto"/>
        </w:rPr>
        <w:t>The AR</w:t>
      </w:r>
      <w:r w:rsidR="0050296D" w:rsidRPr="00A51443">
        <w:rPr>
          <w:color w:val="auto"/>
        </w:rPr>
        <w:noBreakHyphen/>
        <w:t xml:space="preserve">DRG classification provides a clinically meaningful way to relate or group the number and type of patients treated in admitted acute episodes of care to the resources required in treatment. </w:t>
      </w:r>
      <w:r w:rsidR="00216E6B" w:rsidRPr="00A51443">
        <w:rPr>
          <w:color w:val="auto"/>
        </w:rPr>
        <w:t xml:space="preserve">The AR-DRG classification is </w:t>
      </w:r>
      <w:r w:rsidR="00E37B8C" w:rsidRPr="00A51443">
        <w:rPr>
          <w:color w:val="auto"/>
        </w:rPr>
        <w:t xml:space="preserve">instrumental to </w:t>
      </w:r>
      <w:r w:rsidR="00216E6B" w:rsidRPr="00A51443">
        <w:rPr>
          <w:color w:val="auto"/>
        </w:rPr>
        <w:t>a</w:t>
      </w:r>
      <w:r w:rsidR="0050296D" w:rsidRPr="00A51443">
        <w:rPr>
          <w:color w:val="auto"/>
        </w:rPr>
        <w:t xml:space="preserve">ctivity based funding (ABF) </w:t>
      </w:r>
      <w:r w:rsidR="00216E6B" w:rsidRPr="00A51443">
        <w:rPr>
          <w:color w:val="auto"/>
        </w:rPr>
        <w:t xml:space="preserve">of Australian hospitals, and is also used for other purposes such as </w:t>
      </w:r>
      <w:r w:rsidR="00001F68" w:rsidRPr="00A51443">
        <w:rPr>
          <w:color w:val="auto"/>
        </w:rPr>
        <w:t xml:space="preserve">benchmarking, </w:t>
      </w:r>
      <w:r w:rsidR="00216E6B" w:rsidRPr="00A51443">
        <w:rPr>
          <w:color w:val="auto"/>
        </w:rPr>
        <w:t xml:space="preserve">service </w:t>
      </w:r>
      <w:r w:rsidR="00001F68" w:rsidRPr="00A51443">
        <w:rPr>
          <w:color w:val="auto"/>
        </w:rPr>
        <w:t>planning</w:t>
      </w:r>
      <w:r w:rsidR="00216E6B" w:rsidRPr="00A51443">
        <w:rPr>
          <w:color w:val="auto"/>
        </w:rPr>
        <w:t xml:space="preserve">, monitoring </w:t>
      </w:r>
      <w:r w:rsidR="004E32AB" w:rsidRPr="00A51443">
        <w:rPr>
          <w:color w:val="auto"/>
        </w:rPr>
        <w:t xml:space="preserve">quality and </w:t>
      </w:r>
      <w:r w:rsidR="00216E6B" w:rsidRPr="00A51443">
        <w:rPr>
          <w:color w:val="auto"/>
        </w:rPr>
        <w:t xml:space="preserve">safety and </w:t>
      </w:r>
      <w:r w:rsidR="00A02F5A" w:rsidRPr="00A51443">
        <w:rPr>
          <w:color w:val="auto"/>
        </w:rPr>
        <w:t>epidemiological studies.</w:t>
      </w:r>
    </w:p>
    <w:p w14:paraId="4D1AF1F6" w14:textId="31068115" w:rsidR="00C055BB" w:rsidRPr="00A51443" w:rsidRDefault="00C055BB" w:rsidP="00C006E1">
      <w:pPr>
        <w:rPr>
          <w:color w:val="auto"/>
        </w:rPr>
      </w:pPr>
      <w:r w:rsidRPr="00A51443">
        <w:rPr>
          <w:color w:val="auto"/>
        </w:rPr>
        <w:t xml:space="preserve">AR-DRG Version 12.0 (V12.0) </w:t>
      </w:r>
      <w:r w:rsidR="007E70B6" w:rsidRPr="00A51443">
        <w:rPr>
          <w:color w:val="auto"/>
        </w:rPr>
        <w:t xml:space="preserve">was </w:t>
      </w:r>
      <w:r w:rsidRPr="00A51443">
        <w:rPr>
          <w:color w:val="auto"/>
        </w:rPr>
        <w:t xml:space="preserve">developed </w:t>
      </w:r>
      <w:r w:rsidR="00245548">
        <w:rPr>
          <w:color w:val="auto"/>
        </w:rPr>
        <w:t>using</w:t>
      </w:r>
      <w:r w:rsidRPr="00A51443">
        <w:rPr>
          <w:color w:val="auto"/>
        </w:rPr>
        <w:t xml:space="preserve"> 2018</w:t>
      </w:r>
      <w:r w:rsidRPr="00A51443">
        <w:rPr>
          <w:iCs/>
          <w:color w:val="auto"/>
        </w:rPr>
        <w:t>–</w:t>
      </w:r>
      <w:r w:rsidRPr="00A51443">
        <w:rPr>
          <w:color w:val="auto"/>
        </w:rPr>
        <w:t>19 to 2021</w:t>
      </w:r>
      <w:r w:rsidRPr="00A51443">
        <w:rPr>
          <w:iCs/>
          <w:color w:val="auto"/>
        </w:rPr>
        <w:t>–</w:t>
      </w:r>
      <w:r w:rsidRPr="00A51443">
        <w:rPr>
          <w:color w:val="auto"/>
        </w:rPr>
        <w:t xml:space="preserve">22 public hospital admitted patient care activity and cost data provided by all Australian </w:t>
      </w:r>
      <w:r w:rsidR="00001F68" w:rsidRPr="00A51443">
        <w:rPr>
          <w:color w:val="auto"/>
        </w:rPr>
        <w:t>states and territories</w:t>
      </w:r>
      <w:r w:rsidRPr="00A51443">
        <w:rPr>
          <w:color w:val="auto"/>
        </w:rPr>
        <w:t>.</w:t>
      </w:r>
    </w:p>
    <w:p w14:paraId="68A99C5E" w14:textId="2291258A" w:rsidR="00AF6386" w:rsidRPr="00A51443" w:rsidRDefault="00AF6386" w:rsidP="00C006E1">
      <w:pPr>
        <w:rPr>
          <w:color w:val="auto"/>
        </w:rPr>
      </w:pPr>
      <w:r w:rsidRPr="00A51443">
        <w:rPr>
          <w:color w:val="auto"/>
        </w:rPr>
        <w:t xml:space="preserve">AR-DRG </w:t>
      </w:r>
      <w:r w:rsidR="00F06F14" w:rsidRPr="00A51443">
        <w:rPr>
          <w:color w:val="auto"/>
        </w:rPr>
        <w:t>V</w:t>
      </w:r>
      <w:r w:rsidR="00756665" w:rsidRPr="00A51443">
        <w:rPr>
          <w:color w:val="auto"/>
        </w:rPr>
        <w:t>12.0</w:t>
      </w:r>
      <w:r w:rsidRPr="00A51443">
        <w:rPr>
          <w:color w:val="auto"/>
        </w:rPr>
        <w:t xml:space="preserve"> </w:t>
      </w:r>
      <w:r w:rsidR="009230B4" w:rsidRPr="00A51443">
        <w:rPr>
          <w:color w:val="auto"/>
        </w:rPr>
        <w:t xml:space="preserve">was </w:t>
      </w:r>
      <w:r w:rsidRPr="00A51443">
        <w:rPr>
          <w:color w:val="auto"/>
        </w:rPr>
        <w:t>finalised following clinical and statistical analysis and in consultation with clinicians, jurisdictions and other health sector stakeholders.</w:t>
      </w:r>
    </w:p>
    <w:p w14:paraId="4DE0B53D" w14:textId="69FE555C" w:rsidR="00AF6386" w:rsidRPr="00A51443" w:rsidRDefault="00AF6386" w:rsidP="00C006E1">
      <w:pPr>
        <w:rPr>
          <w:color w:val="auto"/>
        </w:rPr>
      </w:pPr>
      <w:r w:rsidRPr="00A51443">
        <w:rPr>
          <w:color w:val="auto"/>
        </w:rPr>
        <w:t>Changes for AR-DRG V</w:t>
      </w:r>
      <w:r w:rsidR="00756665" w:rsidRPr="00A51443">
        <w:rPr>
          <w:color w:val="auto"/>
        </w:rPr>
        <w:t>12.0</w:t>
      </w:r>
      <w:r w:rsidRPr="00A51443">
        <w:rPr>
          <w:color w:val="auto"/>
        </w:rPr>
        <w:t xml:space="preserve"> include:</w:t>
      </w:r>
    </w:p>
    <w:p w14:paraId="7350C670" w14:textId="3F5CB6F5" w:rsidR="00182DEB" w:rsidRPr="00A51443" w:rsidRDefault="009324A7" w:rsidP="00623EF7">
      <w:pPr>
        <w:pStyle w:val="ListParagraph"/>
        <w:widowControl w:val="0"/>
        <w:numPr>
          <w:ilvl w:val="0"/>
          <w:numId w:val="4"/>
        </w:numPr>
        <w:tabs>
          <w:tab w:val="left" w:pos="841"/>
        </w:tabs>
        <w:autoSpaceDE w:val="0"/>
        <w:autoSpaceDN w:val="0"/>
        <w:ind w:left="714" w:hanging="357"/>
        <w:contextualSpacing w:val="0"/>
        <w:rPr>
          <w:color w:val="auto"/>
        </w:rPr>
      </w:pPr>
      <w:r w:rsidRPr="00A51443">
        <w:rPr>
          <w:color w:val="auto"/>
        </w:rPr>
        <w:t>6</w:t>
      </w:r>
      <w:r w:rsidR="002C6CA6" w:rsidRPr="00A51443">
        <w:rPr>
          <w:color w:val="auto"/>
        </w:rPr>
        <w:t xml:space="preserve"> new </w:t>
      </w:r>
      <w:r w:rsidR="00604A83" w:rsidRPr="00A51443">
        <w:rPr>
          <w:color w:val="auto"/>
          <w:spacing w:val="-4"/>
        </w:rPr>
        <w:t>Adjacent Diagnosis Related Group</w:t>
      </w:r>
      <w:r w:rsidR="002C6CA6" w:rsidRPr="00A51443">
        <w:rPr>
          <w:color w:val="auto"/>
          <w:spacing w:val="-4"/>
        </w:rPr>
        <w:t>s</w:t>
      </w:r>
      <w:r w:rsidR="00604A83" w:rsidRPr="00A51443">
        <w:rPr>
          <w:color w:val="auto"/>
          <w:spacing w:val="-4"/>
        </w:rPr>
        <w:t xml:space="preserve"> (</w:t>
      </w:r>
      <w:r w:rsidR="00E827D4" w:rsidRPr="00A51443">
        <w:rPr>
          <w:color w:val="auto"/>
        </w:rPr>
        <w:t>ADRG</w:t>
      </w:r>
      <w:r w:rsidR="002C6CA6" w:rsidRPr="00A51443">
        <w:rPr>
          <w:color w:val="auto"/>
        </w:rPr>
        <w:t>s</w:t>
      </w:r>
      <w:r w:rsidR="00604A83" w:rsidRPr="00A51443">
        <w:rPr>
          <w:color w:val="auto"/>
        </w:rPr>
        <w:t>)</w:t>
      </w:r>
      <w:r w:rsidR="00E05A93" w:rsidRPr="00A51443">
        <w:rPr>
          <w:color w:val="auto"/>
        </w:rPr>
        <w:t>:</w:t>
      </w:r>
    </w:p>
    <w:p w14:paraId="3195D24C" w14:textId="14E3CC54" w:rsidR="00E827D4" w:rsidRPr="00A51443" w:rsidRDefault="002E7B35" w:rsidP="000F25AD">
      <w:pPr>
        <w:pStyle w:val="ListParagraph"/>
        <w:widowControl w:val="0"/>
        <w:numPr>
          <w:ilvl w:val="1"/>
          <w:numId w:val="50"/>
        </w:numPr>
        <w:autoSpaceDE w:val="0"/>
        <w:autoSpaceDN w:val="0"/>
        <w:contextualSpacing w:val="0"/>
        <w:rPr>
          <w:color w:val="auto"/>
        </w:rPr>
      </w:pPr>
      <w:r w:rsidRPr="00A51443">
        <w:rPr>
          <w:color w:val="auto"/>
        </w:rPr>
        <w:t xml:space="preserve">ADRG </w:t>
      </w:r>
      <w:r w:rsidR="00182DEB" w:rsidRPr="00A51443">
        <w:rPr>
          <w:color w:val="auto"/>
        </w:rPr>
        <w:t xml:space="preserve">A16 </w:t>
      </w:r>
      <w:r w:rsidR="00E827D4" w:rsidRPr="00A51443">
        <w:rPr>
          <w:i/>
          <w:iCs/>
          <w:color w:val="auto"/>
        </w:rPr>
        <w:t xml:space="preserve">Posthumous </w:t>
      </w:r>
      <w:r w:rsidR="00CE6995" w:rsidRPr="00A51443">
        <w:rPr>
          <w:i/>
          <w:iCs/>
          <w:color w:val="auto"/>
        </w:rPr>
        <w:t>o</w:t>
      </w:r>
      <w:r w:rsidR="00E827D4" w:rsidRPr="00A51443">
        <w:rPr>
          <w:i/>
          <w:iCs/>
          <w:color w:val="auto"/>
        </w:rPr>
        <w:t xml:space="preserve">rgan </w:t>
      </w:r>
      <w:r w:rsidR="00CE6995" w:rsidRPr="00A51443">
        <w:rPr>
          <w:i/>
          <w:iCs/>
          <w:color w:val="auto"/>
        </w:rPr>
        <w:t>p</w:t>
      </w:r>
      <w:r w:rsidR="00E827D4" w:rsidRPr="00A51443">
        <w:rPr>
          <w:i/>
          <w:iCs/>
          <w:color w:val="auto"/>
        </w:rPr>
        <w:t>rocurement</w:t>
      </w:r>
    </w:p>
    <w:p w14:paraId="632A9C52" w14:textId="021BFB01" w:rsidR="00182DEB" w:rsidRPr="00A51443" w:rsidRDefault="002E544A" w:rsidP="000F25AD">
      <w:pPr>
        <w:pStyle w:val="ListParagraph"/>
        <w:widowControl w:val="0"/>
        <w:numPr>
          <w:ilvl w:val="1"/>
          <w:numId w:val="50"/>
        </w:numPr>
        <w:autoSpaceDE w:val="0"/>
        <w:autoSpaceDN w:val="0"/>
        <w:contextualSpacing w:val="0"/>
        <w:rPr>
          <w:color w:val="auto"/>
        </w:rPr>
      </w:pPr>
      <w:r w:rsidRPr="00A51443">
        <w:rPr>
          <w:color w:val="auto"/>
        </w:rPr>
        <w:t xml:space="preserve">ADRG </w:t>
      </w:r>
      <w:r w:rsidR="00E827D4" w:rsidRPr="00A51443">
        <w:rPr>
          <w:color w:val="auto"/>
        </w:rPr>
        <w:t>O67</w:t>
      </w:r>
      <w:r w:rsidR="00DB7103" w:rsidRPr="00A51443">
        <w:rPr>
          <w:color w:val="auto"/>
        </w:rPr>
        <w:t xml:space="preserve"> </w:t>
      </w:r>
      <w:r w:rsidR="00DB7103" w:rsidRPr="00A51443">
        <w:rPr>
          <w:i/>
          <w:iCs/>
          <w:color w:val="auto"/>
        </w:rPr>
        <w:t xml:space="preserve">Diabetes </w:t>
      </w:r>
      <w:r w:rsidR="00CE6995" w:rsidRPr="00A51443">
        <w:rPr>
          <w:i/>
          <w:iCs/>
          <w:color w:val="auto"/>
        </w:rPr>
        <w:t>m</w:t>
      </w:r>
      <w:r w:rsidR="00DB7103" w:rsidRPr="00A51443">
        <w:rPr>
          <w:i/>
          <w:iCs/>
          <w:color w:val="auto"/>
        </w:rPr>
        <w:t xml:space="preserve">ellitus and </w:t>
      </w:r>
      <w:r w:rsidR="00CE6995" w:rsidRPr="00A51443">
        <w:rPr>
          <w:i/>
          <w:iCs/>
          <w:color w:val="auto"/>
        </w:rPr>
        <w:t>i</w:t>
      </w:r>
      <w:r w:rsidR="00DB7103" w:rsidRPr="00A51443">
        <w:rPr>
          <w:i/>
          <w:iCs/>
          <w:color w:val="auto"/>
        </w:rPr>
        <w:t xml:space="preserve">ntermediate </w:t>
      </w:r>
      <w:r w:rsidR="00CE6995" w:rsidRPr="00A51443">
        <w:rPr>
          <w:i/>
          <w:iCs/>
          <w:color w:val="auto"/>
        </w:rPr>
        <w:t>h</w:t>
      </w:r>
      <w:r w:rsidR="00DB7103" w:rsidRPr="00A51443">
        <w:rPr>
          <w:i/>
          <w:iCs/>
          <w:color w:val="auto"/>
        </w:rPr>
        <w:t xml:space="preserve">yperglycaemia in </w:t>
      </w:r>
      <w:r w:rsidR="00CE6995" w:rsidRPr="00A51443">
        <w:rPr>
          <w:i/>
          <w:iCs/>
          <w:color w:val="auto"/>
        </w:rPr>
        <w:t>p</w:t>
      </w:r>
      <w:r w:rsidR="00DB7103" w:rsidRPr="00A51443">
        <w:rPr>
          <w:i/>
          <w:iCs/>
          <w:color w:val="auto"/>
        </w:rPr>
        <w:t xml:space="preserve">regnancy and the </w:t>
      </w:r>
      <w:r w:rsidR="00CE6995" w:rsidRPr="00A51443">
        <w:rPr>
          <w:i/>
          <w:iCs/>
          <w:color w:val="auto"/>
        </w:rPr>
        <w:t>p</w:t>
      </w:r>
      <w:r w:rsidR="00DB7103" w:rsidRPr="00A51443">
        <w:rPr>
          <w:i/>
          <w:iCs/>
          <w:color w:val="auto"/>
        </w:rPr>
        <w:t>uerperium</w:t>
      </w:r>
    </w:p>
    <w:p w14:paraId="3EA448C1" w14:textId="4F13E2B1" w:rsidR="00182DEB" w:rsidRPr="00A51443" w:rsidRDefault="0030382A" w:rsidP="000F25AD">
      <w:pPr>
        <w:pStyle w:val="ListParagraph"/>
        <w:widowControl w:val="0"/>
        <w:numPr>
          <w:ilvl w:val="1"/>
          <w:numId w:val="50"/>
        </w:numPr>
        <w:autoSpaceDE w:val="0"/>
        <w:autoSpaceDN w:val="0"/>
        <w:contextualSpacing w:val="0"/>
        <w:rPr>
          <w:color w:val="auto"/>
        </w:rPr>
      </w:pPr>
      <w:r w:rsidRPr="00A51443">
        <w:rPr>
          <w:color w:val="auto"/>
        </w:rPr>
        <w:t xml:space="preserve">ADRG </w:t>
      </w:r>
      <w:r w:rsidR="00182DEB" w:rsidRPr="00A51443">
        <w:rPr>
          <w:color w:val="auto"/>
        </w:rPr>
        <w:t>O68</w:t>
      </w:r>
      <w:r w:rsidR="00DB7103" w:rsidRPr="00A51443">
        <w:rPr>
          <w:color w:val="auto"/>
        </w:rPr>
        <w:t xml:space="preserve"> </w:t>
      </w:r>
      <w:r w:rsidR="00DB7103" w:rsidRPr="00A51443">
        <w:rPr>
          <w:i/>
          <w:iCs/>
          <w:color w:val="auto"/>
        </w:rPr>
        <w:t xml:space="preserve">Maternal </w:t>
      </w:r>
      <w:r w:rsidR="00CE6995" w:rsidRPr="00A51443">
        <w:rPr>
          <w:i/>
          <w:iCs/>
          <w:color w:val="auto"/>
        </w:rPr>
        <w:t>m</w:t>
      </w:r>
      <w:r w:rsidR="00DB7103" w:rsidRPr="00A51443">
        <w:rPr>
          <w:i/>
          <w:iCs/>
          <w:color w:val="auto"/>
        </w:rPr>
        <w:t xml:space="preserve">edical </w:t>
      </w:r>
      <w:r w:rsidR="00CE6995" w:rsidRPr="00A51443">
        <w:rPr>
          <w:i/>
          <w:iCs/>
          <w:color w:val="auto"/>
        </w:rPr>
        <w:t>c</w:t>
      </w:r>
      <w:r w:rsidR="00DB7103" w:rsidRPr="00A51443">
        <w:rPr>
          <w:i/>
          <w:iCs/>
          <w:color w:val="auto"/>
        </w:rPr>
        <w:t xml:space="preserve">onditions </w:t>
      </w:r>
      <w:r w:rsidR="00CE6995" w:rsidRPr="00A51443">
        <w:rPr>
          <w:i/>
          <w:iCs/>
          <w:color w:val="auto"/>
        </w:rPr>
        <w:t>c</w:t>
      </w:r>
      <w:r w:rsidR="00DB7103" w:rsidRPr="00A51443">
        <w:rPr>
          <w:i/>
          <w:iCs/>
          <w:color w:val="auto"/>
        </w:rPr>
        <w:t xml:space="preserve">omplicating </w:t>
      </w:r>
      <w:r w:rsidR="00CE6995" w:rsidRPr="00A51443">
        <w:rPr>
          <w:i/>
          <w:iCs/>
          <w:color w:val="auto"/>
        </w:rPr>
        <w:t>p</w:t>
      </w:r>
      <w:r w:rsidR="00DB7103" w:rsidRPr="00A51443">
        <w:rPr>
          <w:i/>
          <w:iCs/>
          <w:color w:val="auto"/>
        </w:rPr>
        <w:t xml:space="preserve">regnancy and the </w:t>
      </w:r>
      <w:r w:rsidR="00CE6995" w:rsidRPr="00A51443">
        <w:rPr>
          <w:i/>
          <w:iCs/>
          <w:color w:val="auto"/>
        </w:rPr>
        <w:t>p</w:t>
      </w:r>
      <w:r w:rsidR="00DB7103" w:rsidRPr="00A51443">
        <w:rPr>
          <w:i/>
          <w:iCs/>
          <w:color w:val="auto"/>
        </w:rPr>
        <w:t>uerperium</w:t>
      </w:r>
    </w:p>
    <w:p w14:paraId="1A6617B5" w14:textId="0413096D" w:rsidR="00182DEB" w:rsidRPr="00A51443" w:rsidRDefault="0030382A" w:rsidP="000F25AD">
      <w:pPr>
        <w:pStyle w:val="ListParagraph"/>
        <w:widowControl w:val="0"/>
        <w:numPr>
          <w:ilvl w:val="1"/>
          <w:numId w:val="50"/>
        </w:numPr>
        <w:autoSpaceDE w:val="0"/>
        <w:autoSpaceDN w:val="0"/>
        <w:contextualSpacing w:val="0"/>
        <w:rPr>
          <w:color w:val="auto"/>
        </w:rPr>
      </w:pPr>
      <w:r w:rsidRPr="00A51443">
        <w:rPr>
          <w:color w:val="auto"/>
        </w:rPr>
        <w:t xml:space="preserve">ADRG </w:t>
      </w:r>
      <w:r w:rsidR="00182DEB" w:rsidRPr="00A51443">
        <w:rPr>
          <w:color w:val="auto"/>
        </w:rPr>
        <w:t>O69</w:t>
      </w:r>
      <w:r w:rsidR="00DB7103" w:rsidRPr="00A51443">
        <w:rPr>
          <w:color w:val="auto"/>
        </w:rPr>
        <w:t xml:space="preserve"> </w:t>
      </w:r>
      <w:r w:rsidR="00DB7103" w:rsidRPr="00A51443">
        <w:rPr>
          <w:i/>
          <w:iCs/>
          <w:color w:val="auto"/>
        </w:rPr>
        <w:t xml:space="preserve">Gestational </w:t>
      </w:r>
      <w:r w:rsidR="00CE6995" w:rsidRPr="00A51443">
        <w:rPr>
          <w:i/>
          <w:iCs/>
          <w:color w:val="auto"/>
        </w:rPr>
        <w:t>d</w:t>
      </w:r>
      <w:r w:rsidR="00DB7103" w:rsidRPr="00A51443">
        <w:rPr>
          <w:i/>
          <w:iCs/>
          <w:color w:val="auto"/>
        </w:rPr>
        <w:t xml:space="preserve">isorders </w:t>
      </w:r>
      <w:r w:rsidR="00CE6995" w:rsidRPr="00A51443">
        <w:rPr>
          <w:i/>
          <w:iCs/>
          <w:color w:val="auto"/>
        </w:rPr>
        <w:t>c</w:t>
      </w:r>
      <w:r w:rsidR="00DB7103" w:rsidRPr="00A51443">
        <w:rPr>
          <w:i/>
          <w:iCs/>
          <w:color w:val="auto"/>
        </w:rPr>
        <w:t xml:space="preserve">omplicating </w:t>
      </w:r>
      <w:r w:rsidR="00CE6995" w:rsidRPr="00A51443">
        <w:rPr>
          <w:i/>
          <w:iCs/>
          <w:color w:val="auto"/>
        </w:rPr>
        <w:t>p</w:t>
      </w:r>
      <w:r w:rsidR="00DB7103" w:rsidRPr="00A51443">
        <w:rPr>
          <w:i/>
          <w:iCs/>
          <w:color w:val="auto"/>
        </w:rPr>
        <w:t xml:space="preserve">regnancy and the </w:t>
      </w:r>
      <w:r w:rsidR="00CE6995" w:rsidRPr="00A51443">
        <w:rPr>
          <w:i/>
          <w:iCs/>
          <w:color w:val="auto"/>
        </w:rPr>
        <w:t>p</w:t>
      </w:r>
      <w:r w:rsidR="00DB7103" w:rsidRPr="00A51443">
        <w:rPr>
          <w:i/>
          <w:iCs/>
          <w:color w:val="auto"/>
        </w:rPr>
        <w:t>uerperium</w:t>
      </w:r>
    </w:p>
    <w:p w14:paraId="5BB170D2" w14:textId="20D4588F" w:rsidR="00E827D4" w:rsidRPr="00A51443" w:rsidRDefault="00866A7E" w:rsidP="000F25AD">
      <w:pPr>
        <w:pStyle w:val="ListParagraph"/>
        <w:widowControl w:val="0"/>
        <w:numPr>
          <w:ilvl w:val="1"/>
          <w:numId w:val="50"/>
        </w:numPr>
        <w:autoSpaceDE w:val="0"/>
        <w:autoSpaceDN w:val="0"/>
        <w:contextualSpacing w:val="0"/>
        <w:rPr>
          <w:i/>
          <w:iCs/>
          <w:color w:val="auto"/>
        </w:rPr>
      </w:pPr>
      <w:r w:rsidRPr="00A51443">
        <w:rPr>
          <w:color w:val="auto"/>
        </w:rPr>
        <w:t xml:space="preserve">ADRG </w:t>
      </w:r>
      <w:r w:rsidR="00E827D4" w:rsidRPr="00A51443">
        <w:rPr>
          <w:color w:val="auto"/>
        </w:rPr>
        <w:t>O70</w:t>
      </w:r>
      <w:r w:rsidR="00DB7103" w:rsidRPr="00A51443">
        <w:rPr>
          <w:color w:val="auto"/>
        </w:rPr>
        <w:t xml:space="preserve"> </w:t>
      </w:r>
      <w:r w:rsidR="00DB7103" w:rsidRPr="00A51443">
        <w:rPr>
          <w:i/>
          <w:iCs/>
          <w:color w:val="auto"/>
        </w:rPr>
        <w:t xml:space="preserve">Care and </w:t>
      </w:r>
      <w:r w:rsidR="00CE6995" w:rsidRPr="00A51443">
        <w:rPr>
          <w:i/>
          <w:iCs/>
          <w:color w:val="auto"/>
        </w:rPr>
        <w:t>s</w:t>
      </w:r>
      <w:r w:rsidR="00DB7103" w:rsidRPr="00A51443">
        <w:rPr>
          <w:i/>
          <w:iCs/>
          <w:color w:val="auto"/>
        </w:rPr>
        <w:t xml:space="preserve">creening for </w:t>
      </w:r>
      <w:r w:rsidR="00CE6995" w:rsidRPr="00A51443">
        <w:rPr>
          <w:i/>
          <w:iCs/>
          <w:color w:val="auto"/>
        </w:rPr>
        <w:t>o</w:t>
      </w:r>
      <w:r w:rsidR="00DB7103" w:rsidRPr="00A51443">
        <w:rPr>
          <w:i/>
          <w:iCs/>
          <w:color w:val="auto"/>
        </w:rPr>
        <w:t xml:space="preserve">ther </w:t>
      </w:r>
      <w:r w:rsidR="00CE6995" w:rsidRPr="00A51443">
        <w:rPr>
          <w:i/>
          <w:iCs/>
          <w:color w:val="auto"/>
        </w:rPr>
        <w:t>a</w:t>
      </w:r>
      <w:r w:rsidR="00DB7103" w:rsidRPr="00A51443">
        <w:rPr>
          <w:i/>
          <w:iCs/>
          <w:color w:val="auto"/>
        </w:rPr>
        <w:t xml:space="preserve">ntenatal </w:t>
      </w:r>
      <w:r w:rsidR="00CE6995" w:rsidRPr="00A51443">
        <w:rPr>
          <w:i/>
          <w:iCs/>
          <w:color w:val="auto"/>
        </w:rPr>
        <w:t>p</w:t>
      </w:r>
      <w:r w:rsidR="00DB7103" w:rsidRPr="00A51443">
        <w:rPr>
          <w:i/>
          <w:iCs/>
          <w:color w:val="auto"/>
        </w:rPr>
        <w:t>resentations</w:t>
      </w:r>
    </w:p>
    <w:p w14:paraId="4141FF81" w14:textId="37A92350" w:rsidR="00E827D4" w:rsidRPr="00A51443" w:rsidRDefault="007C30C1" w:rsidP="000F25AD">
      <w:pPr>
        <w:pStyle w:val="BodyText"/>
        <w:numPr>
          <w:ilvl w:val="1"/>
          <w:numId w:val="50"/>
        </w:numPr>
        <w:spacing w:after="160" w:line="288" w:lineRule="auto"/>
        <w:rPr>
          <w:i/>
          <w:iCs/>
        </w:rPr>
      </w:pPr>
      <w:r w:rsidRPr="00A51443">
        <w:t xml:space="preserve">ADRG </w:t>
      </w:r>
      <w:r w:rsidR="00E827D4" w:rsidRPr="00A51443">
        <w:t>U69</w:t>
      </w:r>
      <w:r w:rsidR="00CC7938" w:rsidRPr="00A51443">
        <w:t xml:space="preserve"> </w:t>
      </w:r>
      <w:r w:rsidR="00CC7938" w:rsidRPr="00A51443">
        <w:rPr>
          <w:i/>
          <w:iCs/>
        </w:rPr>
        <w:t xml:space="preserve">Mental </w:t>
      </w:r>
      <w:r w:rsidR="00565AEB" w:rsidRPr="00A51443">
        <w:rPr>
          <w:i/>
          <w:iCs/>
        </w:rPr>
        <w:t>h</w:t>
      </w:r>
      <w:r w:rsidR="00CC7938" w:rsidRPr="00A51443">
        <w:rPr>
          <w:i/>
          <w:iCs/>
        </w:rPr>
        <w:t xml:space="preserve">ealth and </w:t>
      </w:r>
      <w:r w:rsidR="00CE6995" w:rsidRPr="00A51443">
        <w:rPr>
          <w:i/>
          <w:iCs/>
        </w:rPr>
        <w:t>b</w:t>
      </w:r>
      <w:r w:rsidR="00CC7938" w:rsidRPr="00A51443">
        <w:rPr>
          <w:i/>
          <w:iCs/>
        </w:rPr>
        <w:t xml:space="preserve">ehavioural </w:t>
      </w:r>
      <w:r w:rsidR="00CE6995" w:rsidRPr="00A51443">
        <w:rPr>
          <w:i/>
          <w:iCs/>
        </w:rPr>
        <w:t>d</w:t>
      </w:r>
      <w:r w:rsidR="00CC7938" w:rsidRPr="00A51443">
        <w:rPr>
          <w:i/>
          <w:iCs/>
        </w:rPr>
        <w:t xml:space="preserve">isorders in the </w:t>
      </w:r>
      <w:r w:rsidR="00CE6995" w:rsidRPr="00A51443">
        <w:rPr>
          <w:i/>
          <w:iCs/>
        </w:rPr>
        <w:t>p</w:t>
      </w:r>
      <w:r w:rsidR="00CC7938" w:rsidRPr="00A51443">
        <w:rPr>
          <w:i/>
          <w:iCs/>
        </w:rPr>
        <w:t xml:space="preserve">ostnatal </w:t>
      </w:r>
      <w:r w:rsidR="00CE6995" w:rsidRPr="00A51443">
        <w:rPr>
          <w:i/>
          <w:iCs/>
        </w:rPr>
        <w:t>p</w:t>
      </w:r>
      <w:r w:rsidR="00CC7938" w:rsidRPr="00A51443">
        <w:rPr>
          <w:i/>
          <w:iCs/>
        </w:rPr>
        <w:t>eriod</w:t>
      </w:r>
    </w:p>
    <w:p w14:paraId="7BFFCDC9" w14:textId="75F9602B" w:rsidR="00946615" w:rsidRPr="00A51443" w:rsidRDefault="00245548" w:rsidP="00623EF7">
      <w:pPr>
        <w:pStyle w:val="Default"/>
        <w:numPr>
          <w:ilvl w:val="0"/>
          <w:numId w:val="5"/>
        </w:numPr>
        <w:spacing w:after="160" w:line="288" w:lineRule="auto"/>
        <w:ind w:left="714" w:hanging="357"/>
        <w:rPr>
          <w:color w:val="auto"/>
          <w:sz w:val="22"/>
          <w:szCs w:val="22"/>
        </w:rPr>
      </w:pPr>
      <w:r>
        <w:rPr>
          <w:color w:val="auto"/>
          <w:sz w:val="22"/>
          <w:szCs w:val="22"/>
        </w:rPr>
        <w:t>new</w:t>
      </w:r>
      <w:r w:rsidR="002328F3" w:rsidRPr="00A51443">
        <w:rPr>
          <w:color w:val="auto"/>
          <w:sz w:val="22"/>
          <w:szCs w:val="22"/>
        </w:rPr>
        <w:t xml:space="preserve"> </w:t>
      </w:r>
      <w:r w:rsidR="00857745" w:rsidRPr="00A51443">
        <w:rPr>
          <w:color w:val="auto"/>
          <w:sz w:val="22"/>
          <w:szCs w:val="22"/>
        </w:rPr>
        <w:t xml:space="preserve">guiding principles </w:t>
      </w:r>
      <w:r>
        <w:rPr>
          <w:color w:val="auto"/>
          <w:sz w:val="22"/>
          <w:szCs w:val="22"/>
        </w:rPr>
        <w:t>to define</w:t>
      </w:r>
      <w:r w:rsidR="00857745" w:rsidRPr="00A51443">
        <w:rPr>
          <w:color w:val="auto"/>
          <w:sz w:val="22"/>
          <w:szCs w:val="22"/>
        </w:rPr>
        <w:t xml:space="preserve"> interventions that inform grouping to the intervention partition</w:t>
      </w:r>
      <w:r w:rsidR="00E37B8C" w:rsidRPr="00A51443">
        <w:rPr>
          <w:color w:val="auto"/>
          <w:sz w:val="22"/>
          <w:szCs w:val="22"/>
        </w:rPr>
        <w:t>,</w:t>
      </w:r>
      <w:r w:rsidR="00857745" w:rsidRPr="00A51443">
        <w:rPr>
          <w:color w:val="auto"/>
          <w:sz w:val="22"/>
          <w:szCs w:val="22"/>
        </w:rPr>
        <w:t xml:space="preserve"> </w:t>
      </w:r>
      <w:r w:rsidRPr="00A51443">
        <w:rPr>
          <w:color w:val="auto"/>
          <w:sz w:val="22"/>
          <w:szCs w:val="22"/>
        </w:rPr>
        <w:t>result</w:t>
      </w:r>
      <w:r>
        <w:rPr>
          <w:color w:val="auto"/>
          <w:sz w:val="22"/>
          <w:szCs w:val="22"/>
        </w:rPr>
        <w:t>ing</w:t>
      </w:r>
      <w:r w:rsidRPr="00A51443">
        <w:rPr>
          <w:color w:val="auto"/>
          <w:sz w:val="22"/>
          <w:szCs w:val="22"/>
        </w:rPr>
        <w:t xml:space="preserve"> </w:t>
      </w:r>
      <w:r w:rsidR="00857745" w:rsidRPr="00A51443">
        <w:rPr>
          <w:color w:val="auto"/>
          <w:sz w:val="22"/>
          <w:szCs w:val="22"/>
        </w:rPr>
        <w:t xml:space="preserve">in the </w:t>
      </w:r>
      <w:r w:rsidR="00FB006B" w:rsidRPr="00A51443">
        <w:rPr>
          <w:color w:val="auto"/>
          <w:sz w:val="22"/>
          <w:szCs w:val="22"/>
        </w:rPr>
        <w:t>amendment of</w:t>
      </w:r>
      <w:r>
        <w:rPr>
          <w:color w:val="auto"/>
          <w:sz w:val="22"/>
          <w:szCs w:val="22"/>
        </w:rPr>
        <w:t xml:space="preserve"> the</w:t>
      </w:r>
      <w:r w:rsidR="00FB006B" w:rsidRPr="00A51443">
        <w:rPr>
          <w:color w:val="auto"/>
          <w:sz w:val="22"/>
          <w:szCs w:val="22"/>
        </w:rPr>
        <w:t xml:space="preserve"> intervention</w:t>
      </w:r>
      <w:r w:rsidR="00C67AAB">
        <w:rPr>
          <w:color w:val="auto"/>
          <w:sz w:val="22"/>
          <w:szCs w:val="22"/>
        </w:rPr>
        <w:t xml:space="preserve"> type</w:t>
      </w:r>
      <w:r w:rsidR="00FB006B" w:rsidRPr="00A51443">
        <w:rPr>
          <w:color w:val="auto"/>
          <w:sz w:val="22"/>
          <w:szCs w:val="22"/>
        </w:rPr>
        <w:t xml:space="preserve"> </w:t>
      </w:r>
      <w:r>
        <w:rPr>
          <w:color w:val="auto"/>
          <w:sz w:val="22"/>
          <w:szCs w:val="22"/>
        </w:rPr>
        <w:t>of</w:t>
      </w:r>
      <w:r w:rsidR="00FB006B" w:rsidRPr="00A51443">
        <w:rPr>
          <w:color w:val="auto"/>
          <w:sz w:val="22"/>
          <w:szCs w:val="22"/>
        </w:rPr>
        <w:t xml:space="preserve"> </w:t>
      </w:r>
      <w:r w:rsidR="00D05E39" w:rsidRPr="00A51443">
        <w:rPr>
          <w:color w:val="auto"/>
          <w:sz w:val="22"/>
          <w:szCs w:val="22"/>
        </w:rPr>
        <w:t>41</w:t>
      </w:r>
      <w:r w:rsidR="002328F3" w:rsidRPr="00A51443">
        <w:rPr>
          <w:color w:val="auto"/>
        </w:rPr>
        <w:t xml:space="preserve"> </w:t>
      </w:r>
      <w:r w:rsidR="002328F3" w:rsidRPr="00A51443">
        <w:rPr>
          <w:color w:val="auto"/>
          <w:sz w:val="22"/>
          <w:szCs w:val="22"/>
        </w:rPr>
        <w:t>Australian Classification of Health Interventions</w:t>
      </w:r>
      <w:r w:rsidR="00FB006B" w:rsidRPr="00A51443">
        <w:rPr>
          <w:color w:val="auto"/>
          <w:sz w:val="22"/>
          <w:szCs w:val="22"/>
        </w:rPr>
        <w:t xml:space="preserve"> </w:t>
      </w:r>
      <w:r w:rsidR="002328F3" w:rsidRPr="00A51443">
        <w:rPr>
          <w:color w:val="auto"/>
          <w:sz w:val="22"/>
          <w:szCs w:val="22"/>
        </w:rPr>
        <w:t>(</w:t>
      </w:r>
      <w:r w:rsidR="00910312" w:rsidRPr="00A51443">
        <w:rPr>
          <w:color w:val="auto"/>
          <w:sz w:val="22"/>
          <w:szCs w:val="22"/>
        </w:rPr>
        <w:t>ACHI</w:t>
      </w:r>
      <w:r w:rsidR="002328F3" w:rsidRPr="00A51443">
        <w:rPr>
          <w:color w:val="auto"/>
          <w:sz w:val="22"/>
          <w:szCs w:val="22"/>
        </w:rPr>
        <w:t>)</w:t>
      </w:r>
      <w:r w:rsidR="000104A0" w:rsidRPr="00A51443">
        <w:rPr>
          <w:color w:val="auto"/>
          <w:sz w:val="22"/>
          <w:szCs w:val="22"/>
        </w:rPr>
        <w:t xml:space="preserve"> </w:t>
      </w:r>
      <w:r w:rsidR="00B84C31" w:rsidRPr="00A51443">
        <w:rPr>
          <w:color w:val="auto"/>
          <w:sz w:val="22"/>
          <w:szCs w:val="22"/>
        </w:rPr>
        <w:t>Thirteenth Edition</w:t>
      </w:r>
      <w:r w:rsidR="00E37B8C" w:rsidRPr="00A51443">
        <w:rPr>
          <w:color w:val="auto"/>
          <w:sz w:val="22"/>
          <w:szCs w:val="22"/>
        </w:rPr>
        <w:t xml:space="preserve"> codes</w:t>
      </w:r>
    </w:p>
    <w:p w14:paraId="6784EC05" w14:textId="04AD8841" w:rsidR="0024172B" w:rsidRPr="00A51443" w:rsidRDefault="0024172B" w:rsidP="0024172B">
      <w:pPr>
        <w:pStyle w:val="Default"/>
        <w:numPr>
          <w:ilvl w:val="0"/>
          <w:numId w:val="5"/>
        </w:numPr>
        <w:spacing w:after="160" w:line="288" w:lineRule="auto"/>
        <w:ind w:left="714" w:hanging="357"/>
        <w:rPr>
          <w:color w:val="auto"/>
          <w:sz w:val="22"/>
          <w:szCs w:val="22"/>
        </w:rPr>
      </w:pPr>
      <w:r w:rsidRPr="00A51443">
        <w:rPr>
          <w:color w:val="auto"/>
          <w:sz w:val="22"/>
          <w:szCs w:val="22"/>
        </w:rPr>
        <w:t>enhancement of Diagnosis Complexity Level (DCL) precision for diabetes mellitus</w:t>
      </w:r>
    </w:p>
    <w:p w14:paraId="60A2C652" w14:textId="4A9DA497" w:rsidR="00AF6386" w:rsidRPr="00A51443" w:rsidRDefault="00AF6386" w:rsidP="00623EF7">
      <w:pPr>
        <w:pStyle w:val="Default"/>
        <w:numPr>
          <w:ilvl w:val="0"/>
          <w:numId w:val="5"/>
        </w:numPr>
        <w:spacing w:after="160" w:line="288" w:lineRule="auto"/>
        <w:ind w:left="714" w:hanging="357"/>
        <w:rPr>
          <w:color w:val="auto"/>
          <w:sz w:val="22"/>
          <w:szCs w:val="22"/>
        </w:rPr>
      </w:pPr>
      <w:r w:rsidRPr="00A51443">
        <w:rPr>
          <w:color w:val="auto"/>
          <w:sz w:val="22"/>
          <w:szCs w:val="22"/>
        </w:rPr>
        <w:t xml:space="preserve">standard refinements aimed at updating the classification for currency using the most recent activity </w:t>
      </w:r>
      <w:r w:rsidR="00FA7DE3" w:rsidRPr="00A51443">
        <w:rPr>
          <w:color w:val="auto"/>
          <w:sz w:val="22"/>
          <w:szCs w:val="22"/>
        </w:rPr>
        <w:t xml:space="preserve">and cost </w:t>
      </w:r>
      <w:r w:rsidRPr="00A51443">
        <w:rPr>
          <w:color w:val="auto"/>
          <w:sz w:val="22"/>
          <w:szCs w:val="22"/>
        </w:rPr>
        <w:t>data and include</w:t>
      </w:r>
      <w:r w:rsidR="00C96322">
        <w:rPr>
          <w:color w:val="auto"/>
          <w:sz w:val="22"/>
          <w:szCs w:val="22"/>
        </w:rPr>
        <w:t>d</w:t>
      </w:r>
      <w:r w:rsidRPr="00A51443">
        <w:rPr>
          <w:color w:val="auto"/>
          <w:sz w:val="22"/>
          <w:szCs w:val="22"/>
        </w:rPr>
        <w:t xml:space="preserve"> </w:t>
      </w:r>
      <w:r w:rsidR="00C96322">
        <w:rPr>
          <w:color w:val="auto"/>
          <w:sz w:val="22"/>
          <w:szCs w:val="22"/>
        </w:rPr>
        <w:t>review</w:t>
      </w:r>
      <w:r w:rsidR="00C96322" w:rsidRPr="00A51443">
        <w:rPr>
          <w:color w:val="auto"/>
          <w:sz w:val="22"/>
          <w:szCs w:val="22"/>
        </w:rPr>
        <w:t xml:space="preserve"> </w:t>
      </w:r>
      <w:r w:rsidRPr="00A51443">
        <w:rPr>
          <w:color w:val="auto"/>
          <w:sz w:val="22"/>
          <w:szCs w:val="22"/>
        </w:rPr>
        <w:t>of:</w:t>
      </w:r>
    </w:p>
    <w:p w14:paraId="50B8B945" w14:textId="70670399" w:rsidR="00E60140" w:rsidRPr="00A51443" w:rsidRDefault="00E60140" w:rsidP="00C96322">
      <w:pPr>
        <w:pStyle w:val="NoSpacing"/>
        <w:widowControl w:val="0"/>
        <w:numPr>
          <w:ilvl w:val="0"/>
          <w:numId w:val="51"/>
        </w:numPr>
        <w:spacing w:after="160" w:line="288" w:lineRule="auto"/>
        <w:rPr>
          <w:color w:val="auto"/>
        </w:rPr>
      </w:pPr>
      <w:r w:rsidRPr="00A51443">
        <w:rPr>
          <w:color w:val="auto"/>
        </w:rPr>
        <w:t xml:space="preserve">the </w:t>
      </w:r>
      <w:r w:rsidR="00B82B52" w:rsidRPr="00A51443">
        <w:rPr>
          <w:color w:val="auto"/>
        </w:rPr>
        <w:t xml:space="preserve">ADRG </w:t>
      </w:r>
      <w:r w:rsidRPr="00A51443">
        <w:rPr>
          <w:color w:val="auto"/>
        </w:rPr>
        <w:t>intervention hierarchy</w:t>
      </w:r>
    </w:p>
    <w:p w14:paraId="6A3C57D9" w14:textId="1CC0088E" w:rsidR="00E60140" w:rsidRPr="00A51443" w:rsidRDefault="00E60140" w:rsidP="00C96322">
      <w:pPr>
        <w:pStyle w:val="NoSpacing"/>
        <w:widowControl w:val="0"/>
        <w:numPr>
          <w:ilvl w:val="0"/>
          <w:numId w:val="51"/>
        </w:numPr>
        <w:spacing w:after="160" w:line="288" w:lineRule="auto"/>
        <w:rPr>
          <w:color w:val="auto"/>
        </w:rPr>
      </w:pPr>
      <w:r w:rsidRPr="00A51443">
        <w:rPr>
          <w:color w:val="auto"/>
        </w:rPr>
        <w:t>episodes</w:t>
      </w:r>
      <w:r w:rsidR="009D3A28" w:rsidRPr="00A51443">
        <w:rPr>
          <w:color w:val="auto"/>
        </w:rPr>
        <w:t xml:space="preserve"> with a General Intervention (GI)</w:t>
      </w:r>
      <w:r w:rsidRPr="00A51443">
        <w:rPr>
          <w:color w:val="auto"/>
        </w:rPr>
        <w:t xml:space="preserve"> that group to ADRG 801</w:t>
      </w:r>
      <w:r w:rsidR="00CA123D" w:rsidRPr="00A51443">
        <w:rPr>
          <w:i/>
          <w:color w:val="auto"/>
        </w:rPr>
        <w:t xml:space="preserve"> </w:t>
      </w:r>
      <w:r w:rsidR="009122C2" w:rsidRPr="00A51443">
        <w:rPr>
          <w:i/>
          <w:color w:val="auto"/>
        </w:rPr>
        <w:t>G</w:t>
      </w:r>
      <w:r w:rsidR="00BE22E3" w:rsidRPr="00A51443">
        <w:rPr>
          <w:i/>
          <w:color w:val="auto"/>
        </w:rPr>
        <w:t xml:space="preserve">eneral </w:t>
      </w:r>
      <w:r w:rsidR="009122C2" w:rsidRPr="00A51443">
        <w:rPr>
          <w:i/>
          <w:color w:val="auto"/>
        </w:rPr>
        <w:t>I</w:t>
      </w:r>
      <w:r w:rsidR="00BE22E3" w:rsidRPr="00A51443">
        <w:rPr>
          <w:i/>
          <w:color w:val="auto"/>
        </w:rPr>
        <w:t>ntervention</w:t>
      </w:r>
      <w:r w:rsidR="009122C2" w:rsidRPr="00A51443">
        <w:rPr>
          <w:i/>
          <w:color w:val="auto"/>
        </w:rPr>
        <w:t xml:space="preserve"> </w:t>
      </w:r>
      <w:r w:rsidR="00C56410" w:rsidRPr="00A51443">
        <w:rPr>
          <w:i/>
          <w:color w:val="auto"/>
        </w:rPr>
        <w:t>u</w:t>
      </w:r>
      <w:r w:rsidRPr="00A51443">
        <w:rPr>
          <w:i/>
          <w:color w:val="auto"/>
        </w:rPr>
        <w:t xml:space="preserve">nrelated to </w:t>
      </w:r>
      <w:r w:rsidR="00C56410" w:rsidRPr="00A51443">
        <w:rPr>
          <w:i/>
          <w:color w:val="auto"/>
        </w:rPr>
        <w:t>p</w:t>
      </w:r>
      <w:r w:rsidRPr="00A51443">
        <w:rPr>
          <w:i/>
          <w:color w:val="auto"/>
        </w:rPr>
        <w:t xml:space="preserve">rincipal </w:t>
      </w:r>
      <w:r w:rsidR="00C56410" w:rsidRPr="00A51443">
        <w:rPr>
          <w:i/>
          <w:color w:val="auto"/>
        </w:rPr>
        <w:t>d</w:t>
      </w:r>
      <w:r w:rsidRPr="00A51443">
        <w:rPr>
          <w:i/>
          <w:color w:val="auto"/>
        </w:rPr>
        <w:t>iagnosis</w:t>
      </w:r>
      <w:r w:rsidRPr="00A51443">
        <w:rPr>
          <w:color w:val="auto"/>
        </w:rPr>
        <w:t xml:space="preserve"> to determine more appropriate grouping where possible</w:t>
      </w:r>
    </w:p>
    <w:p w14:paraId="5F9F30A6" w14:textId="4EE29FD2" w:rsidR="00AF6386" w:rsidRPr="00A51443" w:rsidRDefault="000104A0" w:rsidP="00C96322">
      <w:pPr>
        <w:pStyle w:val="NoSpacing"/>
        <w:widowControl w:val="0"/>
        <w:numPr>
          <w:ilvl w:val="0"/>
          <w:numId w:val="51"/>
        </w:numPr>
        <w:spacing w:after="160" w:line="288" w:lineRule="auto"/>
        <w:rPr>
          <w:color w:val="auto"/>
        </w:rPr>
      </w:pPr>
      <w:r w:rsidRPr="00A51443">
        <w:rPr>
          <w:color w:val="auto"/>
        </w:rPr>
        <w:t>ICD-10-AM</w:t>
      </w:r>
      <w:r w:rsidR="007225C5" w:rsidRPr="00A51443">
        <w:rPr>
          <w:color w:val="auto"/>
        </w:rPr>
        <w:t xml:space="preserve"> </w:t>
      </w:r>
      <w:r w:rsidR="00AF6386" w:rsidRPr="00A51443">
        <w:rPr>
          <w:color w:val="auto"/>
        </w:rPr>
        <w:t>codes in</w:t>
      </w:r>
      <w:r w:rsidR="008517C8" w:rsidRPr="00A51443">
        <w:rPr>
          <w:color w:val="auto"/>
        </w:rPr>
        <w:t>-</w:t>
      </w:r>
      <w:r w:rsidR="00AF6386" w:rsidRPr="00A51443">
        <w:rPr>
          <w:color w:val="auto"/>
        </w:rPr>
        <w:t>scope for contributing to complexity</w:t>
      </w:r>
    </w:p>
    <w:p w14:paraId="791A299E" w14:textId="2CBF7EFF" w:rsidR="00AF6386" w:rsidRPr="00A51443" w:rsidRDefault="00AF6386" w:rsidP="00C96322">
      <w:pPr>
        <w:pStyle w:val="NoSpacing"/>
        <w:widowControl w:val="0"/>
        <w:numPr>
          <w:ilvl w:val="0"/>
          <w:numId w:val="51"/>
        </w:numPr>
        <w:spacing w:after="160" w:line="288" w:lineRule="auto"/>
        <w:rPr>
          <w:color w:val="auto"/>
        </w:rPr>
      </w:pPr>
      <w:r w:rsidRPr="00A51443">
        <w:rPr>
          <w:color w:val="auto"/>
        </w:rPr>
        <w:t>the complexity scoring system</w:t>
      </w:r>
    </w:p>
    <w:p w14:paraId="5AB84DD3" w14:textId="59108E7C" w:rsidR="003453BC" w:rsidRPr="00A51443" w:rsidRDefault="00AF6386" w:rsidP="00C96322">
      <w:pPr>
        <w:pStyle w:val="NoSpacing"/>
        <w:widowControl w:val="0"/>
        <w:numPr>
          <w:ilvl w:val="0"/>
          <w:numId w:val="51"/>
        </w:numPr>
        <w:spacing w:after="160" w:line="288" w:lineRule="auto"/>
        <w:rPr>
          <w:color w:val="auto"/>
        </w:rPr>
      </w:pPr>
      <w:r w:rsidRPr="00A51443">
        <w:rPr>
          <w:color w:val="auto"/>
        </w:rPr>
        <w:t xml:space="preserve">the splitting of ADRGs into </w:t>
      </w:r>
      <w:r w:rsidR="00840C90">
        <w:rPr>
          <w:color w:val="auto"/>
        </w:rPr>
        <w:t>diagnosis related groups (</w:t>
      </w:r>
      <w:r w:rsidR="0023390C" w:rsidRPr="00A51443">
        <w:rPr>
          <w:color w:val="auto"/>
        </w:rPr>
        <w:t>DRG</w:t>
      </w:r>
      <w:r w:rsidR="007D6709" w:rsidRPr="00A51443">
        <w:rPr>
          <w:color w:val="auto"/>
        </w:rPr>
        <w:t>s</w:t>
      </w:r>
      <w:r w:rsidR="00840C90">
        <w:rPr>
          <w:color w:val="auto"/>
        </w:rPr>
        <w:t>)</w:t>
      </w:r>
      <w:r w:rsidR="007D6709" w:rsidRPr="00A51443">
        <w:rPr>
          <w:color w:val="auto"/>
        </w:rPr>
        <w:t xml:space="preserve"> </w:t>
      </w:r>
      <w:r w:rsidRPr="00A51443">
        <w:rPr>
          <w:color w:val="auto"/>
        </w:rPr>
        <w:t xml:space="preserve">that reflect different </w:t>
      </w:r>
      <w:r w:rsidRPr="00A51443">
        <w:rPr>
          <w:color w:val="auto"/>
        </w:rPr>
        <w:lastRenderedPageBreak/>
        <w:t>levels of complexity</w:t>
      </w:r>
      <w:r w:rsidR="003453BC" w:rsidRPr="00A51443">
        <w:rPr>
          <w:color w:val="auto"/>
        </w:rPr>
        <w:t>.</w:t>
      </w:r>
    </w:p>
    <w:p w14:paraId="486E1EDF" w14:textId="27EC761A" w:rsidR="00970318" w:rsidRPr="00A51443" w:rsidRDefault="00AF6386" w:rsidP="00C006E1">
      <w:pPr>
        <w:pStyle w:val="NoSpacing"/>
        <w:widowControl w:val="0"/>
        <w:spacing w:after="160" w:line="288" w:lineRule="auto"/>
        <w:rPr>
          <w:color w:val="auto"/>
        </w:rPr>
        <w:sectPr w:rsidR="00970318" w:rsidRPr="00A51443" w:rsidSect="009519E0">
          <w:pgSz w:w="11906" w:h="16838" w:code="9"/>
          <w:pgMar w:top="1440" w:right="1080" w:bottom="1440" w:left="1080" w:header="708" w:footer="708" w:gutter="0"/>
          <w:cols w:space="708"/>
          <w:docGrid w:linePitch="360"/>
        </w:sectPr>
      </w:pPr>
      <w:r w:rsidRPr="00A51443">
        <w:rPr>
          <w:color w:val="auto"/>
        </w:rPr>
        <w:t xml:space="preserve">The </w:t>
      </w:r>
      <w:r w:rsidRPr="00A51443">
        <w:rPr>
          <w:iCs/>
          <w:color w:val="auto"/>
        </w:rPr>
        <w:t>AR</w:t>
      </w:r>
      <w:r w:rsidRPr="00A51443">
        <w:rPr>
          <w:iCs/>
          <w:color w:val="auto"/>
        </w:rPr>
        <w:noBreakHyphen/>
        <w:t>DRG V</w:t>
      </w:r>
      <w:r w:rsidR="00756665" w:rsidRPr="00A51443">
        <w:rPr>
          <w:iCs/>
          <w:color w:val="auto"/>
        </w:rPr>
        <w:t>12.0</w:t>
      </w:r>
      <w:r w:rsidRPr="00A51443">
        <w:rPr>
          <w:iCs/>
          <w:color w:val="auto"/>
        </w:rPr>
        <w:t xml:space="preserve"> Final Report</w:t>
      </w:r>
      <w:r w:rsidRPr="00A51443">
        <w:rPr>
          <w:color w:val="auto"/>
        </w:rPr>
        <w:t xml:space="preserve"> outlines the </w:t>
      </w:r>
      <w:r w:rsidR="005D32D1" w:rsidRPr="00A51443">
        <w:rPr>
          <w:color w:val="auto"/>
        </w:rPr>
        <w:t xml:space="preserve">changes made for AR-DRG V12.0 and details the </w:t>
      </w:r>
      <w:r w:rsidRPr="00A51443">
        <w:rPr>
          <w:color w:val="auto"/>
        </w:rPr>
        <w:t xml:space="preserve">refinement process, </w:t>
      </w:r>
      <w:r w:rsidR="009A5F1A" w:rsidRPr="00A51443">
        <w:rPr>
          <w:color w:val="auto"/>
        </w:rPr>
        <w:t xml:space="preserve">associated </w:t>
      </w:r>
      <w:r w:rsidRPr="00A51443">
        <w:rPr>
          <w:color w:val="auto"/>
        </w:rPr>
        <w:t>analysis</w:t>
      </w:r>
      <w:r w:rsidR="005D32D1" w:rsidRPr="00A51443">
        <w:rPr>
          <w:color w:val="auto"/>
        </w:rPr>
        <w:t xml:space="preserve"> </w:t>
      </w:r>
      <w:r w:rsidRPr="00A51443">
        <w:rPr>
          <w:color w:val="auto"/>
        </w:rPr>
        <w:t>and the rationale for changes</w:t>
      </w:r>
      <w:r w:rsidR="005D32D1" w:rsidRPr="00A51443">
        <w:rPr>
          <w:color w:val="auto"/>
        </w:rPr>
        <w:t>.</w:t>
      </w:r>
    </w:p>
    <w:p w14:paraId="38AE782F" w14:textId="77777777" w:rsidR="005C1B62" w:rsidRPr="00A51443" w:rsidRDefault="005C1B62" w:rsidP="00623EF7">
      <w:pPr>
        <w:pStyle w:val="Heading1"/>
        <w:numPr>
          <w:ilvl w:val="0"/>
          <w:numId w:val="9"/>
        </w:numPr>
        <w:ind w:left="0" w:firstLine="0"/>
        <w:rPr>
          <w:lang w:val="en-PH"/>
        </w:rPr>
      </w:pPr>
      <w:bookmarkStart w:id="12" w:name="_Toc534875725"/>
      <w:bookmarkStart w:id="13" w:name="_Toc100328187"/>
      <w:bookmarkStart w:id="14" w:name="_Toc188263100"/>
      <w:bookmarkStart w:id="15" w:name="_Toc193462692"/>
      <w:r w:rsidRPr="00A51443">
        <w:rPr>
          <w:lang w:val="en-PH"/>
        </w:rPr>
        <w:lastRenderedPageBreak/>
        <w:t>Introduction</w:t>
      </w:r>
      <w:bookmarkEnd w:id="12"/>
      <w:bookmarkEnd w:id="13"/>
      <w:bookmarkEnd w:id="14"/>
      <w:bookmarkEnd w:id="15"/>
    </w:p>
    <w:p w14:paraId="184587DB" w14:textId="77777777" w:rsidR="005C1B62" w:rsidRPr="00A51443" w:rsidRDefault="005C1B62" w:rsidP="00623EF7">
      <w:pPr>
        <w:pStyle w:val="Heading2"/>
        <w:numPr>
          <w:ilvl w:val="1"/>
          <w:numId w:val="8"/>
        </w:numPr>
        <w:ind w:left="0" w:firstLine="0"/>
        <w:rPr>
          <w:lang w:val="en-PH"/>
        </w:rPr>
      </w:pPr>
      <w:bookmarkStart w:id="16" w:name="_Toc100328188"/>
      <w:bookmarkStart w:id="17" w:name="_Toc188263101"/>
      <w:bookmarkStart w:id="18" w:name="_Toc193462693"/>
      <w:r w:rsidRPr="00A51443">
        <w:rPr>
          <w:lang w:val="en-PH"/>
        </w:rPr>
        <w:t>AR-DRG classification</w:t>
      </w:r>
      <w:bookmarkEnd w:id="16"/>
      <w:bookmarkEnd w:id="17"/>
      <w:bookmarkEnd w:id="18"/>
      <w:r w:rsidRPr="00A51443">
        <w:rPr>
          <w:lang w:val="en-PH"/>
        </w:rPr>
        <w:t xml:space="preserve"> </w:t>
      </w:r>
    </w:p>
    <w:p w14:paraId="3E799BCC" w14:textId="0E14DEF2" w:rsidR="005C1B62" w:rsidRPr="00A51443" w:rsidRDefault="00FC1944" w:rsidP="00C006E1">
      <w:pPr>
        <w:rPr>
          <w:color w:val="auto"/>
        </w:rPr>
      </w:pPr>
      <w:bookmarkStart w:id="19" w:name="_Toc534875727"/>
      <w:bookmarkStart w:id="20" w:name="_Toc534633017"/>
      <w:r w:rsidRPr="00A51443">
        <w:rPr>
          <w:color w:val="auto"/>
        </w:rPr>
        <w:t xml:space="preserve">IHACPA </w:t>
      </w:r>
      <w:r w:rsidR="005C1B62" w:rsidRPr="00A51443">
        <w:rPr>
          <w:color w:val="auto"/>
        </w:rPr>
        <w:t>has responsibility for the development of the AR-DRG classification, which groups together treatments and services provided for admitted acute care to enable hospitals to be funded for these services using ABF. The AR-DRG classification is underpinned by the following disease and intervention classifications and standards:</w:t>
      </w:r>
    </w:p>
    <w:p w14:paraId="5A5AC6A3" w14:textId="41143AF0" w:rsidR="005C1B62" w:rsidRPr="00A51443" w:rsidRDefault="005C1B62" w:rsidP="00623EF7">
      <w:pPr>
        <w:pStyle w:val="ListParagraph"/>
        <w:numPr>
          <w:ilvl w:val="0"/>
          <w:numId w:val="7"/>
        </w:numPr>
        <w:ind w:left="714" w:hanging="357"/>
        <w:contextualSpacing w:val="0"/>
        <w:rPr>
          <w:color w:val="auto"/>
        </w:rPr>
      </w:pPr>
      <w:r w:rsidRPr="00A51443">
        <w:rPr>
          <w:color w:val="auto"/>
        </w:rPr>
        <w:t>International Statistical Classification of Diseases and Related Health Problems, Tenth Revision, Australian Modification (ICD-10-AM)</w:t>
      </w:r>
    </w:p>
    <w:p w14:paraId="678339C6" w14:textId="2D4E16D8" w:rsidR="005C1B62" w:rsidRPr="00A51443" w:rsidRDefault="005C1B62" w:rsidP="00623EF7">
      <w:pPr>
        <w:pStyle w:val="ListParagraph"/>
        <w:numPr>
          <w:ilvl w:val="0"/>
          <w:numId w:val="7"/>
        </w:numPr>
        <w:ind w:left="714" w:hanging="357"/>
        <w:contextualSpacing w:val="0"/>
        <w:rPr>
          <w:color w:val="auto"/>
        </w:rPr>
      </w:pPr>
      <w:r w:rsidRPr="00A51443">
        <w:rPr>
          <w:color w:val="auto"/>
        </w:rPr>
        <w:t>Australian Classification of Health Interventions (ACHI)</w:t>
      </w:r>
    </w:p>
    <w:p w14:paraId="304C439D" w14:textId="2E93F913" w:rsidR="005C1B62" w:rsidRPr="00A51443" w:rsidRDefault="005C1B62" w:rsidP="00623EF7">
      <w:pPr>
        <w:pStyle w:val="ListParagraph"/>
        <w:numPr>
          <w:ilvl w:val="0"/>
          <w:numId w:val="7"/>
        </w:numPr>
        <w:ind w:left="714" w:hanging="357"/>
        <w:contextualSpacing w:val="0"/>
        <w:rPr>
          <w:color w:val="auto"/>
        </w:rPr>
      </w:pPr>
      <w:r w:rsidRPr="00A51443">
        <w:rPr>
          <w:color w:val="auto"/>
        </w:rPr>
        <w:t>Australian Coding Standards (ACS)</w:t>
      </w:r>
      <w:r w:rsidR="00E60140" w:rsidRPr="00A51443">
        <w:rPr>
          <w:color w:val="auto"/>
        </w:rPr>
        <w:t>.</w:t>
      </w:r>
    </w:p>
    <w:p w14:paraId="78CA99FA" w14:textId="4E377BBE" w:rsidR="005C1B62" w:rsidRPr="00A51443" w:rsidRDefault="005C1B62" w:rsidP="00C006E1">
      <w:pPr>
        <w:rPr>
          <w:color w:val="auto"/>
        </w:rPr>
      </w:pPr>
      <w:r w:rsidRPr="00A51443">
        <w:rPr>
          <w:color w:val="auto"/>
        </w:rPr>
        <w:t>Collectively these classifications are known as ICD-10-AM/ACHI/ACS and are used to classify diseases and interventions for all admitted patient episodes of care</w:t>
      </w:r>
      <w:r w:rsidR="007355F5" w:rsidRPr="00A51443">
        <w:rPr>
          <w:color w:val="auto"/>
        </w:rPr>
        <w:t>.</w:t>
      </w:r>
    </w:p>
    <w:p w14:paraId="7A459245" w14:textId="77777777" w:rsidR="00521396" w:rsidRDefault="005C1B62" w:rsidP="00C006E1">
      <w:pPr>
        <w:rPr>
          <w:color w:val="auto"/>
        </w:rPr>
      </w:pPr>
      <w:r w:rsidRPr="00A51443">
        <w:rPr>
          <w:color w:val="auto"/>
        </w:rPr>
        <w:t xml:space="preserve">AR-DRG are used in public and private hospitals in Australia to classify admitted acute care. </w:t>
      </w:r>
    </w:p>
    <w:p w14:paraId="78BA7DE0" w14:textId="34D76974" w:rsidR="0024172B" w:rsidRPr="00A51443" w:rsidRDefault="00521396" w:rsidP="00C006E1">
      <w:pPr>
        <w:rPr>
          <w:color w:val="auto"/>
        </w:rPr>
      </w:pPr>
      <w:r>
        <w:rPr>
          <w:color w:val="auto"/>
        </w:rPr>
        <w:t>ICD-10-AM/ACHI/ACS and AR-DRGs</w:t>
      </w:r>
      <w:r w:rsidR="005C1B62" w:rsidRPr="00A51443">
        <w:rPr>
          <w:color w:val="auto"/>
        </w:rPr>
        <w:t xml:space="preserve"> are updated every three years</w:t>
      </w:r>
      <w:r w:rsidR="00376835" w:rsidRPr="00A51443">
        <w:rPr>
          <w:color w:val="auto"/>
        </w:rPr>
        <w:t xml:space="preserve"> to balance the need </w:t>
      </w:r>
      <w:r w:rsidR="00743E10" w:rsidRPr="00A51443">
        <w:rPr>
          <w:color w:val="auto"/>
        </w:rPr>
        <w:t>for currency against the burden of implementation for stakeholders</w:t>
      </w:r>
      <w:r w:rsidR="0024172B" w:rsidRPr="00A51443">
        <w:rPr>
          <w:color w:val="auto"/>
        </w:rPr>
        <w:t>.</w:t>
      </w:r>
    </w:p>
    <w:p w14:paraId="72C25ABA" w14:textId="0AD4A9CF" w:rsidR="007E25C2" w:rsidRPr="00A51443" w:rsidRDefault="007E25C2" w:rsidP="00C006E1">
      <w:pPr>
        <w:rPr>
          <w:color w:val="auto"/>
        </w:rPr>
      </w:pPr>
      <w:r w:rsidRPr="00A51443">
        <w:rPr>
          <w:color w:val="auto"/>
        </w:rPr>
        <w:t xml:space="preserve">While </w:t>
      </w:r>
      <w:r w:rsidR="00521396">
        <w:rPr>
          <w:color w:val="auto"/>
        </w:rPr>
        <w:t xml:space="preserve">ICD-10-AM/ACHI/ACS and AR-DRGs are </w:t>
      </w:r>
      <w:r w:rsidRPr="00A51443">
        <w:rPr>
          <w:color w:val="auto"/>
        </w:rPr>
        <w:t xml:space="preserve">instrumental to ABF, </w:t>
      </w:r>
      <w:r w:rsidR="00521396">
        <w:rPr>
          <w:color w:val="auto"/>
        </w:rPr>
        <w:t>they are</w:t>
      </w:r>
      <w:r w:rsidRPr="00A51443">
        <w:rPr>
          <w:color w:val="auto"/>
        </w:rPr>
        <w:t xml:space="preserve"> also used for many other purposes including performance management, benchmarking, epidemiology and research.</w:t>
      </w:r>
    </w:p>
    <w:p w14:paraId="7B7BB1F0" w14:textId="51B99599" w:rsidR="005C1B62" w:rsidRPr="00A51443" w:rsidRDefault="008721B7" w:rsidP="00C006E1">
      <w:pPr>
        <w:rPr>
          <w:color w:val="auto"/>
        </w:rPr>
      </w:pPr>
      <w:r w:rsidRPr="00A51443">
        <w:rPr>
          <w:color w:val="auto"/>
        </w:rPr>
        <w:t>The AR-DRG classification groups admitted acute episode</w:t>
      </w:r>
      <w:r w:rsidR="0061578C" w:rsidRPr="00A51443">
        <w:rPr>
          <w:color w:val="auto"/>
        </w:rPr>
        <w:t>s</w:t>
      </w:r>
      <w:r w:rsidRPr="00A51443">
        <w:rPr>
          <w:color w:val="auto"/>
        </w:rPr>
        <w:t xml:space="preserve"> of care</w:t>
      </w:r>
      <w:r w:rsidR="008017AA" w:rsidRPr="00A51443">
        <w:rPr>
          <w:color w:val="auto"/>
        </w:rPr>
        <w:t xml:space="preserve"> using</w:t>
      </w:r>
      <w:r w:rsidRPr="00A51443">
        <w:rPr>
          <w:color w:val="auto"/>
        </w:rPr>
        <w:t xml:space="preserve"> diagnosis (ICD-10-AM) and intervention (ACHI) codes and other routinely collected data, such as age, mode of separation, length of stay, newborn admission weight and hours of continuous ventilatory support (mechanical ventilation). </w:t>
      </w:r>
    </w:p>
    <w:p w14:paraId="53664A3C" w14:textId="77777777" w:rsidR="005C1B62" w:rsidRPr="00A51443" w:rsidRDefault="005C1B62" w:rsidP="00623EF7">
      <w:pPr>
        <w:pStyle w:val="Heading2"/>
        <w:numPr>
          <w:ilvl w:val="1"/>
          <w:numId w:val="8"/>
        </w:numPr>
        <w:ind w:left="0" w:firstLine="0"/>
        <w:rPr>
          <w:lang w:val="en-PH"/>
        </w:rPr>
      </w:pPr>
      <w:bookmarkStart w:id="21" w:name="_Toc100328189"/>
      <w:bookmarkStart w:id="22" w:name="_Toc188263102"/>
      <w:bookmarkStart w:id="23" w:name="_Toc193462694"/>
      <w:r w:rsidRPr="00A51443">
        <w:rPr>
          <w:lang w:val="en-PH"/>
        </w:rPr>
        <w:t>Classification process</w:t>
      </w:r>
      <w:bookmarkEnd w:id="19"/>
      <w:bookmarkEnd w:id="20"/>
      <w:bookmarkEnd w:id="21"/>
      <w:bookmarkEnd w:id="22"/>
      <w:bookmarkEnd w:id="23"/>
    </w:p>
    <w:p w14:paraId="163AB7FE" w14:textId="0D5DB29C" w:rsidR="005C1B62" w:rsidRPr="00A51443" w:rsidRDefault="005C1B62" w:rsidP="00C006E1">
      <w:pPr>
        <w:rPr>
          <w:color w:val="auto"/>
        </w:rPr>
      </w:pPr>
      <w:bookmarkStart w:id="24" w:name="_Ref534812840"/>
      <w:r w:rsidRPr="00A51443">
        <w:rPr>
          <w:color w:val="auto"/>
        </w:rPr>
        <w:t xml:space="preserve">The process of clinical classification, or ‘coding’, involves the translation of </w:t>
      </w:r>
      <w:r w:rsidR="00512884">
        <w:rPr>
          <w:color w:val="auto"/>
        </w:rPr>
        <w:t>clinical concepts</w:t>
      </w:r>
      <w:r w:rsidRPr="00A51443">
        <w:rPr>
          <w:color w:val="auto"/>
        </w:rPr>
        <w:t xml:space="preserve"> from the </w:t>
      </w:r>
      <w:r w:rsidR="00512884">
        <w:rPr>
          <w:color w:val="auto"/>
        </w:rPr>
        <w:t>health care</w:t>
      </w:r>
      <w:r w:rsidR="00512884" w:rsidRPr="00A51443">
        <w:rPr>
          <w:color w:val="auto"/>
        </w:rPr>
        <w:t xml:space="preserve"> </w:t>
      </w:r>
      <w:r w:rsidRPr="00A51443">
        <w:rPr>
          <w:color w:val="auto"/>
        </w:rPr>
        <w:t>record into alphanumeric codes within ICD-10-AM and ACHI.</w:t>
      </w:r>
    </w:p>
    <w:p w14:paraId="65B136BB" w14:textId="5E99C557" w:rsidR="005C1B62" w:rsidRPr="00A51443" w:rsidRDefault="005C1B62" w:rsidP="00C006E1">
      <w:pPr>
        <w:rPr>
          <w:color w:val="auto"/>
        </w:rPr>
      </w:pPr>
      <w:r w:rsidRPr="00A51443">
        <w:rPr>
          <w:color w:val="auto"/>
        </w:rPr>
        <w:t>At the conclusion of a patient’s episode of care, a clinical coder reviews the relevant clinical documentation and abstracts information recorded by clinicians to assign codes for the principal diagnosis, additional diagnoses and interventions performed in accordance with guidelines provided in the ACS and national coding advice.</w:t>
      </w:r>
    </w:p>
    <w:p w14:paraId="5A8D8B42" w14:textId="0984F410" w:rsidR="005C1B62" w:rsidRPr="00A51443" w:rsidRDefault="005C1B62" w:rsidP="00C006E1">
      <w:pPr>
        <w:rPr>
          <w:color w:val="auto"/>
        </w:rPr>
      </w:pPr>
      <w:r w:rsidRPr="00A51443">
        <w:rPr>
          <w:color w:val="auto"/>
        </w:rPr>
        <w:t xml:space="preserve">The AR-DRG classification uses the ICD-10-AM and ACHI codes along with other routinely collected data from the episode of care, to assign an end class – a </w:t>
      </w:r>
      <w:r w:rsidR="009E40C1" w:rsidRPr="00A51443">
        <w:rPr>
          <w:color w:val="auto"/>
        </w:rPr>
        <w:t>D</w:t>
      </w:r>
      <w:r w:rsidRPr="00A51443">
        <w:rPr>
          <w:color w:val="auto"/>
        </w:rPr>
        <w:t xml:space="preserve">iagnosis </w:t>
      </w:r>
      <w:r w:rsidR="009E40C1" w:rsidRPr="00A51443">
        <w:rPr>
          <w:color w:val="auto"/>
        </w:rPr>
        <w:t>R</w:t>
      </w:r>
      <w:r w:rsidRPr="00A51443">
        <w:rPr>
          <w:color w:val="auto"/>
        </w:rPr>
        <w:t xml:space="preserve">elated </w:t>
      </w:r>
      <w:r w:rsidR="009E40C1" w:rsidRPr="00A51443">
        <w:rPr>
          <w:color w:val="auto"/>
        </w:rPr>
        <w:t>G</w:t>
      </w:r>
      <w:r w:rsidRPr="00A51443">
        <w:rPr>
          <w:color w:val="auto"/>
        </w:rPr>
        <w:t>roup (DRG). Software containing the AR-DRG algorithms uses the information from the episode of care and assigns a DRG</w:t>
      </w:r>
      <w:r w:rsidR="004323BD" w:rsidRPr="00A51443">
        <w:rPr>
          <w:color w:val="auto"/>
        </w:rPr>
        <w:t xml:space="preserve"> </w:t>
      </w:r>
      <w:r w:rsidRPr="00A51443">
        <w:rPr>
          <w:color w:val="auto"/>
        </w:rPr>
        <w:t>– this software is known as a ‘grouper’.</w:t>
      </w:r>
    </w:p>
    <w:p w14:paraId="03244F54" w14:textId="5DB8535A" w:rsidR="005C1B62" w:rsidRPr="00A51443" w:rsidRDefault="005C1B62" w:rsidP="00C006E1">
      <w:pPr>
        <w:rPr>
          <w:b/>
          <w:bCs/>
          <w:color w:val="auto"/>
          <w:sz w:val="18"/>
          <w:szCs w:val="18"/>
        </w:rPr>
      </w:pPr>
      <w:r w:rsidRPr="00A51443">
        <w:rPr>
          <w:color w:val="auto"/>
        </w:rPr>
        <w:lastRenderedPageBreak/>
        <w:t xml:space="preserve">A schematic of the DRG assignment process is at </w:t>
      </w:r>
      <w:r w:rsidR="0041308B" w:rsidRPr="00A51443">
        <w:rPr>
          <w:b/>
          <w:bCs/>
          <w:color w:val="auto"/>
        </w:rPr>
        <w:fldChar w:fldCharType="begin"/>
      </w:r>
      <w:r w:rsidR="0041308B" w:rsidRPr="00A51443">
        <w:rPr>
          <w:b/>
          <w:bCs/>
          <w:color w:val="auto"/>
        </w:rPr>
        <w:instrText xml:space="preserve"> REF _Ref182400285 \h  \* MERGEFORMAT </w:instrText>
      </w:r>
      <w:r w:rsidR="0041308B" w:rsidRPr="00A51443">
        <w:rPr>
          <w:b/>
          <w:bCs/>
          <w:color w:val="auto"/>
        </w:rPr>
      </w:r>
      <w:r w:rsidR="0041308B" w:rsidRPr="00A51443">
        <w:rPr>
          <w:b/>
          <w:bCs/>
          <w:color w:val="auto"/>
        </w:rPr>
        <w:fldChar w:fldCharType="separate"/>
      </w:r>
      <w:r w:rsidR="009D07F9" w:rsidRPr="009D07F9">
        <w:rPr>
          <w:b/>
          <w:bCs/>
          <w:color w:val="auto"/>
        </w:rPr>
        <w:t xml:space="preserve">Figure </w:t>
      </w:r>
      <w:r w:rsidR="009D07F9" w:rsidRPr="009D07F9">
        <w:rPr>
          <w:b/>
          <w:bCs/>
          <w:noProof/>
          <w:color w:val="auto"/>
        </w:rPr>
        <w:t>1</w:t>
      </w:r>
      <w:r w:rsidR="0041308B" w:rsidRPr="00A51443">
        <w:rPr>
          <w:b/>
          <w:bCs/>
          <w:color w:val="auto"/>
        </w:rPr>
        <w:fldChar w:fldCharType="end"/>
      </w:r>
      <w:r w:rsidRPr="00A51443">
        <w:rPr>
          <w:color w:val="auto"/>
        </w:rPr>
        <w:t>.</w:t>
      </w:r>
    </w:p>
    <w:p w14:paraId="2303EFA8" w14:textId="2172400F" w:rsidR="005C1B62" w:rsidRPr="00A51443" w:rsidRDefault="0041308B" w:rsidP="004E2BB8">
      <w:pPr>
        <w:pStyle w:val="Caption"/>
      </w:pPr>
      <w:bookmarkStart w:id="25" w:name="_Ref182400285"/>
      <w:bookmarkStart w:id="26" w:name="_Ref182400278"/>
      <w:bookmarkEnd w:id="24"/>
      <w:r w:rsidRPr="00A51443">
        <w:t xml:space="preserve">Figure </w:t>
      </w:r>
      <w:r w:rsidRPr="00A51443">
        <w:fldChar w:fldCharType="begin"/>
      </w:r>
      <w:r w:rsidRPr="00A51443">
        <w:instrText xml:space="preserve"> SEQ Figure \* ARABIC </w:instrText>
      </w:r>
      <w:r w:rsidRPr="00A51443">
        <w:fldChar w:fldCharType="separate"/>
      </w:r>
      <w:r w:rsidR="009D07F9">
        <w:rPr>
          <w:noProof/>
        </w:rPr>
        <w:t>1</w:t>
      </w:r>
      <w:r w:rsidRPr="00A51443">
        <w:fldChar w:fldCharType="end"/>
      </w:r>
      <w:bookmarkEnd w:id="25"/>
      <w:r w:rsidR="005C1B62" w:rsidRPr="00A51443">
        <w:t>: Schematic diagram for DRG assignment</w:t>
      </w:r>
      <w:bookmarkEnd w:id="26"/>
    </w:p>
    <w:p w14:paraId="690DC4F7" w14:textId="05957CA9" w:rsidR="005C1B62" w:rsidRPr="00A51443" w:rsidRDefault="007A6AAF" w:rsidP="001A6FEC">
      <w:pPr>
        <w:jc w:val="center"/>
      </w:pPr>
      <w:r w:rsidRPr="00A51443">
        <w:rPr>
          <w:noProof/>
        </w:rPr>
        <w:drawing>
          <wp:inline distT="0" distB="0" distL="0" distR="0" wp14:anchorId="01587F46" wp14:editId="7B40F21F">
            <wp:extent cx="5145405" cy="4060190"/>
            <wp:effectExtent l="0" t="0" r="0" b="0"/>
            <wp:docPr id="973470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5405" cy="4060190"/>
                    </a:xfrm>
                    <a:prstGeom prst="rect">
                      <a:avLst/>
                    </a:prstGeom>
                    <a:noFill/>
                  </pic:spPr>
                </pic:pic>
              </a:graphicData>
            </a:graphic>
          </wp:inline>
        </w:drawing>
      </w:r>
    </w:p>
    <w:p w14:paraId="020953CA" w14:textId="4BA85091" w:rsidR="00907B37" w:rsidRPr="00A51443" w:rsidRDefault="00907B37" w:rsidP="009B6D02">
      <w:pPr>
        <w:keepNext/>
      </w:pPr>
      <w:r w:rsidRPr="00A51443">
        <w:t xml:space="preserve">The points below provide explanatory information for the </w:t>
      </w:r>
      <w:r w:rsidR="009B6D02" w:rsidRPr="00A51443">
        <w:t>schematic diagram</w:t>
      </w:r>
      <w:r w:rsidRPr="00A51443">
        <w:t xml:space="preserve"> in </w:t>
      </w:r>
      <w:r w:rsidRPr="00A51443">
        <w:rPr>
          <w:b/>
          <w:bCs/>
        </w:rPr>
        <w:t>Figure 1</w:t>
      </w:r>
      <w:r w:rsidRPr="00A51443">
        <w:t>:</w:t>
      </w:r>
    </w:p>
    <w:p w14:paraId="504A2CC5" w14:textId="7569D7D2" w:rsidR="005C1B62" w:rsidRPr="00A51443" w:rsidRDefault="005C1B62" w:rsidP="007204C2">
      <w:pPr>
        <w:pStyle w:val="ListBullet"/>
      </w:pPr>
      <w:r w:rsidRPr="00A51443">
        <w:rPr>
          <w:b/>
        </w:rPr>
        <w:t>Demographic and clinical edits</w:t>
      </w:r>
      <w:r w:rsidRPr="00A51443">
        <w:t>: These edits check the validity of the data to be used for grouping and include age, mode</w:t>
      </w:r>
      <w:r w:rsidR="00915616" w:rsidRPr="00A51443">
        <w:t xml:space="preserve"> of </w:t>
      </w:r>
      <w:r w:rsidR="00E63E21" w:rsidRPr="00A51443">
        <w:t>separation</w:t>
      </w:r>
      <w:r w:rsidRPr="00A51443">
        <w:t xml:space="preserve">, length of stay, newborn admission weight, hours of </w:t>
      </w:r>
      <w:r w:rsidR="00986069" w:rsidRPr="00A51443">
        <w:t>continuous ventilatory support</w:t>
      </w:r>
      <w:r w:rsidR="00986069" w:rsidRPr="00A51443" w:rsidDel="00986069">
        <w:t xml:space="preserve"> </w:t>
      </w:r>
      <w:r w:rsidRPr="00A51443">
        <w:t xml:space="preserve">and same-day status. The edits also validate all </w:t>
      </w:r>
      <w:r w:rsidR="00EF0B1B" w:rsidRPr="00A51443">
        <w:t xml:space="preserve">ICD-10-AM </w:t>
      </w:r>
      <w:r w:rsidRPr="00A51443">
        <w:t xml:space="preserve">and </w:t>
      </w:r>
      <w:r w:rsidR="00EF0B1B" w:rsidRPr="00A51443">
        <w:t xml:space="preserve">ACHI </w:t>
      </w:r>
      <w:r w:rsidRPr="00A51443">
        <w:t>codes, combined with a patient’s age</w:t>
      </w:r>
      <w:r w:rsidR="00E81161" w:rsidRPr="00A51443">
        <w:t>,</w:t>
      </w:r>
      <w:r w:rsidR="00D5147E" w:rsidRPr="00A51443">
        <w:t xml:space="preserve"> </w:t>
      </w:r>
      <w:r w:rsidRPr="00A51443">
        <w:t>sex</w:t>
      </w:r>
      <w:r w:rsidR="00E81161" w:rsidRPr="00A51443">
        <w:t xml:space="preserve"> and length of stay</w:t>
      </w:r>
      <w:r w:rsidRPr="00A51443">
        <w:t xml:space="preserve">. The principal diagnosis is also checked to validate that it is an acceptable principal diagnosis code. </w:t>
      </w:r>
    </w:p>
    <w:p w14:paraId="48A450C4" w14:textId="5061153E" w:rsidR="005C1B62" w:rsidRPr="00A51443" w:rsidRDefault="005C1B62" w:rsidP="001819CB">
      <w:pPr>
        <w:pStyle w:val="ListBullet"/>
        <w:spacing w:after="120"/>
        <w:rPr>
          <w:color w:val="auto"/>
        </w:rPr>
      </w:pPr>
      <w:r w:rsidRPr="00A51443">
        <w:rPr>
          <w:color w:val="auto"/>
        </w:rPr>
        <w:t xml:space="preserve">Potential issues in relation to the validity of the data may result in assignment to one of the </w:t>
      </w:r>
      <w:r w:rsidR="00C32D15" w:rsidRPr="00A51443">
        <w:rPr>
          <w:color w:val="auto"/>
        </w:rPr>
        <w:t xml:space="preserve">following </w:t>
      </w:r>
      <w:r w:rsidR="00521396">
        <w:rPr>
          <w:color w:val="auto"/>
        </w:rPr>
        <w:t>3</w:t>
      </w:r>
      <w:r w:rsidRPr="00A51443">
        <w:rPr>
          <w:color w:val="auto"/>
        </w:rPr>
        <w:t xml:space="preserve"> error </w:t>
      </w:r>
      <w:r w:rsidR="007D6709" w:rsidRPr="00A51443">
        <w:rPr>
          <w:color w:val="auto"/>
        </w:rPr>
        <w:t>DRGs</w:t>
      </w:r>
      <w:r w:rsidRPr="00A51443">
        <w:rPr>
          <w:color w:val="auto"/>
        </w:rPr>
        <w:t>:</w:t>
      </w:r>
    </w:p>
    <w:p w14:paraId="62BB48D1" w14:textId="77777777" w:rsidR="005C1B62" w:rsidRPr="00A51443" w:rsidRDefault="005C1B62" w:rsidP="00512884">
      <w:pPr>
        <w:pStyle w:val="ListParagraph"/>
        <w:numPr>
          <w:ilvl w:val="0"/>
          <w:numId w:val="27"/>
        </w:numPr>
        <w:autoSpaceDE w:val="0"/>
        <w:autoSpaceDN w:val="0"/>
        <w:adjustRightInd w:val="0"/>
        <w:ind w:left="714" w:hanging="357"/>
        <w:contextualSpacing w:val="0"/>
        <w:rPr>
          <w:i/>
          <w:iCs/>
          <w:color w:val="auto"/>
        </w:rPr>
      </w:pPr>
      <w:r w:rsidRPr="00512884">
        <w:rPr>
          <w:color w:val="auto"/>
        </w:rPr>
        <w:t>960Z</w:t>
      </w:r>
      <w:r w:rsidRPr="00A51443">
        <w:rPr>
          <w:color w:val="auto"/>
        </w:rPr>
        <w:t xml:space="preserve"> </w:t>
      </w:r>
      <w:r w:rsidRPr="00A51443">
        <w:rPr>
          <w:i/>
          <w:iCs/>
          <w:color w:val="auto"/>
        </w:rPr>
        <w:t>Ungroupable</w:t>
      </w:r>
    </w:p>
    <w:p w14:paraId="45E55D0E" w14:textId="6E74DCDB" w:rsidR="005C1B62" w:rsidRPr="00A51443" w:rsidRDefault="005C1B62" w:rsidP="00512884">
      <w:pPr>
        <w:pStyle w:val="ListParagraph"/>
        <w:numPr>
          <w:ilvl w:val="0"/>
          <w:numId w:val="27"/>
        </w:numPr>
        <w:autoSpaceDE w:val="0"/>
        <w:autoSpaceDN w:val="0"/>
        <w:adjustRightInd w:val="0"/>
        <w:ind w:left="714" w:hanging="357"/>
        <w:contextualSpacing w:val="0"/>
        <w:rPr>
          <w:color w:val="auto"/>
        </w:rPr>
      </w:pPr>
      <w:r w:rsidRPr="00512884">
        <w:rPr>
          <w:color w:val="auto"/>
        </w:rPr>
        <w:t>961Z</w:t>
      </w:r>
      <w:r w:rsidRPr="00A51443">
        <w:rPr>
          <w:color w:val="auto"/>
        </w:rPr>
        <w:t xml:space="preserve"> </w:t>
      </w:r>
      <w:r w:rsidRPr="00A51443">
        <w:rPr>
          <w:i/>
          <w:iCs/>
          <w:color w:val="auto"/>
        </w:rPr>
        <w:t xml:space="preserve">Unacceptable </w:t>
      </w:r>
      <w:r w:rsidR="00247FB1" w:rsidRPr="00A51443">
        <w:rPr>
          <w:i/>
          <w:iCs/>
          <w:color w:val="auto"/>
        </w:rPr>
        <w:t>principal diagnosis</w:t>
      </w:r>
    </w:p>
    <w:p w14:paraId="0B2FC7D8" w14:textId="030E1610" w:rsidR="005C1B62" w:rsidRPr="00A51443" w:rsidRDefault="005C1B62" w:rsidP="00512884">
      <w:pPr>
        <w:pStyle w:val="ListParagraph"/>
        <w:numPr>
          <w:ilvl w:val="0"/>
          <w:numId w:val="27"/>
        </w:numPr>
        <w:autoSpaceDE w:val="0"/>
        <w:autoSpaceDN w:val="0"/>
        <w:adjustRightInd w:val="0"/>
        <w:ind w:left="714" w:hanging="357"/>
        <w:contextualSpacing w:val="0"/>
        <w:rPr>
          <w:color w:val="auto"/>
        </w:rPr>
      </w:pPr>
      <w:r w:rsidRPr="00512884">
        <w:rPr>
          <w:color w:val="auto"/>
        </w:rPr>
        <w:t>963Z</w:t>
      </w:r>
      <w:r w:rsidRPr="00A51443">
        <w:rPr>
          <w:color w:val="auto"/>
        </w:rPr>
        <w:t xml:space="preserve"> </w:t>
      </w:r>
      <w:r w:rsidRPr="00A51443">
        <w:rPr>
          <w:i/>
          <w:iCs/>
          <w:color w:val="auto"/>
        </w:rPr>
        <w:t xml:space="preserve">Neonatal </w:t>
      </w:r>
      <w:r w:rsidR="00247FB1" w:rsidRPr="00A51443">
        <w:rPr>
          <w:i/>
          <w:iCs/>
          <w:color w:val="auto"/>
        </w:rPr>
        <w:t>diagnosis not consistent with age/weight</w:t>
      </w:r>
      <w:r w:rsidRPr="00A51443">
        <w:rPr>
          <w:i/>
          <w:iCs/>
          <w:color w:val="auto"/>
        </w:rPr>
        <w:t>.</w:t>
      </w:r>
    </w:p>
    <w:p w14:paraId="43125035" w14:textId="34D544F6" w:rsidR="005C1B62" w:rsidRPr="00A51443" w:rsidRDefault="00521396" w:rsidP="007204C2">
      <w:pPr>
        <w:pStyle w:val="ListBullet"/>
        <w:rPr>
          <w:color w:val="auto"/>
        </w:rPr>
      </w:pPr>
      <w:r w:rsidRPr="00A51443">
        <w:rPr>
          <w:b/>
          <w:color w:val="auto"/>
        </w:rPr>
        <w:t>M</w:t>
      </w:r>
      <w:r>
        <w:rPr>
          <w:b/>
          <w:color w:val="auto"/>
        </w:rPr>
        <w:t>ajor Diagnostic Category (M</w:t>
      </w:r>
      <w:r w:rsidR="005C1B62" w:rsidRPr="00A51443">
        <w:rPr>
          <w:b/>
          <w:color w:val="auto"/>
        </w:rPr>
        <w:t>DC</w:t>
      </w:r>
      <w:r>
        <w:rPr>
          <w:b/>
          <w:color w:val="auto"/>
        </w:rPr>
        <w:t>)</w:t>
      </w:r>
      <w:r w:rsidR="005C1B62" w:rsidRPr="00A51443">
        <w:rPr>
          <w:b/>
          <w:color w:val="auto"/>
        </w:rPr>
        <w:t xml:space="preserve"> assignment:</w:t>
      </w:r>
      <w:r w:rsidR="005C1B62" w:rsidRPr="00A51443">
        <w:rPr>
          <w:color w:val="auto"/>
        </w:rPr>
        <w:t xml:space="preserve"> Episodes are assigned to a </w:t>
      </w:r>
      <w:r w:rsidR="00035A2F" w:rsidRPr="00A51443">
        <w:rPr>
          <w:color w:val="auto"/>
        </w:rPr>
        <w:t>Major Diagnostic Category (</w:t>
      </w:r>
      <w:r w:rsidR="005C1B62" w:rsidRPr="00A51443">
        <w:rPr>
          <w:color w:val="auto"/>
        </w:rPr>
        <w:t>MDC</w:t>
      </w:r>
      <w:r w:rsidR="00035A2F" w:rsidRPr="00A51443">
        <w:rPr>
          <w:color w:val="auto"/>
        </w:rPr>
        <w:t>)</w:t>
      </w:r>
      <w:r w:rsidR="005C1B62" w:rsidRPr="00A51443">
        <w:rPr>
          <w:color w:val="auto"/>
        </w:rPr>
        <w:t xml:space="preserve"> according to </w:t>
      </w:r>
      <w:r w:rsidR="0061578C" w:rsidRPr="00A51443">
        <w:rPr>
          <w:color w:val="auto"/>
        </w:rPr>
        <w:t>the</w:t>
      </w:r>
      <w:r w:rsidR="009D2754" w:rsidRPr="00A51443">
        <w:rPr>
          <w:color w:val="auto"/>
        </w:rPr>
        <w:t>ir</w:t>
      </w:r>
      <w:r w:rsidR="0061578C" w:rsidRPr="00A51443">
        <w:rPr>
          <w:color w:val="auto"/>
        </w:rPr>
        <w:t xml:space="preserve"> </w:t>
      </w:r>
      <w:r w:rsidR="005C1B62" w:rsidRPr="00A51443">
        <w:rPr>
          <w:color w:val="auto"/>
        </w:rPr>
        <w:t>principal diagnosis.</w:t>
      </w:r>
    </w:p>
    <w:p w14:paraId="309BD793" w14:textId="3F0FE6F4" w:rsidR="005C1B62" w:rsidRPr="00A51443" w:rsidRDefault="005C1B62" w:rsidP="007204C2">
      <w:pPr>
        <w:pStyle w:val="ListBullet"/>
        <w:rPr>
          <w:color w:val="auto"/>
        </w:rPr>
      </w:pPr>
      <w:r w:rsidRPr="00A51443">
        <w:rPr>
          <w:b/>
          <w:color w:val="auto"/>
        </w:rPr>
        <w:t xml:space="preserve">Pre </w:t>
      </w:r>
      <w:r w:rsidR="00495527" w:rsidRPr="00495527">
        <w:rPr>
          <w:b/>
          <w:bCs/>
        </w:rPr>
        <w:t>Major Diagnostic Category</w:t>
      </w:r>
      <w:r w:rsidR="00840C90">
        <w:rPr>
          <w:b/>
          <w:bCs/>
        </w:rPr>
        <w:t xml:space="preserve"> (Pre MDC)</w:t>
      </w:r>
      <w:r w:rsidR="00495527" w:rsidRPr="00495527">
        <w:rPr>
          <w:b/>
          <w:color w:val="auto"/>
        </w:rPr>
        <w:t xml:space="preserve"> </w:t>
      </w:r>
      <w:r w:rsidRPr="00A51443">
        <w:rPr>
          <w:b/>
          <w:color w:val="auto"/>
        </w:rPr>
        <w:t>processing:</w:t>
      </w:r>
      <w:r w:rsidRPr="00A51443">
        <w:rPr>
          <w:color w:val="auto"/>
        </w:rPr>
        <w:t xml:space="preserve"> Episodes are assessed as to whether they meet Pre </w:t>
      </w:r>
      <w:r w:rsidR="00840C90">
        <w:rPr>
          <w:color w:val="auto"/>
        </w:rPr>
        <w:t>M</w:t>
      </w:r>
      <w:r w:rsidRPr="00A51443">
        <w:rPr>
          <w:color w:val="auto"/>
        </w:rPr>
        <w:t xml:space="preserve">DC </w:t>
      </w:r>
      <w:r w:rsidR="00B34141" w:rsidRPr="00A51443">
        <w:rPr>
          <w:color w:val="auto"/>
        </w:rPr>
        <w:t xml:space="preserve">criterion </w:t>
      </w:r>
      <w:r w:rsidRPr="00A51443">
        <w:rPr>
          <w:color w:val="auto"/>
        </w:rPr>
        <w:t xml:space="preserve">that identifies very </w:t>
      </w:r>
      <w:r w:rsidR="004C1236" w:rsidRPr="00A51443">
        <w:rPr>
          <w:color w:val="auto"/>
        </w:rPr>
        <w:t>high-cost</w:t>
      </w:r>
      <w:r w:rsidRPr="00A51443">
        <w:rPr>
          <w:color w:val="auto"/>
        </w:rPr>
        <w:t xml:space="preserve"> episodes</w:t>
      </w:r>
      <w:r w:rsidR="003465D0" w:rsidRPr="00A51443">
        <w:rPr>
          <w:color w:val="auto"/>
        </w:rPr>
        <w:t>. If so, this assessment</w:t>
      </w:r>
      <w:r w:rsidRPr="00A51443">
        <w:rPr>
          <w:color w:val="auto"/>
        </w:rPr>
        <w:t xml:space="preserve"> overrides the outcome of the principal </w:t>
      </w:r>
      <w:r w:rsidR="00521396" w:rsidRPr="00A51443">
        <w:rPr>
          <w:color w:val="auto"/>
        </w:rPr>
        <w:t>diagnosis-based</w:t>
      </w:r>
      <w:r w:rsidRPr="00A51443">
        <w:rPr>
          <w:color w:val="auto"/>
        </w:rPr>
        <w:t xml:space="preserve"> MDC assignment. </w:t>
      </w:r>
    </w:p>
    <w:p w14:paraId="65A9DF78" w14:textId="3A4EBF6D" w:rsidR="005C1B62" w:rsidRPr="00A51443" w:rsidRDefault="005C1B62" w:rsidP="007204C2">
      <w:pPr>
        <w:pStyle w:val="ListBullet"/>
        <w:rPr>
          <w:color w:val="auto"/>
        </w:rPr>
      </w:pPr>
      <w:r w:rsidRPr="00A51443">
        <w:rPr>
          <w:b/>
          <w:color w:val="auto"/>
        </w:rPr>
        <w:lastRenderedPageBreak/>
        <w:t>ADRG assignment:</w:t>
      </w:r>
      <w:r w:rsidRPr="00A51443">
        <w:rPr>
          <w:color w:val="auto"/>
        </w:rPr>
        <w:t xml:space="preserve"> Episodes are assigned to an ADRG mostly according to </w:t>
      </w:r>
      <w:r w:rsidR="00B706B3" w:rsidRPr="00A51443">
        <w:rPr>
          <w:color w:val="auto"/>
        </w:rPr>
        <w:t xml:space="preserve">ICD-10-AM </w:t>
      </w:r>
      <w:r w:rsidRPr="00A51443">
        <w:rPr>
          <w:color w:val="auto"/>
        </w:rPr>
        <w:t xml:space="preserve">and </w:t>
      </w:r>
      <w:r w:rsidR="00B706B3" w:rsidRPr="00A51443">
        <w:rPr>
          <w:color w:val="auto"/>
        </w:rPr>
        <w:t xml:space="preserve">ACHI </w:t>
      </w:r>
      <w:r w:rsidRPr="00A51443">
        <w:rPr>
          <w:color w:val="auto"/>
        </w:rPr>
        <w:t xml:space="preserve">codes. All MDCs have a hierarchical structure that separates the ADRGs into either the intervention or medical partition. </w:t>
      </w:r>
    </w:p>
    <w:p w14:paraId="40EED9DB" w14:textId="213385F8" w:rsidR="005C1B62" w:rsidRPr="00A51443" w:rsidRDefault="005C1B62" w:rsidP="007204C2">
      <w:pPr>
        <w:pStyle w:val="ListBullet"/>
        <w:rPr>
          <w:color w:val="auto"/>
        </w:rPr>
      </w:pPr>
      <w:r w:rsidRPr="00A51443">
        <w:rPr>
          <w:b/>
          <w:color w:val="auto"/>
        </w:rPr>
        <w:t>DRG assignment:</w:t>
      </w:r>
      <w:r w:rsidRPr="00A51443">
        <w:rPr>
          <w:color w:val="auto"/>
        </w:rPr>
        <w:t xml:space="preserve"> Episodes are then assigned to a DRG</w:t>
      </w:r>
      <w:r w:rsidR="004C1236" w:rsidRPr="00A51443">
        <w:rPr>
          <w:color w:val="auto"/>
        </w:rPr>
        <w:t xml:space="preserve"> </w:t>
      </w:r>
      <w:r w:rsidRPr="00A51443">
        <w:rPr>
          <w:color w:val="auto"/>
        </w:rPr>
        <w:t>according to a complexity measure that quantifies relative levels of resource utilisation within each ADRG and is used to split ADRGs into different DRG</w:t>
      </w:r>
      <w:r w:rsidR="00255C1A" w:rsidRPr="00A51443">
        <w:rPr>
          <w:color w:val="auto"/>
        </w:rPr>
        <w:t>s</w:t>
      </w:r>
      <w:r w:rsidRPr="00A51443">
        <w:rPr>
          <w:color w:val="auto"/>
        </w:rPr>
        <w:t xml:space="preserve"> </w:t>
      </w:r>
      <w:r w:rsidR="004E6CD4" w:rsidRPr="00A51443">
        <w:rPr>
          <w:color w:val="auto"/>
        </w:rPr>
        <w:t>based on</w:t>
      </w:r>
      <w:r w:rsidRPr="00A51443">
        <w:rPr>
          <w:color w:val="auto"/>
        </w:rPr>
        <w:t xml:space="preserve"> resource homogeneity.</w:t>
      </w:r>
    </w:p>
    <w:p w14:paraId="2628898A" w14:textId="77777777" w:rsidR="005C1B62" w:rsidRPr="00A51443" w:rsidRDefault="005C1B62" w:rsidP="00623EF7">
      <w:pPr>
        <w:pStyle w:val="Heading2"/>
        <w:numPr>
          <w:ilvl w:val="1"/>
          <w:numId w:val="8"/>
        </w:numPr>
        <w:ind w:left="0" w:firstLine="0"/>
        <w:rPr>
          <w:lang w:val="en-PH"/>
        </w:rPr>
      </w:pPr>
      <w:bookmarkStart w:id="27" w:name="_Episode_clinical_complexity"/>
      <w:bookmarkStart w:id="28" w:name="_Toc534875728"/>
      <w:bookmarkStart w:id="29" w:name="_Toc100328190"/>
      <w:bookmarkStart w:id="30" w:name="_Toc188263103"/>
      <w:bookmarkStart w:id="31" w:name="_Toc193462695"/>
      <w:bookmarkEnd w:id="27"/>
      <w:r w:rsidRPr="00A51443">
        <w:rPr>
          <w:lang w:val="en-PH"/>
        </w:rPr>
        <w:t>Episode clinical complexity</w:t>
      </w:r>
      <w:bookmarkEnd w:id="28"/>
      <w:bookmarkEnd w:id="29"/>
      <w:bookmarkEnd w:id="30"/>
      <w:bookmarkEnd w:id="31"/>
    </w:p>
    <w:p w14:paraId="7C314AF2" w14:textId="4C347D10" w:rsidR="005C1B62" w:rsidRPr="00A51443" w:rsidRDefault="005C1B62" w:rsidP="00C006E1">
      <w:pPr>
        <w:rPr>
          <w:color w:val="auto"/>
        </w:rPr>
      </w:pPr>
      <w:bookmarkStart w:id="32" w:name="_Toc534873754"/>
      <w:bookmarkStart w:id="33" w:name="_Toc534874400"/>
      <w:bookmarkStart w:id="34" w:name="_Toc534875525"/>
      <w:bookmarkStart w:id="35" w:name="_Toc534875627"/>
      <w:bookmarkStart w:id="36" w:name="_Toc534875729"/>
      <w:bookmarkStart w:id="37" w:name="_Toc534875837"/>
      <w:bookmarkStart w:id="38" w:name="_Toc534875939"/>
      <w:bookmarkStart w:id="39" w:name="_Toc534954965"/>
      <w:bookmarkStart w:id="40" w:name="_Toc534955089"/>
      <w:bookmarkStart w:id="41" w:name="_Toc534955130"/>
      <w:bookmarkStart w:id="42" w:name="_Toc534955679"/>
      <w:bookmarkStart w:id="43" w:name="_Toc534955732"/>
      <w:bookmarkStart w:id="44" w:name="_Toc534955790"/>
      <w:bookmarkStart w:id="45" w:name="_Toc534955832"/>
      <w:bookmarkStart w:id="46" w:name="_Toc534955922"/>
      <w:bookmarkStart w:id="47" w:name="_Toc534965667"/>
      <w:bookmarkStart w:id="48" w:name="_Toc534633018"/>
      <w:bookmarkStart w:id="49" w:name="_Toc5348757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51443">
        <w:rPr>
          <w:color w:val="auto"/>
        </w:rPr>
        <w:t xml:space="preserve">The AR-DRG classification has a measure </w:t>
      </w:r>
      <w:r w:rsidR="00DE224F" w:rsidRPr="00A51443">
        <w:rPr>
          <w:color w:val="auto"/>
        </w:rPr>
        <w:t>for</w:t>
      </w:r>
      <w:r w:rsidRPr="00A51443">
        <w:rPr>
          <w:color w:val="auto"/>
        </w:rPr>
        <w:t xml:space="preserve"> estimat</w:t>
      </w:r>
      <w:r w:rsidR="00DE224F" w:rsidRPr="00A51443">
        <w:rPr>
          <w:color w:val="auto"/>
        </w:rPr>
        <w:t>ing</w:t>
      </w:r>
      <w:r w:rsidRPr="00A51443">
        <w:rPr>
          <w:color w:val="auto"/>
        </w:rPr>
        <w:t xml:space="preserve"> the clinical complexity </w:t>
      </w:r>
      <w:r w:rsidR="002F1A2E">
        <w:rPr>
          <w:color w:val="auto"/>
        </w:rPr>
        <w:t>of</w:t>
      </w:r>
      <w:r w:rsidR="002F1A2E" w:rsidRPr="00A51443">
        <w:rPr>
          <w:color w:val="auto"/>
        </w:rPr>
        <w:t xml:space="preserve"> </w:t>
      </w:r>
      <w:r w:rsidRPr="00A51443">
        <w:rPr>
          <w:color w:val="auto"/>
        </w:rPr>
        <w:t xml:space="preserve">an episode of care. The Episode Clinical Complexity (ECC) Model was introduced in AR-DRG Version 8.0 and uses </w:t>
      </w:r>
      <w:r w:rsidR="008D07D1" w:rsidRPr="00A51443">
        <w:rPr>
          <w:color w:val="auto"/>
        </w:rPr>
        <w:t>ICD-10-AM</w:t>
      </w:r>
      <w:r w:rsidR="00FB2A9A" w:rsidRPr="00A51443">
        <w:rPr>
          <w:color w:val="auto"/>
        </w:rPr>
        <w:t xml:space="preserve"> </w:t>
      </w:r>
      <w:r w:rsidRPr="00A51443">
        <w:rPr>
          <w:color w:val="auto"/>
        </w:rPr>
        <w:t xml:space="preserve">codes to </w:t>
      </w:r>
      <w:r w:rsidR="00715D89" w:rsidRPr="00A51443">
        <w:rPr>
          <w:color w:val="auto"/>
        </w:rPr>
        <w:t xml:space="preserve">measure </w:t>
      </w:r>
      <w:r w:rsidRPr="00A51443">
        <w:rPr>
          <w:color w:val="auto"/>
        </w:rPr>
        <w:t>the clinical complexity of an episode. The ECC Model assigns an Episode Clinical Complexity Score (ECCS) to each episode</w:t>
      </w:r>
      <w:r w:rsidR="00797E82" w:rsidRPr="00A51443">
        <w:rPr>
          <w:color w:val="auto"/>
        </w:rPr>
        <w:t>,</w:t>
      </w:r>
      <w:r w:rsidR="007D76F7" w:rsidRPr="00A51443">
        <w:rPr>
          <w:color w:val="auto"/>
        </w:rPr>
        <w:t xml:space="preserve"> </w:t>
      </w:r>
      <w:r w:rsidRPr="00A51443">
        <w:rPr>
          <w:color w:val="auto"/>
        </w:rPr>
        <w:t>quantif</w:t>
      </w:r>
      <w:r w:rsidR="00797E82" w:rsidRPr="00A51443">
        <w:rPr>
          <w:color w:val="auto"/>
        </w:rPr>
        <w:t>ying</w:t>
      </w:r>
      <w:r w:rsidRPr="00A51443">
        <w:rPr>
          <w:color w:val="auto"/>
        </w:rPr>
        <w:t xml:space="preserve"> relative levels of resource utilisation within each ADRG</w:t>
      </w:r>
      <w:r w:rsidR="00797E82" w:rsidRPr="00A51443">
        <w:rPr>
          <w:color w:val="auto"/>
        </w:rPr>
        <w:t>. The ECCS</w:t>
      </w:r>
      <w:r w:rsidRPr="00A51443">
        <w:rPr>
          <w:color w:val="auto"/>
        </w:rPr>
        <w:t xml:space="preserve"> is used to split ADRGs into DRG</w:t>
      </w:r>
      <w:r w:rsidR="00794D6B" w:rsidRPr="00A51443">
        <w:rPr>
          <w:color w:val="auto"/>
        </w:rPr>
        <w:t>s</w:t>
      </w:r>
      <w:r w:rsidR="00A00CC3" w:rsidRPr="00A51443">
        <w:rPr>
          <w:color w:val="auto"/>
        </w:rPr>
        <w:t xml:space="preserve"> </w:t>
      </w:r>
      <w:r w:rsidR="00B97D59" w:rsidRPr="00A51443">
        <w:rPr>
          <w:color w:val="auto"/>
        </w:rPr>
        <w:t>based on</w:t>
      </w:r>
      <w:r w:rsidRPr="00A51443">
        <w:rPr>
          <w:color w:val="auto"/>
        </w:rPr>
        <w:t xml:space="preserve"> resource </w:t>
      </w:r>
      <w:r w:rsidR="00797E82" w:rsidRPr="00A51443">
        <w:rPr>
          <w:color w:val="auto"/>
        </w:rPr>
        <w:t>use</w:t>
      </w:r>
      <w:r w:rsidRPr="00A51443">
        <w:rPr>
          <w:color w:val="auto"/>
        </w:rPr>
        <w:t>.</w:t>
      </w:r>
    </w:p>
    <w:p w14:paraId="0A1521A0" w14:textId="14AE9C37" w:rsidR="005C1B62" w:rsidRPr="00A51443" w:rsidRDefault="005C1B62" w:rsidP="00C006E1">
      <w:pPr>
        <w:rPr>
          <w:color w:val="auto"/>
        </w:rPr>
      </w:pPr>
      <w:r w:rsidRPr="00A51443">
        <w:rPr>
          <w:color w:val="auto"/>
        </w:rPr>
        <w:t xml:space="preserve">The process of deriving an ECCS for each episode begins by assigning a DCL value to each </w:t>
      </w:r>
      <w:r w:rsidR="001B25D6" w:rsidRPr="00A51443">
        <w:rPr>
          <w:color w:val="auto"/>
        </w:rPr>
        <w:t>ICD</w:t>
      </w:r>
      <w:r w:rsidR="001B25D6" w:rsidRPr="00A51443">
        <w:rPr>
          <w:color w:val="auto"/>
        </w:rPr>
        <w:noBreakHyphen/>
        <w:t>10-AM</w:t>
      </w:r>
      <w:r w:rsidRPr="00A51443">
        <w:rPr>
          <w:color w:val="auto"/>
        </w:rPr>
        <w:t xml:space="preserve"> </w:t>
      </w:r>
      <w:r w:rsidR="000659A5" w:rsidRPr="00A51443">
        <w:rPr>
          <w:color w:val="auto"/>
        </w:rPr>
        <w:t xml:space="preserve">code </w:t>
      </w:r>
      <w:r w:rsidRPr="00A51443">
        <w:rPr>
          <w:color w:val="auto"/>
        </w:rPr>
        <w:t>reported for the episode. DCLs are integers that quantify the levels of resource utilisation associated with each</w:t>
      </w:r>
      <w:r w:rsidR="00EB5201" w:rsidRPr="00A51443">
        <w:rPr>
          <w:color w:val="auto"/>
        </w:rPr>
        <w:t xml:space="preserve"> code</w:t>
      </w:r>
      <w:r w:rsidRPr="00A51443">
        <w:rPr>
          <w:color w:val="auto"/>
        </w:rPr>
        <w:t>, relative to levels within the ADRG to which the episode belongs. DCL values are assigned to principal diagnosis and additional diagnos</w:t>
      </w:r>
      <w:r w:rsidR="00634FD7" w:rsidRPr="00A51443">
        <w:rPr>
          <w:color w:val="auto"/>
        </w:rPr>
        <w:t>i</w:t>
      </w:r>
      <w:r w:rsidR="00857466" w:rsidRPr="00A51443">
        <w:rPr>
          <w:color w:val="auto"/>
        </w:rPr>
        <w:t xml:space="preserve">s </w:t>
      </w:r>
      <w:r w:rsidR="00634FD7" w:rsidRPr="00A51443">
        <w:rPr>
          <w:color w:val="auto"/>
        </w:rPr>
        <w:t xml:space="preserve">codes </w:t>
      </w:r>
      <w:r w:rsidRPr="00A51443">
        <w:rPr>
          <w:color w:val="auto"/>
        </w:rPr>
        <w:t xml:space="preserve">and range between zero and </w:t>
      </w:r>
      <w:r w:rsidR="002F1A2E">
        <w:rPr>
          <w:color w:val="auto"/>
        </w:rPr>
        <w:t>5</w:t>
      </w:r>
      <w:r w:rsidRPr="00A51443">
        <w:rPr>
          <w:color w:val="auto"/>
        </w:rPr>
        <w:t>.</w:t>
      </w:r>
    </w:p>
    <w:p w14:paraId="67B7A667" w14:textId="782442D3" w:rsidR="005C1B62" w:rsidRPr="00A51443" w:rsidRDefault="005C1B62" w:rsidP="00C006E1">
      <w:pPr>
        <w:rPr>
          <w:color w:val="auto"/>
        </w:rPr>
      </w:pPr>
      <w:r w:rsidRPr="00A51443">
        <w:rPr>
          <w:color w:val="auto"/>
        </w:rPr>
        <w:t>It should be noted that DCLs measure relative</w:t>
      </w:r>
      <w:r w:rsidRPr="00A51443">
        <w:rPr>
          <w:i/>
          <w:iCs/>
          <w:color w:val="auto"/>
        </w:rPr>
        <w:t xml:space="preserve"> </w:t>
      </w:r>
      <w:r w:rsidRPr="00A51443">
        <w:rPr>
          <w:color w:val="auto"/>
        </w:rPr>
        <w:t xml:space="preserve">resource utilisation within an ADRG. Therefore, </w:t>
      </w:r>
      <w:r w:rsidR="00012EEC" w:rsidRPr="00A51443">
        <w:rPr>
          <w:color w:val="auto"/>
        </w:rPr>
        <w:t>the assignment of a</w:t>
      </w:r>
      <w:r w:rsidRPr="00A51443">
        <w:rPr>
          <w:color w:val="auto"/>
        </w:rPr>
        <w:t xml:space="preserve"> DCL of zero </w:t>
      </w:r>
      <w:r w:rsidR="00012EEC" w:rsidRPr="00A51443">
        <w:rPr>
          <w:color w:val="auto"/>
        </w:rPr>
        <w:t>to a given code</w:t>
      </w:r>
      <w:r w:rsidR="00926278" w:rsidRPr="00A51443">
        <w:rPr>
          <w:color w:val="auto"/>
        </w:rPr>
        <w:t xml:space="preserve">, in a given ADRG, </w:t>
      </w:r>
      <w:r w:rsidRPr="00A51443">
        <w:rPr>
          <w:color w:val="auto"/>
        </w:rPr>
        <w:t xml:space="preserve">indicates that </w:t>
      </w:r>
      <w:r w:rsidR="00BC5C86" w:rsidRPr="00A51443">
        <w:rPr>
          <w:color w:val="auto"/>
        </w:rPr>
        <w:t xml:space="preserve">episodes with this code are not generally more expensive </w:t>
      </w:r>
      <w:r w:rsidR="00012EEC" w:rsidRPr="00A51443">
        <w:rPr>
          <w:color w:val="auto"/>
        </w:rPr>
        <w:t>than episodes without th</w:t>
      </w:r>
      <w:r w:rsidR="00B614BA" w:rsidRPr="00A51443">
        <w:rPr>
          <w:color w:val="auto"/>
        </w:rPr>
        <w:t>is</w:t>
      </w:r>
      <w:r w:rsidR="00012EEC" w:rsidRPr="00A51443">
        <w:rPr>
          <w:color w:val="auto"/>
        </w:rPr>
        <w:t xml:space="preserve"> code, in the same ADRG</w:t>
      </w:r>
      <w:r w:rsidR="00C176E4" w:rsidRPr="00A51443">
        <w:rPr>
          <w:color w:val="auto"/>
        </w:rPr>
        <w:t>.</w:t>
      </w:r>
      <w:r w:rsidRPr="00A51443">
        <w:rPr>
          <w:color w:val="auto"/>
        </w:rPr>
        <w:t xml:space="preserve"> </w:t>
      </w:r>
      <w:r w:rsidR="00C176E4" w:rsidRPr="00A51443">
        <w:rPr>
          <w:color w:val="auto"/>
        </w:rPr>
        <w:t>It</w:t>
      </w:r>
      <w:r w:rsidRPr="00A51443">
        <w:rPr>
          <w:color w:val="auto"/>
        </w:rPr>
        <w:t xml:space="preserve"> does not mean that th</w:t>
      </w:r>
      <w:r w:rsidR="00926278" w:rsidRPr="00A51443">
        <w:rPr>
          <w:color w:val="auto"/>
        </w:rPr>
        <w:t>is</w:t>
      </w:r>
      <w:r w:rsidRPr="00A51443">
        <w:rPr>
          <w:color w:val="auto"/>
        </w:rPr>
        <w:t xml:space="preserve"> </w:t>
      </w:r>
      <w:r w:rsidR="00DA41D9" w:rsidRPr="00A51443">
        <w:rPr>
          <w:color w:val="auto"/>
        </w:rPr>
        <w:t xml:space="preserve">code </w:t>
      </w:r>
      <w:r w:rsidR="00743E10" w:rsidRPr="00A51443">
        <w:rPr>
          <w:color w:val="auto"/>
        </w:rPr>
        <w:t xml:space="preserve">is associated with </w:t>
      </w:r>
      <w:r w:rsidRPr="00A51443">
        <w:rPr>
          <w:color w:val="auto"/>
        </w:rPr>
        <w:t>nil resource use.</w:t>
      </w:r>
    </w:p>
    <w:p w14:paraId="0B77AEDD" w14:textId="1ABA9345" w:rsidR="005C1B62" w:rsidRPr="00A51443" w:rsidRDefault="005C1B62" w:rsidP="00C006E1">
      <w:pPr>
        <w:rPr>
          <w:rStyle w:val="IntenseReference"/>
          <w:b w:val="0"/>
          <w:bCs w:val="0"/>
          <w:i/>
          <w:smallCaps w:val="0"/>
          <w:color w:val="15272F" w:themeColor="text1"/>
        </w:rPr>
      </w:pPr>
      <w:bookmarkStart w:id="50" w:name="_Hlk181606830"/>
      <w:r w:rsidRPr="00A51443">
        <w:t>In AR-DRG V</w:t>
      </w:r>
      <w:r w:rsidR="00756665" w:rsidRPr="00A51443">
        <w:t>12.0</w:t>
      </w:r>
      <w:r w:rsidRPr="00A51443">
        <w:t xml:space="preserve"> there are 11,</w:t>
      </w:r>
      <w:r w:rsidR="00C31286" w:rsidRPr="00A51443">
        <w:t>0</w:t>
      </w:r>
      <w:r w:rsidR="00FC094A" w:rsidRPr="00A51443">
        <w:t>5</w:t>
      </w:r>
      <w:r w:rsidR="00186B0B" w:rsidRPr="00A51443">
        <w:t>7</w:t>
      </w:r>
      <w:r w:rsidR="00E8703F" w:rsidRPr="00A51443">
        <w:t xml:space="preserve"> </w:t>
      </w:r>
      <w:r w:rsidRPr="00A51443">
        <w:t xml:space="preserve">ICD-10-AM </w:t>
      </w:r>
      <w:r w:rsidR="00B84C31" w:rsidRPr="00A51443">
        <w:t xml:space="preserve">Thirteenth Edition </w:t>
      </w:r>
      <w:r w:rsidRPr="00A51443">
        <w:t xml:space="preserve">codes that are in-scope for receiving a DCL. </w:t>
      </w:r>
    </w:p>
    <w:bookmarkEnd w:id="50"/>
    <w:p w14:paraId="097C07EA" w14:textId="238CF98F" w:rsidR="005C1B62" w:rsidRPr="00A51443" w:rsidRDefault="005C1B62" w:rsidP="00C006E1">
      <w:r w:rsidRPr="00A51443">
        <w:t xml:space="preserve">Where an ADRG is subdivided, or ‘split’, using </w:t>
      </w:r>
      <w:r w:rsidR="00840C90">
        <w:t>the</w:t>
      </w:r>
      <w:r w:rsidRPr="00A51443">
        <w:t xml:space="preserve"> complexity measure, the ECCS determines the DRG</w:t>
      </w:r>
      <w:r w:rsidR="000D41C1" w:rsidRPr="00A51443">
        <w:t xml:space="preserve"> </w:t>
      </w:r>
      <w:r w:rsidR="00CF7402" w:rsidRPr="00A51443">
        <w:t xml:space="preserve">to which </w:t>
      </w:r>
      <w:r w:rsidRPr="00A51443">
        <w:t>an episode is assigned within an ADRG. Occasionally, an ADRG is split using other factors to determine the DRG</w:t>
      </w:r>
      <w:r w:rsidR="000E1406" w:rsidRPr="00A51443">
        <w:t xml:space="preserve"> </w:t>
      </w:r>
      <w:r w:rsidRPr="00A51443">
        <w:t>such as mode</w:t>
      </w:r>
      <w:r w:rsidR="00915616" w:rsidRPr="00A51443">
        <w:t xml:space="preserve"> of </w:t>
      </w:r>
      <w:r w:rsidR="00E63E21" w:rsidRPr="00A51443">
        <w:t>separation</w:t>
      </w:r>
      <w:r w:rsidRPr="00A51443">
        <w:t xml:space="preserve">, length of stay and age. </w:t>
      </w:r>
    </w:p>
    <w:p w14:paraId="76485540" w14:textId="1F9F7D90" w:rsidR="005C1B62" w:rsidRPr="00A51443" w:rsidRDefault="005C1B62" w:rsidP="00C006E1">
      <w:r w:rsidRPr="00A51443">
        <w:t xml:space="preserve">For example, an episode assigned to ADRG B70 </w:t>
      </w:r>
      <w:r w:rsidRPr="00A51443">
        <w:rPr>
          <w:i/>
        </w:rPr>
        <w:t xml:space="preserve">Stroke and </w:t>
      </w:r>
      <w:r w:rsidR="00716DD7" w:rsidRPr="00A51443">
        <w:rPr>
          <w:i/>
        </w:rPr>
        <w:t>o</w:t>
      </w:r>
      <w:r w:rsidRPr="00A51443">
        <w:rPr>
          <w:i/>
        </w:rPr>
        <w:t xml:space="preserve">ther </w:t>
      </w:r>
      <w:r w:rsidR="00716DD7" w:rsidRPr="00A51443">
        <w:rPr>
          <w:i/>
        </w:rPr>
        <w:t>c</w:t>
      </w:r>
      <w:r w:rsidRPr="00A51443">
        <w:rPr>
          <w:i/>
        </w:rPr>
        <w:t xml:space="preserve">erebrovascular </w:t>
      </w:r>
      <w:r w:rsidR="00716DD7" w:rsidRPr="00A51443">
        <w:rPr>
          <w:i/>
        </w:rPr>
        <w:t>d</w:t>
      </w:r>
      <w:r w:rsidRPr="00A51443">
        <w:rPr>
          <w:i/>
        </w:rPr>
        <w:t>isorders</w:t>
      </w:r>
      <w:r w:rsidRPr="00A51443">
        <w:t xml:space="preserve"> would require an ECCS greater than or equal to 4.0 to be assigned to DRG B70A </w:t>
      </w:r>
      <w:r w:rsidRPr="00A51443">
        <w:rPr>
          <w:i/>
        </w:rPr>
        <w:t xml:space="preserve">Stroke and </w:t>
      </w:r>
      <w:r w:rsidR="00716DD7" w:rsidRPr="00A51443">
        <w:rPr>
          <w:i/>
        </w:rPr>
        <w:t>o</w:t>
      </w:r>
      <w:r w:rsidRPr="00A51443">
        <w:rPr>
          <w:i/>
        </w:rPr>
        <w:t xml:space="preserve">ther </w:t>
      </w:r>
      <w:r w:rsidR="00716DD7" w:rsidRPr="00A51443">
        <w:rPr>
          <w:i/>
        </w:rPr>
        <w:t>c</w:t>
      </w:r>
      <w:r w:rsidRPr="00A51443">
        <w:rPr>
          <w:i/>
        </w:rPr>
        <w:t xml:space="preserve">erebrovascular </w:t>
      </w:r>
      <w:r w:rsidR="00716DD7" w:rsidRPr="00A51443">
        <w:rPr>
          <w:i/>
        </w:rPr>
        <w:t>d</w:t>
      </w:r>
      <w:r w:rsidRPr="00A51443">
        <w:rPr>
          <w:i/>
        </w:rPr>
        <w:t>isorders</w:t>
      </w:r>
      <w:r w:rsidRPr="00A51443">
        <w:t>,</w:t>
      </w:r>
      <w:r w:rsidR="00716DD7" w:rsidRPr="00A51443">
        <w:t xml:space="preserve"> </w:t>
      </w:r>
      <w:r w:rsidR="00716DD7" w:rsidRPr="00A51443">
        <w:rPr>
          <w:i/>
        </w:rPr>
        <w:t>m</w:t>
      </w:r>
      <w:r w:rsidRPr="00A51443">
        <w:rPr>
          <w:i/>
        </w:rPr>
        <w:t xml:space="preserve">ajor </w:t>
      </w:r>
      <w:r w:rsidR="00716DD7" w:rsidRPr="00A51443">
        <w:rPr>
          <w:i/>
        </w:rPr>
        <w:t>c</w:t>
      </w:r>
      <w:r w:rsidRPr="00A51443">
        <w:rPr>
          <w:i/>
        </w:rPr>
        <w:t>omplexity</w:t>
      </w:r>
      <w:r w:rsidRPr="00A51443">
        <w:t xml:space="preserve"> in AR</w:t>
      </w:r>
      <w:r w:rsidRPr="00A51443">
        <w:noBreakHyphen/>
        <w:t>DRG V</w:t>
      </w:r>
      <w:r w:rsidR="00756665" w:rsidRPr="00A51443">
        <w:t>12.0</w:t>
      </w:r>
      <w:r w:rsidRPr="00A51443">
        <w:t>.</w:t>
      </w:r>
    </w:p>
    <w:p w14:paraId="4FFB6FC3" w14:textId="4BFCC97B" w:rsidR="005C1B62" w:rsidRPr="00A51443" w:rsidRDefault="007D6709" w:rsidP="00C006E1">
      <w:r w:rsidRPr="00A51443">
        <w:t>DRGs</w:t>
      </w:r>
      <w:r w:rsidR="00755B69" w:rsidRPr="00A51443">
        <w:t xml:space="preserve"> </w:t>
      </w:r>
      <w:r w:rsidR="005C1B62" w:rsidRPr="00A51443">
        <w:t>ending in ‘A’ will be the costliest whereas DRG</w:t>
      </w:r>
      <w:r w:rsidR="001B5CB3" w:rsidRPr="00A51443">
        <w:t xml:space="preserve">s </w:t>
      </w:r>
      <w:r w:rsidR="005C1B62" w:rsidRPr="00A51443">
        <w:t>ending in ‘D’ will be the least costly. For example:</w:t>
      </w:r>
    </w:p>
    <w:p w14:paraId="7BFB5AE3" w14:textId="3DD8C6B7" w:rsidR="005C1B62" w:rsidRPr="00A51443" w:rsidRDefault="005C1B62" w:rsidP="00623EF7">
      <w:pPr>
        <w:pStyle w:val="ListParagraph"/>
        <w:numPr>
          <w:ilvl w:val="0"/>
          <w:numId w:val="6"/>
        </w:numPr>
        <w:ind w:left="714" w:hanging="357"/>
        <w:contextualSpacing w:val="0"/>
      </w:pPr>
      <w:r w:rsidRPr="00A51443">
        <w:t xml:space="preserve">B70A </w:t>
      </w:r>
      <w:r w:rsidRPr="00A51443">
        <w:rPr>
          <w:i/>
          <w:iCs/>
        </w:rPr>
        <w:t xml:space="preserve">Stroke and </w:t>
      </w:r>
      <w:r w:rsidR="00E05083" w:rsidRPr="00A51443">
        <w:rPr>
          <w:i/>
          <w:iCs/>
        </w:rPr>
        <w:t>o</w:t>
      </w:r>
      <w:r w:rsidRPr="00A51443">
        <w:rPr>
          <w:i/>
          <w:iCs/>
        </w:rPr>
        <w:t xml:space="preserve">ther </w:t>
      </w:r>
      <w:r w:rsidR="00E05083" w:rsidRPr="00A51443">
        <w:rPr>
          <w:i/>
          <w:iCs/>
        </w:rPr>
        <w:t>c</w:t>
      </w:r>
      <w:r w:rsidRPr="00A51443">
        <w:rPr>
          <w:i/>
          <w:iCs/>
        </w:rPr>
        <w:t xml:space="preserve">erebrovascular </w:t>
      </w:r>
      <w:r w:rsidR="00E05083" w:rsidRPr="00A51443">
        <w:rPr>
          <w:i/>
          <w:iCs/>
        </w:rPr>
        <w:t>d</w:t>
      </w:r>
      <w:r w:rsidRPr="00A51443">
        <w:rPr>
          <w:i/>
          <w:iCs/>
        </w:rPr>
        <w:t xml:space="preserve">isorders, </w:t>
      </w:r>
      <w:r w:rsidR="00E05083" w:rsidRPr="00A51443">
        <w:rPr>
          <w:i/>
          <w:iCs/>
        </w:rPr>
        <w:t>m</w:t>
      </w:r>
      <w:r w:rsidRPr="00A51443">
        <w:rPr>
          <w:i/>
          <w:iCs/>
        </w:rPr>
        <w:t xml:space="preserve">ajor </w:t>
      </w:r>
      <w:r w:rsidR="00E05083" w:rsidRPr="00A51443">
        <w:rPr>
          <w:i/>
          <w:iCs/>
        </w:rPr>
        <w:t>c</w:t>
      </w:r>
      <w:r w:rsidRPr="00A51443">
        <w:rPr>
          <w:i/>
          <w:iCs/>
        </w:rPr>
        <w:t>omplexity</w:t>
      </w:r>
    </w:p>
    <w:p w14:paraId="74DAA881" w14:textId="5C223300" w:rsidR="005C1B62" w:rsidRPr="00A51443" w:rsidRDefault="005C1B62" w:rsidP="00623EF7">
      <w:pPr>
        <w:pStyle w:val="ListParagraph"/>
        <w:numPr>
          <w:ilvl w:val="0"/>
          <w:numId w:val="6"/>
        </w:numPr>
        <w:ind w:left="714" w:hanging="357"/>
        <w:contextualSpacing w:val="0"/>
      </w:pPr>
      <w:r w:rsidRPr="00A51443">
        <w:t xml:space="preserve">B70B </w:t>
      </w:r>
      <w:r w:rsidRPr="00A51443">
        <w:rPr>
          <w:i/>
          <w:iCs/>
        </w:rPr>
        <w:t xml:space="preserve">Stroke and </w:t>
      </w:r>
      <w:r w:rsidR="00E05083" w:rsidRPr="00A51443">
        <w:rPr>
          <w:i/>
          <w:iCs/>
        </w:rPr>
        <w:t>o</w:t>
      </w:r>
      <w:r w:rsidRPr="00A51443">
        <w:rPr>
          <w:i/>
          <w:iCs/>
        </w:rPr>
        <w:t xml:space="preserve">ther </w:t>
      </w:r>
      <w:r w:rsidR="00E05083" w:rsidRPr="00A51443">
        <w:rPr>
          <w:i/>
          <w:iCs/>
        </w:rPr>
        <w:t>c</w:t>
      </w:r>
      <w:r w:rsidRPr="00A51443">
        <w:rPr>
          <w:i/>
          <w:iCs/>
        </w:rPr>
        <w:t xml:space="preserve">erebrovascular </w:t>
      </w:r>
      <w:r w:rsidR="00E05083" w:rsidRPr="00A51443">
        <w:rPr>
          <w:i/>
          <w:iCs/>
        </w:rPr>
        <w:t>d</w:t>
      </w:r>
      <w:r w:rsidRPr="00A51443">
        <w:rPr>
          <w:i/>
          <w:iCs/>
        </w:rPr>
        <w:t xml:space="preserve">isorders, </w:t>
      </w:r>
      <w:r w:rsidR="00E05083" w:rsidRPr="00A51443">
        <w:rPr>
          <w:i/>
          <w:iCs/>
        </w:rPr>
        <w:t>i</w:t>
      </w:r>
      <w:r w:rsidRPr="00A51443">
        <w:rPr>
          <w:i/>
          <w:iCs/>
        </w:rPr>
        <w:t xml:space="preserve">ntermediate </w:t>
      </w:r>
      <w:r w:rsidR="00E05083" w:rsidRPr="00A51443">
        <w:rPr>
          <w:i/>
          <w:iCs/>
        </w:rPr>
        <w:t>c</w:t>
      </w:r>
      <w:r w:rsidRPr="00A51443">
        <w:rPr>
          <w:i/>
          <w:iCs/>
        </w:rPr>
        <w:t>omplexity</w:t>
      </w:r>
    </w:p>
    <w:p w14:paraId="037F4864" w14:textId="1B0C3C1C" w:rsidR="005C1B62" w:rsidRPr="00A51443" w:rsidRDefault="005C1B62" w:rsidP="00623EF7">
      <w:pPr>
        <w:pStyle w:val="ListParagraph"/>
        <w:numPr>
          <w:ilvl w:val="0"/>
          <w:numId w:val="6"/>
        </w:numPr>
        <w:ind w:left="714" w:hanging="357"/>
        <w:contextualSpacing w:val="0"/>
      </w:pPr>
      <w:r w:rsidRPr="00A51443">
        <w:t xml:space="preserve">B70C </w:t>
      </w:r>
      <w:r w:rsidRPr="00A51443">
        <w:rPr>
          <w:i/>
          <w:iCs/>
        </w:rPr>
        <w:t xml:space="preserve">Stroke and </w:t>
      </w:r>
      <w:r w:rsidR="00E05083" w:rsidRPr="00A51443">
        <w:rPr>
          <w:i/>
          <w:iCs/>
        </w:rPr>
        <w:t>o</w:t>
      </w:r>
      <w:r w:rsidRPr="00A51443">
        <w:rPr>
          <w:i/>
          <w:iCs/>
        </w:rPr>
        <w:t xml:space="preserve">ther </w:t>
      </w:r>
      <w:r w:rsidR="00E05083" w:rsidRPr="00A51443">
        <w:rPr>
          <w:i/>
          <w:iCs/>
        </w:rPr>
        <w:t>c</w:t>
      </w:r>
      <w:r w:rsidRPr="00A51443">
        <w:rPr>
          <w:i/>
          <w:iCs/>
        </w:rPr>
        <w:t xml:space="preserve">erebrovascular </w:t>
      </w:r>
      <w:r w:rsidR="00E05083" w:rsidRPr="00A51443">
        <w:rPr>
          <w:i/>
          <w:iCs/>
        </w:rPr>
        <w:t>d</w:t>
      </w:r>
      <w:r w:rsidRPr="00A51443">
        <w:rPr>
          <w:i/>
          <w:iCs/>
        </w:rPr>
        <w:t xml:space="preserve">isorders, </w:t>
      </w:r>
      <w:r w:rsidR="00E05083" w:rsidRPr="00A51443">
        <w:rPr>
          <w:i/>
          <w:iCs/>
        </w:rPr>
        <w:t>m</w:t>
      </w:r>
      <w:r w:rsidRPr="00A51443">
        <w:rPr>
          <w:i/>
          <w:iCs/>
        </w:rPr>
        <w:t xml:space="preserve">inor </w:t>
      </w:r>
      <w:r w:rsidR="00E05083" w:rsidRPr="00A51443">
        <w:rPr>
          <w:i/>
          <w:iCs/>
        </w:rPr>
        <w:t>c</w:t>
      </w:r>
      <w:r w:rsidRPr="00A51443">
        <w:rPr>
          <w:i/>
          <w:iCs/>
        </w:rPr>
        <w:t>omplexity</w:t>
      </w:r>
    </w:p>
    <w:p w14:paraId="4508CA9E" w14:textId="09ABB5D0" w:rsidR="005C1B62" w:rsidRPr="00A51443" w:rsidRDefault="005C1B62" w:rsidP="00623EF7">
      <w:pPr>
        <w:pStyle w:val="ListParagraph"/>
        <w:numPr>
          <w:ilvl w:val="0"/>
          <w:numId w:val="6"/>
        </w:numPr>
        <w:ind w:left="714" w:hanging="357"/>
        <w:contextualSpacing w:val="0"/>
      </w:pPr>
      <w:r w:rsidRPr="00A51443">
        <w:t xml:space="preserve">B70D </w:t>
      </w:r>
      <w:r w:rsidRPr="00A51443">
        <w:rPr>
          <w:i/>
          <w:iCs/>
        </w:rPr>
        <w:t xml:space="preserve">Stroke and </w:t>
      </w:r>
      <w:r w:rsidR="00E05083" w:rsidRPr="00A51443">
        <w:rPr>
          <w:i/>
          <w:iCs/>
        </w:rPr>
        <w:t>o</w:t>
      </w:r>
      <w:r w:rsidRPr="00A51443">
        <w:rPr>
          <w:i/>
          <w:iCs/>
        </w:rPr>
        <w:t xml:space="preserve">ther </w:t>
      </w:r>
      <w:r w:rsidR="00E05083" w:rsidRPr="00A51443">
        <w:rPr>
          <w:i/>
          <w:iCs/>
        </w:rPr>
        <w:t>c</w:t>
      </w:r>
      <w:r w:rsidRPr="00A51443">
        <w:rPr>
          <w:i/>
          <w:iCs/>
        </w:rPr>
        <w:t xml:space="preserve">erebrovascular </w:t>
      </w:r>
      <w:r w:rsidR="00E05083" w:rsidRPr="00A51443">
        <w:rPr>
          <w:i/>
          <w:iCs/>
        </w:rPr>
        <w:t>d</w:t>
      </w:r>
      <w:r w:rsidRPr="00A51443">
        <w:rPr>
          <w:i/>
          <w:iCs/>
        </w:rPr>
        <w:t xml:space="preserve">isorders, </w:t>
      </w:r>
      <w:r w:rsidR="00E05083" w:rsidRPr="00A51443">
        <w:rPr>
          <w:i/>
          <w:iCs/>
        </w:rPr>
        <w:t>t</w:t>
      </w:r>
      <w:r w:rsidRPr="00A51443">
        <w:rPr>
          <w:i/>
          <w:iCs/>
        </w:rPr>
        <w:t xml:space="preserve">ransferred </w:t>
      </w:r>
      <w:r w:rsidR="00924919" w:rsidRPr="00A51443">
        <w:rPr>
          <w:i/>
          <w:iCs/>
        </w:rPr>
        <w:t>to acute facility in less than</w:t>
      </w:r>
      <w:r w:rsidRPr="00A51443">
        <w:rPr>
          <w:i/>
          <w:iCs/>
        </w:rPr>
        <w:t xml:space="preserve"> 5 </w:t>
      </w:r>
      <w:r w:rsidR="00C56410" w:rsidRPr="00A51443">
        <w:rPr>
          <w:i/>
          <w:iCs/>
        </w:rPr>
        <w:t>d</w:t>
      </w:r>
      <w:r w:rsidRPr="00A51443">
        <w:rPr>
          <w:i/>
          <w:iCs/>
        </w:rPr>
        <w:t>ays</w:t>
      </w:r>
      <w:r w:rsidRPr="00A51443">
        <w:t>.</w:t>
      </w:r>
    </w:p>
    <w:p w14:paraId="7D51E244" w14:textId="59FAD1B3" w:rsidR="005C1B62" w:rsidRPr="00A51443" w:rsidRDefault="005C1B62" w:rsidP="00C006E1">
      <w:r w:rsidRPr="00A51443">
        <w:lastRenderedPageBreak/>
        <w:t xml:space="preserve">Refer to the </w:t>
      </w:r>
      <w:r w:rsidRPr="00A51443">
        <w:rPr>
          <w:iCs/>
        </w:rPr>
        <w:t>AR-DRG V</w:t>
      </w:r>
      <w:r w:rsidR="005309C7" w:rsidRPr="00A51443">
        <w:rPr>
          <w:iCs/>
        </w:rPr>
        <w:t xml:space="preserve">ersion </w:t>
      </w:r>
      <w:r w:rsidR="00756665" w:rsidRPr="00A51443">
        <w:rPr>
          <w:iCs/>
        </w:rPr>
        <w:t>12.0</w:t>
      </w:r>
      <w:r w:rsidRPr="00A51443">
        <w:rPr>
          <w:iCs/>
        </w:rPr>
        <w:t xml:space="preserve"> Definitions Manual</w:t>
      </w:r>
      <w:r w:rsidRPr="00A51443">
        <w:t xml:space="preserve"> for ECCS boundaries of ADRGs and the </w:t>
      </w:r>
      <w:r w:rsidRPr="00A51443">
        <w:br/>
      </w:r>
      <w:r w:rsidRPr="00A51443">
        <w:rPr>
          <w:iCs/>
        </w:rPr>
        <w:t>AR-DRG V</w:t>
      </w:r>
      <w:r w:rsidR="00E63E21" w:rsidRPr="00A51443">
        <w:rPr>
          <w:iCs/>
        </w:rPr>
        <w:t xml:space="preserve">ersion </w:t>
      </w:r>
      <w:r w:rsidR="00756665" w:rsidRPr="00A51443">
        <w:rPr>
          <w:iCs/>
        </w:rPr>
        <w:t>12.0</w:t>
      </w:r>
      <w:r w:rsidRPr="00A51443">
        <w:rPr>
          <w:iCs/>
        </w:rPr>
        <w:t xml:space="preserve"> Technical Specifications</w:t>
      </w:r>
      <w:r w:rsidRPr="00A51443">
        <w:t xml:space="preserve"> for further information regarding the ECC Model and ECCS derivations.</w:t>
      </w:r>
    </w:p>
    <w:p w14:paraId="496246DC" w14:textId="54A67496" w:rsidR="005C1B62" w:rsidRPr="00A51443" w:rsidRDefault="005C1B62" w:rsidP="00623EF7">
      <w:pPr>
        <w:pStyle w:val="Heading2"/>
        <w:numPr>
          <w:ilvl w:val="1"/>
          <w:numId w:val="8"/>
        </w:numPr>
        <w:ind w:left="0" w:firstLine="0"/>
        <w:rPr>
          <w:lang w:val="en-PH"/>
        </w:rPr>
      </w:pPr>
      <w:bookmarkStart w:id="51" w:name="_Toc92206464"/>
      <w:bookmarkStart w:id="52" w:name="_Toc92206465"/>
      <w:bookmarkStart w:id="53" w:name="_Toc92206466"/>
      <w:bookmarkStart w:id="54" w:name="_Toc92206467"/>
      <w:bookmarkStart w:id="55" w:name="_Toc92206468"/>
      <w:bookmarkStart w:id="56" w:name="_Toc92206469"/>
      <w:bookmarkStart w:id="57" w:name="_Toc92206470"/>
      <w:bookmarkStart w:id="58" w:name="_Toc92206471"/>
      <w:bookmarkStart w:id="59" w:name="_Toc100328191"/>
      <w:bookmarkStart w:id="60" w:name="_Toc188263104"/>
      <w:bookmarkStart w:id="61" w:name="_Toc193462696"/>
      <w:bookmarkEnd w:id="48"/>
      <w:bookmarkEnd w:id="49"/>
      <w:bookmarkEnd w:id="51"/>
      <w:bookmarkEnd w:id="52"/>
      <w:bookmarkEnd w:id="53"/>
      <w:bookmarkEnd w:id="54"/>
      <w:bookmarkEnd w:id="55"/>
      <w:bookmarkEnd w:id="56"/>
      <w:bookmarkEnd w:id="57"/>
      <w:bookmarkEnd w:id="58"/>
      <w:r w:rsidRPr="00A51443">
        <w:rPr>
          <w:lang w:val="en-PH"/>
        </w:rPr>
        <w:t>Additional resources for AR-DRG V</w:t>
      </w:r>
      <w:bookmarkEnd w:id="59"/>
      <w:r w:rsidR="00756665" w:rsidRPr="00A51443">
        <w:rPr>
          <w:lang w:val="en-PH"/>
        </w:rPr>
        <w:t>12.0</w:t>
      </w:r>
      <w:bookmarkEnd w:id="60"/>
      <w:bookmarkEnd w:id="61"/>
    </w:p>
    <w:p w14:paraId="5A453F03" w14:textId="04D262A0" w:rsidR="005C1B62" w:rsidRPr="00A51443" w:rsidRDefault="005C1B62" w:rsidP="00C006E1">
      <w:r w:rsidRPr="00A51443">
        <w:t xml:space="preserve">In addition to the </w:t>
      </w:r>
      <w:r w:rsidRPr="00A51443">
        <w:rPr>
          <w:iCs/>
        </w:rPr>
        <w:t>AR-DRG V</w:t>
      </w:r>
      <w:r w:rsidR="005309C7" w:rsidRPr="00A51443">
        <w:rPr>
          <w:iCs/>
        </w:rPr>
        <w:t xml:space="preserve">ersion </w:t>
      </w:r>
      <w:r w:rsidR="00756665" w:rsidRPr="00A51443">
        <w:rPr>
          <w:iCs/>
        </w:rPr>
        <w:t>12.0</w:t>
      </w:r>
      <w:r w:rsidRPr="00A51443">
        <w:rPr>
          <w:iCs/>
        </w:rPr>
        <w:t xml:space="preserve"> Final Report</w:t>
      </w:r>
      <w:r w:rsidR="00EF3B21" w:rsidRPr="00A51443">
        <w:rPr>
          <w:iCs/>
        </w:rPr>
        <w:t>,</w:t>
      </w:r>
      <w:r w:rsidRPr="00A51443">
        <w:t xml:space="preserve"> other resources have been developed to support the use and implementation of AR-DRG V</w:t>
      </w:r>
      <w:r w:rsidR="00756665" w:rsidRPr="00A51443">
        <w:t>12.0</w:t>
      </w:r>
      <w:r w:rsidRPr="00A51443">
        <w:t xml:space="preserve">. </w:t>
      </w:r>
    </w:p>
    <w:p w14:paraId="2D8F2ECE" w14:textId="1E318152" w:rsidR="005C1B62" w:rsidRPr="00A51443" w:rsidRDefault="005C1B62" w:rsidP="00623EF7">
      <w:pPr>
        <w:pStyle w:val="Heading3"/>
        <w:numPr>
          <w:ilvl w:val="2"/>
          <w:numId w:val="8"/>
        </w:numPr>
        <w:spacing w:before="240"/>
        <w:ind w:left="720"/>
        <w:rPr>
          <w:color w:val="104F99" w:themeColor="accent2"/>
          <w:sz w:val="28"/>
          <w:szCs w:val="28"/>
        </w:rPr>
      </w:pPr>
      <w:bookmarkStart w:id="62" w:name="_Toc188263105"/>
      <w:bookmarkStart w:id="63" w:name="_Toc193462697"/>
      <w:r w:rsidRPr="00A51443">
        <w:rPr>
          <w:color w:val="104F99" w:themeColor="accent2"/>
          <w:sz w:val="28"/>
          <w:szCs w:val="28"/>
        </w:rPr>
        <w:t>AR-DRG V</w:t>
      </w:r>
      <w:r w:rsidR="005962C0" w:rsidRPr="00A51443">
        <w:rPr>
          <w:color w:val="104F99" w:themeColor="accent2"/>
          <w:sz w:val="28"/>
          <w:szCs w:val="28"/>
        </w:rPr>
        <w:t xml:space="preserve">ersion </w:t>
      </w:r>
      <w:r w:rsidR="00756665" w:rsidRPr="00A51443">
        <w:rPr>
          <w:color w:val="104F99" w:themeColor="accent2"/>
          <w:sz w:val="28"/>
          <w:szCs w:val="28"/>
        </w:rPr>
        <w:t>12.0</w:t>
      </w:r>
      <w:r w:rsidRPr="00A51443">
        <w:rPr>
          <w:color w:val="104F99" w:themeColor="accent2"/>
          <w:sz w:val="28"/>
          <w:szCs w:val="28"/>
        </w:rPr>
        <w:t xml:space="preserve"> Technical Specifications</w:t>
      </w:r>
      <w:bookmarkEnd w:id="62"/>
      <w:bookmarkEnd w:id="63"/>
    </w:p>
    <w:p w14:paraId="69037112" w14:textId="6381FD33" w:rsidR="005C1B62" w:rsidRPr="00A51443" w:rsidRDefault="00611170" w:rsidP="00C006E1">
      <w:r w:rsidRPr="00A51443">
        <w:t>The AR-DRG V</w:t>
      </w:r>
      <w:r w:rsidR="005962C0" w:rsidRPr="00A51443">
        <w:t xml:space="preserve">ersion </w:t>
      </w:r>
      <w:r w:rsidRPr="00A51443">
        <w:t xml:space="preserve">12.0 Technical Specifications </w:t>
      </w:r>
      <w:r w:rsidR="005C1B62" w:rsidRPr="00A51443">
        <w:t xml:space="preserve">accompanies the </w:t>
      </w:r>
      <w:r w:rsidR="005C1B62" w:rsidRPr="00A51443">
        <w:rPr>
          <w:iCs/>
        </w:rPr>
        <w:t xml:space="preserve">AR-DRG </w:t>
      </w:r>
      <w:r w:rsidR="002F1A2E">
        <w:rPr>
          <w:iCs/>
        </w:rPr>
        <w:t>V</w:t>
      </w:r>
      <w:r w:rsidR="00756665" w:rsidRPr="00A51443">
        <w:rPr>
          <w:iCs/>
        </w:rPr>
        <w:t>12.0</w:t>
      </w:r>
      <w:r w:rsidR="005C1B62" w:rsidRPr="00A51443">
        <w:rPr>
          <w:iCs/>
        </w:rPr>
        <w:t xml:space="preserve"> Final Report</w:t>
      </w:r>
      <w:r w:rsidR="005C1B62" w:rsidRPr="00A51443">
        <w:t xml:space="preserve">. </w:t>
      </w:r>
      <w:r w:rsidRPr="00A51443">
        <w:t>It can be found on the IHACPA website</w:t>
      </w:r>
      <w:r w:rsidR="00743E10" w:rsidRPr="00A51443">
        <w:t xml:space="preserve"> and</w:t>
      </w:r>
      <w:r w:rsidR="005C1B62" w:rsidRPr="00A51443">
        <w:t xml:space="preserve"> </w:t>
      </w:r>
      <w:r w:rsidR="00743E10" w:rsidRPr="00A51443">
        <w:t xml:space="preserve">details the </w:t>
      </w:r>
      <w:r w:rsidR="005C1B62" w:rsidRPr="00A51443">
        <w:t xml:space="preserve">methodology and technical specifications used in </w:t>
      </w:r>
      <w:r w:rsidR="00743E10" w:rsidRPr="00A51443">
        <w:t xml:space="preserve">the development of </w:t>
      </w:r>
      <w:r w:rsidR="005C1B62" w:rsidRPr="00A51443">
        <w:t>AR-DRG V</w:t>
      </w:r>
      <w:r w:rsidR="00756665" w:rsidRPr="00A51443">
        <w:t>12.0</w:t>
      </w:r>
      <w:r w:rsidR="005C1B62" w:rsidRPr="00A51443">
        <w:t xml:space="preserve"> including: </w:t>
      </w:r>
    </w:p>
    <w:p w14:paraId="4415B062" w14:textId="77777777" w:rsidR="005C1B62" w:rsidRPr="00A51443" w:rsidRDefault="005C1B62" w:rsidP="00623EF7">
      <w:pPr>
        <w:pStyle w:val="ListParagraph"/>
        <w:numPr>
          <w:ilvl w:val="0"/>
          <w:numId w:val="6"/>
        </w:numPr>
        <w:ind w:left="714" w:hanging="357"/>
        <w:contextualSpacing w:val="0"/>
      </w:pPr>
      <w:r w:rsidRPr="00A51443">
        <w:t>data preparation and modification</w:t>
      </w:r>
    </w:p>
    <w:p w14:paraId="0F1C6836" w14:textId="77777777" w:rsidR="005C1B62" w:rsidRPr="00A51443" w:rsidRDefault="005C1B62" w:rsidP="00623EF7">
      <w:pPr>
        <w:pStyle w:val="ListParagraph"/>
        <w:numPr>
          <w:ilvl w:val="0"/>
          <w:numId w:val="6"/>
        </w:numPr>
        <w:ind w:left="714" w:hanging="357"/>
        <w:contextualSpacing w:val="0"/>
      </w:pPr>
      <w:r w:rsidRPr="00A51443">
        <w:t>ADRG intervention hierarchy review</w:t>
      </w:r>
    </w:p>
    <w:p w14:paraId="4FD69378" w14:textId="77777777" w:rsidR="005C1B62" w:rsidRPr="00A51443" w:rsidRDefault="005C1B62" w:rsidP="00623EF7">
      <w:pPr>
        <w:pStyle w:val="ListParagraph"/>
        <w:numPr>
          <w:ilvl w:val="0"/>
          <w:numId w:val="6"/>
        </w:numPr>
        <w:ind w:left="714" w:hanging="357"/>
        <w:contextualSpacing w:val="0"/>
      </w:pPr>
      <w:r w:rsidRPr="00A51443">
        <w:t>derivation of the ECCS</w:t>
      </w:r>
    </w:p>
    <w:p w14:paraId="75E430BE" w14:textId="77777777" w:rsidR="005C1B62" w:rsidRPr="00A51443" w:rsidRDefault="005C1B62" w:rsidP="00623EF7">
      <w:pPr>
        <w:pStyle w:val="ListParagraph"/>
        <w:numPr>
          <w:ilvl w:val="0"/>
          <w:numId w:val="6"/>
        </w:numPr>
        <w:ind w:left="714" w:hanging="357"/>
        <w:contextualSpacing w:val="0"/>
      </w:pPr>
      <w:r w:rsidRPr="00A51443">
        <w:t>ADRG splitting review.</w:t>
      </w:r>
    </w:p>
    <w:p w14:paraId="4E2ED42C" w14:textId="49067204" w:rsidR="005C1B62" w:rsidRPr="00A51443" w:rsidRDefault="005C1B62" w:rsidP="00623EF7">
      <w:pPr>
        <w:pStyle w:val="Heading3"/>
        <w:numPr>
          <w:ilvl w:val="2"/>
          <w:numId w:val="8"/>
        </w:numPr>
        <w:spacing w:before="240"/>
        <w:ind w:left="720"/>
        <w:rPr>
          <w:color w:val="104F99" w:themeColor="accent2"/>
          <w:sz w:val="28"/>
          <w:szCs w:val="28"/>
        </w:rPr>
      </w:pPr>
      <w:bookmarkStart w:id="64" w:name="_Toc188263106"/>
      <w:bookmarkStart w:id="65" w:name="_Toc193462698"/>
      <w:r w:rsidRPr="00A51443">
        <w:rPr>
          <w:color w:val="104F99" w:themeColor="accent2"/>
          <w:sz w:val="28"/>
          <w:szCs w:val="28"/>
        </w:rPr>
        <w:t>AR-DRG V</w:t>
      </w:r>
      <w:r w:rsidR="00A51425" w:rsidRPr="00A51443">
        <w:rPr>
          <w:color w:val="104F99" w:themeColor="accent2"/>
          <w:sz w:val="28"/>
          <w:szCs w:val="28"/>
        </w:rPr>
        <w:t xml:space="preserve">ersion </w:t>
      </w:r>
      <w:r w:rsidR="00756665" w:rsidRPr="00A51443">
        <w:rPr>
          <w:color w:val="104F99" w:themeColor="accent2"/>
          <w:sz w:val="28"/>
          <w:szCs w:val="28"/>
        </w:rPr>
        <w:t>12.0</w:t>
      </w:r>
      <w:r w:rsidRPr="00A51443">
        <w:rPr>
          <w:color w:val="104F99" w:themeColor="accent2"/>
          <w:sz w:val="28"/>
          <w:szCs w:val="28"/>
        </w:rPr>
        <w:t xml:space="preserve"> Definitions Manual</w:t>
      </w:r>
      <w:bookmarkEnd w:id="64"/>
      <w:bookmarkEnd w:id="65"/>
    </w:p>
    <w:p w14:paraId="758E6C3B" w14:textId="5D1B5924" w:rsidR="005C1B62" w:rsidRPr="00A51443" w:rsidRDefault="005C1B62" w:rsidP="00C006E1">
      <w:r w:rsidRPr="00A51443">
        <w:t xml:space="preserve">The </w:t>
      </w:r>
      <w:r w:rsidRPr="00A51443">
        <w:rPr>
          <w:iCs/>
        </w:rPr>
        <w:t xml:space="preserve">AR-DRG </w:t>
      </w:r>
      <w:r w:rsidR="002F1A2E">
        <w:rPr>
          <w:iCs/>
        </w:rPr>
        <w:t>V</w:t>
      </w:r>
      <w:r w:rsidR="00F01AFC" w:rsidRPr="00A51443">
        <w:rPr>
          <w:iCs/>
        </w:rPr>
        <w:t xml:space="preserve">12.0 </w:t>
      </w:r>
      <w:r w:rsidRPr="00A51443">
        <w:rPr>
          <w:iCs/>
        </w:rPr>
        <w:t>Definitions Manual</w:t>
      </w:r>
      <w:r w:rsidRPr="00A51443">
        <w:t xml:space="preserve"> is a set of reference documents detail</w:t>
      </w:r>
      <w:r w:rsidR="003501F2" w:rsidRPr="00A51443">
        <w:t>ing</w:t>
      </w:r>
      <w:r w:rsidR="009D2754" w:rsidRPr="00A51443">
        <w:t xml:space="preserve"> the</w:t>
      </w:r>
      <w:r w:rsidRPr="00A51443">
        <w:t xml:space="preserve"> definition logic for the DRG </w:t>
      </w:r>
      <w:r w:rsidR="00BE3734" w:rsidRPr="00A51443">
        <w:t xml:space="preserve">grouping </w:t>
      </w:r>
      <w:r w:rsidRPr="00A51443">
        <w:t>process performed by the grouper.</w:t>
      </w:r>
      <w:r w:rsidR="0006053A" w:rsidRPr="00A51443">
        <w:t xml:space="preserve"> </w:t>
      </w:r>
      <w:r w:rsidRPr="00A51443">
        <w:t xml:space="preserve">The manual provides documentation of how particular episodes of care group to </w:t>
      </w:r>
      <w:r w:rsidR="007D6709" w:rsidRPr="00A51443">
        <w:t>DRGs</w:t>
      </w:r>
      <w:r w:rsidRPr="00A51443">
        <w:t>.</w:t>
      </w:r>
    </w:p>
    <w:p w14:paraId="73DB01E0" w14:textId="5848007C" w:rsidR="005C1B62" w:rsidRPr="00A51443" w:rsidRDefault="005C1B62" w:rsidP="00C006E1">
      <w:r w:rsidRPr="00A51443">
        <w:t>While the manual assists with the identification of likely DRG assignments for individual episodes, they are not a substitute for the grouping software that is provided by various vendors under licence from</w:t>
      </w:r>
      <w:r w:rsidR="00182054" w:rsidRPr="00A51443">
        <w:t xml:space="preserve"> </w:t>
      </w:r>
      <w:r w:rsidR="0097703B" w:rsidRPr="00A51443">
        <w:t>IHACPA</w:t>
      </w:r>
      <w:r w:rsidRPr="00A51443">
        <w:t>.</w:t>
      </w:r>
    </w:p>
    <w:p w14:paraId="33E3E4B0" w14:textId="5CF5D1BC" w:rsidR="005C1B62" w:rsidRPr="00A51443" w:rsidRDefault="005C1B62" w:rsidP="00623EF7">
      <w:pPr>
        <w:pStyle w:val="Heading3"/>
        <w:numPr>
          <w:ilvl w:val="2"/>
          <w:numId w:val="8"/>
        </w:numPr>
        <w:spacing w:before="240"/>
        <w:ind w:left="720"/>
        <w:rPr>
          <w:color w:val="104F99" w:themeColor="accent2"/>
          <w:sz w:val="28"/>
          <w:szCs w:val="28"/>
        </w:rPr>
      </w:pPr>
      <w:bookmarkStart w:id="66" w:name="_Toc188263107"/>
      <w:bookmarkStart w:id="67" w:name="_Toc193462699"/>
      <w:r w:rsidRPr="00A51443">
        <w:rPr>
          <w:color w:val="104F99" w:themeColor="accent2"/>
          <w:sz w:val="28"/>
          <w:szCs w:val="28"/>
        </w:rPr>
        <w:t xml:space="preserve">AR-DRG </w:t>
      </w:r>
      <w:r w:rsidR="007C2F43" w:rsidRPr="00A51443">
        <w:rPr>
          <w:color w:val="104F99" w:themeColor="accent2"/>
          <w:sz w:val="28"/>
          <w:szCs w:val="28"/>
        </w:rPr>
        <w:t>V</w:t>
      </w:r>
      <w:r w:rsidR="00BA2891" w:rsidRPr="00A51443">
        <w:rPr>
          <w:color w:val="104F99" w:themeColor="accent2"/>
          <w:sz w:val="28"/>
          <w:szCs w:val="28"/>
        </w:rPr>
        <w:t xml:space="preserve">12.0 </w:t>
      </w:r>
      <w:r w:rsidRPr="00A51443">
        <w:rPr>
          <w:color w:val="104F99" w:themeColor="accent2"/>
          <w:sz w:val="28"/>
          <w:szCs w:val="28"/>
        </w:rPr>
        <w:t>Descriptions</w:t>
      </w:r>
      <w:bookmarkEnd w:id="66"/>
      <w:bookmarkEnd w:id="67"/>
    </w:p>
    <w:p w14:paraId="48C90695" w14:textId="3CEB75CA" w:rsidR="005C1B62" w:rsidRPr="00A51443" w:rsidRDefault="005C1B62" w:rsidP="00C006E1">
      <w:r w:rsidRPr="00A51443">
        <w:t xml:space="preserve">The </w:t>
      </w:r>
      <w:r w:rsidRPr="00A51443">
        <w:rPr>
          <w:iCs/>
        </w:rPr>
        <w:t>AR-DRG V</w:t>
      </w:r>
      <w:r w:rsidR="00756665" w:rsidRPr="00A51443">
        <w:rPr>
          <w:iCs/>
        </w:rPr>
        <w:t>12.0</w:t>
      </w:r>
      <w:r w:rsidRPr="00A51443">
        <w:rPr>
          <w:iCs/>
        </w:rPr>
        <w:t xml:space="preserve"> Descriptions</w:t>
      </w:r>
      <w:r w:rsidRPr="00A51443">
        <w:t xml:space="preserve"> can be found on the </w:t>
      </w:r>
      <w:r w:rsidR="0097703B" w:rsidRPr="00A51443">
        <w:t xml:space="preserve">IHACPA </w:t>
      </w:r>
      <w:r w:rsidRPr="00A51443">
        <w:t>website. This includes a full listing of long and short descriptions for MDCs, ADRGs and DRGs.</w:t>
      </w:r>
    </w:p>
    <w:p w14:paraId="630E6961" w14:textId="5A2FC033" w:rsidR="005C1B62" w:rsidRPr="00A51443" w:rsidRDefault="005C1B62" w:rsidP="00623EF7">
      <w:pPr>
        <w:pStyle w:val="Heading3"/>
        <w:numPr>
          <w:ilvl w:val="2"/>
          <w:numId w:val="8"/>
        </w:numPr>
        <w:spacing w:before="240"/>
        <w:ind w:left="720"/>
        <w:rPr>
          <w:color w:val="104F99" w:themeColor="accent2"/>
          <w:sz w:val="28"/>
          <w:szCs w:val="28"/>
        </w:rPr>
      </w:pPr>
      <w:bookmarkStart w:id="68" w:name="_Toc188263108"/>
      <w:bookmarkStart w:id="69" w:name="_Toc193462700"/>
      <w:r w:rsidRPr="00A51443">
        <w:rPr>
          <w:color w:val="104F99" w:themeColor="accent2"/>
          <w:sz w:val="28"/>
          <w:szCs w:val="28"/>
        </w:rPr>
        <w:t xml:space="preserve">ICD-10-AM/ACHI/ACS </w:t>
      </w:r>
      <w:r w:rsidR="00C5297A" w:rsidRPr="00A51443">
        <w:rPr>
          <w:color w:val="104F99" w:themeColor="accent2"/>
          <w:sz w:val="28"/>
          <w:szCs w:val="28"/>
        </w:rPr>
        <w:t xml:space="preserve">Thirteenth </w:t>
      </w:r>
      <w:r w:rsidRPr="00A51443">
        <w:rPr>
          <w:color w:val="104F99" w:themeColor="accent2"/>
          <w:sz w:val="28"/>
          <w:szCs w:val="28"/>
        </w:rPr>
        <w:t>Edition</w:t>
      </w:r>
      <w:bookmarkEnd w:id="68"/>
      <w:bookmarkEnd w:id="69"/>
    </w:p>
    <w:p w14:paraId="3AED939E" w14:textId="0CE776F8" w:rsidR="005C1B62" w:rsidRPr="00A51443" w:rsidRDefault="005C1B62" w:rsidP="00C006E1">
      <w:r w:rsidRPr="00A51443">
        <w:t>AR-DRG V</w:t>
      </w:r>
      <w:r w:rsidR="00756665" w:rsidRPr="00A51443">
        <w:t>12.0</w:t>
      </w:r>
      <w:r w:rsidRPr="00A51443">
        <w:t xml:space="preserve"> is underpinned by ICD-10-AM/ACHI/ACS </w:t>
      </w:r>
      <w:r w:rsidR="00C02DED" w:rsidRPr="00A51443">
        <w:t xml:space="preserve">Thirteenth </w:t>
      </w:r>
      <w:r w:rsidRPr="00A51443">
        <w:t>Edition.</w:t>
      </w:r>
      <w:r w:rsidR="00EB4141" w:rsidRPr="00A51443">
        <w:t xml:space="preserve"> </w:t>
      </w:r>
    </w:p>
    <w:p w14:paraId="39A86657" w14:textId="74A0CF46" w:rsidR="00970318" w:rsidRPr="00A51443" w:rsidRDefault="00970318" w:rsidP="00DB161C">
      <w:pPr>
        <w:sectPr w:rsidR="00970318" w:rsidRPr="00A51443" w:rsidSect="009519E0">
          <w:pgSz w:w="11906" w:h="16838" w:code="9"/>
          <w:pgMar w:top="1440" w:right="1080" w:bottom="1440" w:left="1080" w:header="708" w:footer="708" w:gutter="0"/>
          <w:cols w:space="708"/>
          <w:docGrid w:linePitch="360"/>
        </w:sectPr>
      </w:pPr>
    </w:p>
    <w:p w14:paraId="50165607" w14:textId="54CA741B" w:rsidR="00F057B2" w:rsidRPr="00A51443" w:rsidRDefault="00F057B2" w:rsidP="002F1A2E">
      <w:pPr>
        <w:pStyle w:val="Heading1"/>
        <w:numPr>
          <w:ilvl w:val="0"/>
          <w:numId w:val="9"/>
        </w:numPr>
        <w:ind w:left="0" w:firstLine="0"/>
        <w:rPr>
          <w:lang w:val="en-PH"/>
        </w:rPr>
      </w:pPr>
      <w:bookmarkStart w:id="70" w:name="_Toc100328192"/>
      <w:bookmarkStart w:id="71" w:name="_Toc188263109"/>
      <w:bookmarkStart w:id="72" w:name="_Toc193462701"/>
      <w:r w:rsidRPr="00A51443">
        <w:rPr>
          <w:lang w:val="en-PH"/>
        </w:rPr>
        <w:lastRenderedPageBreak/>
        <w:t xml:space="preserve">Development </w:t>
      </w:r>
      <w:r w:rsidR="00A254AB" w:rsidRPr="00A51443">
        <w:rPr>
          <w:lang w:val="en-PH"/>
        </w:rPr>
        <w:t>P</w:t>
      </w:r>
      <w:r w:rsidRPr="00A51443">
        <w:rPr>
          <w:lang w:val="en-PH"/>
        </w:rPr>
        <w:t>rocess</w:t>
      </w:r>
      <w:bookmarkEnd w:id="70"/>
      <w:bookmarkEnd w:id="71"/>
      <w:bookmarkEnd w:id="72"/>
    </w:p>
    <w:p w14:paraId="7C6BE93B" w14:textId="77777777" w:rsidR="00433882" w:rsidRPr="00A51443" w:rsidRDefault="00433882" w:rsidP="00623EF7">
      <w:pPr>
        <w:pStyle w:val="Heading2"/>
        <w:numPr>
          <w:ilvl w:val="1"/>
          <w:numId w:val="8"/>
        </w:numPr>
        <w:ind w:left="0" w:firstLine="0"/>
        <w:rPr>
          <w:lang w:val="en-PH"/>
        </w:rPr>
      </w:pPr>
      <w:bookmarkStart w:id="73" w:name="_Ref182495827"/>
      <w:bookmarkStart w:id="74" w:name="_Toc188263110"/>
      <w:bookmarkStart w:id="75" w:name="_Toc193462702"/>
      <w:r w:rsidRPr="00A51443">
        <w:rPr>
          <w:lang w:val="en-PH"/>
        </w:rPr>
        <w:t>Governance and consultation process</w:t>
      </w:r>
      <w:bookmarkEnd w:id="73"/>
      <w:bookmarkEnd w:id="74"/>
      <w:bookmarkEnd w:id="75"/>
    </w:p>
    <w:p w14:paraId="18987373" w14:textId="42EF0117" w:rsidR="00433882" w:rsidRPr="00A51443" w:rsidRDefault="00D40453" w:rsidP="00CF57CE">
      <w:r w:rsidRPr="00A51443">
        <w:t xml:space="preserve">AR-DRG V12.0 </w:t>
      </w:r>
      <w:r w:rsidR="00110E55" w:rsidRPr="00A51443">
        <w:t xml:space="preserve">was </w:t>
      </w:r>
      <w:r w:rsidRPr="00A51443">
        <w:t xml:space="preserve">developed in accordance with the </w:t>
      </w:r>
      <w:bookmarkStart w:id="76" w:name="_Hlk193462156"/>
      <w:r w:rsidR="008B4C7B">
        <w:fldChar w:fldCharType="begin"/>
      </w:r>
      <w:r w:rsidR="008B4C7B">
        <w:instrText>HYPERLINK "https://www.ihacpa.gov.au/resources/governance-framework-development-admitted-care-classifications"</w:instrText>
      </w:r>
      <w:r w:rsidR="008B4C7B">
        <w:fldChar w:fldCharType="separate"/>
      </w:r>
      <w:r w:rsidR="008B4C7B" w:rsidRPr="008B4C7B">
        <w:rPr>
          <w:rStyle w:val="Hyperlink"/>
        </w:rPr>
        <w:t>Governance Framework for the Development of the Admitted Care Classifications for ICD-10-AM/ACHI/ACS Thirteenth Edition and AR-DRG Version 12.0</w:t>
      </w:r>
      <w:bookmarkEnd w:id="76"/>
      <w:r w:rsidR="008B4C7B">
        <w:fldChar w:fldCharType="end"/>
      </w:r>
      <w:r w:rsidRPr="00A51443">
        <w:t xml:space="preserve">. The </w:t>
      </w:r>
      <w:r w:rsidR="00525F25" w:rsidRPr="00A51443">
        <w:t>g</w:t>
      </w:r>
      <w:r w:rsidR="0060741A" w:rsidRPr="00A51443">
        <w:t>overnance</w:t>
      </w:r>
      <w:r w:rsidR="000C11B0" w:rsidRPr="00A51443">
        <w:t xml:space="preserve"> </w:t>
      </w:r>
      <w:r w:rsidR="00525F25" w:rsidRPr="00A51443">
        <w:t>f</w:t>
      </w:r>
      <w:r w:rsidRPr="00A51443">
        <w:t xml:space="preserve">ramework outlines the classification development, approval process, the guiding principles and classification outputs that are the result of the classification development cycle. </w:t>
      </w:r>
      <w:r w:rsidR="00433882" w:rsidRPr="00A51443">
        <w:t xml:space="preserve">The </w:t>
      </w:r>
      <w:r w:rsidR="00525F25" w:rsidRPr="00A51443">
        <w:t>g</w:t>
      </w:r>
      <w:r w:rsidR="0060741A" w:rsidRPr="00A51443">
        <w:t xml:space="preserve">overnance </w:t>
      </w:r>
      <w:r w:rsidR="00525F25" w:rsidRPr="00A51443">
        <w:t>f</w:t>
      </w:r>
      <w:r w:rsidR="00433882" w:rsidRPr="00A51443">
        <w:t>ramework is updated with each new classification development cycle to ensure it, and the classifications that it governs, remain fit for purpose and relevant to the Australian healthcare system.</w:t>
      </w:r>
    </w:p>
    <w:p w14:paraId="52DF8840" w14:textId="54C247D7" w:rsidR="00433882" w:rsidRPr="00A51443" w:rsidRDefault="00433882" w:rsidP="00CF57CE">
      <w:r w:rsidRPr="00A51443">
        <w:t>IHACPA has two</w:t>
      </w:r>
      <w:r w:rsidR="00643F88" w:rsidRPr="00A51443">
        <w:t xml:space="preserve"> advisory</w:t>
      </w:r>
      <w:r w:rsidRPr="00A51443">
        <w:t xml:space="preserve"> groups that provide clinical and technical advice regarding the </w:t>
      </w:r>
      <w:r w:rsidR="00E727DC" w:rsidRPr="00A51443">
        <w:t xml:space="preserve">development </w:t>
      </w:r>
      <w:r w:rsidRPr="00A51443">
        <w:t xml:space="preserve">and </w:t>
      </w:r>
      <w:r w:rsidR="00E727DC" w:rsidRPr="00A51443">
        <w:t xml:space="preserve">refinement </w:t>
      </w:r>
      <w:r w:rsidRPr="00A51443">
        <w:t xml:space="preserve">of </w:t>
      </w:r>
      <w:r w:rsidR="00695D30" w:rsidRPr="00A51443">
        <w:t xml:space="preserve">the </w:t>
      </w:r>
      <w:r w:rsidRPr="00A51443">
        <w:t>AR-DRG</w:t>
      </w:r>
      <w:r w:rsidR="00695D30" w:rsidRPr="00A51443">
        <w:t xml:space="preserve"> classification</w:t>
      </w:r>
      <w:r w:rsidRPr="00A51443">
        <w:t xml:space="preserve"> to ensure broad consultation on major updates:</w:t>
      </w:r>
    </w:p>
    <w:p w14:paraId="647AD6FD" w14:textId="1EA8D794" w:rsidR="00433882" w:rsidRPr="00A51443" w:rsidRDefault="00433882" w:rsidP="00623EF7">
      <w:pPr>
        <w:pStyle w:val="ListParagraph"/>
        <w:numPr>
          <w:ilvl w:val="0"/>
          <w:numId w:val="10"/>
        </w:numPr>
        <w:ind w:left="714" w:hanging="357"/>
        <w:contextualSpacing w:val="0"/>
      </w:pPr>
      <w:r w:rsidRPr="00A51443">
        <w:t>Classifications Clinical Advisory Group (CCAG) – provides expert clinical advice on development proposals across the admitted care classifications. CCAG is composed of clinicians with medical, surgical, emergency, nursing and allied health backgrounds, that facilitates broad canvassing of clinicians to ensure that there is likely to be general acceptance of the developed proposals. The group has two representatives from IHACPA's Clinical Advisory Committee (CAC).</w:t>
      </w:r>
    </w:p>
    <w:p w14:paraId="57969CA6" w14:textId="1936E1D2" w:rsidR="00433882" w:rsidRPr="00A51443" w:rsidRDefault="00433882" w:rsidP="00623EF7">
      <w:pPr>
        <w:pStyle w:val="ListParagraph"/>
        <w:numPr>
          <w:ilvl w:val="0"/>
          <w:numId w:val="10"/>
        </w:numPr>
        <w:ind w:left="714" w:hanging="357"/>
        <w:contextualSpacing w:val="0"/>
      </w:pPr>
      <w:r w:rsidRPr="00A51443">
        <w:t>Diagnosis Related Groups Technical Group (DTG) – provides technical input on AR-DRG development. DTG includes representatives from state and territory health departments, the Commonwealth, private hospitals, private health insurers and the New Zealand Ministry of Health.</w:t>
      </w:r>
    </w:p>
    <w:p w14:paraId="480465FE" w14:textId="2D4EC12D" w:rsidR="00433882" w:rsidRPr="00A51443" w:rsidRDefault="00433882" w:rsidP="00C006E1">
      <w:r w:rsidRPr="00A51443">
        <w:t xml:space="preserve">CCAG and DTG </w:t>
      </w:r>
      <w:r w:rsidR="00465E2E" w:rsidRPr="00A51443">
        <w:t>were consulted</w:t>
      </w:r>
      <w:r w:rsidRPr="00A51443">
        <w:t xml:space="preserve"> on </w:t>
      </w:r>
      <w:r w:rsidR="00465E2E" w:rsidRPr="00A51443">
        <w:t xml:space="preserve">all </w:t>
      </w:r>
      <w:r w:rsidRPr="00A51443">
        <w:t>proposals for AR-DRG V1</w:t>
      </w:r>
      <w:r w:rsidR="009044CC" w:rsidRPr="00A51443">
        <w:t>2</w:t>
      </w:r>
      <w:r w:rsidRPr="00A51443">
        <w:t>.0.</w:t>
      </w:r>
    </w:p>
    <w:p w14:paraId="2FBA1182" w14:textId="2675FF0B" w:rsidR="00433882" w:rsidRPr="00A51443" w:rsidRDefault="00433882" w:rsidP="00CF57CE">
      <w:r w:rsidRPr="00A51443">
        <w:t>Consultation</w:t>
      </w:r>
      <w:r w:rsidR="00427246">
        <w:t xml:space="preserve"> and endorsement</w:t>
      </w:r>
      <w:r w:rsidRPr="00A51443">
        <w:t xml:space="preserve"> </w:t>
      </w:r>
      <w:r w:rsidR="00427246" w:rsidRPr="00A51443">
        <w:t>o</w:t>
      </w:r>
      <w:r w:rsidR="00427246">
        <w:t>f</w:t>
      </w:r>
      <w:r w:rsidR="00427246" w:rsidRPr="00A51443">
        <w:t xml:space="preserve"> </w:t>
      </w:r>
      <w:r w:rsidR="002321BA" w:rsidRPr="00A51443">
        <w:t>refinements to the AR-DRG classification also occurs through</w:t>
      </w:r>
      <w:r w:rsidR="00465E2E" w:rsidRPr="00A51443">
        <w:t xml:space="preserve"> the following</w:t>
      </w:r>
      <w:r w:rsidR="002321BA" w:rsidRPr="00A51443">
        <w:t xml:space="preserve"> IHACPA </w:t>
      </w:r>
      <w:r w:rsidR="00A2657D" w:rsidRPr="00A51443">
        <w:t>c</w:t>
      </w:r>
      <w:r w:rsidRPr="00A51443">
        <w:t>ommittees</w:t>
      </w:r>
      <w:r w:rsidR="002321BA" w:rsidRPr="00A51443">
        <w:t>:</w:t>
      </w:r>
    </w:p>
    <w:p w14:paraId="103E7D20" w14:textId="68A0F578" w:rsidR="00433882" w:rsidRPr="00A51443" w:rsidRDefault="00433882" w:rsidP="00CF57CE">
      <w:pPr>
        <w:pStyle w:val="ListParagraph"/>
        <w:numPr>
          <w:ilvl w:val="0"/>
          <w:numId w:val="10"/>
        </w:numPr>
        <w:ind w:left="714" w:hanging="357"/>
        <w:contextualSpacing w:val="0"/>
      </w:pPr>
      <w:r w:rsidRPr="00A51443">
        <w:t xml:space="preserve">Technical Advisory Committee (TAC) </w:t>
      </w:r>
      <w:r w:rsidR="002321BA" w:rsidRPr="00A51443">
        <w:t xml:space="preserve">– </w:t>
      </w:r>
      <w:r w:rsidRPr="00A51443">
        <w:t>provides</w:t>
      </w:r>
      <w:r w:rsidR="002321BA" w:rsidRPr="00A51443">
        <w:t xml:space="preserve"> </w:t>
      </w:r>
      <w:r w:rsidRPr="00A51443">
        <w:t>technical input on classification</w:t>
      </w:r>
      <w:r w:rsidR="00565F83" w:rsidRPr="00A51443">
        <w:t>s</w:t>
      </w:r>
      <w:r w:rsidRPr="00A51443">
        <w:t xml:space="preserve"> and data standards that underpin classification development</w:t>
      </w:r>
      <w:r w:rsidR="00427246">
        <w:t>; reviews and endorses the classification</w:t>
      </w:r>
      <w:r w:rsidRPr="00A51443">
        <w:t>.</w:t>
      </w:r>
    </w:p>
    <w:p w14:paraId="4852E062" w14:textId="17C61919" w:rsidR="00433882" w:rsidRPr="00A51443" w:rsidRDefault="00433882" w:rsidP="00CF57CE">
      <w:pPr>
        <w:pStyle w:val="ListParagraph"/>
        <w:numPr>
          <w:ilvl w:val="0"/>
          <w:numId w:val="10"/>
        </w:numPr>
        <w:ind w:left="714" w:hanging="357"/>
        <w:contextualSpacing w:val="0"/>
      </w:pPr>
      <w:r w:rsidRPr="00A51443">
        <w:t xml:space="preserve">Jurisdictional Advisory Committee (JAC) </w:t>
      </w:r>
      <w:r w:rsidR="002321BA" w:rsidRPr="00A51443">
        <w:t xml:space="preserve">– </w:t>
      </w:r>
      <w:r w:rsidRPr="00A51443">
        <w:t>reviews and endorses the classification.</w:t>
      </w:r>
    </w:p>
    <w:p w14:paraId="2E76EC70" w14:textId="25BD8E3A" w:rsidR="00433882" w:rsidRPr="00A51443" w:rsidRDefault="00433882" w:rsidP="00CF57CE">
      <w:pPr>
        <w:pStyle w:val="ListParagraph"/>
        <w:numPr>
          <w:ilvl w:val="0"/>
          <w:numId w:val="10"/>
        </w:numPr>
        <w:ind w:left="714" w:hanging="357"/>
        <w:contextualSpacing w:val="0"/>
      </w:pPr>
      <w:r w:rsidRPr="00A51443">
        <w:t xml:space="preserve">Clinical Advisory Committee (CAC) </w:t>
      </w:r>
      <w:r w:rsidR="002321BA" w:rsidRPr="00A51443">
        <w:t xml:space="preserve">– </w:t>
      </w:r>
      <w:r w:rsidRPr="00A51443">
        <w:t>gives</w:t>
      </w:r>
      <w:r w:rsidR="002321BA" w:rsidRPr="00A51443">
        <w:t xml:space="preserve"> </w:t>
      </w:r>
      <w:r w:rsidRPr="00A51443">
        <w:t>clinical input on classification</w:t>
      </w:r>
      <w:r w:rsidR="00565F83" w:rsidRPr="00A51443">
        <w:t>s</w:t>
      </w:r>
      <w:r w:rsidRPr="00A51443">
        <w:t xml:space="preserve"> and data standards that underpin </w:t>
      </w:r>
      <w:r w:rsidR="00AE1D90" w:rsidRPr="00A51443">
        <w:t xml:space="preserve">the </w:t>
      </w:r>
      <w:r w:rsidRPr="00A51443">
        <w:t xml:space="preserve">development of the classifications; </w:t>
      </w:r>
      <w:r w:rsidR="002A4755" w:rsidRPr="00A51443">
        <w:t>r</w:t>
      </w:r>
      <w:r w:rsidRPr="00A51443">
        <w:t>eviews and endorses the classification.</w:t>
      </w:r>
    </w:p>
    <w:p w14:paraId="4482B236" w14:textId="2716B1DD" w:rsidR="00A24412" w:rsidRPr="00A51443" w:rsidRDefault="00865F82" w:rsidP="0038399C">
      <w:pPr>
        <w:keepLines/>
      </w:pPr>
      <w:r w:rsidRPr="00A51443">
        <w:t xml:space="preserve">IHACPA also undertook a public consultation in November 2023 on major refinements proposed for </w:t>
      </w:r>
      <w:r w:rsidR="00960F08" w:rsidRPr="00A51443">
        <w:t xml:space="preserve">the Development </w:t>
      </w:r>
      <w:r w:rsidR="00610F98" w:rsidRPr="00A51443">
        <w:t xml:space="preserve">of </w:t>
      </w:r>
      <w:r w:rsidRPr="00A51443">
        <w:t>ICD-10-AM/ACHI/AC</w:t>
      </w:r>
      <w:r w:rsidR="004F5D1D" w:rsidRPr="00A51443">
        <w:t>S</w:t>
      </w:r>
      <w:r w:rsidRPr="00A51443">
        <w:t xml:space="preserve"> </w:t>
      </w:r>
      <w:r w:rsidR="00A24412" w:rsidRPr="00A51443">
        <w:t>Thirteenth</w:t>
      </w:r>
      <w:r w:rsidRPr="00A51443">
        <w:t xml:space="preserve"> Edition and AR-DRG V1</w:t>
      </w:r>
      <w:r w:rsidR="00A24412" w:rsidRPr="00A51443">
        <w:t>2</w:t>
      </w:r>
      <w:r w:rsidRPr="00A51443">
        <w:t xml:space="preserve">.0 to ensure the </w:t>
      </w:r>
      <w:r w:rsidR="00A24412" w:rsidRPr="00A51443">
        <w:t>broadest</w:t>
      </w:r>
      <w:r w:rsidRPr="00A51443">
        <w:t xml:space="preserve"> possible consultation. </w:t>
      </w:r>
      <w:r w:rsidR="00A24412" w:rsidRPr="00A51443">
        <w:t>Fifteen submissions were received</w:t>
      </w:r>
      <w:r w:rsidR="009918F3" w:rsidRPr="00A51443">
        <w:t>. A</w:t>
      </w:r>
      <w:r w:rsidR="00A24412" w:rsidRPr="00A51443">
        <w:t xml:space="preserve">ll submissions are published on </w:t>
      </w:r>
      <w:hyperlink r:id="rId20" w:history="1">
        <w:r w:rsidR="008B4C7B" w:rsidRPr="008B4C7B">
          <w:rPr>
            <w:rStyle w:val="Hyperlink"/>
          </w:rPr>
          <w:t>IHACPA’s website</w:t>
        </w:r>
      </w:hyperlink>
      <w:r w:rsidR="008B4C7B">
        <w:t xml:space="preserve"> </w:t>
      </w:r>
      <w:r w:rsidR="00A24412" w:rsidRPr="00A51443">
        <w:t>(except if specified as commercial in confidence).</w:t>
      </w:r>
    </w:p>
    <w:p w14:paraId="36D9CF39" w14:textId="43863A08" w:rsidR="00433882" w:rsidRPr="00A51443" w:rsidRDefault="00433882" w:rsidP="00C006E1">
      <w:pPr>
        <w:rPr>
          <w:color w:val="auto"/>
        </w:rPr>
      </w:pPr>
      <w:r w:rsidRPr="00A51443">
        <w:rPr>
          <w:color w:val="auto"/>
        </w:rPr>
        <w:lastRenderedPageBreak/>
        <w:t>The Pricing Authority</w:t>
      </w:r>
      <w:r w:rsidR="008017AA" w:rsidRPr="00A51443">
        <w:rPr>
          <w:color w:val="auto"/>
        </w:rPr>
        <w:t xml:space="preserve"> is the governing body of IHACPA</w:t>
      </w:r>
      <w:r w:rsidR="00C52A91" w:rsidRPr="00A51443">
        <w:rPr>
          <w:color w:val="auto"/>
        </w:rPr>
        <w:t>. It</w:t>
      </w:r>
      <w:r w:rsidRPr="00A51443">
        <w:rPr>
          <w:color w:val="auto"/>
        </w:rPr>
        <w:t xml:space="preserve"> oversees IHACPA’s function</w:t>
      </w:r>
      <w:r w:rsidR="00E37B8C" w:rsidRPr="00A51443">
        <w:rPr>
          <w:color w:val="auto"/>
        </w:rPr>
        <w:t>s</w:t>
      </w:r>
      <w:r w:rsidRPr="00A51443">
        <w:rPr>
          <w:color w:val="auto"/>
        </w:rPr>
        <w:t xml:space="preserve"> and </w:t>
      </w:r>
      <w:r w:rsidR="00EB386F">
        <w:rPr>
          <w:color w:val="auto"/>
        </w:rPr>
        <w:t>is responsible for</w:t>
      </w:r>
      <w:r w:rsidRPr="00A51443">
        <w:rPr>
          <w:color w:val="auto"/>
        </w:rPr>
        <w:t xml:space="preserve"> </w:t>
      </w:r>
      <w:r w:rsidR="00EB386F" w:rsidRPr="00A51443">
        <w:rPr>
          <w:color w:val="auto"/>
        </w:rPr>
        <w:t>approv</w:t>
      </w:r>
      <w:r w:rsidR="00EB386F">
        <w:rPr>
          <w:color w:val="auto"/>
        </w:rPr>
        <w:t>ing the AR-DRG</w:t>
      </w:r>
      <w:r w:rsidR="00EB386F" w:rsidRPr="00A51443">
        <w:rPr>
          <w:color w:val="auto"/>
        </w:rPr>
        <w:t xml:space="preserve"> </w:t>
      </w:r>
      <w:r w:rsidRPr="00A51443">
        <w:rPr>
          <w:color w:val="auto"/>
        </w:rPr>
        <w:t xml:space="preserve">classification </w:t>
      </w:r>
      <w:r w:rsidR="00465E2E" w:rsidRPr="00A51443">
        <w:rPr>
          <w:color w:val="auto"/>
        </w:rPr>
        <w:t xml:space="preserve">for implementation </w:t>
      </w:r>
      <w:r w:rsidRPr="00A51443">
        <w:rPr>
          <w:color w:val="auto"/>
        </w:rPr>
        <w:t>under the National Health Reform Agreement.</w:t>
      </w:r>
    </w:p>
    <w:p w14:paraId="2BB736B2" w14:textId="48817BC0" w:rsidR="0099479E" w:rsidRPr="00A51443" w:rsidRDefault="0099479E" w:rsidP="00623EF7">
      <w:pPr>
        <w:pStyle w:val="Heading2"/>
        <w:numPr>
          <w:ilvl w:val="1"/>
          <w:numId w:val="8"/>
        </w:numPr>
        <w:ind w:left="0" w:firstLine="0"/>
        <w:rPr>
          <w:lang w:val="en-PH"/>
        </w:rPr>
      </w:pPr>
      <w:bookmarkStart w:id="77" w:name="_Toc188263111"/>
      <w:bookmarkStart w:id="78" w:name="_Toc193462703"/>
      <w:bookmarkStart w:id="79" w:name="_Hlk187246544"/>
      <w:r w:rsidRPr="00A51443">
        <w:rPr>
          <w:lang w:val="en-PH"/>
        </w:rPr>
        <w:t>Development of work program</w:t>
      </w:r>
      <w:bookmarkEnd w:id="77"/>
      <w:bookmarkEnd w:id="78"/>
    </w:p>
    <w:bookmarkEnd w:id="79"/>
    <w:p w14:paraId="267B7630" w14:textId="7481694B" w:rsidR="00586476" w:rsidRPr="00A51443" w:rsidRDefault="00E51F26" w:rsidP="00C006E1">
      <w:pPr>
        <w:rPr>
          <w:color w:val="auto"/>
        </w:rPr>
      </w:pPr>
      <w:r w:rsidRPr="00A51443">
        <w:t xml:space="preserve">In 2022, IHACPA developed and implemented a work program for AR-DRG V12.0 in accordance with the governance framework and in consultation with </w:t>
      </w:r>
      <w:r w:rsidR="00586476" w:rsidRPr="00A51443">
        <w:rPr>
          <w:color w:val="auto"/>
        </w:rPr>
        <w:t>its clinical and technical working groups.</w:t>
      </w:r>
      <w:r w:rsidR="00EB386F">
        <w:rPr>
          <w:color w:val="auto"/>
        </w:rPr>
        <w:t xml:space="preserve"> </w:t>
      </w:r>
      <w:r w:rsidR="00586476" w:rsidRPr="00A51443">
        <w:rPr>
          <w:color w:val="auto"/>
        </w:rPr>
        <w:t>The work program was informed by:</w:t>
      </w:r>
    </w:p>
    <w:p w14:paraId="3ADD7D5E" w14:textId="23B16AD8" w:rsidR="0099479E" w:rsidRPr="00A51443" w:rsidRDefault="0099479E" w:rsidP="00CF57CE">
      <w:pPr>
        <w:pStyle w:val="ListParagraph"/>
        <w:numPr>
          <w:ilvl w:val="0"/>
          <w:numId w:val="10"/>
        </w:numPr>
        <w:ind w:left="714" w:hanging="357"/>
        <w:contextualSpacing w:val="0"/>
      </w:pPr>
      <w:r w:rsidRPr="00A51443">
        <w:rPr>
          <w:color w:val="auto"/>
        </w:rPr>
        <w:tab/>
      </w:r>
      <w:r w:rsidRPr="00A51443">
        <w:t>feedback from stakeholders on IHACPA’s annual</w:t>
      </w:r>
      <w:r w:rsidR="002C2160">
        <w:t xml:space="preserve"> Consultation Paper on the</w:t>
      </w:r>
      <w:r w:rsidRPr="00A51443">
        <w:t xml:space="preserve"> Pricing Framework for Australian Public Hospital Services</w:t>
      </w:r>
      <w:r w:rsidR="002C2160">
        <w:t>, public submissions and other stakeholder feedback</w:t>
      </w:r>
      <w:r w:rsidRPr="00A51443">
        <w:t xml:space="preserve"> </w:t>
      </w:r>
    </w:p>
    <w:p w14:paraId="2B9D84D5" w14:textId="2167C146" w:rsidR="00672998" w:rsidRDefault="002C2160" w:rsidP="00CF57CE">
      <w:pPr>
        <w:pStyle w:val="ListParagraph"/>
        <w:numPr>
          <w:ilvl w:val="0"/>
          <w:numId w:val="10"/>
        </w:numPr>
        <w:ind w:left="714" w:hanging="357"/>
        <w:contextualSpacing w:val="0"/>
      </w:pPr>
      <w:r w:rsidRPr="005F1944">
        <w:t xml:space="preserve">issues held over from previous </w:t>
      </w:r>
      <w:r>
        <w:t>development</w:t>
      </w:r>
      <w:r w:rsidRPr="005F1944">
        <w:t xml:space="preserve"> of ICD-10-AM/ACHI/ACS</w:t>
      </w:r>
      <w:r w:rsidR="00672998">
        <w:t xml:space="preserve"> and AR-DRGs</w:t>
      </w:r>
      <w:r w:rsidRPr="005F1944">
        <w:t xml:space="preserve"> </w:t>
      </w:r>
    </w:p>
    <w:p w14:paraId="4C6BAF5D" w14:textId="342CD608" w:rsidR="00D2377A" w:rsidRPr="00A51443" w:rsidRDefault="00D2377A" w:rsidP="00CF57CE">
      <w:pPr>
        <w:pStyle w:val="ListParagraph"/>
        <w:numPr>
          <w:ilvl w:val="0"/>
          <w:numId w:val="10"/>
        </w:numPr>
        <w:ind w:left="714" w:hanging="357"/>
        <w:contextualSpacing w:val="0"/>
      </w:pPr>
      <w:r w:rsidRPr="00A51443">
        <w:t>areas for improvement identified by internal review</w:t>
      </w:r>
      <w:r w:rsidR="00672998">
        <w:t>.</w:t>
      </w:r>
    </w:p>
    <w:p w14:paraId="0DCE73F4" w14:textId="34B8E46E" w:rsidR="0099479E" w:rsidRPr="00672998" w:rsidRDefault="0099479E" w:rsidP="00672998">
      <w:pPr>
        <w:ind w:left="357"/>
      </w:pPr>
      <w:r w:rsidRPr="00672998">
        <w:t xml:space="preserve">To maintain the clinical currency and robustness of the AR-DRG classification, each new version includes a standard set of refinements. These standard refinements follow principles set out in the </w:t>
      </w:r>
      <w:r w:rsidR="00525F25" w:rsidRPr="00672998">
        <w:t>g</w:t>
      </w:r>
      <w:r w:rsidR="004340B5" w:rsidRPr="00672998">
        <w:t xml:space="preserve">overnance </w:t>
      </w:r>
      <w:r w:rsidR="00525F25" w:rsidRPr="00672998">
        <w:t>f</w:t>
      </w:r>
      <w:r w:rsidRPr="00672998">
        <w:t xml:space="preserve">ramework as noted in the Section </w:t>
      </w:r>
      <w:r w:rsidR="004340B5" w:rsidRPr="00672998">
        <w:rPr>
          <w:color w:val="auto"/>
        </w:rPr>
        <w:fldChar w:fldCharType="begin"/>
      </w:r>
      <w:r w:rsidR="004340B5" w:rsidRPr="00672998">
        <w:instrText xml:space="preserve"> REF _Ref182495827 \r \h </w:instrText>
      </w:r>
      <w:r w:rsidR="00672998">
        <w:instrText xml:space="preserve"> \* MERGEFORMAT </w:instrText>
      </w:r>
      <w:r w:rsidR="004340B5" w:rsidRPr="00672998">
        <w:rPr>
          <w:color w:val="auto"/>
        </w:rPr>
      </w:r>
      <w:r w:rsidR="004340B5" w:rsidRPr="00672998">
        <w:rPr>
          <w:color w:val="auto"/>
        </w:rPr>
        <w:fldChar w:fldCharType="separate"/>
      </w:r>
      <w:r w:rsidR="009D07F9">
        <w:t>2.1</w:t>
      </w:r>
      <w:r w:rsidR="004340B5" w:rsidRPr="00672998">
        <w:rPr>
          <w:color w:val="auto"/>
        </w:rPr>
        <w:fldChar w:fldCharType="end"/>
      </w:r>
      <w:r w:rsidRPr="00672998">
        <w:t>. For AR</w:t>
      </w:r>
      <w:r w:rsidR="00F33552" w:rsidRPr="00672998">
        <w:t>-</w:t>
      </w:r>
      <w:r w:rsidRPr="00672998">
        <w:t xml:space="preserve">DRG V12.0, standard refinements included </w:t>
      </w:r>
      <w:r w:rsidR="00F33552" w:rsidRPr="00672998">
        <w:t>review of</w:t>
      </w:r>
      <w:r w:rsidRPr="00672998">
        <w:t>:</w:t>
      </w:r>
    </w:p>
    <w:p w14:paraId="4443214C" w14:textId="41D35ED9" w:rsidR="0099479E" w:rsidRPr="00A51443" w:rsidRDefault="0099479E" w:rsidP="00CF57CE">
      <w:pPr>
        <w:pStyle w:val="ListParagraph"/>
        <w:numPr>
          <w:ilvl w:val="0"/>
          <w:numId w:val="10"/>
        </w:numPr>
        <w:ind w:left="714" w:hanging="357"/>
        <w:contextualSpacing w:val="0"/>
      </w:pPr>
      <w:r w:rsidRPr="00A51443">
        <w:t xml:space="preserve">the ADRG intervention hierarchy </w:t>
      </w:r>
    </w:p>
    <w:p w14:paraId="5E61294A" w14:textId="7DAB79D2" w:rsidR="0099479E" w:rsidRPr="00A51443" w:rsidRDefault="0099479E" w:rsidP="00CF57CE">
      <w:pPr>
        <w:pStyle w:val="ListParagraph"/>
        <w:numPr>
          <w:ilvl w:val="0"/>
          <w:numId w:val="10"/>
        </w:numPr>
        <w:ind w:left="714" w:hanging="357"/>
        <w:contextualSpacing w:val="0"/>
      </w:pPr>
      <w:r w:rsidRPr="00A51443">
        <w:tab/>
        <w:t xml:space="preserve">episodes that group to ADRG 801 </w:t>
      </w:r>
      <w:r w:rsidR="009122C2" w:rsidRPr="00A51443">
        <w:rPr>
          <w:i/>
          <w:iCs/>
        </w:rPr>
        <w:t>G</w:t>
      </w:r>
      <w:r w:rsidR="00BE22E3" w:rsidRPr="00A51443">
        <w:rPr>
          <w:i/>
          <w:iCs/>
        </w:rPr>
        <w:t xml:space="preserve">eneral </w:t>
      </w:r>
      <w:r w:rsidR="009122C2" w:rsidRPr="00A51443">
        <w:rPr>
          <w:i/>
          <w:iCs/>
        </w:rPr>
        <w:t>I</w:t>
      </w:r>
      <w:r w:rsidR="00BE22E3" w:rsidRPr="00A51443">
        <w:rPr>
          <w:i/>
          <w:iCs/>
        </w:rPr>
        <w:t>ntervention</w:t>
      </w:r>
      <w:r w:rsidR="009122C2" w:rsidRPr="00A51443">
        <w:rPr>
          <w:i/>
          <w:iCs/>
        </w:rPr>
        <w:t xml:space="preserve"> </w:t>
      </w:r>
      <w:r w:rsidR="00C52A91" w:rsidRPr="00A51443">
        <w:rPr>
          <w:i/>
          <w:iCs/>
        </w:rPr>
        <w:t>u</w:t>
      </w:r>
      <w:r w:rsidR="0093424D" w:rsidRPr="00A51443">
        <w:rPr>
          <w:i/>
          <w:iCs/>
        </w:rPr>
        <w:t>nrelated to principal diagnosis</w:t>
      </w:r>
      <w:r w:rsidR="0093424D" w:rsidRPr="00A51443">
        <w:t xml:space="preserve"> </w:t>
      </w:r>
      <w:r w:rsidRPr="00A51443">
        <w:t xml:space="preserve">to determine more appropriate grouping where possible </w:t>
      </w:r>
    </w:p>
    <w:p w14:paraId="5079DD10" w14:textId="4BE478A5" w:rsidR="0099479E" w:rsidRPr="00A51443" w:rsidRDefault="0099479E" w:rsidP="00CF57CE">
      <w:pPr>
        <w:pStyle w:val="ListParagraph"/>
        <w:numPr>
          <w:ilvl w:val="0"/>
          <w:numId w:val="10"/>
        </w:numPr>
        <w:ind w:left="714" w:hanging="357"/>
        <w:contextualSpacing w:val="0"/>
      </w:pPr>
      <w:r w:rsidRPr="00A51443">
        <w:tab/>
        <w:t>diagnosis codes in-scope for contributing to complexity</w:t>
      </w:r>
    </w:p>
    <w:p w14:paraId="6E229F34" w14:textId="404761A9" w:rsidR="0099479E" w:rsidRPr="00A51443" w:rsidRDefault="0099479E" w:rsidP="00CF57CE">
      <w:pPr>
        <w:pStyle w:val="ListParagraph"/>
        <w:numPr>
          <w:ilvl w:val="0"/>
          <w:numId w:val="10"/>
        </w:numPr>
        <w:ind w:left="714" w:hanging="357"/>
        <w:contextualSpacing w:val="0"/>
      </w:pPr>
      <w:r w:rsidRPr="00A51443">
        <w:tab/>
        <w:t xml:space="preserve">the complexity scoring system </w:t>
      </w:r>
    </w:p>
    <w:p w14:paraId="4142796A" w14:textId="1D17701A" w:rsidR="0099479E" w:rsidRPr="00A51443" w:rsidRDefault="0099479E" w:rsidP="00CF57CE">
      <w:pPr>
        <w:pStyle w:val="ListParagraph"/>
        <w:numPr>
          <w:ilvl w:val="0"/>
          <w:numId w:val="10"/>
        </w:numPr>
        <w:ind w:left="714" w:hanging="357"/>
        <w:contextualSpacing w:val="0"/>
        <w:rPr>
          <w:color w:val="auto"/>
        </w:rPr>
      </w:pPr>
      <w:r w:rsidRPr="00A51443">
        <w:tab/>
        <w:t xml:space="preserve">the splitting of ADRGs into </w:t>
      </w:r>
      <w:r w:rsidR="007D6709" w:rsidRPr="00A51443">
        <w:t>DRGs</w:t>
      </w:r>
      <w:r w:rsidRPr="00A51443">
        <w:t xml:space="preserve"> that reflect different leve</w:t>
      </w:r>
      <w:r w:rsidR="00EE4954" w:rsidRPr="00A51443">
        <w:t>l</w:t>
      </w:r>
      <w:r w:rsidRPr="00A51443">
        <w:t>s of complexity</w:t>
      </w:r>
      <w:r w:rsidRPr="00A51443">
        <w:rPr>
          <w:color w:val="auto"/>
        </w:rPr>
        <w:t>.</w:t>
      </w:r>
    </w:p>
    <w:p w14:paraId="79D80A16" w14:textId="27BB5A61" w:rsidR="0016161D" w:rsidRPr="00672998" w:rsidRDefault="0099479E" w:rsidP="00DB161C">
      <w:pPr>
        <w:rPr>
          <w:color w:val="auto"/>
        </w:rPr>
      </w:pPr>
      <w:r w:rsidRPr="00A51443">
        <w:rPr>
          <w:color w:val="auto"/>
        </w:rPr>
        <w:t xml:space="preserve">The AR-DRG V12.0 work program was finalised </w:t>
      </w:r>
      <w:r w:rsidR="000C5577">
        <w:rPr>
          <w:color w:val="auto"/>
        </w:rPr>
        <w:t>in consultation with</w:t>
      </w:r>
      <w:r w:rsidRPr="00A51443">
        <w:rPr>
          <w:color w:val="auto"/>
        </w:rPr>
        <w:t xml:space="preserve"> IHACPA’s </w:t>
      </w:r>
      <w:r w:rsidR="0030492A" w:rsidRPr="00A51443">
        <w:rPr>
          <w:color w:val="auto"/>
        </w:rPr>
        <w:t>clinical and technical working groups</w:t>
      </w:r>
      <w:r w:rsidRPr="00A51443">
        <w:rPr>
          <w:color w:val="auto"/>
        </w:rPr>
        <w:t xml:space="preserve">. </w:t>
      </w:r>
      <w:bookmarkStart w:id="80" w:name="_Toc182384480"/>
      <w:bookmarkStart w:id="81" w:name="_Toc182407426"/>
      <w:bookmarkStart w:id="82" w:name="_Toc182409760"/>
      <w:bookmarkStart w:id="83" w:name="_Toc182491329"/>
      <w:bookmarkStart w:id="84" w:name="_Toc182491617"/>
      <w:bookmarkStart w:id="85" w:name="_Toc182491905"/>
      <w:bookmarkStart w:id="86" w:name="_Toc182384481"/>
      <w:bookmarkStart w:id="87" w:name="_Toc182407427"/>
      <w:bookmarkStart w:id="88" w:name="_Toc182409761"/>
      <w:bookmarkStart w:id="89" w:name="_Toc182491330"/>
      <w:bookmarkStart w:id="90" w:name="_Toc182491618"/>
      <w:bookmarkStart w:id="91" w:name="_Toc182491906"/>
      <w:bookmarkStart w:id="92" w:name="_Toc182384482"/>
      <w:bookmarkStart w:id="93" w:name="_Toc182407428"/>
      <w:bookmarkStart w:id="94" w:name="_Toc182409762"/>
      <w:bookmarkStart w:id="95" w:name="_Toc182491331"/>
      <w:bookmarkStart w:id="96" w:name="_Toc182491619"/>
      <w:bookmarkStart w:id="97" w:name="_Toc182491907"/>
      <w:bookmarkStart w:id="98" w:name="_Toc182384483"/>
      <w:bookmarkStart w:id="99" w:name="_Toc182407429"/>
      <w:bookmarkStart w:id="100" w:name="_Toc182409763"/>
      <w:bookmarkStart w:id="101" w:name="_Toc182491332"/>
      <w:bookmarkStart w:id="102" w:name="_Toc182491620"/>
      <w:bookmarkStart w:id="103" w:name="_Toc182491908"/>
      <w:bookmarkStart w:id="104" w:name="_Toc182384484"/>
      <w:bookmarkStart w:id="105" w:name="_Toc182407430"/>
      <w:bookmarkStart w:id="106" w:name="_Toc182409764"/>
      <w:bookmarkStart w:id="107" w:name="_Toc182491333"/>
      <w:bookmarkStart w:id="108" w:name="_Toc182491621"/>
      <w:bookmarkStart w:id="109" w:name="_Toc182491909"/>
      <w:bookmarkStart w:id="110" w:name="_Toc182384485"/>
      <w:bookmarkStart w:id="111" w:name="_Toc182407431"/>
      <w:bookmarkStart w:id="112" w:name="_Toc182409765"/>
      <w:bookmarkStart w:id="113" w:name="_Toc182491334"/>
      <w:bookmarkStart w:id="114" w:name="_Toc182491622"/>
      <w:bookmarkStart w:id="115" w:name="_Toc182491910"/>
      <w:bookmarkStart w:id="116" w:name="_Toc182384486"/>
      <w:bookmarkStart w:id="117" w:name="_Toc182407432"/>
      <w:bookmarkStart w:id="118" w:name="_Toc182409766"/>
      <w:bookmarkStart w:id="119" w:name="_Toc182491335"/>
      <w:bookmarkStart w:id="120" w:name="_Toc182491623"/>
      <w:bookmarkStart w:id="121" w:name="_Toc182491911"/>
      <w:bookmarkStart w:id="122" w:name="_Toc182384487"/>
      <w:bookmarkStart w:id="123" w:name="_Toc182407433"/>
      <w:bookmarkStart w:id="124" w:name="_Toc182409767"/>
      <w:bookmarkStart w:id="125" w:name="_Toc182491336"/>
      <w:bookmarkStart w:id="126" w:name="_Toc182491624"/>
      <w:bookmarkStart w:id="127" w:name="_Toc182491912"/>
      <w:bookmarkStart w:id="128" w:name="_Toc182384488"/>
      <w:bookmarkStart w:id="129" w:name="_Toc182407434"/>
      <w:bookmarkStart w:id="130" w:name="_Toc182409768"/>
      <w:bookmarkStart w:id="131" w:name="_Toc182491337"/>
      <w:bookmarkStart w:id="132" w:name="_Toc182491625"/>
      <w:bookmarkStart w:id="133" w:name="_Toc182491913"/>
      <w:bookmarkStart w:id="134" w:name="_Toc182384489"/>
      <w:bookmarkStart w:id="135" w:name="_Toc182407435"/>
      <w:bookmarkStart w:id="136" w:name="_Toc182409769"/>
      <w:bookmarkStart w:id="137" w:name="_Toc182491338"/>
      <w:bookmarkStart w:id="138" w:name="_Toc182491626"/>
      <w:bookmarkStart w:id="139" w:name="_Toc182491914"/>
      <w:bookmarkStart w:id="140" w:name="_Toc182384490"/>
      <w:bookmarkStart w:id="141" w:name="_Toc182407436"/>
      <w:bookmarkStart w:id="142" w:name="_Toc182409770"/>
      <w:bookmarkStart w:id="143" w:name="_Toc182491339"/>
      <w:bookmarkStart w:id="144" w:name="_Toc182491627"/>
      <w:bookmarkStart w:id="145" w:name="_Toc182491915"/>
      <w:bookmarkStart w:id="146" w:name="_Toc182384491"/>
      <w:bookmarkStart w:id="147" w:name="_Toc182407437"/>
      <w:bookmarkStart w:id="148" w:name="_Toc182409771"/>
      <w:bookmarkStart w:id="149" w:name="_Toc182491340"/>
      <w:bookmarkStart w:id="150" w:name="_Toc182491628"/>
      <w:bookmarkStart w:id="151" w:name="_Toc182491916"/>
      <w:bookmarkStart w:id="152" w:name="_Toc182384492"/>
      <w:bookmarkStart w:id="153" w:name="_Toc182407438"/>
      <w:bookmarkStart w:id="154" w:name="_Toc182409772"/>
      <w:bookmarkStart w:id="155" w:name="_Toc182491341"/>
      <w:bookmarkStart w:id="156" w:name="_Toc182491629"/>
      <w:bookmarkStart w:id="157" w:name="_Toc182491917"/>
      <w:bookmarkStart w:id="158" w:name="_Toc182384493"/>
      <w:bookmarkStart w:id="159" w:name="_Toc182407439"/>
      <w:bookmarkStart w:id="160" w:name="_Toc182409773"/>
      <w:bookmarkStart w:id="161" w:name="_Toc182491342"/>
      <w:bookmarkStart w:id="162" w:name="_Toc182491630"/>
      <w:bookmarkStart w:id="163" w:name="_Toc182491918"/>
      <w:bookmarkStart w:id="164" w:name="_Toc182384494"/>
      <w:bookmarkStart w:id="165" w:name="_Toc182407440"/>
      <w:bookmarkStart w:id="166" w:name="_Toc182409774"/>
      <w:bookmarkStart w:id="167" w:name="_Toc182491343"/>
      <w:bookmarkStart w:id="168" w:name="_Toc182491631"/>
      <w:bookmarkStart w:id="169" w:name="_Toc182491919"/>
      <w:bookmarkStart w:id="170" w:name="_Toc182384495"/>
      <w:bookmarkStart w:id="171" w:name="_Toc182407441"/>
      <w:bookmarkStart w:id="172" w:name="_Toc182409775"/>
      <w:bookmarkStart w:id="173" w:name="_Toc182491344"/>
      <w:bookmarkStart w:id="174" w:name="_Toc182491632"/>
      <w:bookmarkStart w:id="175" w:name="_Toc182491920"/>
      <w:bookmarkStart w:id="176" w:name="_Toc182384496"/>
      <w:bookmarkStart w:id="177" w:name="_Toc182407442"/>
      <w:bookmarkStart w:id="178" w:name="_Toc182409776"/>
      <w:bookmarkStart w:id="179" w:name="_Toc182491345"/>
      <w:bookmarkStart w:id="180" w:name="_Toc182491633"/>
      <w:bookmarkStart w:id="181" w:name="_Toc182491921"/>
      <w:bookmarkStart w:id="182" w:name="_Toc182384497"/>
      <w:bookmarkStart w:id="183" w:name="_Toc182407443"/>
      <w:bookmarkStart w:id="184" w:name="_Toc182409777"/>
      <w:bookmarkStart w:id="185" w:name="_Toc182491346"/>
      <w:bookmarkStart w:id="186" w:name="_Toc182491634"/>
      <w:bookmarkStart w:id="187" w:name="_Toc182491922"/>
      <w:bookmarkStart w:id="188" w:name="_Toc182384498"/>
      <w:bookmarkStart w:id="189" w:name="_Toc182407444"/>
      <w:bookmarkStart w:id="190" w:name="_Toc182409778"/>
      <w:bookmarkStart w:id="191" w:name="_Toc182491347"/>
      <w:bookmarkStart w:id="192" w:name="_Toc182491635"/>
      <w:bookmarkStart w:id="193" w:name="_Toc182491923"/>
      <w:bookmarkStart w:id="194" w:name="_Toc182384499"/>
      <w:bookmarkStart w:id="195" w:name="_Toc182407445"/>
      <w:bookmarkStart w:id="196" w:name="_Toc182409779"/>
      <w:bookmarkStart w:id="197" w:name="_Toc182491348"/>
      <w:bookmarkStart w:id="198" w:name="_Toc182491636"/>
      <w:bookmarkStart w:id="199" w:name="_Toc182491924"/>
      <w:bookmarkStart w:id="200" w:name="_Toc182384500"/>
      <w:bookmarkStart w:id="201" w:name="_Toc182407446"/>
      <w:bookmarkStart w:id="202" w:name="_Toc182409780"/>
      <w:bookmarkStart w:id="203" w:name="_Toc182491349"/>
      <w:bookmarkStart w:id="204" w:name="_Toc182491637"/>
      <w:bookmarkStart w:id="205" w:name="_Toc182491925"/>
      <w:bookmarkStart w:id="206" w:name="_Toc182384501"/>
      <w:bookmarkStart w:id="207" w:name="_Toc182407447"/>
      <w:bookmarkStart w:id="208" w:name="_Toc182409781"/>
      <w:bookmarkStart w:id="209" w:name="_Toc182491350"/>
      <w:bookmarkStart w:id="210" w:name="_Toc182491638"/>
      <w:bookmarkStart w:id="211" w:name="_Toc182491926"/>
      <w:bookmarkStart w:id="212" w:name="_Toc182384502"/>
      <w:bookmarkStart w:id="213" w:name="_Toc182407448"/>
      <w:bookmarkStart w:id="214" w:name="_Toc182409782"/>
      <w:bookmarkStart w:id="215" w:name="_Toc182491351"/>
      <w:bookmarkStart w:id="216" w:name="_Toc182491639"/>
      <w:bookmarkStart w:id="217" w:name="_Toc182491927"/>
      <w:bookmarkStart w:id="218" w:name="_Toc182384503"/>
      <w:bookmarkStart w:id="219" w:name="_Toc182407449"/>
      <w:bookmarkStart w:id="220" w:name="_Toc182409783"/>
      <w:bookmarkStart w:id="221" w:name="_Toc182491352"/>
      <w:bookmarkStart w:id="222" w:name="_Toc182491640"/>
      <w:bookmarkStart w:id="223" w:name="_Toc182491928"/>
      <w:bookmarkStart w:id="224" w:name="_Toc182384504"/>
      <w:bookmarkStart w:id="225" w:name="_Toc182407450"/>
      <w:bookmarkStart w:id="226" w:name="_Toc182409784"/>
      <w:bookmarkStart w:id="227" w:name="_Toc182491353"/>
      <w:bookmarkStart w:id="228" w:name="_Toc182491641"/>
      <w:bookmarkStart w:id="229" w:name="_Toc182491929"/>
      <w:bookmarkStart w:id="230" w:name="_Toc182384505"/>
      <w:bookmarkStart w:id="231" w:name="_Toc182407451"/>
      <w:bookmarkStart w:id="232" w:name="_Toc182409785"/>
      <w:bookmarkStart w:id="233" w:name="_Toc182491354"/>
      <w:bookmarkStart w:id="234" w:name="_Toc182491642"/>
      <w:bookmarkStart w:id="235" w:name="_Toc182491930"/>
      <w:bookmarkStart w:id="236" w:name="_Toc182384506"/>
      <w:bookmarkStart w:id="237" w:name="_Toc182407452"/>
      <w:bookmarkStart w:id="238" w:name="_Toc182409786"/>
      <w:bookmarkStart w:id="239" w:name="_Toc182491355"/>
      <w:bookmarkStart w:id="240" w:name="_Toc182491643"/>
      <w:bookmarkStart w:id="241" w:name="_Toc182491931"/>
      <w:bookmarkStart w:id="242" w:name="_Toc182384507"/>
      <w:bookmarkStart w:id="243" w:name="_Toc182407453"/>
      <w:bookmarkStart w:id="244" w:name="_Toc182409787"/>
      <w:bookmarkStart w:id="245" w:name="_Toc182491356"/>
      <w:bookmarkStart w:id="246" w:name="_Toc182491644"/>
      <w:bookmarkStart w:id="247" w:name="_Toc182491932"/>
      <w:bookmarkStart w:id="248" w:name="_Toc182384508"/>
      <w:bookmarkStart w:id="249" w:name="_Toc182407454"/>
      <w:bookmarkStart w:id="250" w:name="_Toc182409788"/>
      <w:bookmarkStart w:id="251" w:name="_Toc182491357"/>
      <w:bookmarkStart w:id="252" w:name="_Toc182491645"/>
      <w:bookmarkStart w:id="253" w:name="_Toc182491933"/>
      <w:bookmarkStart w:id="254" w:name="_Toc182384509"/>
      <w:bookmarkStart w:id="255" w:name="_Toc182407455"/>
      <w:bookmarkStart w:id="256" w:name="_Toc182409789"/>
      <w:bookmarkStart w:id="257" w:name="_Toc182491358"/>
      <w:bookmarkStart w:id="258" w:name="_Toc182491646"/>
      <w:bookmarkStart w:id="259" w:name="_Toc182491934"/>
      <w:bookmarkStart w:id="260" w:name="_Toc182384510"/>
      <w:bookmarkStart w:id="261" w:name="_Toc182407456"/>
      <w:bookmarkStart w:id="262" w:name="_Toc182409790"/>
      <w:bookmarkStart w:id="263" w:name="_Toc182491359"/>
      <w:bookmarkStart w:id="264" w:name="_Toc182491647"/>
      <w:bookmarkStart w:id="265" w:name="_Toc182491935"/>
      <w:bookmarkStart w:id="266" w:name="_Toc182384511"/>
      <w:bookmarkStart w:id="267" w:name="_Toc182407457"/>
      <w:bookmarkStart w:id="268" w:name="_Toc182409791"/>
      <w:bookmarkStart w:id="269" w:name="_Toc182491360"/>
      <w:bookmarkStart w:id="270" w:name="_Toc182491648"/>
      <w:bookmarkStart w:id="271" w:name="_Toc182491936"/>
      <w:bookmarkStart w:id="272" w:name="_Toc182384512"/>
      <w:bookmarkStart w:id="273" w:name="_Toc182407458"/>
      <w:bookmarkStart w:id="274" w:name="_Toc182409792"/>
      <w:bookmarkStart w:id="275" w:name="_Toc182491361"/>
      <w:bookmarkStart w:id="276" w:name="_Toc182491649"/>
      <w:bookmarkStart w:id="277" w:name="_Toc182491937"/>
      <w:bookmarkStart w:id="278" w:name="_Toc182384513"/>
      <w:bookmarkStart w:id="279" w:name="_Toc182407459"/>
      <w:bookmarkStart w:id="280" w:name="_Toc182409793"/>
      <w:bookmarkStart w:id="281" w:name="_Toc182491362"/>
      <w:bookmarkStart w:id="282" w:name="_Toc182491650"/>
      <w:bookmarkStart w:id="283" w:name="_Toc18249193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4BA0243" w14:textId="42738EE2" w:rsidR="002B2000" w:rsidRPr="00A51443" w:rsidRDefault="002B2000" w:rsidP="00DB161C">
      <w:pPr>
        <w:pStyle w:val="Heading2"/>
        <w:numPr>
          <w:ilvl w:val="1"/>
          <w:numId w:val="8"/>
        </w:numPr>
        <w:rPr>
          <w:lang w:val="en-PH"/>
        </w:rPr>
      </w:pPr>
      <w:bookmarkStart w:id="284" w:name="_Toc188263112"/>
      <w:bookmarkStart w:id="285" w:name="_Toc193462704"/>
      <w:r w:rsidRPr="00A51443">
        <w:rPr>
          <w:lang w:val="en-PH"/>
        </w:rPr>
        <w:t>Data used for AR-DRG V12.0</w:t>
      </w:r>
      <w:bookmarkEnd w:id="284"/>
      <w:bookmarkEnd w:id="285"/>
    </w:p>
    <w:p w14:paraId="45F9EE45" w14:textId="455679A4" w:rsidR="002B2000" w:rsidRPr="00A51443" w:rsidRDefault="002B2000" w:rsidP="002B2000">
      <w:r w:rsidRPr="00A51443">
        <w:t xml:space="preserve">Development of AR-DRG V12.0 </w:t>
      </w:r>
      <w:r w:rsidR="00672998">
        <w:t>used</w:t>
      </w:r>
      <w:r w:rsidRPr="00A51443">
        <w:t xml:space="preserve"> 2018–19 to 2021–22 costed public hospital activity data provided by the jurisdictions</w:t>
      </w:r>
      <w:r w:rsidR="00692F8E" w:rsidRPr="00A51443">
        <w:t xml:space="preserve"> </w:t>
      </w:r>
      <w:r w:rsidR="00672998">
        <w:t>and included</w:t>
      </w:r>
      <w:r w:rsidR="00692F8E" w:rsidRPr="00A51443">
        <w:t xml:space="preserve"> </w:t>
      </w:r>
      <w:r w:rsidR="00672998">
        <w:t>data from</w:t>
      </w:r>
      <w:r w:rsidR="00672998" w:rsidRPr="00A51443">
        <w:t xml:space="preserve"> </w:t>
      </w:r>
      <w:r w:rsidR="00692F8E" w:rsidRPr="00A51443">
        <w:t xml:space="preserve">public hospital services </w:t>
      </w:r>
      <w:r w:rsidR="00672998">
        <w:t>contracted out to</w:t>
      </w:r>
      <w:r w:rsidR="00692F8E" w:rsidRPr="00A51443">
        <w:t xml:space="preserve"> private hospitals</w:t>
      </w:r>
      <w:r w:rsidRPr="00A51443">
        <w:t>.</w:t>
      </w:r>
    </w:p>
    <w:p w14:paraId="1E71CB84" w14:textId="77777777" w:rsidR="002B2000" w:rsidRPr="00A51443" w:rsidRDefault="002B2000" w:rsidP="002B2000">
      <w:pPr>
        <w:rPr>
          <w:rFonts w:eastAsia="Times New Roman" w:cs="Times New Roman"/>
          <w:color w:val="auto"/>
          <w:szCs w:val="24"/>
          <w:lang w:eastAsia="en-AU"/>
        </w:rPr>
      </w:pPr>
      <w:r w:rsidRPr="00A51443">
        <w:rPr>
          <w:rFonts w:eastAsia="Times New Roman" w:cs="Times New Roman"/>
          <w:color w:val="auto"/>
          <w:szCs w:val="24"/>
          <w:lang w:eastAsia="en-AU"/>
        </w:rPr>
        <w:t>Data from 2018–19 to 2021–22 was initially coded in ICD-10-AM/ACHI/ACS Tenth and Eleventh Editions. For development purposes, this data was mapped forward to ICD</w:t>
      </w:r>
      <w:r w:rsidRPr="00A51443">
        <w:rPr>
          <w:rFonts w:eastAsia="Times New Roman" w:cs="Times New Roman"/>
          <w:color w:val="auto"/>
          <w:szCs w:val="24"/>
          <w:lang w:eastAsia="en-AU"/>
        </w:rPr>
        <w:noBreakHyphen/>
        <w:t>10</w:t>
      </w:r>
      <w:r w:rsidRPr="00A51443">
        <w:rPr>
          <w:rFonts w:eastAsia="Times New Roman" w:cs="Times New Roman"/>
          <w:color w:val="auto"/>
          <w:szCs w:val="24"/>
          <w:lang w:eastAsia="en-AU"/>
        </w:rPr>
        <w:noBreakHyphen/>
        <w:t>AM/ACHI/ACS Twelfth Edition. Once AR-DRG V12.0 was developed, its supporting ICD</w:t>
      </w:r>
      <w:r w:rsidRPr="00A51443">
        <w:rPr>
          <w:rFonts w:eastAsia="Times New Roman" w:cs="Times New Roman"/>
          <w:color w:val="auto"/>
          <w:szCs w:val="24"/>
          <w:lang w:eastAsia="en-AU"/>
        </w:rPr>
        <w:noBreakHyphen/>
        <w:t>10</w:t>
      </w:r>
      <w:r w:rsidRPr="00A51443">
        <w:rPr>
          <w:rFonts w:eastAsia="Times New Roman" w:cs="Times New Roman"/>
          <w:color w:val="auto"/>
          <w:szCs w:val="24"/>
          <w:lang w:eastAsia="en-AU"/>
        </w:rPr>
        <w:noBreakHyphen/>
        <w:t>AM (diagnosis) and ACHI (intervention) codes were mapped from Twelfth Edition to Thirteenth Edition. Consequently, AR-DRG V12.0 is designed to be used in conjunction with ICD</w:t>
      </w:r>
      <w:r w:rsidRPr="00A51443">
        <w:rPr>
          <w:rFonts w:eastAsia="Times New Roman" w:cs="Times New Roman"/>
          <w:color w:val="auto"/>
          <w:szCs w:val="24"/>
          <w:lang w:eastAsia="en-AU"/>
        </w:rPr>
        <w:noBreakHyphen/>
        <w:t>10</w:t>
      </w:r>
      <w:r w:rsidRPr="00A51443">
        <w:rPr>
          <w:rFonts w:eastAsia="Times New Roman" w:cs="Times New Roman"/>
          <w:color w:val="auto"/>
          <w:szCs w:val="24"/>
          <w:lang w:eastAsia="en-AU"/>
        </w:rPr>
        <w:noBreakHyphen/>
        <w:t>AM/ACHI/ACS Thirteenth Edition.</w:t>
      </w:r>
    </w:p>
    <w:p w14:paraId="0BCCAFD1" w14:textId="10526FA0" w:rsidR="002B2000" w:rsidRPr="00BA05C9" w:rsidRDefault="002B2000" w:rsidP="00DB161C">
      <w:pPr>
        <w:sectPr w:rsidR="002B2000" w:rsidRPr="00BA05C9" w:rsidSect="009519E0">
          <w:pgSz w:w="11906" w:h="16838" w:code="9"/>
          <w:pgMar w:top="1440" w:right="1080" w:bottom="1440" w:left="1080" w:header="708" w:footer="708" w:gutter="0"/>
          <w:cols w:space="708"/>
          <w:docGrid w:linePitch="360"/>
        </w:sectPr>
      </w:pPr>
    </w:p>
    <w:p w14:paraId="0C8911C7" w14:textId="313A750C" w:rsidR="008017AA" w:rsidRPr="00A51443" w:rsidRDefault="00F057B2" w:rsidP="00672998">
      <w:pPr>
        <w:pStyle w:val="Heading1"/>
        <w:numPr>
          <w:ilvl w:val="0"/>
          <w:numId w:val="9"/>
        </w:numPr>
        <w:ind w:left="0" w:firstLine="0"/>
      </w:pPr>
      <w:bookmarkStart w:id="286" w:name="_Toc534875793"/>
      <w:bookmarkStart w:id="287" w:name="_Toc100328197"/>
      <w:bookmarkStart w:id="288" w:name="_Toc188263113"/>
      <w:bookmarkStart w:id="289" w:name="_Toc193462705"/>
      <w:bookmarkStart w:id="290" w:name="_Hlk182555976"/>
      <w:r w:rsidRPr="00A51443">
        <w:rPr>
          <w:lang w:val="en-PH"/>
        </w:rPr>
        <w:lastRenderedPageBreak/>
        <w:t xml:space="preserve">AR-DRG </w:t>
      </w:r>
      <w:bookmarkEnd w:id="286"/>
      <w:bookmarkEnd w:id="287"/>
      <w:r w:rsidR="008B5AA6" w:rsidRPr="00A51443">
        <w:rPr>
          <w:lang w:val="en-PH"/>
        </w:rPr>
        <w:t>V</w:t>
      </w:r>
      <w:r w:rsidR="00756665" w:rsidRPr="00A51443">
        <w:rPr>
          <w:lang w:val="en-PH"/>
        </w:rPr>
        <w:t>12.0</w:t>
      </w:r>
      <w:r w:rsidR="0038297D" w:rsidRPr="00A51443">
        <w:rPr>
          <w:lang w:val="en-PH"/>
        </w:rPr>
        <w:t xml:space="preserve"> </w:t>
      </w:r>
      <w:r w:rsidR="00A254AB" w:rsidRPr="00A51443">
        <w:rPr>
          <w:lang w:val="en-PH"/>
        </w:rPr>
        <w:t>R</w:t>
      </w:r>
      <w:r w:rsidR="0038297D" w:rsidRPr="00A51443">
        <w:rPr>
          <w:lang w:val="en-PH"/>
        </w:rPr>
        <w:t>efinements</w:t>
      </w:r>
      <w:bookmarkEnd w:id="288"/>
      <w:bookmarkEnd w:id="289"/>
    </w:p>
    <w:p w14:paraId="037FD695" w14:textId="1AB8728E" w:rsidR="009F5C54" w:rsidRPr="00A51443" w:rsidRDefault="009E54D1" w:rsidP="00623EF7">
      <w:pPr>
        <w:pStyle w:val="Heading2"/>
        <w:numPr>
          <w:ilvl w:val="1"/>
          <w:numId w:val="8"/>
        </w:numPr>
        <w:ind w:left="0" w:firstLine="0"/>
        <w:rPr>
          <w:lang w:val="en-PH"/>
        </w:rPr>
      </w:pPr>
      <w:bookmarkStart w:id="291" w:name="_Toc187328133"/>
      <w:bookmarkStart w:id="292" w:name="_Toc534873819"/>
      <w:bookmarkStart w:id="293" w:name="_Toc534874465"/>
      <w:bookmarkStart w:id="294" w:name="_Toc534875590"/>
      <w:bookmarkStart w:id="295" w:name="_Toc534875692"/>
      <w:bookmarkStart w:id="296" w:name="_Toc534875794"/>
      <w:bookmarkStart w:id="297" w:name="_Toc534875902"/>
      <w:bookmarkStart w:id="298" w:name="_Toc534876004"/>
      <w:bookmarkStart w:id="299" w:name="_Toc534955030"/>
      <w:bookmarkStart w:id="300" w:name="_Toc534955093"/>
      <w:bookmarkStart w:id="301" w:name="_Toc534955135"/>
      <w:bookmarkStart w:id="302" w:name="_Toc534955684"/>
      <w:bookmarkStart w:id="303" w:name="_Toc534955737"/>
      <w:bookmarkStart w:id="304" w:name="_Toc534955795"/>
      <w:bookmarkStart w:id="305" w:name="_Toc534955837"/>
      <w:bookmarkStart w:id="306" w:name="_Toc534955927"/>
      <w:bookmarkStart w:id="307" w:name="_Toc534965672"/>
      <w:bookmarkStart w:id="308" w:name="_Refinements_to_diagnosis"/>
      <w:bookmarkStart w:id="309" w:name="_Toc87875734"/>
      <w:bookmarkStart w:id="310" w:name="_Toc88827529"/>
      <w:bookmarkStart w:id="311" w:name="_Toc188263114"/>
      <w:bookmarkStart w:id="312" w:name="_Toc193462706"/>
      <w:bookmarkStart w:id="313" w:name="_Toc534875796"/>
      <w:bookmarkStart w:id="314" w:name="_Ref534876031"/>
      <w:bookmarkStart w:id="315" w:name="_Hlk182556032"/>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A51443">
        <w:rPr>
          <w:lang w:val="en-PH"/>
        </w:rPr>
        <w:t xml:space="preserve">MDC 14 </w:t>
      </w:r>
      <w:r w:rsidRPr="00A51443">
        <w:rPr>
          <w:i/>
          <w:iCs/>
          <w:lang w:val="en-PH"/>
        </w:rPr>
        <w:t xml:space="preserve">Pregnancy, </w:t>
      </w:r>
      <w:r w:rsidR="00C56410" w:rsidRPr="00A51443">
        <w:rPr>
          <w:i/>
          <w:iCs/>
          <w:lang w:val="en-PH"/>
        </w:rPr>
        <w:t>c</w:t>
      </w:r>
      <w:r w:rsidRPr="00A51443">
        <w:rPr>
          <w:i/>
          <w:iCs/>
          <w:lang w:val="en-PH"/>
        </w:rPr>
        <w:t xml:space="preserve">hildbirth and the </w:t>
      </w:r>
      <w:r w:rsidR="00C56410" w:rsidRPr="00A51443">
        <w:rPr>
          <w:i/>
          <w:iCs/>
          <w:lang w:val="en-PH"/>
        </w:rPr>
        <w:t>p</w:t>
      </w:r>
      <w:r w:rsidRPr="00A51443">
        <w:rPr>
          <w:i/>
          <w:iCs/>
          <w:lang w:val="en-PH"/>
        </w:rPr>
        <w:t>uerperium</w:t>
      </w:r>
      <w:bookmarkEnd w:id="311"/>
      <w:bookmarkEnd w:id="312"/>
    </w:p>
    <w:p w14:paraId="746CACFE" w14:textId="2F3CD289" w:rsidR="005266C4" w:rsidRPr="00A51443" w:rsidRDefault="00E241F0" w:rsidP="00CF57CE">
      <w:r w:rsidRPr="00A51443">
        <w:t>During AR-DRG V12.0 development, IHACPA conducted a review of poorly performing MDCs.</w:t>
      </w:r>
      <w:r w:rsidR="00D52331" w:rsidRPr="00A51443">
        <w:t xml:space="preserve"> </w:t>
      </w:r>
      <w:r w:rsidRPr="00A51443">
        <w:t>MDC</w:t>
      </w:r>
      <w:r w:rsidR="00D52331" w:rsidRPr="00A51443">
        <w:t> </w:t>
      </w:r>
      <w:r w:rsidRPr="00A51443">
        <w:t xml:space="preserve">14 </w:t>
      </w:r>
      <w:r w:rsidR="0093424D" w:rsidRPr="00A51443">
        <w:rPr>
          <w:i/>
          <w:iCs/>
        </w:rPr>
        <w:t>Pregnancy, childbirth and the puerperium</w:t>
      </w:r>
      <w:r w:rsidR="0093424D" w:rsidRPr="00A51443">
        <w:t xml:space="preserve"> </w:t>
      </w:r>
      <w:r w:rsidRPr="00A51443">
        <w:t xml:space="preserve">was selected for </w:t>
      </w:r>
      <w:r w:rsidR="001C14A3" w:rsidRPr="00A51443">
        <w:t>investigation</w:t>
      </w:r>
      <w:r w:rsidRPr="00A51443">
        <w:t xml:space="preserve"> </w:t>
      </w:r>
      <w:r w:rsidR="007C7AB9" w:rsidRPr="00A51443">
        <w:t xml:space="preserve">as the review indicated that it was </w:t>
      </w:r>
      <w:r w:rsidRPr="00A51443">
        <w:t>a good candidate for improved performance in AR</w:t>
      </w:r>
      <w:r w:rsidR="0038399C" w:rsidRPr="00A51443">
        <w:t>-</w:t>
      </w:r>
      <w:r w:rsidRPr="00A51443">
        <w:t>DRG</w:t>
      </w:r>
      <w:r w:rsidR="00705D68" w:rsidRPr="00A51443">
        <w:t> </w:t>
      </w:r>
      <w:r w:rsidRPr="00A51443">
        <w:t>V12.0</w:t>
      </w:r>
      <w:r w:rsidR="00451FD1" w:rsidRPr="00A51443">
        <w:t>.</w:t>
      </w:r>
    </w:p>
    <w:p w14:paraId="42C60FE8" w14:textId="7F0D51B1" w:rsidR="00451FD1" w:rsidRPr="00A51443" w:rsidRDefault="007C7AB9" w:rsidP="00CF57CE">
      <w:r w:rsidRPr="00A51443">
        <w:t>T</w:t>
      </w:r>
      <w:r w:rsidR="00451FD1" w:rsidRPr="00A51443">
        <w:t>he following changes</w:t>
      </w:r>
      <w:r w:rsidRPr="00A51443">
        <w:t xml:space="preserve"> were </w:t>
      </w:r>
      <w:r w:rsidR="00644F3E" w:rsidRPr="00A51443">
        <w:t>implemented</w:t>
      </w:r>
      <w:r w:rsidR="00451FD1" w:rsidRPr="00A51443">
        <w:t xml:space="preserve"> in MDC 14 </w:t>
      </w:r>
      <w:r w:rsidR="0093424D" w:rsidRPr="00A51443">
        <w:rPr>
          <w:i/>
          <w:iCs/>
        </w:rPr>
        <w:t>Pregnancy, childbirth and the puerperium</w:t>
      </w:r>
      <w:r w:rsidR="0093424D" w:rsidRPr="00A51443">
        <w:t>.</w:t>
      </w:r>
    </w:p>
    <w:p w14:paraId="25846369" w14:textId="43484FBE" w:rsidR="00507DCC" w:rsidRPr="00A51443" w:rsidRDefault="00644F3E" w:rsidP="00623EF7">
      <w:pPr>
        <w:pStyle w:val="Heading3"/>
        <w:numPr>
          <w:ilvl w:val="2"/>
          <w:numId w:val="8"/>
        </w:numPr>
        <w:spacing w:before="240"/>
        <w:ind w:left="720"/>
        <w:rPr>
          <w:color w:val="104F99" w:themeColor="accent2"/>
          <w:sz w:val="28"/>
          <w:szCs w:val="28"/>
        </w:rPr>
      </w:pPr>
      <w:bookmarkStart w:id="316" w:name="_Ref187327876"/>
      <w:bookmarkStart w:id="317" w:name="_Toc188263115"/>
      <w:bookmarkStart w:id="318" w:name="_Toc193462707"/>
      <w:bookmarkStart w:id="319" w:name="_Hlk181607451"/>
      <w:r w:rsidRPr="00A51443">
        <w:rPr>
          <w:color w:val="104F99" w:themeColor="accent2"/>
          <w:sz w:val="28"/>
          <w:szCs w:val="28"/>
        </w:rPr>
        <w:t>N</w:t>
      </w:r>
      <w:r w:rsidR="00AF24A6" w:rsidRPr="00A51443">
        <w:rPr>
          <w:color w:val="104F99" w:themeColor="accent2"/>
          <w:sz w:val="28"/>
          <w:szCs w:val="28"/>
        </w:rPr>
        <w:t xml:space="preserve">ew </w:t>
      </w:r>
      <w:r w:rsidR="0030013F" w:rsidRPr="00A51443">
        <w:rPr>
          <w:color w:val="104F99" w:themeColor="accent2"/>
          <w:sz w:val="28"/>
          <w:szCs w:val="28"/>
        </w:rPr>
        <w:t xml:space="preserve">ADRG </w:t>
      </w:r>
      <w:r w:rsidR="00672998">
        <w:rPr>
          <w:color w:val="104F99" w:themeColor="accent2"/>
          <w:sz w:val="28"/>
          <w:szCs w:val="28"/>
        </w:rPr>
        <w:t>for</w:t>
      </w:r>
      <w:r w:rsidR="0030013F" w:rsidRPr="00A51443">
        <w:rPr>
          <w:color w:val="104F99" w:themeColor="accent2"/>
          <w:sz w:val="28"/>
          <w:szCs w:val="28"/>
        </w:rPr>
        <w:t xml:space="preserve"> mental </w:t>
      </w:r>
      <w:r w:rsidR="005932C1" w:rsidRPr="00A51443">
        <w:rPr>
          <w:color w:val="104F99" w:themeColor="accent2"/>
          <w:sz w:val="28"/>
          <w:szCs w:val="28"/>
        </w:rPr>
        <w:t xml:space="preserve">health and </w:t>
      </w:r>
      <w:r w:rsidR="0065255A" w:rsidRPr="00A51443">
        <w:rPr>
          <w:color w:val="104F99" w:themeColor="accent2"/>
          <w:sz w:val="28"/>
          <w:szCs w:val="28"/>
        </w:rPr>
        <w:t>behavioural</w:t>
      </w:r>
      <w:r w:rsidR="005932C1" w:rsidRPr="00A51443">
        <w:rPr>
          <w:color w:val="104F99" w:themeColor="accent2"/>
          <w:sz w:val="28"/>
          <w:szCs w:val="28"/>
        </w:rPr>
        <w:t xml:space="preserve"> </w:t>
      </w:r>
      <w:r w:rsidR="0030013F" w:rsidRPr="00A51443">
        <w:rPr>
          <w:color w:val="104F99" w:themeColor="accent2"/>
          <w:sz w:val="28"/>
          <w:szCs w:val="28"/>
        </w:rPr>
        <w:t xml:space="preserve">disorders </w:t>
      </w:r>
      <w:r w:rsidR="00AF24A6" w:rsidRPr="00A51443">
        <w:rPr>
          <w:color w:val="104F99" w:themeColor="accent2"/>
          <w:sz w:val="28"/>
          <w:szCs w:val="28"/>
        </w:rPr>
        <w:t>in the postnatal period</w:t>
      </w:r>
      <w:bookmarkEnd w:id="316"/>
      <w:bookmarkEnd w:id="317"/>
      <w:bookmarkEnd w:id="318"/>
    </w:p>
    <w:bookmarkEnd w:id="319"/>
    <w:p w14:paraId="18B97C27" w14:textId="006B83E9" w:rsidR="00652CA7" w:rsidRPr="00A51443" w:rsidRDefault="009B6D02" w:rsidP="00717484">
      <w:r w:rsidRPr="00A51443">
        <w:t>In ICD-10-AM Twelfth Edition</w:t>
      </w:r>
      <w:r w:rsidR="00CF57CE" w:rsidRPr="00A51443">
        <w:t>,</w:t>
      </w:r>
      <w:r w:rsidRPr="00A51443">
        <w:t xml:space="preserve"> </w:t>
      </w:r>
      <w:r w:rsidR="00AF7D21" w:rsidRPr="00A51443">
        <w:t>episodes with postnatal depression are assigned a code from category F32</w:t>
      </w:r>
      <w:r w:rsidR="00AF7D21" w:rsidRPr="00A51443">
        <w:rPr>
          <w:i/>
          <w:iCs/>
        </w:rPr>
        <w:t xml:space="preserve"> Depressive episode</w:t>
      </w:r>
      <w:r w:rsidR="00650F32" w:rsidRPr="00A51443">
        <w:t xml:space="preserve"> (arising in the postnatal period)</w:t>
      </w:r>
      <w:r w:rsidR="00AF7D21" w:rsidRPr="00A51443">
        <w:t xml:space="preserve">, while episodes with other postnatal mental or behavioural disorders are assigned a code from category F53 </w:t>
      </w:r>
      <w:r w:rsidR="00AF7D21" w:rsidRPr="00A51443">
        <w:rPr>
          <w:i/>
          <w:iCs/>
        </w:rPr>
        <w:t>Mental and behavioural disorders associated with the puerperium, not elsewhere classified</w:t>
      </w:r>
      <w:r w:rsidR="00652CA7" w:rsidRPr="00A51443">
        <w:t xml:space="preserve"> (</w:t>
      </w:r>
      <w:r w:rsidR="00000118" w:rsidRPr="00A51443">
        <w:t xml:space="preserve">the </w:t>
      </w:r>
      <w:r w:rsidR="00644F3E" w:rsidRPr="00A51443">
        <w:t xml:space="preserve">codes in </w:t>
      </w:r>
      <w:r w:rsidR="00000118" w:rsidRPr="00A51443">
        <w:t>categories F32 and F53</w:t>
      </w:r>
      <w:r w:rsidR="00717484" w:rsidRPr="00A51443">
        <w:t xml:space="preserve"> </w:t>
      </w:r>
      <w:r w:rsidR="00000118" w:rsidRPr="00A51443">
        <w:t>are</w:t>
      </w:r>
      <w:r w:rsidR="00652CA7" w:rsidRPr="00A51443">
        <w:t xml:space="preserve"> listed in </w:t>
      </w:r>
      <w:r w:rsidR="00652CA7" w:rsidRPr="00A51443">
        <w:rPr>
          <w:b/>
          <w:bCs/>
        </w:rPr>
        <w:t>Appendix A1</w:t>
      </w:r>
      <w:r w:rsidR="00652CA7" w:rsidRPr="00A51443">
        <w:t>).</w:t>
      </w:r>
    </w:p>
    <w:p w14:paraId="5A42C17F" w14:textId="7A93CD14" w:rsidR="00AF7D21" w:rsidRPr="00A51443" w:rsidRDefault="00AF7D21" w:rsidP="00717484">
      <w:r w:rsidRPr="00A51443">
        <w:t xml:space="preserve">In </w:t>
      </w:r>
      <w:r w:rsidR="00E06AF4" w:rsidRPr="00A51443">
        <w:t xml:space="preserve">AR-DRG </w:t>
      </w:r>
      <w:r w:rsidRPr="00A51443">
        <w:t>V11.0, episodes with a principal diagnos</w:t>
      </w:r>
      <w:r w:rsidR="005747D2" w:rsidRPr="00A51443">
        <w:t>i</w:t>
      </w:r>
      <w:r w:rsidRPr="00A51443">
        <w:t>s from category F32 group to MDC 19</w:t>
      </w:r>
      <w:r w:rsidRPr="00A51443">
        <w:rPr>
          <w:i/>
          <w:iCs/>
        </w:rPr>
        <w:t xml:space="preserve"> </w:t>
      </w:r>
      <w:r w:rsidR="0093424D" w:rsidRPr="00A51443">
        <w:rPr>
          <w:i/>
          <w:iCs/>
        </w:rPr>
        <w:t>Mental</w:t>
      </w:r>
      <w:r w:rsidR="003E30B3" w:rsidRPr="00A51443">
        <w:rPr>
          <w:i/>
          <w:iCs/>
        </w:rPr>
        <w:t xml:space="preserve"> health conditions and</w:t>
      </w:r>
      <w:r w:rsidR="0093424D" w:rsidRPr="00A51443">
        <w:rPr>
          <w:i/>
          <w:iCs/>
        </w:rPr>
        <w:t xml:space="preserve"> behavioural and neurodevelopmental disorders</w:t>
      </w:r>
      <w:r w:rsidRPr="00A51443">
        <w:t>, while those with</w:t>
      </w:r>
      <w:r w:rsidR="00652CA7" w:rsidRPr="00A51443">
        <w:t xml:space="preserve"> a</w:t>
      </w:r>
      <w:r w:rsidRPr="00A51443">
        <w:t xml:space="preserve"> principal diagnos</w:t>
      </w:r>
      <w:r w:rsidR="005747D2" w:rsidRPr="00A51443">
        <w:t>i</w:t>
      </w:r>
      <w:r w:rsidRPr="00A51443">
        <w:t>s from category F53 group to MDC 14</w:t>
      </w:r>
      <w:r w:rsidRPr="00A51443">
        <w:rPr>
          <w:i/>
          <w:iCs/>
        </w:rPr>
        <w:t xml:space="preserve"> Pregnancy, </w:t>
      </w:r>
      <w:r w:rsidR="0093424D" w:rsidRPr="00A51443">
        <w:rPr>
          <w:i/>
          <w:iCs/>
        </w:rPr>
        <w:t>childbirth and the puerperium</w:t>
      </w:r>
      <w:r w:rsidRPr="00A51443">
        <w:t>.</w:t>
      </w:r>
    </w:p>
    <w:p w14:paraId="5AD0C36D" w14:textId="4333A3FC" w:rsidR="00AF7D21" w:rsidRPr="00A51443" w:rsidRDefault="00AF7D21" w:rsidP="00717484">
      <w:r w:rsidRPr="00A51443">
        <w:t xml:space="preserve">Analysis showed episodes with </w:t>
      </w:r>
      <w:r w:rsidR="00652CA7" w:rsidRPr="00A51443">
        <w:t xml:space="preserve">a </w:t>
      </w:r>
      <w:r w:rsidRPr="00A51443">
        <w:t>principal diagnos</w:t>
      </w:r>
      <w:r w:rsidR="00652CA7" w:rsidRPr="00A51443">
        <w:t>i</w:t>
      </w:r>
      <w:r w:rsidRPr="00A51443">
        <w:t xml:space="preserve">s from category F53 are more expensive than other episodes in the same ADRG in MDC 14 </w:t>
      </w:r>
      <w:r w:rsidRPr="00A51443">
        <w:rPr>
          <w:i/>
          <w:iCs/>
        </w:rPr>
        <w:t xml:space="preserve">Pregnancy, </w:t>
      </w:r>
      <w:r w:rsidR="0093424D" w:rsidRPr="00A51443">
        <w:rPr>
          <w:i/>
          <w:iCs/>
        </w:rPr>
        <w:t>childbirth and the puerperium</w:t>
      </w:r>
      <w:r w:rsidRPr="00A51443">
        <w:t xml:space="preserve">. In addition, their costs are mainly driven by cost centres relating to mental health care rather than obstetric care. </w:t>
      </w:r>
    </w:p>
    <w:p w14:paraId="15E60EC2" w14:textId="3B475FCD" w:rsidR="00AF7D21" w:rsidRPr="00A51443" w:rsidRDefault="000C5577" w:rsidP="00717484">
      <w:r>
        <w:t>For</w:t>
      </w:r>
      <w:r w:rsidR="00AF7D21" w:rsidRPr="00A51443">
        <w:t xml:space="preserve"> </w:t>
      </w:r>
      <w:r w:rsidR="00B14F5F" w:rsidRPr="00A51443">
        <w:t>AR-</w:t>
      </w:r>
      <w:r w:rsidR="00AF7D21" w:rsidRPr="00A51443">
        <w:t>DRG V12</w:t>
      </w:r>
      <w:r w:rsidR="005747D2" w:rsidRPr="00A51443">
        <w:t>.0</w:t>
      </w:r>
      <w:r w:rsidR="009B6D02" w:rsidRPr="00A51443">
        <w:t xml:space="preserve">, </w:t>
      </w:r>
      <w:r w:rsidR="00AF7D21" w:rsidRPr="00A51443">
        <w:t>ADRG U69</w:t>
      </w:r>
      <w:r w:rsidR="00652CA7" w:rsidRPr="00A51443">
        <w:rPr>
          <w:rFonts w:cs="Arial"/>
          <w:color w:val="000000"/>
        </w:rPr>
        <w:t xml:space="preserve"> </w:t>
      </w:r>
      <w:r w:rsidR="00652CA7" w:rsidRPr="00A51443">
        <w:rPr>
          <w:i/>
          <w:iCs/>
        </w:rPr>
        <w:t xml:space="preserve">Mental </w:t>
      </w:r>
      <w:r w:rsidR="0093424D" w:rsidRPr="00A51443">
        <w:rPr>
          <w:i/>
          <w:iCs/>
        </w:rPr>
        <w:t xml:space="preserve">health and behavioural disorders in the postnatal period </w:t>
      </w:r>
      <w:r w:rsidR="00AF7D21" w:rsidRPr="00A51443">
        <w:t xml:space="preserve">was created in MDC 19 </w:t>
      </w:r>
      <w:r w:rsidR="00652CA7" w:rsidRPr="00A51443">
        <w:rPr>
          <w:i/>
          <w:iCs/>
        </w:rPr>
        <w:t xml:space="preserve">Mental, </w:t>
      </w:r>
      <w:r w:rsidR="0093424D" w:rsidRPr="00A51443">
        <w:rPr>
          <w:i/>
          <w:iCs/>
        </w:rPr>
        <w:t>behavioural and neurodevelopmental disorders</w:t>
      </w:r>
      <w:r w:rsidR="0093424D" w:rsidRPr="00A51443">
        <w:t xml:space="preserve"> </w:t>
      </w:r>
      <w:r w:rsidR="00AF7D21" w:rsidRPr="00A51443">
        <w:t xml:space="preserve">to capture episodes with </w:t>
      </w:r>
      <w:r w:rsidR="00652CA7" w:rsidRPr="00A51443">
        <w:t xml:space="preserve">a </w:t>
      </w:r>
      <w:r w:rsidR="00AF7D21" w:rsidRPr="00A51443">
        <w:t>principal diagnos</w:t>
      </w:r>
      <w:r w:rsidR="00652CA7" w:rsidRPr="00A51443">
        <w:t>i</w:t>
      </w:r>
      <w:r w:rsidR="00AF7D21" w:rsidRPr="00A51443">
        <w:t>s from categories F32 and F53.</w:t>
      </w:r>
    </w:p>
    <w:p w14:paraId="6F081372" w14:textId="68A8A500" w:rsidR="00E6454F" w:rsidRPr="00A51443" w:rsidRDefault="007E03C0" w:rsidP="00717484">
      <w:pPr>
        <w:rPr>
          <w:color w:val="000000"/>
        </w:rPr>
      </w:pPr>
      <w:r w:rsidRPr="00A51443">
        <w:rPr>
          <w:color w:val="000000"/>
        </w:rPr>
        <w:t xml:space="preserve">The ADRG splitting review selected </w:t>
      </w:r>
      <w:r w:rsidR="000C5577">
        <w:rPr>
          <w:color w:val="000000"/>
        </w:rPr>
        <w:t>one</w:t>
      </w:r>
      <w:r w:rsidRPr="00A51443">
        <w:rPr>
          <w:color w:val="000000"/>
        </w:rPr>
        <w:t xml:space="preserve"> complexity split for ADRG U69, resulting in </w:t>
      </w:r>
      <w:r w:rsidR="008C03EA" w:rsidRPr="00A51443">
        <w:rPr>
          <w:color w:val="000000"/>
        </w:rPr>
        <w:t xml:space="preserve">2 new </w:t>
      </w:r>
      <w:r w:rsidR="007D6709" w:rsidRPr="00A51443">
        <w:rPr>
          <w:color w:val="000000"/>
        </w:rPr>
        <w:t>DRGs</w:t>
      </w:r>
      <w:r w:rsidRPr="00A51443">
        <w:rPr>
          <w:color w:val="000000"/>
        </w:rPr>
        <w:t>.</w:t>
      </w:r>
    </w:p>
    <w:p w14:paraId="56A75E17" w14:textId="19E981A8" w:rsidR="00702A2D" w:rsidRPr="00A51443" w:rsidRDefault="00E6454F" w:rsidP="00717484">
      <w:pPr>
        <w:rPr>
          <w:color w:val="000000"/>
        </w:rPr>
      </w:pPr>
      <w:r w:rsidRPr="00A51443">
        <w:rPr>
          <w:color w:val="000000"/>
        </w:rPr>
        <w:t>Among the public hospital admitted patient care activity data from 2018–19 to 20</w:t>
      </w:r>
      <w:r w:rsidR="007F663F" w:rsidRPr="00A51443">
        <w:rPr>
          <w:color w:val="000000"/>
        </w:rPr>
        <w:t>22</w:t>
      </w:r>
      <w:r w:rsidRPr="00A51443">
        <w:rPr>
          <w:color w:val="000000"/>
        </w:rPr>
        <w:t>–2</w:t>
      </w:r>
      <w:r w:rsidR="007F663F" w:rsidRPr="00A51443">
        <w:rPr>
          <w:color w:val="000000"/>
        </w:rPr>
        <w:t>3</w:t>
      </w:r>
      <w:r w:rsidRPr="00A51443">
        <w:rPr>
          <w:color w:val="000000"/>
        </w:rPr>
        <w:t xml:space="preserve">, an average of </w:t>
      </w:r>
      <w:r w:rsidR="007F663F" w:rsidRPr="00A51443">
        <w:rPr>
          <w:color w:val="000000"/>
        </w:rPr>
        <w:t>868</w:t>
      </w:r>
      <w:r w:rsidRPr="00A51443">
        <w:rPr>
          <w:color w:val="000000"/>
        </w:rPr>
        <w:t xml:space="preserve"> episodes </w:t>
      </w:r>
      <w:r w:rsidR="0053061A" w:rsidRPr="00A51443">
        <w:rPr>
          <w:color w:val="000000"/>
        </w:rPr>
        <w:t xml:space="preserve">per year </w:t>
      </w:r>
      <w:r w:rsidRPr="00A51443">
        <w:rPr>
          <w:color w:val="000000"/>
        </w:rPr>
        <w:t xml:space="preserve">move into ADRG U69 </w:t>
      </w:r>
      <w:r w:rsidRPr="00A51443">
        <w:rPr>
          <w:i/>
          <w:iCs/>
          <w:color w:val="000000"/>
        </w:rPr>
        <w:t xml:space="preserve">Mental </w:t>
      </w:r>
      <w:r w:rsidR="0093424D" w:rsidRPr="00A51443">
        <w:rPr>
          <w:i/>
          <w:iCs/>
          <w:color w:val="000000"/>
        </w:rPr>
        <w:t>health and behavioural disorders in the postnatal period</w:t>
      </w:r>
      <w:r w:rsidR="0093424D" w:rsidRPr="00A51443">
        <w:rPr>
          <w:color w:val="000000"/>
        </w:rPr>
        <w:t>.</w:t>
      </w:r>
    </w:p>
    <w:p w14:paraId="2E1FBF02" w14:textId="77777777" w:rsidR="00702A2D" w:rsidRPr="00A51443" w:rsidRDefault="00702A2D">
      <w:pPr>
        <w:rPr>
          <w:color w:val="000000"/>
        </w:rPr>
      </w:pPr>
      <w:r w:rsidRPr="00A51443">
        <w:rPr>
          <w:color w:val="000000"/>
        </w:rPr>
        <w:br w:type="page"/>
      </w:r>
    </w:p>
    <w:p w14:paraId="5BF3B788" w14:textId="327E3FB4" w:rsidR="008E3E53" w:rsidRPr="00A51443" w:rsidRDefault="00A72546" w:rsidP="00623EF7">
      <w:pPr>
        <w:pStyle w:val="Heading3"/>
        <w:numPr>
          <w:ilvl w:val="2"/>
          <w:numId w:val="8"/>
        </w:numPr>
        <w:spacing w:before="240"/>
        <w:ind w:left="720"/>
        <w:rPr>
          <w:color w:val="104F99" w:themeColor="accent2"/>
          <w:sz w:val="28"/>
          <w:szCs w:val="28"/>
        </w:rPr>
      </w:pPr>
      <w:bookmarkStart w:id="320" w:name="_Toc182407464"/>
      <w:bookmarkStart w:id="321" w:name="_Toc182409798"/>
      <w:bookmarkStart w:id="322" w:name="_Toc182491367"/>
      <w:bookmarkStart w:id="323" w:name="_Toc182491655"/>
      <w:bookmarkStart w:id="324" w:name="_Toc182491943"/>
      <w:bookmarkStart w:id="325" w:name="_Toc182571720"/>
      <w:bookmarkStart w:id="326" w:name="_Toc183434283"/>
      <w:bookmarkStart w:id="327" w:name="_Toc183434538"/>
      <w:bookmarkStart w:id="328" w:name="_Toc182407465"/>
      <w:bookmarkStart w:id="329" w:name="_Toc182409799"/>
      <w:bookmarkStart w:id="330" w:name="_Toc182491368"/>
      <w:bookmarkStart w:id="331" w:name="_Toc182491656"/>
      <w:bookmarkStart w:id="332" w:name="_Toc182491944"/>
      <w:bookmarkStart w:id="333" w:name="_Toc182571721"/>
      <w:bookmarkStart w:id="334" w:name="_Toc183434284"/>
      <w:bookmarkStart w:id="335" w:name="_Toc183434539"/>
      <w:bookmarkStart w:id="336" w:name="_Toc182407466"/>
      <w:bookmarkStart w:id="337" w:name="_Toc182409800"/>
      <w:bookmarkStart w:id="338" w:name="_Toc182491369"/>
      <w:bookmarkStart w:id="339" w:name="_Toc182491657"/>
      <w:bookmarkStart w:id="340" w:name="_Toc182491945"/>
      <w:bookmarkStart w:id="341" w:name="_Toc182571722"/>
      <w:bookmarkStart w:id="342" w:name="_Toc183434285"/>
      <w:bookmarkStart w:id="343" w:name="_Toc183434540"/>
      <w:bookmarkStart w:id="344" w:name="_Toc182407467"/>
      <w:bookmarkStart w:id="345" w:name="_Toc182409801"/>
      <w:bookmarkStart w:id="346" w:name="_Toc182491370"/>
      <w:bookmarkStart w:id="347" w:name="_Toc182491658"/>
      <w:bookmarkStart w:id="348" w:name="_Toc182491946"/>
      <w:bookmarkStart w:id="349" w:name="_Toc182571723"/>
      <w:bookmarkStart w:id="350" w:name="_Toc183434286"/>
      <w:bookmarkStart w:id="351" w:name="_Toc183434541"/>
      <w:bookmarkStart w:id="352" w:name="_Toc182407468"/>
      <w:bookmarkStart w:id="353" w:name="_Toc182409802"/>
      <w:bookmarkStart w:id="354" w:name="_Toc182491371"/>
      <w:bookmarkStart w:id="355" w:name="_Toc182491659"/>
      <w:bookmarkStart w:id="356" w:name="_Toc182491947"/>
      <w:bookmarkStart w:id="357" w:name="_Toc182571724"/>
      <w:bookmarkStart w:id="358" w:name="_Toc183434287"/>
      <w:bookmarkStart w:id="359" w:name="_Toc183434542"/>
      <w:bookmarkStart w:id="360" w:name="_Toc182407469"/>
      <w:bookmarkStart w:id="361" w:name="_Toc182409803"/>
      <w:bookmarkStart w:id="362" w:name="_Toc182491372"/>
      <w:bookmarkStart w:id="363" w:name="_Toc182491660"/>
      <w:bookmarkStart w:id="364" w:name="_Toc182491948"/>
      <w:bookmarkStart w:id="365" w:name="_Toc182571725"/>
      <w:bookmarkStart w:id="366" w:name="_Toc183434288"/>
      <w:bookmarkStart w:id="367" w:name="_Toc183434543"/>
      <w:bookmarkStart w:id="368" w:name="_Toc182407470"/>
      <w:bookmarkStart w:id="369" w:name="_Toc182409804"/>
      <w:bookmarkStart w:id="370" w:name="_Toc182491373"/>
      <w:bookmarkStart w:id="371" w:name="_Toc182491661"/>
      <w:bookmarkStart w:id="372" w:name="_Toc182491949"/>
      <w:bookmarkStart w:id="373" w:name="_Toc182571726"/>
      <w:bookmarkStart w:id="374" w:name="_Toc183434289"/>
      <w:bookmarkStart w:id="375" w:name="_Toc183434544"/>
      <w:bookmarkStart w:id="376" w:name="_Toc182407471"/>
      <w:bookmarkStart w:id="377" w:name="_Toc182409805"/>
      <w:bookmarkStart w:id="378" w:name="_Toc182491374"/>
      <w:bookmarkStart w:id="379" w:name="_Toc182491662"/>
      <w:bookmarkStart w:id="380" w:name="_Toc182491950"/>
      <w:bookmarkStart w:id="381" w:name="_Toc182571727"/>
      <w:bookmarkStart w:id="382" w:name="_Toc183434290"/>
      <w:bookmarkStart w:id="383" w:name="_Toc183434545"/>
      <w:bookmarkStart w:id="384" w:name="_Toc182407487"/>
      <w:bookmarkStart w:id="385" w:name="_Toc182409821"/>
      <w:bookmarkStart w:id="386" w:name="_Toc182491390"/>
      <w:bookmarkStart w:id="387" w:name="_Toc182491678"/>
      <w:bookmarkStart w:id="388" w:name="_Toc182491966"/>
      <w:bookmarkStart w:id="389" w:name="_Toc182571743"/>
      <w:bookmarkStart w:id="390" w:name="_Toc183434306"/>
      <w:bookmarkStart w:id="391" w:name="_Toc183434561"/>
      <w:bookmarkStart w:id="392" w:name="_Toc182407488"/>
      <w:bookmarkStart w:id="393" w:name="_Toc182409822"/>
      <w:bookmarkStart w:id="394" w:name="_Toc182491391"/>
      <w:bookmarkStart w:id="395" w:name="_Toc182491679"/>
      <w:bookmarkStart w:id="396" w:name="_Toc182491967"/>
      <w:bookmarkStart w:id="397" w:name="_Toc182571744"/>
      <w:bookmarkStart w:id="398" w:name="_Toc183434307"/>
      <w:bookmarkStart w:id="399" w:name="_Toc183434562"/>
      <w:bookmarkStart w:id="400" w:name="_Toc182407489"/>
      <w:bookmarkStart w:id="401" w:name="_Toc182409823"/>
      <w:bookmarkStart w:id="402" w:name="_Toc182491392"/>
      <w:bookmarkStart w:id="403" w:name="_Toc182491680"/>
      <w:bookmarkStart w:id="404" w:name="_Toc182491968"/>
      <w:bookmarkStart w:id="405" w:name="_Toc182571745"/>
      <w:bookmarkStart w:id="406" w:name="_Toc183434308"/>
      <w:bookmarkStart w:id="407" w:name="_Toc183434563"/>
      <w:bookmarkStart w:id="408" w:name="_Toc182407490"/>
      <w:bookmarkStart w:id="409" w:name="_Toc182409824"/>
      <w:bookmarkStart w:id="410" w:name="_Toc182491393"/>
      <w:bookmarkStart w:id="411" w:name="_Toc182491681"/>
      <w:bookmarkStart w:id="412" w:name="_Toc182491969"/>
      <w:bookmarkStart w:id="413" w:name="_Toc182571746"/>
      <w:bookmarkStart w:id="414" w:name="_Toc183434309"/>
      <w:bookmarkStart w:id="415" w:name="_Toc183434564"/>
      <w:bookmarkStart w:id="416" w:name="_Toc182407491"/>
      <w:bookmarkStart w:id="417" w:name="_Toc182409825"/>
      <w:bookmarkStart w:id="418" w:name="_Toc182491394"/>
      <w:bookmarkStart w:id="419" w:name="_Toc182491682"/>
      <w:bookmarkStart w:id="420" w:name="_Toc182491970"/>
      <w:bookmarkStart w:id="421" w:name="_Toc182571747"/>
      <w:bookmarkStart w:id="422" w:name="_Toc183434310"/>
      <w:bookmarkStart w:id="423" w:name="_Toc183434565"/>
      <w:bookmarkStart w:id="424" w:name="_Toc182407513"/>
      <w:bookmarkStart w:id="425" w:name="_Toc182409847"/>
      <w:bookmarkStart w:id="426" w:name="_Toc182491416"/>
      <w:bookmarkStart w:id="427" w:name="_Toc182491704"/>
      <w:bookmarkStart w:id="428" w:name="_Toc182491992"/>
      <w:bookmarkStart w:id="429" w:name="_Toc182571769"/>
      <w:bookmarkStart w:id="430" w:name="_Toc183434332"/>
      <w:bookmarkStart w:id="431" w:name="_Toc183434587"/>
      <w:bookmarkStart w:id="432" w:name="_Toc182407514"/>
      <w:bookmarkStart w:id="433" w:name="_Toc182409848"/>
      <w:bookmarkStart w:id="434" w:name="_Toc182491417"/>
      <w:bookmarkStart w:id="435" w:name="_Toc182491705"/>
      <w:bookmarkStart w:id="436" w:name="_Toc182491993"/>
      <w:bookmarkStart w:id="437" w:name="_Toc182571770"/>
      <w:bookmarkStart w:id="438" w:name="_Toc183434333"/>
      <w:bookmarkStart w:id="439" w:name="_Toc183434588"/>
      <w:bookmarkStart w:id="440" w:name="_Toc182407515"/>
      <w:bookmarkStart w:id="441" w:name="_Toc182409849"/>
      <w:bookmarkStart w:id="442" w:name="_Toc182491418"/>
      <w:bookmarkStart w:id="443" w:name="_Toc182491706"/>
      <w:bookmarkStart w:id="444" w:name="_Toc182491994"/>
      <w:bookmarkStart w:id="445" w:name="_Toc182571771"/>
      <w:bookmarkStart w:id="446" w:name="_Toc183434334"/>
      <w:bookmarkStart w:id="447" w:name="_Toc183434589"/>
      <w:bookmarkStart w:id="448" w:name="_Toc182407516"/>
      <w:bookmarkStart w:id="449" w:name="_Toc182409850"/>
      <w:bookmarkStart w:id="450" w:name="_Toc182491419"/>
      <w:bookmarkStart w:id="451" w:name="_Toc182491707"/>
      <w:bookmarkStart w:id="452" w:name="_Toc182491995"/>
      <w:bookmarkStart w:id="453" w:name="_Toc182571772"/>
      <w:bookmarkStart w:id="454" w:name="_Toc183434335"/>
      <w:bookmarkStart w:id="455" w:name="_Toc183434590"/>
      <w:bookmarkStart w:id="456" w:name="_Toc182407517"/>
      <w:bookmarkStart w:id="457" w:name="_Toc182409851"/>
      <w:bookmarkStart w:id="458" w:name="_Toc182491420"/>
      <w:bookmarkStart w:id="459" w:name="_Toc182491708"/>
      <w:bookmarkStart w:id="460" w:name="_Toc182491996"/>
      <w:bookmarkStart w:id="461" w:name="_Toc182571773"/>
      <w:bookmarkStart w:id="462" w:name="_Toc183434336"/>
      <w:bookmarkStart w:id="463" w:name="_Toc183434591"/>
      <w:bookmarkStart w:id="464" w:name="_Toc182407518"/>
      <w:bookmarkStart w:id="465" w:name="_Toc182409852"/>
      <w:bookmarkStart w:id="466" w:name="_Toc182491421"/>
      <w:bookmarkStart w:id="467" w:name="_Toc182491709"/>
      <w:bookmarkStart w:id="468" w:name="_Toc182491997"/>
      <w:bookmarkStart w:id="469" w:name="_Toc182571774"/>
      <w:bookmarkStart w:id="470" w:name="_Toc183434337"/>
      <w:bookmarkStart w:id="471" w:name="_Toc183434592"/>
      <w:bookmarkStart w:id="472" w:name="_Toc182407519"/>
      <w:bookmarkStart w:id="473" w:name="_Toc182409853"/>
      <w:bookmarkStart w:id="474" w:name="_Toc182491422"/>
      <w:bookmarkStart w:id="475" w:name="_Toc182491710"/>
      <w:bookmarkStart w:id="476" w:name="_Toc182491998"/>
      <w:bookmarkStart w:id="477" w:name="_Toc182571775"/>
      <w:bookmarkStart w:id="478" w:name="_Toc183434338"/>
      <w:bookmarkStart w:id="479" w:name="_Toc183434593"/>
      <w:bookmarkStart w:id="480" w:name="_Toc182407520"/>
      <w:bookmarkStart w:id="481" w:name="_Toc182409854"/>
      <w:bookmarkStart w:id="482" w:name="_Toc182491423"/>
      <w:bookmarkStart w:id="483" w:name="_Toc182491711"/>
      <w:bookmarkStart w:id="484" w:name="_Toc182491999"/>
      <w:bookmarkStart w:id="485" w:name="_Toc182571776"/>
      <w:bookmarkStart w:id="486" w:name="_Toc183434339"/>
      <w:bookmarkStart w:id="487" w:name="_Toc183434594"/>
      <w:bookmarkStart w:id="488" w:name="_Toc188263116"/>
      <w:bookmarkStart w:id="489" w:name="_Ref187327894"/>
      <w:bookmarkStart w:id="490" w:name="_Toc19346270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A51443">
        <w:rPr>
          <w:color w:val="104F99" w:themeColor="accent2"/>
          <w:sz w:val="28"/>
          <w:szCs w:val="28"/>
        </w:rPr>
        <w:lastRenderedPageBreak/>
        <w:t xml:space="preserve">Disaggregation of ADRG O66 </w:t>
      </w:r>
      <w:r w:rsidRPr="00A51443">
        <w:rPr>
          <w:i/>
          <w:iCs/>
          <w:color w:val="104F99" w:themeColor="accent2"/>
          <w:sz w:val="28"/>
          <w:szCs w:val="28"/>
        </w:rPr>
        <w:t xml:space="preserve">Antenatal and </w:t>
      </w:r>
      <w:r w:rsidR="00514794" w:rsidRPr="00A51443">
        <w:rPr>
          <w:i/>
          <w:iCs/>
          <w:color w:val="104F99" w:themeColor="accent2"/>
          <w:sz w:val="28"/>
          <w:szCs w:val="28"/>
        </w:rPr>
        <w:t>o</w:t>
      </w:r>
      <w:r w:rsidR="007C23E0" w:rsidRPr="00A51443">
        <w:rPr>
          <w:i/>
          <w:iCs/>
          <w:color w:val="104F99" w:themeColor="accent2"/>
          <w:sz w:val="28"/>
          <w:szCs w:val="28"/>
        </w:rPr>
        <w:t xml:space="preserve">ther </w:t>
      </w:r>
      <w:r w:rsidR="00514794" w:rsidRPr="00A51443">
        <w:rPr>
          <w:i/>
          <w:iCs/>
          <w:color w:val="104F99" w:themeColor="accent2"/>
          <w:sz w:val="28"/>
          <w:szCs w:val="28"/>
        </w:rPr>
        <w:t>a</w:t>
      </w:r>
      <w:r w:rsidR="007C23E0" w:rsidRPr="00A51443">
        <w:rPr>
          <w:i/>
          <w:iCs/>
          <w:color w:val="104F99" w:themeColor="accent2"/>
          <w:sz w:val="28"/>
          <w:szCs w:val="28"/>
        </w:rPr>
        <w:t xml:space="preserve">dmissions </w:t>
      </w:r>
      <w:r w:rsidRPr="00A51443">
        <w:rPr>
          <w:i/>
          <w:iCs/>
          <w:color w:val="104F99" w:themeColor="accent2"/>
          <w:sz w:val="28"/>
          <w:szCs w:val="28"/>
        </w:rPr>
        <w:t xml:space="preserve">related to </w:t>
      </w:r>
      <w:r w:rsidR="00514794" w:rsidRPr="00A51443">
        <w:rPr>
          <w:i/>
          <w:iCs/>
          <w:color w:val="104F99" w:themeColor="accent2"/>
          <w:sz w:val="28"/>
          <w:szCs w:val="28"/>
        </w:rPr>
        <w:t>p</w:t>
      </w:r>
      <w:r w:rsidR="007C23E0" w:rsidRPr="00A51443">
        <w:rPr>
          <w:i/>
          <w:iCs/>
          <w:color w:val="104F99" w:themeColor="accent2"/>
          <w:sz w:val="28"/>
          <w:szCs w:val="28"/>
        </w:rPr>
        <w:t>regnancy</w:t>
      </w:r>
      <w:r w:rsidRPr="00A51443">
        <w:rPr>
          <w:i/>
          <w:iCs/>
          <w:color w:val="104F99" w:themeColor="accent2"/>
          <w:sz w:val="28"/>
          <w:szCs w:val="28"/>
        </w:rPr>
        <w:t xml:space="preserve">, </w:t>
      </w:r>
      <w:r w:rsidR="00514794" w:rsidRPr="00A51443">
        <w:rPr>
          <w:i/>
          <w:iCs/>
          <w:color w:val="104F99" w:themeColor="accent2"/>
          <w:sz w:val="28"/>
          <w:szCs w:val="28"/>
        </w:rPr>
        <w:t>c</w:t>
      </w:r>
      <w:r w:rsidR="007C23E0" w:rsidRPr="00A51443">
        <w:rPr>
          <w:i/>
          <w:iCs/>
          <w:color w:val="104F99" w:themeColor="accent2"/>
          <w:sz w:val="28"/>
          <w:szCs w:val="28"/>
        </w:rPr>
        <w:t xml:space="preserve">hildbirth </w:t>
      </w:r>
      <w:r w:rsidRPr="00A51443">
        <w:rPr>
          <w:i/>
          <w:iCs/>
          <w:color w:val="104F99" w:themeColor="accent2"/>
          <w:sz w:val="28"/>
          <w:szCs w:val="28"/>
        </w:rPr>
        <w:t xml:space="preserve">and the </w:t>
      </w:r>
      <w:bookmarkEnd w:id="488"/>
      <w:r w:rsidR="00514794" w:rsidRPr="00A51443">
        <w:rPr>
          <w:i/>
          <w:iCs/>
          <w:color w:val="104F99" w:themeColor="accent2"/>
          <w:sz w:val="28"/>
          <w:szCs w:val="28"/>
        </w:rPr>
        <w:t>p</w:t>
      </w:r>
      <w:r w:rsidR="007C23E0" w:rsidRPr="00A51443">
        <w:rPr>
          <w:i/>
          <w:iCs/>
          <w:color w:val="104F99" w:themeColor="accent2"/>
          <w:sz w:val="28"/>
          <w:szCs w:val="28"/>
        </w:rPr>
        <w:t>uerperium</w:t>
      </w:r>
      <w:bookmarkEnd w:id="489"/>
      <w:bookmarkEnd w:id="490"/>
      <w:r w:rsidR="007C23E0" w:rsidRPr="00A51443">
        <w:rPr>
          <w:color w:val="104F99" w:themeColor="accent2"/>
          <w:sz w:val="28"/>
          <w:szCs w:val="28"/>
        </w:rPr>
        <w:t xml:space="preserve"> </w:t>
      </w:r>
    </w:p>
    <w:p w14:paraId="56FAD4D2" w14:textId="3B04162B" w:rsidR="00A72546" w:rsidRPr="00A51443" w:rsidRDefault="00FB3F3C" w:rsidP="00111EEC">
      <w:bookmarkStart w:id="491" w:name="_Hlk181607552"/>
      <w:r w:rsidRPr="00A51443">
        <w:t xml:space="preserve">In AR-DRG V11.0, </w:t>
      </w:r>
      <w:r w:rsidR="00A72546" w:rsidRPr="00A51443">
        <w:t xml:space="preserve">ADRG O66 </w:t>
      </w:r>
      <w:r w:rsidR="00A72546" w:rsidRPr="00A51443">
        <w:rPr>
          <w:i/>
          <w:iCs/>
        </w:rPr>
        <w:t xml:space="preserve">Antenatal and </w:t>
      </w:r>
      <w:r w:rsidR="0093424D" w:rsidRPr="00A51443">
        <w:rPr>
          <w:i/>
          <w:iCs/>
        </w:rPr>
        <w:t>other admissions related to pregnancy, childbirth and the puerperium</w:t>
      </w:r>
      <w:r w:rsidR="0093424D" w:rsidRPr="00A51443">
        <w:t xml:space="preserve"> </w:t>
      </w:r>
      <w:r w:rsidR="00A72546" w:rsidRPr="00A51443">
        <w:t>is a residual (catch-all) ADRG</w:t>
      </w:r>
      <w:r w:rsidR="00433EA2" w:rsidRPr="00A51443">
        <w:t xml:space="preserve"> in MDC 14</w:t>
      </w:r>
      <w:r w:rsidR="005747D2" w:rsidRPr="00A51443">
        <w:t xml:space="preserve"> </w:t>
      </w:r>
      <w:r w:rsidR="005747D2" w:rsidRPr="00A51443">
        <w:rPr>
          <w:i/>
          <w:iCs/>
        </w:rPr>
        <w:t xml:space="preserve">Pregnancy, </w:t>
      </w:r>
      <w:r w:rsidR="0093424D" w:rsidRPr="00A51443">
        <w:rPr>
          <w:i/>
          <w:iCs/>
        </w:rPr>
        <w:t>childbirth and the puerperium</w:t>
      </w:r>
      <w:r w:rsidR="00BD7FA2" w:rsidRPr="00A51443">
        <w:t xml:space="preserve">. It is </w:t>
      </w:r>
      <w:r w:rsidR="00A72546" w:rsidRPr="00A51443">
        <w:t xml:space="preserve">defined by the presence of </w:t>
      </w:r>
      <w:r w:rsidR="009E763B" w:rsidRPr="00A51443">
        <w:t xml:space="preserve">one of 303 </w:t>
      </w:r>
      <w:r w:rsidR="00A72546" w:rsidRPr="00A51443">
        <w:t>principal diagnosis codes for episodes of care related to pregnancy, childbirth or the puerperium.</w:t>
      </w:r>
      <w:bookmarkEnd w:id="491"/>
    </w:p>
    <w:p w14:paraId="39BA4322" w14:textId="7DF6C0B4" w:rsidR="00A72546" w:rsidRPr="00A51443" w:rsidRDefault="00563827" w:rsidP="00C006E1">
      <w:r w:rsidRPr="00A51443">
        <w:t>A</w:t>
      </w:r>
      <w:r w:rsidR="00A72546" w:rsidRPr="00A51443">
        <w:t xml:space="preserve"> submission to the Consultation Paper on the Pricing Framework for Australian Public Hospital Services 2023–24 requested </w:t>
      </w:r>
      <w:r w:rsidR="00644F3E" w:rsidRPr="00A51443">
        <w:t>a</w:t>
      </w:r>
      <w:r w:rsidR="00A72546" w:rsidRPr="00A51443">
        <w:t xml:space="preserve"> review</w:t>
      </w:r>
      <w:r w:rsidR="00644F3E" w:rsidRPr="00A51443">
        <w:t xml:space="preserve"> of</w:t>
      </w:r>
      <w:r w:rsidR="00A72546" w:rsidRPr="00A51443">
        <w:t xml:space="preserve"> ADRG O66 </w:t>
      </w:r>
      <w:r w:rsidR="00A72546" w:rsidRPr="00A51443">
        <w:rPr>
          <w:i/>
          <w:iCs/>
        </w:rPr>
        <w:t xml:space="preserve">Antenatal </w:t>
      </w:r>
      <w:r w:rsidR="0093424D" w:rsidRPr="00A51443">
        <w:rPr>
          <w:i/>
          <w:iCs/>
        </w:rPr>
        <w:t>and other admissions related to pregnancy, childbirth and the puerperium.</w:t>
      </w:r>
      <w:r w:rsidR="0093424D" w:rsidRPr="00A51443">
        <w:t xml:space="preserve"> </w:t>
      </w:r>
      <w:r w:rsidR="00A72546" w:rsidRPr="00A51443">
        <w:t xml:space="preserve">The submission identified considerable variation in volume and average cost within this ADRG at tertiary maternity services. The submission noted that maternity services across Australia have a wide range of admission criteria for antenatal care and that some episodes grouping to ADRG O66 </w:t>
      </w:r>
      <w:r w:rsidR="00A72546" w:rsidRPr="00A51443">
        <w:rPr>
          <w:i/>
          <w:iCs/>
        </w:rPr>
        <w:t xml:space="preserve">Antenatal </w:t>
      </w:r>
      <w:r w:rsidR="0093424D" w:rsidRPr="00A51443">
        <w:rPr>
          <w:i/>
          <w:iCs/>
        </w:rPr>
        <w:t>and other admissions related to pregnancy, childbirth and the puerperium</w:t>
      </w:r>
      <w:r w:rsidR="0093424D" w:rsidRPr="00A51443">
        <w:t xml:space="preserve"> </w:t>
      </w:r>
      <w:r w:rsidR="00A72546" w:rsidRPr="00A51443">
        <w:t>tended to have significantly higher volume, shorter length of stay and lower episode complexity than those at peer services.</w:t>
      </w:r>
    </w:p>
    <w:p w14:paraId="2A951E67" w14:textId="0C735E0B" w:rsidR="00A270FD" w:rsidRPr="00A51443" w:rsidRDefault="0076216B" w:rsidP="00717484">
      <w:r w:rsidRPr="00A51443">
        <w:t xml:space="preserve">Following analysis and consultation, </w:t>
      </w:r>
      <w:r w:rsidR="00412683" w:rsidRPr="00A51443">
        <w:t xml:space="preserve">ADRG O66 </w:t>
      </w:r>
      <w:r w:rsidR="00412683" w:rsidRPr="00A51443">
        <w:rPr>
          <w:i/>
          <w:iCs/>
        </w:rPr>
        <w:t xml:space="preserve">Antenatal </w:t>
      </w:r>
      <w:r w:rsidR="0093424D" w:rsidRPr="00A51443">
        <w:rPr>
          <w:i/>
          <w:iCs/>
        </w:rPr>
        <w:t>and other admissions related to pregnancy, childbirth and the puerperium</w:t>
      </w:r>
      <w:r w:rsidR="0093424D" w:rsidRPr="00A51443">
        <w:t xml:space="preserve"> </w:t>
      </w:r>
      <w:r w:rsidR="00644F3E" w:rsidRPr="00A51443">
        <w:t>has been replaced by</w:t>
      </w:r>
      <w:r w:rsidR="00412683" w:rsidRPr="00A51443">
        <w:t xml:space="preserve"> </w:t>
      </w:r>
      <w:r w:rsidR="007C2B7A" w:rsidRPr="00A51443">
        <w:t xml:space="preserve">4 </w:t>
      </w:r>
      <w:r w:rsidR="00412683" w:rsidRPr="00A51443">
        <w:t>new medical ADRGs in MDC 14</w:t>
      </w:r>
      <w:r w:rsidR="007D361F" w:rsidRPr="00A51443">
        <w:rPr>
          <w:i/>
          <w:iCs/>
        </w:rPr>
        <w:t xml:space="preserve"> Pregnancy, </w:t>
      </w:r>
      <w:r w:rsidR="0093424D" w:rsidRPr="00A51443">
        <w:rPr>
          <w:i/>
          <w:iCs/>
        </w:rPr>
        <w:t xml:space="preserve">childbirth and the puerperium </w:t>
      </w:r>
      <w:r w:rsidRPr="00A51443">
        <w:t>in AR-DRG V12.0</w:t>
      </w:r>
      <w:r w:rsidR="00D07424" w:rsidRPr="00A51443">
        <w:t xml:space="preserve">, </w:t>
      </w:r>
      <w:r w:rsidR="009612BC" w:rsidRPr="00A51443">
        <w:t xml:space="preserve">as </w:t>
      </w:r>
      <w:r w:rsidR="00D07424" w:rsidRPr="00A51443">
        <w:t>described in</w:t>
      </w:r>
      <w:r w:rsidR="00621DF3">
        <w:t xml:space="preserve"> </w:t>
      </w:r>
      <w:r w:rsidR="00621DF3" w:rsidRPr="00621DF3">
        <w:rPr>
          <w:b/>
          <w:bCs/>
        </w:rPr>
        <w:t>Table 1</w:t>
      </w:r>
      <w:r w:rsidR="00412683" w:rsidRPr="00A51443">
        <w:t>.</w:t>
      </w:r>
    </w:p>
    <w:p w14:paraId="4D18F8BB" w14:textId="419632CD" w:rsidR="00B33C88" w:rsidRPr="00A51443" w:rsidRDefault="009D7B25" w:rsidP="004E2BB8">
      <w:pPr>
        <w:pStyle w:val="Caption"/>
        <w:rPr>
          <w:bCs/>
        </w:rPr>
      </w:pPr>
      <w:r w:rsidRPr="00A51443">
        <w:t xml:space="preserve">Table </w:t>
      </w:r>
      <w:r w:rsidRPr="00A51443">
        <w:fldChar w:fldCharType="begin"/>
      </w:r>
      <w:r w:rsidRPr="00A51443">
        <w:instrText xml:space="preserve"> SEQ Table \* ARABIC </w:instrText>
      </w:r>
      <w:r w:rsidRPr="00A51443">
        <w:fldChar w:fldCharType="separate"/>
      </w:r>
      <w:r w:rsidR="009D07F9">
        <w:rPr>
          <w:noProof/>
        </w:rPr>
        <w:t>1</w:t>
      </w:r>
      <w:r w:rsidRPr="00A51443">
        <w:fldChar w:fldCharType="end"/>
      </w:r>
      <w:r w:rsidRPr="00A51443">
        <w:t xml:space="preserve">: </w:t>
      </w:r>
      <w:r w:rsidR="00644F3E" w:rsidRPr="00A51443">
        <w:t>N</w:t>
      </w:r>
      <w:r w:rsidRPr="00A51443">
        <w:t xml:space="preserve">ew medical ADRGs </w:t>
      </w:r>
      <w:r w:rsidR="00644F3E" w:rsidRPr="00A51443">
        <w:t xml:space="preserve">replacing </w:t>
      </w:r>
      <w:r w:rsidRPr="00A51443">
        <w:t xml:space="preserve">ADRG O66 </w:t>
      </w:r>
      <w:r w:rsidRPr="00A51443">
        <w:rPr>
          <w:i/>
          <w:iCs/>
        </w:rPr>
        <w:t xml:space="preserve">Antenatal and </w:t>
      </w:r>
      <w:r w:rsidR="00514794" w:rsidRPr="00A51443">
        <w:rPr>
          <w:i/>
          <w:iCs/>
        </w:rPr>
        <w:t>o</w:t>
      </w:r>
      <w:r w:rsidRPr="00A51443">
        <w:rPr>
          <w:i/>
          <w:iCs/>
        </w:rPr>
        <w:t xml:space="preserve">ther </w:t>
      </w:r>
      <w:r w:rsidR="00C56410" w:rsidRPr="00A51443">
        <w:rPr>
          <w:i/>
          <w:iCs/>
        </w:rPr>
        <w:t>a</w:t>
      </w:r>
      <w:r w:rsidRPr="00A51443">
        <w:rPr>
          <w:i/>
          <w:iCs/>
        </w:rPr>
        <w:t xml:space="preserve">dmissions related to </w:t>
      </w:r>
      <w:r w:rsidR="00514794" w:rsidRPr="00A51443">
        <w:rPr>
          <w:i/>
          <w:iCs/>
        </w:rPr>
        <w:t>p</w:t>
      </w:r>
      <w:r w:rsidRPr="00A51443">
        <w:rPr>
          <w:i/>
          <w:iCs/>
        </w:rPr>
        <w:t xml:space="preserve">regnancy, </w:t>
      </w:r>
      <w:r w:rsidR="00514794" w:rsidRPr="00A51443">
        <w:rPr>
          <w:i/>
          <w:iCs/>
        </w:rPr>
        <w:t>c</w:t>
      </w:r>
      <w:r w:rsidRPr="00A51443">
        <w:rPr>
          <w:i/>
          <w:iCs/>
        </w:rPr>
        <w:t xml:space="preserve">hildbirth and the </w:t>
      </w:r>
      <w:r w:rsidR="00514794" w:rsidRPr="00A51443">
        <w:rPr>
          <w:i/>
          <w:iCs/>
        </w:rPr>
        <w:t>p</w:t>
      </w:r>
      <w:r w:rsidRPr="00A51443">
        <w:rPr>
          <w:i/>
          <w:iCs/>
        </w:rPr>
        <w:t>uerperium</w:t>
      </w:r>
      <w:r w:rsidRPr="00A51443">
        <w:rPr>
          <w:bCs/>
        </w:rPr>
        <w:t xml:space="preserve"> </w:t>
      </w:r>
      <w:bookmarkStart w:id="492" w:name="_Hlk1816076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043"/>
      </w:tblGrid>
      <w:tr w:rsidR="00A270FD" w:rsidRPr="00A51443" w14:paraId="4A43419A" w14:textId="77777777" w:rsidTr="00000118">
        <w:trPr>
          <w:trHeight w:val="366"/>
          <w:tblHeader/>
          <w:jc w:val="center"/>
        </w:trPr>
        <w:tc>
          <w:tcPr>
            <w:tcW w:w="4596" w:type="dxa"/>
            <w:shd w:val="clear" w:color="auto" w:fill="104F99" w:themeFill="accent2"/>
          </w:tcPr>
          <w:p w14:paraId="2C52EAC2" w14:textId="422C9AC3" w:rsidR="00A270FD" w:rsidRPr="00A51443" w:rsidRDefault="00A270FD" w:rsidP="00235023">
            <w:pPr>
              <w:autoSpaceDE w:val="0"/>
              <w:autoSpaceDN w:val="0"/>
              <w:adjustRightInd w:val="0"/>
              <w:spacing w:before="60" w:after="60" w:line="240" w:lineRule="auto"/>
              <w:rPr>
                <w:rFonts w:cs="Arial"/>
                <w:b/>
                <w:bCs/>
                <w:color w:val="FFFFFF" w:themeColor="accent6"/>
                <w:sz w:val="20"/>
                <w:szCs w:val="20"/>
              </w:rPr>
            </w:pPr>
            <w:r w:rsidRPr="00A51443">
              <w:rPr>
                <w:rFonts w:cs="Arial"/>
                <w:b/>
                <w:bCs/>
                <w:color w:val="FFFFFF" w:themeColor="accent6"/>
                <w:sz w:val="20"/>
                <w:szCs w:val="20"/>
              </w:rPr>
              <w:t>New ADRG</w:t>
            </w:r>
          </w:p>
        </w:tc>
        <w:tc>
          <w:tcPr>
            <w:tcW w:w="5043" w:type="dxa"/>
            <w:shd w:val="clear" w:color="auto" w:fill="104F99" w:themeFill="accent2"/>
          </w:tcPr>
          <w:p w14:paraId="0404E148" w14:textId="62FF2499" w:rsidR="00A270FD" w:rsidRPr="00A51443" w:rsidRDefault="00A270FD" w:rsidP="00235023">
            <w:pPr>
              <w:autoSpaceDE w:val="0"/>
              <w:autoSpaceDN w:val="0"/>
              <w:adjustRightInd w:val="0"/>
              <w:spacing w:before="60" w:after="60" w:line="240" w:lineRule="auto"/>
              <w:rPr>
                <w:rFonts w:cs="Arial"/>
                <w:b/>
                <w:bCs/>
                <w:color w:val="FFFFFF" w:themeColor="accent6"/>
                <w:sz w:val="20"/>
                <w:szCs w:val="20"/>
              </w:rPr>
            </w:pPr>
            <w:r w:rsidRPr="00A51443">
              <w:rPr>
                <w:rFonts w:cs="Arial"/>
                <w:b/>
                <w:bCs/>
                <w:color w:val="FFFFFF" w:themeColor="accent6"/>
                <w:sz w:val="20"/>
                <w:szCs w:val="20"/>
              </w:rPr>
              <w:t>Contents</w:t>
            </w:r>
          </w:p>
        </w:tc>
      </w:tr>
      <w:tr w:rsidR="00A270FD" w:rsidRPr="00A51443" w14:paraId="19AD3A42" w14:textId="77777777" w:rsidTr="00000118">
        <w:trPr>
          <w:trHeight w:val="366"/>
          <w:jc w:val="center"/>
        </w:trPr>
        <w:tc>
          <w:tcPr>
            <w:tcW w:w="4596" w:type="dxa"/>
          </w:tcPr>
          <w:p w14:paraId="76B584CA" w14:textId="782A92CB" w:rsidR="00A270FD" w:rsidRPr="00A51443" w:rsidRDefault="00A270F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O67 </w:t>
            </w:r>
            <w:r w:rsidRPr="00A51443">
              <w:rPr>
                <w:rFonts w:cs="Arial"/>
                <w:i/>
                <w:iCs/>
                <w:color w:val="000000"/>
                <w:sz w:val="20"/>
                <w:szCs w:val="20"/>
              </w:rPr>
              <w:t xml:space="preserve">Diabetes </w:t>
            </w:r>
            <w:r w:rsidR="007C23E0" w:rsidRPr="00A51443">
              <w:rPr>
                <w:rFonts w:cs="Arial"/>
                <w:i/>
                <w:iCs/>
                <w:color w:val="000000"/>
                <w:sz w:val="20"/>
                <w:szCs w:val="20"/>
              </w:rPr>
              <w:t>m</w:t>
            </w:r>
            <w:r w:rsidRPr="00A51443">
              <w:rPr>
                <w:rFonts w:cs="Arial"/>
                <w:i/>
                <w:iCs/>
                <w:color w:val="000000"/>
                <w:sz w:val="20"/>
                <w:szCs w:val="20"/>
              </w:rPr>
              <w:t xml:space="preserve">ellitus and </w:t>
            </w:r>
            <w:r w:rsidR="007C23E0" w:rsidRPr="00A51443">
              <w:rPr>
                <w:rFonts w:cs="Arial"/>
                <w:i/>
                <w:iCs/>
                <w:color w:val="000000"/>
                <w:sz w:val="20"/>
                <w:szCs w:val="20"/>
              </w:rPr>
              <w:t>i</w:t>
            </w:r>
            <w:r w:rsidRPr="00A51443">
              <w:rPr>
                <w:rFonts w:cs="Arial"/>
                <w:i/>
                <w:iCs/>
                <w:color w:val="000000"/>
                <w:sz w:val="20"/>
                <w:szCs w:val="20"/>
              </w:rPr>
              <w:t xml:space="preserve">ntermediate </w:t>
            </w:r>
            <w:r w:rsidR="007C23E0" w:rsidRPr="00A51443">
              <w:rPr>
                <w:rFonts w:cs="Arial"/>
                <w:i/>
                <w:iCs/>
                <w:color w:val="000000"/>
                <w:sz w:val="20"/>
                <w:szCs w:val="20"/>
              </w:rPr>
              <w:t>h</w:t>
            </w:r>
            <w:r w:rsidRPr="00A51443">
              <w:rPr>
                <w:rFonts w:cs="Arial"/>
                <w:i/>
                <w:iCs/>
                <w:color w:val="000000"/>
                <w:sz w:val="20"/>
                <w:szCs w:val="20"/>
              </w:rPr>
              <w:t xml:space="preserve">yperglycaemia in </w:t>
            </w:r>
            <w:r w:rsidR="007C23E0" w:rsidRPr="00A51443">
              <w:rPr>
                <w:rFonts w:cs="Arial"/>
                <w:i/>
                <w:iCs/>
                <w:color w:val="000000"/>
                <w:sz w:val="20"/>
                <w:szCs w:val="20"/>
              </w:rPr>
              <w:t>p</w:t>
            </w:r>
            <w:r w:rsidRPr="00A51443">
              <w:rPr>
                <w:rFonts w:cs="Arial"/>
                <w:i/>
                <w:iCs/>
                <w:color w:val="000000"/>
                <w:sz w:val="20"/>
                <w:szCs w:val="20"/>
              </w:rPr>
              <w:t xml:space="preserve">regnancy </w:t>
            </w:r>
            <w:r w:rsidR="00EE3956" w:rsidRPr="00A51443">
              <w:rPr>
                <w:rFonts w:cs="Arial"/>
                <w:i/>
                <w:iCs/>
                <w:color w:val="000000"/>
                <w:sz w:val="20"/>
                <w:szCs w:val="20"/>
              </w:rPr>
              <w:t>and</w:t>
            </w:r>
            <w:r w:rsidRPr="00A51443">
              <w:rPr>
                <w:rFonts w:cs="Arial"/>
                <w:i/>
                <w:iCs/>
                <w:color w:val="000000"/>
                <w:sz w:val="20"/>
                <w:szCs w:val="20"/>
              </w:rPr>
              <w:t xml:space="preserve"> the </w:t>
            </w:r>
            <w:r w:rsidR="007C23E0" w:rsidRPr="00A51443">
              <w:rPr>
                <w:rFonts w:cs="Arial"/>
                <w:i/>
                <w:iCs/>
                <w:color w:val="000000"/>
                <w:sz w:val="20"/>
                <w:szCs w:val="20"/>
              </w:rPr>
              <w:t>p</w:t>
            </w:r>
            <w:r w:rsidRPr="00A51443">
              <w:rPr>
                <w:rFonts w:cs="Arial"/>
                <w:i/>
                <w:iCs/>
                <w:color w:val="000000"/>
                <w:sz w:val="20"/>
                <w:szCs w:val="20"/>
              </w:rPr>
              <w:t xml:space="preserve">uerperium </w:t>
            </w:r>
          </w:p>
        </w:tc>
        <w:tc>
          <w:tcPr>
            <w:tcW w:w="5043" w:type="dxa"/>
          </w:tcPr>
          <w:p w14:paraId="2CB43DA2" w14:textId="5967623C" w:rsidR="00A270FD" w:rsidRPr="00A51443" w:rsidRDefault="00A270F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Episodes with a principal diagnosis </w:t>
            </w:r>
            <w:r w:rsidR="00550625" w:rsidRPr="00A51443">
              <w:rPr>
                <w:rFonts w:cs="Arial"/>
                <w:color w:val="000000"/>
                <w:sz w:val="20"/>
                <w:szCs w:val="20"/>
              </w:rPr>
              <w:t>that indicates diabetes mellitus or intermediate hyperglycaemia in pregnancy or the puerperium.</w:t>
            </w:r>
          </w:p>
        </w:tc>
      </w:tr>
      <w:tr w:rsidR="00A270FD" w:rsidRPr="00A51443" w14:paraId="199C6A4A" w14:textId="77777777" w:rsidTr="00000118">
        <w:trPr>
          <w:trHeight w:val="366"/>
          <w:jc w:val="center"/>
        </w:trPr>
        <w:tc>
          <w:tcPr>
            <w:tcW w:w="4596" w:type="dxa"/>
          </w:tcPr>
          <w:p w14:paraId="25A0B79E" w14:textId="50CC57A2" w:rsidR="00A270FD" w:rsidRPr="00A51443" w:rsidRDefault="00A270F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O68 </w:t>
            </w:r>
            <w:r w:rsidR="000C1DA4" w:rsidRPr="00A51443">
              <w:rPr>
                <w:rFonts w:cs="Arial"/>
                <w:i/>
                <w:iCs/>
                <w:color w:val="000000"/>
                <w:sz w:val="20"/>
                <w:szCs w:val="20"/>
              </w:rPr>
              <w:t>Maternal medical conditions complicating pregnancy and the puerperium</w:t>
            </w:r>
          </w:p>
        </w:tc>
        <w:tc>
          <w:tcPr>
            <w:tcW w:w="5043" w:type="dxa"/>
          </w:tcPr>
          <w:p w14:paraId="5F8A736F" w14:textId="46304334" w:rsidR="00550625" w:rsidRPr="00A51443" w:rsidRDefault="00A270F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Episodes with a principal diagnosis </w:t>
            </w:r>
            <w:r w:rsidR="00550625" w:rsidRPr="00A51443">
              <w:rPr>
                <w:rFonts w:cs="Arial"/>
                <w:color w:val="000000"/>
                <w:sz w:val="20"/>
                <w:szCs w:val="20"/>
              </w:rPr>
              <w:t xml:space="preserve">that indicates a medical </w:t>
            </w:r>
            <w:r w:rsidRPr="00A51443">
              <w:rPr>
                <w:rFonts w:cs="Arial"/>
                <w:color w:val="000000"/>
                <w:sz w:val="20"/>
                <w:szCs w:val="20"/>
              </w:rPr>
              <w:t>condition</w:t>
            </w:r>
            <w:r w:rsidR="00550625" w:rsidRPr="00A51443">
              <w:rPr>
                <w:rFonts w:cs="Arial"/>
                <w:color w:val="000000"/>
                <w:sz w:val="20"/>
                <w:szCs w:val="20"/>
              </w:rPr>
              <w:t>:</w:t>
            </w:r>
          </w:p>
          <w:p w14:paraId="035CF4A1" w14:textId="448EFB94" w:rsidR="00550625" w:rsidRPr="00A51443" w:rsidRDefault="00A270FD" w:rsidP="00623EF7">
            <w:pPr>
              <w:pStyle w:val="ListParagraph"/>
              <w:numPr>
                <w:ilvl w:val="0"/>
                <w:numId w:val="21"/>
              </w:numPr>
              <w:autoSpaceDE w:val="0"/>
              <w:autoSpaceDN w:val="0"/>
              <w:adjustRightInd w:val="0"/>
              <w:spacing w:before="60" w:after="60" w:line="240" w:lineRule="auto"/>
              <w:ind w:left="357" w:hanging="357"/>
              <w:contextualSpacing w:val="0"/>
              <w:rPr>
                <w:rFonts w:cs="Arial"/>
                <w:color w:val="000000"/>
                <w:sz w:val="20"/>
                <w:szCs w:val="20"/>
              </w:rPr>
            </w:pPr>
            <w:r w:rsidRPr="00A51443">
              <w:rPr>
                <w:rFonts w:cs="Arial"/>
                <w:color w:val="000000"/>
                <w:sz w:val="20"/>
                <w:szCs w:val="20"/>
              </w:rPr>
              <w:t>complicating pregnancy or the puerperium</w:t>
            </w:r>
            <w:r w:rsidR="00946319" w:rsidRPr="00A51443">
              <w:rPr>
                <w:rFonts w:cs="Arial"/>
                <w:color w:val="000000"/>
                <w:sz w:val="20"/>
                <w:szCs w:val="20"/>
              </w:rPr>
              <w:t>; and</w:t>
            </w:r>
          </w:p>
          <w:p w14:paraId="2CA40679" w14:textId="3C5646DD" w:rsidR="00550625" w:rsidRPr="00A51443" w:rsidRDefault="001B1108" w:rsidP="00623EF7">
            <w:pPr>
              <w:pStyle w:val="ListParagraph"/>
              <w:numPr>
                <w:ilvl w:val="0"/>
                <w:numId w:val="21"/>
              </w:numPr>
              <w:autoSpaceDE w:val="0"/>
              <w:autoSpaceDN w:val="0"/>
              <w:adjustRightInd w:val="0"/>
              <w:spacing w:before="60" w:after="60" w:line="240" w:lineRule="auto"/>
              <w:ind w:left="363"/>
              <w:contextualSpacing w:val="0"/>
              <w:rPr>
                <w:rFonts w:cs="Arial"/>
                <w:color w:val="000000"/>
                <w:sz w:val="20"/>
                <w:szCs w:val="20"/>
              </w:rPr>
            </w:pPr>
            <w:r w:rsidRPr="00A51443">
              <w:rPr>
                <w:rFonts w:cs="Arial"/>
                <w:color w:val="000000"/>
                <w:sz w:val="20"/>
                <w:szCs w:val="20"/>
              </w:rPr>
              <w:t>t</w:t>
            </w:r>
            <w:r w:rsidR="00550625" w:rsidRPr="00A51443">
              <w:rPr>
                <w:rFonts w:cs="Arial"/>
                <w:color w:val="000000"/>
                <w:sz w:val="20"/>
                <w:szCs w:val="20"/>
              </w:rPr>
              <w:t xml:space="preserve">hat can occur in any patient; and </w:t>
            </w:r>
          </w:p>
          <w:p w14:paraId="21B0E05F" w14:textId="604F0D32" w:rsidR="00A270FD" w:rsidRPr="00A51443" w:rsidRDefault="00550625" w:rsidP="00623EF7">
            <w:pPr>
              <w:pStyle w:val="ListParagraph"/>
              <w:numPr>
                <w:ilvl w:val="0"/>
                <w:numId w:val="21"/>
              </w:numPr>
              <w:autoSpaceDE w:val="0"/>
              <w:autoSpaceDN w:val="0"/>
              <w:adjustRightInd w:val="0"/>
              <w:spacing w:before="60" w:after="60" w:line="240" w:lineRule="auto"/>
              <w:ind w:left="363"/>
              <w:contextualSpacing w:val="0"/>
              <w:rPr>
                <w:rFonts w:cs="Arial"/>
                <w:color w:val="000000"/>
                <w:sz w:val="20"/>
                <w:szCs w:val="20"/>
              </w:rPr>
            </w:pPr>
            <w:r w:rsidRPr="00A51443">
              <w:rPr>
                <w:rFonts w:cs="Arial"/>
                <w:color w:val="000000"/>
                <w:sz w:val="20"/>
                <w:szCs w:val="20"/>
              </w:rPr>
              <w:t xml:space="preserve">is </w:t>
            </w:r>
            <w:r w:rsidR="00A270FD" w:rsidRPr="00A51443">
              <w:rPr>
                <w:rFonts w:cs="Arial"/>
                <w:color w:val="000000"/>
                <w:sz w:val="20"/>
                <w:szCs w:val="20"/>
              </w:rPr>
              <w:t xml:space="preserve">generally classifiable </w:t>
            </w:r>
            <w:r w:rsidRPr="00A51443">
              <w:rPr>
                <w:rFonts w:cs="Arial"/>
                <w:color w:val="000000"/>
                <w:sz w:val="20"/>
                <w:szCs w:val="20"/>
              </w:rPr>
              <w:t xml:space="preserve">outside </w:t>
            </w:r>
            <w:r w:rsidR="00A270FD" w:rsidRPr="00A51443">
              <w:rPr>
                <w:rFonts w:cs="Arial"/>
                <w:color w:val="000000"/>
                <w:sz w:val="20"/>
                <w:szCs w:val="20"/>
              </w:rPr>
              <w:t>ICD</w:t>
            </w:r>
            <w:r w:rsidR="00D23839" w:rsidRPr="00A51443">
              <w:rPr>
                <w:rFonts w:cs="Arial"/>
                <w:color w:val="000000"/>
                <w:sz w:val="20"/>
                <w:szCs w:val="20"/>
              </w:rPr>
              <w:noBreakHyphen/>
            </w:r>
            <w:r w:rsidR="00A270FD" w:rsidRPr="00A51443">
              <w:rPr>
                <w:rFonts w:cs="Arial"/>
                <w:color w:val="000000"/>
                <w:sz w:val="20"/>
                <w:szCs w:val="20"/>
              </w:rPr>
              <w:t>10</w:t>
            </w:r>
            <w:r w:rsidR="00D23839" w:rsidRPr="00A51443">
              <w:rPr>
                <w:rFonts w:cs="Arial"/>
                <w:color w:val="000000"/>
                <w:sz w:val="20"/>
                <w:szCs w:val="20"/>
              </w:rPr>
              <w:noBreakHyphen/>
            </w:r>
            <w:r w:rsidR="00A270FD" w:rsidRPr="00A51443">
              <w:rPr>
                <w:rFonts w:cs="Arial"/>
                <w:color w:val="000000"/>
                <w:sz w:val="20"/>
                <w:szCs w:val="20"/>
              </w:rPr>
              <w:t xml:space="preserve">AM </w:t>
            </w:r>
            <w:r w:rsidRPr="00A51443">
              <w:rPr>
                <w:rFonts w:cs="Arial"/>
                <w:color w:val="000000"/>
                <w:sz w:val="20"/>
                <w:szCs w:val="20"/>
              </w:rPr>
              <w:t>C</w:t>
            </w:r>
            <w:r w:rsidR="00A270FD" w:rsidRPr="00A51443">
              <w:rPr>
                <w:rFonts w:cs="Arial"/>
                <w:color w:val="000000"/>
                <w:sz w:val="20"/>
                <w:szCs w:val="20"/>
              </w:rPr>
              <w:t>hapter</w:t>
            </w:r>
            <w:r w:rsidRPr="00A51443">
              <w:rPr>
                <w:rFonts w:cs="Arial"/>
                <w:color w:val="000000"/>
                <w:sz w:val="20"/>
                <w:szCs w:val="20"/>
              </w:rPr>
              <w:t xml:space="preserve"> 15 </w:t>
            </w:r>
            <w:r w:rsidRPr="00A51443">
              <w:rPr>
                <w:rFonts w:cs="Arial"/>
                <w:i/>
                <w:iCs/>
                <w:color w:val="000000"/>
                <w:sz w:val="20"/>
                <w:szCs w:val="20"/>
              </w:rPr>
              <w:t xml:space="preserve">Pregnancy, </w:t>
            </w:r>
            <w:r w:rsidR="00C56410" w:rsidRPr="00A51443">
              <w:rPr>
                <w:rFonts w:cs="Arial"/>
                <w:i/>
                <w:iCs/>
                <w:color w:val="000000"/>
                <w:sz w:val="20"/>
                <w:szCs w:val="20"/>
              </w:rPr>
              <w:t>c</w:t>
            </w:r>
            <w:r w:rsidRPr="00A51443">
              <w:rPr>
                <w:rFonts w:cs="Arial"/>
                <w:i/>
                <w:iCs/>
                <w:color w:val="000000"/>
                <w:sz w:val="20"/>
                <w:szCs w:val="20"/>
              </w:rPr>
              <w:t xml:space="preserve">hildbirth and the </w:t>
            </w:r>
            <w:r w:rsidR="00C56410" w:rsidRPr="00A51443">
              <w:rPr>
                <w:rFonts w:cs="Arial"/>
                <w:i/>
                <w:iCs/>
                <w:color w:val="000000"/>
                <w:sz w:val="20"/>
                <w:szCs w:val="20"/>
              </w:rPr>
              <w:t>p</w:t>
            </w:r>
            <w:r w:rsidRPr="00A51443">
              <w:rPr>
                <w:rFonts w:cs="Arial"/>
                <w:i/>
                <w:iCs/>
                <w:color w:val="000000"/>
                <w:sz w:val="20"/>
                <w:szCs w:val="20"/>
              </w:rPr>
              <w:t>uerperium</w:t>
            </w:r>
            <w:r w:rsidR="00A270FD" w:rsidRPr="00A51443">
              <w:rPr>
                <w:rFonts w:cs="Arial"/>
                <w:color w:val="000000"/>
                <w:sz w:val="20"/>
                <w:szCs w:val="20"/>
              </w:rPr>
              <w:t xml:space="preserve">. </w:t>
            </w:r>
          </w:p>
        </w:tc>
      </w:tr>
      <w:tr w:rsidR="00A270FD" w:rsidRPr="00A51443" w14:paraId="43E16AB6" w14:textId="77777777" w:rsidTr="00000118">
        <w:trPr>
          <w:trHeight w:val="480"/>
          <w:jc w:val="center"/>
        </w:trPr>
        <w:tc>
          <w:tcPr>
            <w:tcW w:w="4596" w:type="dxa"/>
          </w:tcPr>
          <w:p w14:paraId="20A66131" w14:textId="2EC2381B" w:rsidR="00A270FD" w:rsidRPr="00A51443" w:rsidRDefault="00A270F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O69 </w:t>
            </w:r>
            <w:r w:rsidR="000C1DA4" w:rsidRPr="00A51443">
              <w:rPr>
                <w:rFonts w:cs="Arial"/>
                <w:i/>
                <w:iCs/>
                <w:color w:val="000000"/>
                <w:sz w:val="20"/>
                <w:szCs w:val="20"/>
              </w:rPr>
              <w:t xml:space="preserve">Gestational disorders complicating pregnancy and the </w:t>
            </w:r>
            <w:r w:rsidR="00C56410" w:rsidRPr="00A51443">
              <w:rPr>
                <w:rFonts w:cs="Arial"/>
                <w:i/>
                <w:iCs/>
                <w:color w:val="000000"/>
                <w:sz w:val="20"/>
                <w:szCs w:val="20"/>
              </w:rPr>
              <w:t>p</w:t>
            </w:r>
            <w:r w:rsidR="00306807" w:rsidRPr="00A51443">
              <w:rPr>
                <w:rFonts w:cs="Arial"/>
                <w:i/>
                <w:iCs/>
                <w:color w:val="000000"/>
                <w:sz w:val="20"/>
                <w:szCs w:val="20"/>
              </w:rPr>
              <w:t>uerperium</w:t>
            </w:r>
          </w:p>
        </w:tc>
        <w:tc>
          <w:tcPr>
            <w:tcW w:w="5043" w:type="dxa"/>
          </w:tcPr>
          <w:p w14:paraId="6354433E" w14:textId="483C64A0" w:rsidR="001B1108" w:rsidRPr="00A51443" w:rsidRDefault="00A270F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Episodes with a principal diagnosis </w:t>
            </w:r>
            <w:r w:rsidR="001B1108" w:rsidRPr="00A51443">
              <w:rPr>
                <w:rFonts w:cs="Arial"/>
                <w:color w:val="000000"/>
                <w:sz w:val="20"/>
                <w:szCs w:val="20"/>
              </w:rPr>
              <w:t xml:space="preserve">that indicates </w:t>
            </w:r>
            <w:r w:rsidRPr="00A51443">
              <w:rPr>
                <w:rFonts w:cs="Arial"/>
                <w:color w:val="000000"/>
                <w:sz w:val="20"/>
                <w:szCs w:val="20"/>
              </w:rPr>
              <w:t xml:space="preserve">a </w:t>
            </w:r>
            <w:r w:rsidR="001B1108" w:rsidRPr="00A51443">
              <w:rPr>
                <w:rFonts w:cs="Arial"/>
                <w:color w:val="000000"/>
                <w:sz w:val="20"/>
                <w:szCs w:val="20"/>
              </w:rPr>
              <w:t xml:space="preserve">medical </w:t>
            </w:r>
            <w:r w:rsidRPr="00A51443">
              <w:rPr>
                <w:rFonts w:cs="Arial"/>
                <w:color w:val="000000"/>
                <w:sz w:val="20"/>
                <w:szCs w:val="20"/>
              </w:rPr>
              <w:t>condition</w:t>
            </w:r>
            <w:r w:rsidR="001B1108" w:rsidRPr="00A51443">
              <w:rPr>
                <w:rFonts w:cs="Arial"/>
                <w:color w:val="000000"/>
                <w:sz w:val="20"/>
                <w:szCs w:val="20"/>
              </w:rPr>
              <w:t>:</w:t>
            </w:r>
          </w:p>
          <w:p w14:paraId="4EF593D3" w14:textId="4FED1D40" w:rsidR="001B1108" w:rsidRPr="00A51443" w:rsidRDefault="00A270FD" w:rsidP="00623EF7">
            <w:pPr>
              <w:pStyle w:val="ListParagraph"/>
              <w:numPr>
                <w:ilvl w:val="0"/>
                <w:numId w:val="22"/>
              </w:numPr>
              <w:autoSpaceDE w:val="0"/>
              <w:autoSpaceDN w:val="0"/>
              <w:adjustRightInd w:val="0"/>
              <w:spacing w:before="60" w:after="60" w:line="240" w:lineRule="auto"/>
              <w:ind w:left="360"/>
              <w:contextualSpacing w:val="0"/>
              <w:rPr>
                <w:rFonts w:cs="Arial"/>
                <w:color w:val="000000"/>
                <w:sz w:val="20"/>
                <w:szCs w:val="20"/>
              </w:rPr>
            </w:pPr>
            <w:r w:rsidRPr="00A51443">
              <w:rPr>
                <w:rFonts w:cs="Arial"/>
                <w:color w:val="000000"/>
                <w:sz w:val="20"/>
                <w:szCs w:val="20"/>
              </w:rPr>
              <w:t>complicating pregnancy or the puerperium</w:t>
            </w:r>
            <w:r w:rsidR="00946319" w:rsidRPr="00A51443">
              <w:rPr>
                <w:rFonts w:cs="Arial"/>
                <w:color w:val="000000"/>
                <w:sz w:val="20"/>
                <w:szCs w:val="20"/>
              </w:rPr>
              <w:t>; and</w:t>
            </w:r>
          </w:p>
          <w:p w14:paraId="1DD679BF" w14:textId="51F01B5F" w:rsidR="00295369" w:rsidRPr="00A51443" w:rsidRDefault="00D248D0" w:rsidP="00623EF7">
            <w:pPr>
              <w:pStyle w:val="ListParagraph"/>
              <w:numPr>
                <w:ilvl w:val="0"/>
                <w:numId w:val="22"/>
              </w:numPr>
              <w:autoSpaceDE w:val="0"/>
              <w:autoSpaceDN w:val="0"/>
              <w:adjustRightInd w:val="0"/>
              <w:spacing w:before="60" w:after="60" w:line="240" w:lineRule="auto"/>
              <w:ind w:left="360"/>
              <w:contextualSpacing w:val="0"/>
              <w:rPr>
                <w:rFonts w:cs="Arial"/>
                <w:color w:val="000000"/>
                <w:sz w:val="20"/>
                <w:szCs w:val="20"/>
              </w:rPr>
            </w:pPr>
            <w:r w:rsidRPr="00A51443">
              <w:rPr>
                <w:rFonts w:cs="Arial"/>
                <w:color w:val="000000"/>
                <w:sz w:val="20"/>
                <w:szCs w:val="20"/>
              </w:rPr>
              <w:t>e</w:t>
            </w:r>
            <w:r w:rsidR="00295369" w:rsidRPr="00A51443">
              <w:rPr>
                <w:rFonts w:cs="Arial"/>
                <w:color w:val="000000"/>
                <w:sz w:val="20"/>
                <w:szCs w:val="20"/>
              </w:rPr>
              <w:t xml:space="preserve">xclusively or </w:t>
            </w:r>
            <w:r w:rsidRPr="00A51443">
              <w:rPr>
                <w:rFonts w:cs="Arial"/>
                <w:color w:val="000000"/>
                <w:sz w:val="20"/>
                <w:szCs w:val="20"/>
              </w:rPr>
              <w:t>predominantly</w:t>
            </w:r>
            <w:r w:rsidR="00295369" w:rsidRPr="00A51443">
              <w:rPr>
                <w:rFonts w:cs="Arial"/>
                <w:color w:val="000000"/>
                <w:sz w:val="20"/>
                <w:szCs w:val="20"/>
              </w:rPr>
              <w:t xml:space="preserve"> of gestational onset; and</w:t>
            </w:r>
          </w:p>
          <w:p w14:paraId="29EB5325" w14:textId="5916111B" w:rsidR="00A270FD" w:rsidRPr="00A51443" w:rsidRDefault="00295369" w:rsidP="00623EF7">
            <w:pPr>
              <w:pStyle w:val="ListParagraph"/>
              <w:numPr>
                <w:ilvl w:val="0"/>
                <w:numId w:val="22"/>
              </w:numPr>
              <w:autoSpaceDE w:val="0"/>
              <w:autoSpaceDN w:val="0"/>
              <w:adjustRightInd w:val="0"/>
              <w:spacing w:before="60" w:after="60" w:line="240" w:lineRule="auto"/>
              <w:ind w:left="360"/>
              <w:contextualSpacing w:val="0"/>
              <w:rPr>
                <w:rFonts w:cs="Arial"/>
                <w:color w:val="000000"/>
                <w:sz w:val="20"/>
                <w:szCs w:val="20"/>
              </w:rPr>
            </w:pPr>
            <w:r w:rsidRPr="00A51443">
              <w:rPr>
                <w:rFonts w:cs="Arial"/>
                <w:color w:val="000000"/>
                <w:sz w:val="20"/>
                <w:szCs w:val="20"/>
              </w:rPr>
              <w:t xml:space="preserve">is </w:t>
            </w:r>
            <w:r w:rsidR="00A270FD" w:rsidRPr="00A51443">
              <w:rPr>
                <w:rFonts w:cs="Arial"/>
                <w:color w:val="000000"/>
                <w:sz w:val="20"/>
                <w:szCs w:val="20"/>
              </w:rPr>
              <w:t xml:space="preserve">generally </w:t>
            </w:r>
            <w:r w:rsidRPr="00A51443">
              <w:rPr>
                <w:rFonts w:cs="Arial"/>
                <w:color w:val="000000"/>
                <w:sz w:val="20"/>
                <w:szCs w:val="20"/>
              </w:rPr>
              <w:t xml:space="preserve">not </w:t>
            </w:r>
            <w:r w:rsidR="00A270FD" w:rsidRPr="00A51443">
              <w:rPr>
                <w:rFonts w:cs="Arial"/>
                <w:color w:val="000000"/>
                <w:sz w:val="20"/>
                <w:szCs w:val="20"/>
              </w:rPr>
              <w:t xml:space="preserve">classifiable </w:t>
            </w:r>
            <w:r w:rsidRPr="00A51443">
              <w:rPr>
                <w:rFonts w:cs="Arial"/>
                <w:color w:val="000000"/>
                <w:sz w:val="20"/>
                <w:szCs w:val="20"/>
              </w:rPr>
              <w:t>outside ICD</w:t>
            </w:r>
            <w:r w:rsidR="00FF2E36" w:rsidRPr="00A51443">
              <w:rPr>
                <w:rFonts w:cs="Arial"/>
                <w:color w:val="000000"/>
                <w:sz w:val="20"/>
                <w:szCs w:val="20"/>
              </w:rPr>
              <w:noBreakHyphen/>
            </w:r>
            <w:r w:rsidRPr="00A51443">
              <w:rPr>
                <w:rFonts w:cs="Arial"/>
                <w:color w:val="000000"/>
                <w:sz w:val="20"/>
                <w:szCs w:val="20"/>
              </w:rPr>
              <w:t xml:space="preserve">10-AM Chapter 15 </w:t>
            </w:r>
            <w:r w:rsidRPr="00A51443">
              <w:rPr>
                <w:rFonts w:cs="Arial"/>
                <w:i/>
                <w:iCs/>
                <w:color w:val="000000"/>
                <w:sz w:val="20"/>
                <w:szCs w:val="20"/>
              </w:rPr>
              <w:t xml:space="preserve">Pregnancy, </w:t>
            </w:r>
            <w:r w:rsidR="00C56410" w:rsidRPr="00A51443">
              <w:rPr>
                <w:rFonts w:cs="Arial"/>
                <w:i/>
                <w:iCs/>
                <w:color w:val="000000"/>
                <w:sz w:val="20"/>
                <w:szCs w:val="20"/>
              </w:rPr>
              <w:t>c</w:t>
            </w:r>
            <w:r w:rsidRPr="00A51443">
              <w:rPr>
                <w:rFonts w:cs="Arial"/>
                <w:i/>
                <w:iCs/>
                <w:color w:val="000000"/>
                <w:sz w:val="20"/>
                <w:szCs w:val="20"/>
              </w:rPr>
              <w:t xml:space="preserve">hildbirth and the </w:t>
            </w:r>
            <w:r w:rsidR="00C56410" w:rsidRPr="00A51443">
              <w:rPr>
                <w:rFonts w:cs="Arial"/>
                <w:i/>
                <w:iCs/>
                <w:color w:val="000000"/>
                <w:sz w:val="20"/>
                <w:szCs w:val="20"/>
              </w:rPr>
              <w:t>p</w:t>
            </w:r>
            <w:r w:rsidRPr="00A51443">
              <w:rPr>
                <w:rFonts w:cs="Arial"/>
                <w:i/>
                <w:iCs/>
                <w:color w:val="000000"/>
                <w:sz w:val="20"/>
                <w:szCs w:val="20"/>
              </w:rPr>
              <w:t>uerperium</w:t>
            </w:r>
            <w:r w:rsidR="00A270FD" w:rsidRPr="00A51443">
              <w:rPr>
                <w:rFonts w:cs="Arial"/>
                <w:color w:val="000000"/>
                <w:sz w:val="20"/>
                <w:szCs w:val="20"/>
              </w:rPr>
              <w:t xml:space="preserve">. </w:t>
            </w:r>
          </w:p>
        </w:tc>
      </w:tr>
      <w:tr w:rsidR="00A270FD" w:rsidRPr="00A51443" w14:paraId="18F8DE2B" w14:textId="77777777" w:rsidTr="00000118">
        <w:trPr>
          <w:trHeight w:val="366"/>
          <w:jc w:val="center"/>
        </w:trPr>
        <w:tc>
          <w:tcPr>
            <w:tcW w:w="4596" w:type="dxa"/>
          </w:tcPr>
          <w:p w14:paraId="39C7B1C4" w14:textId="6B5FC214" w:rsidR="00A270FD" w:rsidRPr="00A51443" w:rsidRDefault="00A270F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O70 </w:t>
            </w:r>
            <w:r w:rsidR="000C1DA4" w:rsidRPr="00A51443">
              <w:rPr>
                <w:rFonts w:cs="Arial"/>
                <w:i/>
                <w:iCs/>
                <w:color w:val="000000"/>
                <w:sz w:val="20"/>
                <w:szCs w:val="20"/>
              </w:rPr>
              <w:t>Care and screening for other antenatal presentations</w:t>
            </w:r>
          </w:p>
        </w:tc>
        <w:tc>
          <w:tcPr>
            <w:tcW w:w="5043" w:type="dxa"/>
          </w:tcPr>
          <w:p w14:paraId="3CFB8A63" w14:textId="0BE1C0AF" w:rsidR="00A270FD" w:rsidRPr="00A51443" w:rsidRDefault="00A651AD" w:rsidP="00235023">
            <w:pPr>
              <w:autoSpaceDE w:val="0"/>
              <w:autoSpaceDN w:val="0"/>
              <w:adjustRightInd w:val="0"/>
              <w:spacing w:before="60" w:after="60" w:line="240" w:lineRule="auto"/>
              <w:rPr>
                <w:rFonts w:cs="Arial"/>
                <w:color w:val="000000"/>
                <w:sz w:val="20"/>
                <w:szCs w:val="20"/>
              </w:rPr>
            </w:pPr>
            <w:r w:rsidRPr="00A51443">
              <w:rPr>
                <w:rFonts w:cs="Arial"/>
                <w:color w:val="000000"/>
                <w:sz w:val="20"/>
                <w:szCs w:val="20"/>
              </w:rPr>
              <w:t xml:space="preserve">Episodes with a principal diagnosis that indicates antenatal screening, care of abnormal presentations or monitoring and supervision of </w:t>
            </w:r>
            <w:r w:rsidR="00186A57" w:rsidRPr="00A51443">
              <w:rPr>
                <w:rFonts w:cs="Arial"/>
                <w:color w:val="000000"/>
                <w:sz w:val="20"/>
                <w:szCs w:val="20"/>
              </w:rPr>
              <w:t>pregnancy</w:t>
            </w:r>
            <w:r w:rsidRPr="00A51443">
              <w:rPr>
                <w:rFonts w:cs="Arial"/>
                <w:color w:val="000000"/>
                <w:sz w:val="20"/>
                <w:szCs w:val="20"/>
              </w:rPr>
              <w:t>.</w:t>
            </w:r>
            <w:r w:rsidR="00A270FD" w:rsidRPr="00A51443">
              <w:rPr>
                <w:rFonts w:cs="Arial"/>
                <w:color w:val="000000"/>
                <w:sz w:val="20"/>
                <w:szCs w:val="20"/>
              </w:rPr>
              <w:t xml:space="preserve"> </w:t>
            </w:r>
          </w:p>
        </w:tc>
      </w:tr>
      <w:bookmarkEnd w:id="492"/>
    </w:tbl>
    <w:p w14:paraId="656B18E7" w14:textId="77777777" w:rsidR="000508A0" w:rsidRPr="00A51443" w:rsidRDefault="000508A0" w:rsidP="002074EA">
      <w:pPr>
        <w:spacing w:before="120"/>
      </w:pPr>
    </w:p>
    <w:p w14:paraId="1A4DFF28" w14:textId="5E60D6FB" w:rsidR="00306807" w:rsidRPr="00A51443" w:rsidRDefault="00306807" w:rsidP="002074EA">
      <w:pPr>
        <w:spacing w:before="120"/>
      </w:pPr>
      <w:r w:rsidRPr="00A51443">
        <w:lastRenderedPageBreak/>
        <w:t>The principal diagnos</w:t>
      </w:r>
      <w:r w:rsidR="00634FD7" w:rsidRPr="00A51443">
        <w:t>i</w:t>
      </w:r>
      <w:r w:rsidRPr="00A51443">
        <w:t>s</w:t>
      </w:r>
      <w:r w:rsidR="00634FD7" w:rsidRPr="00A51443">
        <w:t xml:space="preserve"> codes</w:t>
      </w:r>
      <w:r w:rsidRPr="00A51443">
        <w:t xml:space="preserve"> </w:t>
      </w:r>
      <w:r w:rsidR="00111EEC">
        <w:t xml:space="preserve">that inform </w:t>
      </w:r>
      <w:r w:rsidRPr="00A51443">
        <w:t>grouping</w:t>
      </w:r>
      <w:r w:rsidR="00111EEC">
        <w:t xml:space="preserve"> of episodes</w:t>
      </w:r>
      <w:r w:rsidRPr="00A51443">
        <w:t xml:space="preserve"> to the </w:t>
      </w:r>
      <w:r w:rsidR="007C2B7A" w:rsidRPr="00A51443">
        <w:t>4</w:t>
      </w:r>
      <w:r w:rsidRPr="00A51443">
        <w:t xml:space="preserve"> new medical ADRGs </w:t>
      </w:r>
      <w:r w:rsidR="00F2666F" w:rsidRPr="00A51443">
        <w:t>in MDC 14</w:t>
      </w:r>
      <w:r w:rsidR="00E86011" w:rsidRPr="00A51443">
        <w:t xml:space="preserve"> in AR</w:t>
      </w:r>
      <w:r w:rsidR="00182277" w:rsidRPr="00A51443">
        <w:noBreakHyphen/>
      </w:r>
      <w:r w:rsidR="00E86011" w:rsidRPr="00A51443">
        <w:t>DRG V12.0</w:t>
      </w:r>
      <w:r w:rsidR="00F2666F" w:rsidRPr="00A51443">
        <w:t xml:space="preserve"> </w:t>
      </w:r>
      <w:r w:rsidRPr="00A51443">
        <w:t xml:space="preserve">are </w:t>
      </w:r>
      <w:r w:rsidR="00F2666F" w:rsidRPr="00A51443">
        <w:t>listed</w:t>
      </w:r>
      <w:r w:rsidRPr="00A51443">
        <w:t xml:space="preserve"> in</w:t>
      </w:r>
      <w:r w:rsidR="00A176FA" w:rsidRPr="00A51443">
        <w:rPr>
          <w:b/>
          <w:bCs/>
        </w:rPr>
        <w:t xml:space="preserve"> Appendix A2</w:t>
      </w:r>
      <w:r w:rsidRPr="00A51443">
        <w:t>.</w:t>
      </w:r>
    </w:p>
    <w:p w14:paraId="79F0E52A" w14:textId="44243326" w:rsidR="00186A57" w:rsidRPr="00A51443" w:rsidRDefault="00A1098E" w:rsidP="005F3E8E">
      <w:r w:rsidRPr="00A51443">
        <w:t xml:space="preserve">The ADRG splitting review selected </w:t>
      </w:r>
      <w:r w:rsidR="004E3FBF" w:rsidRPr="00A51443">
        <w:t>one</w:t>
      </w:r>
      <w:r w:rsidRPr="00A51443">
        <w:t xml:space="preserve"> </w:t>
      </w:r>
      <w:r w:rsidR="007C2B7A" w:rsidRPr="00A51443">
        <w:t>complexity</w:t>
      </w:r>
      <w:r w:rsidRPr="00A51443">
        <w:t xml:space="preserve"> split for each of the </w:t>
      </w:r>
      <w:r w:rsidR="008C03EA" w:rsidRPr="00A51443">
        <w:t>4</w:t>
      </w:r>
      <w:r w:rsidRPr="00A51443">
        <w:t xml:space="preserve"> new </w:t>
      </w:r>
      <w:r w:rsidR="008C03EA" w:rsidRPr="00A51443">
        <w:t xml:space="preserve">medical ADRGs O67 to O70, resulting in 8 </w:t>
      </w:r>
      <w:r w:rsidR="00CC0A91" w:rsidRPr="00A51443">
        <w:t xml:space="preserve">new </w:t>
      </w:r>
      <w:r w:rsidR="007D6709" w:rsidRPr="00A51443">
        <w:t>DRGs</w:t>
      </w:r>
      <w:r w:rsidR="00CC0A91" w:rsidRPr="00A51443">
        <w:t>.</w:t>
      </w:r>
    </w:p>
    <w:p w14:paraId="70F79D0F" w14:textId="535F814A" w:rsidR="002420EE" w:rsidRPr="00A51443" w:rsidRDefault="002420EE" w:rsidP="005F3E8E">
      <w:r w:rsidRPr="00A51443">
        <w:t>Among the public hospital admitted patient care activity data from 2018–19 to 20</w:t>
      </w:r>
      <w:r w:rsidR="007F663F" w:rsidRPr="00A51443">
        <w:t>22</w:t>
      </w:r>
      <w:r w:rsidRPr="00A51443">
        <w:t>–2</w:t>
      </w:r>
      <w:r w:rsidR="007F663F" w:rsidRPr="00A51443">
        <w:t>3</w:t>
      </w:r>
      <w:r w:rsidRPr="00A51443">
        <w:t xml:space="preserve">, an approximate average of 140,000 episodes per year move into </w:t>
      </w:r>
      <w:r w:rsidR="003D51F7" w:rsidRPr="00A51443">
        <w:t xml:space="preserve">new </w:t>
      </w:r>
      <w:r w:rsidRPr="00A51443">
        <w:t>ADRGs O67 to O70.</w:t>
      </w:r>
    </w:p>
    <w:p w14:paraId="5BA4CBE7" w14:textId="07EBCAC6" w:rsidR="006C6F1F" w:rsidRPr="00A51443" w:rsidRDefault="006C6F1F" w:rsidP="00623EF7">
      <w:pPr>
        <w:pStyle w:val="Heading3"/>
        <w:numPr>
          <w:ilvl w:val="2"/>
          <w:numId w:val="8"/>
        </w:numPr>
        <w:spacing w:before="240"/>
        <w:ind w:left="720"/>
        <w:rPr>
          <w:color w:val="104F99" w:themeColor="accent2"/>
          <w:sz w:val="28"/>
          <w:szCs w:val="28"/>
        </w:rPr>
      </w:pPr>
      <w:bookmarkStart w:id="493" w:name="_Toc193462709"/>
      <w:bookmarkStart w:id="494" w:name="_Toc188263117"/>
      <w:r w:rsidRPr="00A51443">
        <w:rPr>
          <w:color w:val="104F99" w:themeColor="accent2"/>
          <w:sz w:val="28"/>
          <w:szCs w:val="28"/>
        </w:rPr>
        <w:t xml:space="preserve">Relocation of episodes </w:t>
      </w:r>
      <w:r w:rsidR="00111EEC">
        <w:rPr>
          <w:color w:val="104F99" w:themeColor="accent2"/>
          <w:sz w:val="28"/>
          <w:szCs w:val="28"/>
        </w:rPr>
        <w:t>for</w:t>
      </w:r>
      <w:r w:rsidRPr="00A51443">
        <w:rPr>
          <w:color w:val="104F99" w:themeColor="accent2"/>
          <w:sz w:val="28"/>
          <w:szCs w:val="28"/>
        </w:rPr>
        <w:t xml:space="preserve"> </w:t>
      </w:r>
      <w:r w:rsidR="003217E1">
        <w:rPr>
          <w:color w:val="104F99" w:themeColor="accent2"/>
          <w:sz w:val="28"/>
          <w:szCs w:val="28"/>
        </w:rPr>
        <w:t>conditions related to</w:t>
      </w:r>
      <w:r w:rsidRPr="00A51443">
        <w:rPr>
          <w:color w:val="104F99" w:themeColor="accent2"/>
          <w:sz w:val="28"/>
          <w:szCs w:val="28"/>
        </w:rPr>
        <w:t xml:space="preserve"> lactation</w:t>
      </w:r>
      <w:bookmarkEnd w:id="493"/>
      <w:r w:rsidRPr="00A51443">
        <w:rPr>
          <w:color w:val="104F99" w:themeColor="accent2"/>
          <w:sz w:val="28"/>
          <w:szCs w:val="28"/>
        </w:rPr>
        <w:t xml:space="preserve"> </w:t>
      </w:r>
      <w:bookmarkEnd w:id="494"/>
    </w:p>
    <w:p w14:paraId="2C73853A" w14:textId="51857A8D" w:rsidR="00EE72DF" w:rsidRPr="00A51443" w:rsidRDefault="00EF5AA6" w:rsidP="00EE72DF">
      <w:r w:rsidRPr="00A51443">
        <w:t xml:space="preserve">ACS 1548 </w:t>
      </w:r>
      <w:r w:rsidRPr="00A51443">
        <w:rPr>
          <w:i/>
          <w:iCs/>
        </w:rPr>
        <w:t>Puerperal/postpartum condition or complication</w:t>
      </w:r>
      <w:r w:rsidRPr="00A51443">
        <w:t xml:space="preserve"> </w:t>
      </w:r>
      <w:r w:rsidR="00F3483C" w:rsidRPr="00A51443">
        <w:t>provides guidance on the assignment of</w:t>
      </w:r>
      <w:r w:rsidRPr="00A51443">
        <w:t xml:space="preserve"> codes from</w:t>
      </w:r>
      <w:r w:rsidR="00EE72DF">
        <w:t xml:space="preserve"> the following</w:t>
      </w:r>
      <w:r w:rsidRPr="00A51443">
        <w:t xml:space="preserve"> categories</w:t>
      </w:r>
      <w:r w:rsidR="00EE72DF">
        <w:t xml:space="preserve"> </w:t>
      </w:r>
      <w:r w:rsidR="00EE72DF" w:rsidRPr="00A51443">
        <w:t>that are assigned when a patient has a condition relating to lactation</w:t>
      </w:r>
      <w:r w:rsidR="00EE72DF">
        <w:t>:</w:t>
      </w:r>
      <w:r w:rsidR="00EE72DF" w:rsidRPr="00A51443">
        <w:t xml:space="preserve"> </w:t>
      </w:r>
    </w:p>
    <w:p w14:paraId="22A90E14" w14:textId="77777777" w:rsidR="00EF5AA6" w:rsidRPr="00A51443" w:rsidRDefault="00EF5AA6" w:rsidP="00623EF7">
      <w:pPr>
        <w:pStyle w:val="ListParagraph"/>
        <w:numPr>
          <w:ilvl w:val="0"/>
          <w:numId w:val="18"/>
        </w:numPr>
        <w:ind w:left="714" w:hanging="357"/>
        <w:contextualSpacing w:val="0"/>
      </w:pPr>
      <w:r w:rsidRPr="00A51443">
        <w:t xml:space="preserve">O91 </w:t>
      </w:r>
      <w:r w:rsidRPr="00A51443">
        <w:rPr>
          <w:i/>
          <w:iCs/>
        </w:rPr>
        <w:t>Infections of breast associated with childbirth</w:t>
      </w:r>
    </w:p>
    <w:p w14:paraId="4A8DDEFF" w14:textId="77777777" w:rsidR="00EF5AA6" w:rsidRPr="00A51443" w:rsidRDefault="00EF5AA6" w:rsidP="00623EF7">
      <w:pPr>
        <w:pStyle w:val="ListParagraph"/>
        <w:numPr>
          <w:ilvl w:val="0"/>
          <w:numId w:val="18"/>
        </w:numPr>
        <w:ind w:left="714" w:hanging="357"/>
        <w:contextualSpacing w:val="0"/>
        <w:rPr>
          <w:i/>
          <w:iCs/>
        </w:rPr>
      </w:pPr>
      <w:r w:rsidRPr="00A51443">
        <w:t xml:space="preserve">O92 </w:t>
      </w:r>
      <w:r w:rsidRPr="00A51443">
        <w:rPr>
          <w:i/>
          <w:iCs/>
        </w:rPr>
        <w:t>Other disorders of breast and lactation associated with childbirth</w:t>
      </w:r>
    </w:p>
    <w:p w14:paraId="3FB0AC49" w14:textId="727DB31D" w:rsidR="00EF5AA6" w:rsidRPr="00A51443" w:rsidRDefault="00EF5AA6" w:rsidP="00235023">
      <w:pPr>
        <w:keepNext/>
      </w:pPr>
      <w:r w:rsidRPr="00A51443">
        <w:t>In AR</w:t>
      </w:r>
      <w:r w:rsidR="00870766" w:rsidRPr="00A51443">
        <w:noBreakHyphen/>
      </w:r>
      <w:r w:rsidRPr="00A51443">
        <w:t>DRG V11.0</w:t>
      </w:r>
      <w:r w:rsidR="00FE7BA2" w:rsidRPr="00A51443">
        <w:t>,</w:t>
      </w:r>
      <w:r w:rsidRPr="00A51443">
        <w:t xml:space="preserve"> </w:t>
      </w:r>
      <w:r w:rsidR="0081291C" w:rsidRPr="00A51443">
        <w:t>episodes with a</w:t>
      </w:r>
      <w:r w:rsidR="0080126B" w:rsidRPr="00A51443">
        <w:t xml:space="preserve"> </w:t>
      </w:r>
      <w:r w:rsidR="00FE7BA2" w:rsidRPr="00A51443">
        <w:t>code</w:t>
      </w:r>
      <w:r w:rsidR="00ED3AD9" w:rsidRPr="00A51443">
        <w:t xml:space="preserve"> in categories O91 and O92</w:t>
      </w:r>
      <w:r w:rsidR="003B3757" w:rsidRPr="00A51443">
        <w:t xml:space="preserve">, when </w:t>
      </w:r>
      <w:r w:rsidR="009D7586" w:rsidRPr="00A51443">
        <w:t xml:space="preserve">assigned </w:t>
      </w:r>
      <w:r w:rsidR="003B3757" w:rsidRPr="00A51443">
        <w:t>as principal or additional diagnosis,</w:t>
      </w:r>
      <w:r w:rsidR="00FE7BA2" w:rsidRPr="00A51443">
        <w:t xml:space="preserve"> are </w:t>
      </w:r>
      <w:r w:rsidR="0081291C" w:rsidRPr="00A51443">
        <w:t xml:space="preserve">mostly </w:t>
      </w:r>
      <w:r w:rsidRPr="00A51443">
        <w:t>grouped to one of the following ADRGs:</w:t>
      </w:r>
    </w:p>
    <w:p w14:paraId="77CE4994" w14:textId="4F52F230" w:rsidR="00EF5AA6" w:rsidRPr="00A51443" w:rsidRDefault="00CC36DA" w:rsidP="00623EF7">
      <w:pPr>
        <w:pStyle w:val="ListParagraph"/>
        <w:keepNext/>
        <w:numPr>
          <w:ilvl w:val="0"/>
          <w:numId w:val="17"/>
        </w:numPr>
        <w:ind w:left="714" w:hanging="357"/>
        <w:contextualSpacing w:val="0"/>
      </w:pPr>
      <w:r w:rsidRPr="00A51443">
        <w:t xml:space="preserve">ADRG </w:t>
      </w:r>
      <w:r w:rsidR="00EF5AA6" w:rsidRPr="00A51443">
        <w:t xml:space="preserve">O04 </w:t>
      </w:r>
      <w:r w:rsidR="00EF5AA6" w:rsidRPr="00A51443">
        <w:rPr>
          <w:i/>
          <w:iCs/>
        </w:rPr>
        <w:t xml:space="preserve">Postpartum and </w:t>
      </w:r>
      <w:r w:rsidR="00EC48CC" w:rsidRPr="00A51443">
        <w:rPr>
          <w:i/>
          <w:iCs/>
        </w:rPr>
        <w:t>p</w:t>
      </w:r>
      <w:r w:rsidR="00EF5AA6" w:rsidRPr="00A51443">
        <w:rPr>
          <w:i/>
          <w:iCs/>
        </w:rPr>
        <w:t xml:space="preserve">ost </w:t>
      </w:r>
      <w:r w:rsidR="00653E62" w:rsidRPr="00A51443">
        <w:rPr>
          <w:i/>
          <w:iCs/>
        </w:rPr>
        <w:t>a</w:t>
      </w:r>
      <w:r w:rsidR="00EF5AA6" w:rsidRPr="00A51443">
        <w:rPr>
          <w:i/>
          <w:iCs/>
        </w:rPr>
        <w:t xml:space="preserve">bortion with </w:t>
      </w:r>
      <w:r w:rsidR="000223BC" w:rsidRPr="00A51443">
        <w:rPr>
          <w:i/>
          <w:iCs/>
        </w:rPr>
        <w:t>G</w:t>
      </w:r>
      <w:r w:rsidR="00BE22E3" w:rsidRPr="00A51443">
        <w:rPr>
          <w:i/>
          <w:iCs/>
        </w:rPr>
        <w:t xml:space="preserve">eneral </w:t>
      </w:r>
      <w:r w:rsidR="000223BC" w:rsidRPr="00A51443">
        <w:rPr>
          <w:i/>
          <w:iCs/>
        </w:rPr>
        <w:t>I</w:t>
      </w:r>
      <w:r w:rsidR="00BE22E3" w:rsidRPr="00A51443">
        <w:rPr>
          <w:i/>
          <w:iCs/>
        </w:rPr>
        <w:t>ntervention</w:t>
      </w:r>
    </w:p>
    <w:p w14:paraId="3FE9A388" w14:textId="3D56F741" w:rsidR="00EF5AA6" w:rsidRPr="00A51443" w:rsidRDefault="00CC36DA" w:rsidP="00623EF7">
      <w:pPr>
        <w:pStyle w:val="ListParagraph"/>
        <w:numPr>
          <w:ilvl w:val="0"/>
          <w:numId w:val="17"/>
        </w:numPr>
        <w:ind w:left="714" w:hanging="357"/>
        <w:contextualSpacing w:val="0"/>
      </w:pPr>
      <w:r w:rsidRPr="00A51443">
        <w:t xml:space="preserve">ADRG </w:t>
      </w:r>
      <w:r w:rsidR="00EF5AA6" w:rsidRPr="00A51443">
        <w:t xml:space="preserve">O61 </w:t>
      </w:r>
      <w:r w:rsidR="00EF5AA6" w:rsidRPr="00A51443">
        <w:rPr>
          <w:i/>
          <w:iCs/>
        </w:rPr>
        <w:t xml:space="preserve">Postpartum and </w:t>
      </w:r>
      <w:r w:rsidR="00EC48CC" w:rsidRPr="00A51443">
        <w:rPr>
          <w:i/>
          <w:iCs/>
        </w:rPr>
        <w:t>p</w:t>
      </w:r>
      <w:r w:rsidR="00EF5AA6" w:rsidRPr="00A51443">
        <w:rPr>
          <w:i/>
          <w:iCs/>
        </w:rPr>
        <w:t xml:space="preserve">ost </w:t>
      </w:r>
      <w:r w:rsidR="00653E62" w:rsidRPr="00A51443">
        <w:rPr>
          <w:i/>
          <w:iCs/>
        </w:rPr>
        <w:t>a</w:t>
      </w:r>
      <w:r w:rsidR="00EF5AA6" w:rsidRPr="00A51443">
        <w:rPr>
          <w:i/>
          <w:iCs/>
        </w:rPr>
        <w:t xml:space="preserve">bortion without </w:t>
      </w:r>
      <w:r w:rsidR="000223BC" w:rsidRPr="00A51443">
        <w:rPr>
          <w:i/>
          <w:iCs/>
        </w:rPr>
        <w:t>G</w:t>
      </w:r>
      <w:r w:rsidR="00BE22E3" w:rsidRPr="00A51443">
        <w:rPr>
          <w:i/>
          <w:iCs/>
        </w:rPr>
        <w:t xml:space="preserve">eneral </w:t>
      </w:r>
      <w:r w:rsidR="000223BC" w:rsidRPr="00A51443">
        <w:rPr>
          <w:i/>
          <w:iCs/>
        </w:rPr>
        <w:t>I</w:t>
      </w:r>
      <w:r w:rsidR="00BE22E3" w:rsidRPr="00A51443">
        <w:rPr>
          <w:i/>
          <w:iCs/>
        </w:rPr>
        <w:t>ntervention</w:t>
      </w:r>
      <w:r w:rsidR="00F40485" w:rsidRPr="00A51443">
        <w:rPr>
          <w:rStyle w:val="FootnoteReference"/>
          <w:i/>
          <w:iCs/>
        </w:rPr>
        <w:footnoteReference w:id="2"/>
      </w:r>
      <w:r w:rsidR="00EF5AA6" w:rsidRPr="00A51443">
        <w:t>.</w:t>
      </w:r>
    </w:p>
    <w:p w14:paraId="0133807C" w14:textId="18CE321C" w:rsidR="00EF5AA6" w:rsidRPr="00A51443" w:rsidRDefault="00EF5AA6" w:rsidP="00C006E1">
      <w:r w:rsidRPr="00A51443">
        <w:t xml:space="preserve">However, </w:t>
      </w:r>
      <w:r w:rsidR="009D7586" w:rsidRPr="00A51443">
        <w:t xml:space="preserve">the following </w:t>
      </w:r>
      <w:r w:rsidRPr="00A51443">
        <w:t>subset of</w:t>
      </w:r>
      <w:r w:rsidR="00E810B3" w:rsidRPr="00A51443">
        <w:t xml:space="preserve"> the</w:t>
      </w:r>
      <w:r w:rsidR="00FE7BA2" w:rsidRPr="00A51443">
        <w:t xml:space="preserve"> </w:t>
      </w:r>
      <w:r w:rsidRPr="00A51443">
        <w:t>codes</w:t>
      </w:r>
      <w:r w:rsidR="004E2053" w:rsidRPr="00A51443">
        <w:t xml:space="preserve"> </w:t>
      </w:r>
      <w:r w:rsidR="0021747E" w:rsidRPr="00A51443">
        <w:t>in categories O91 and O92</w:t>
      </w:r>
      <w:r w:rsidRPr="00A51443">
        <w:t xml:space="preserve">, </w:t>
      </w:r>
      <w:r w:rsidR="003B3757" w:rsidRPr="00A51443">
        <w:t xml:space="preserve">when coded as principal diagnosis, </w:t>
      </w:r>
      <w:r w:rsidRPr="00A51443">
        <w:t xml:space="preserve">group to ADRG O66 </w:t>
      </w:r>
      <w:r w:rsidRPr="00A51443">
        <w:rPr>
          <w:i/>
          <w:iCs/>
        </w:rPr>
        <w:t xml:space="preserve">Antenatal and </w:t>
      </w:r>
      <w:r w:rsidR="000223BC" w:rsidRPr="00A51443">
        <w:rPr>
          <w:i/>
          <w:iCs/>
        </w:rPr>
        <w:t>o</w:t>
      </w:r>
      <w:r w:rsidRPr="00A51443">
        <w:rPr>
          <w:i/>
          <w:iCs/>
        </w:rPr>
        <w:t xml:space="preserve">ther </w:t>
      </w:r>
      <w:r w:rsidR="000223BC" w:rsidRPr="00A51443">
        <w:rPr>
          <w:i/>
          <w:iCs/>
        </w:rPr>
        <w:t>a</w:t>
      </w:r>
      <w:r w:rsidRPr="00A51443">
        <w:rPr>
          <w:i/>
          <w:iCs/>
        </w:rPr>
        <w:t xml:space="preserve">dmissions related to </w:t>
      </w:r>
      <w:r w:rsidR="000223BC" w:rsidRPr="00A51443">
        <w:rPr>
          <w:i/>
          <w:iCs/>
        </w:rPr>
        <w:t>p</w:t>
      </w:r>
      <w:r w:rsidRPr="00A51443">
        <w:rPr>
          <w:i/>
          <w:iCs/>
        </w:rPr>
        <w:t xml:space="preserve">regnancy, </w:t>
      </w:r>
      <w:r w:rsidR="000223BC" w:rsidRPr="00A51443">
        <w:rPr>
          <w:i/>
          <w:iCs/>
        </w:rPr>
        <w:t>c</w:t>
      </w:r>
      <w:r w:rsidRPr="00A51443">
        <w:rPr>
          <w:i/>
          <w:iCs/>
        </w:rPr>
        <w:t xml:space="preserve">hildbirth and the </w:t>
      </w:r>
      <w:r w:rsidR="000223BC" w:rsidRPr="00A51443">
        <w:rPr>
          <w:i/>
          <w:iCs/>
        </w:rPr>
        <w:t>p</w:t>
      </w:r>
      <w:r w:rsidRPr="00A51443">
        <w:rPr>
          <w:i/>
          <w:iCs/>
        </w:rPr>
        <w:t>uerperium</w:t>
      </w:r>
      <w:r w:rsidRPr="00A51443">
        <w:t xml:space="preserve">: </w:t>
      </w:r>
    </w:p>
    <w:p w14:paraId="2FD4D3FD" w14:textId="77777777" w:rsidR="00EF5AA6" w:rsidRPr="00A51443" w:rsidRDefault="00EF5AA6" w:rsidP="00623EF7">
      <w:pPr>
        <w:pStyle w:val="ListParagraph"/>
        <w:numPr>
          <w:ilvl w:val="0"/>
          <w:numId w:val="16"/>
        </w:numPr>
        <w:ind w:left="714" w:hanging="357"/>
        <w:contextualSpacing w:val="0"/>
      </w:pPr>
      <w:r w:rsidRPr="00A51443">
        <w:t xml:space="preserve">O91.00 </w:t>
      </w:r>
      <w:r w:rsidRPr="00A51443">
        <w:rPr>
          <w:i/>
          <w:iCs/>
        </w:rPr>
        <w:t xml:space="preserve">Infection of nipple associated with childbirth, </w:t>
      </w:r>
      <w:r w:rsidRPr="00A51443">
        <w:rPr>
          <w:b/>
          <w:bCs/>
          <w:i/>
          <w:iCs/>
        </w:rPr>
        <w:t xml:space="preserve">without </w:t>
      </w:r>
      <w:r w:rsidRPr="00A51443">
        <w:rPr>
          <w:i/>
          <w:iCs/>
        </w:rPr>
        <w:t>mention of attachment difficulty</w:t>
      </w:r>
    </w:p>
    <w:p w14:paraId="12D55A92" w14:textId="77777777" w:rsidR="00EF5AA6" w:rsidRPr="00A51443" w:rsidRDefault="00EF5AA6" w:rsidP="00623EF7">
      <w:pPr>
        <w:pStyle w:val="ListParagraph"/>
        <w:numPr>
          <w:ilvl w:val="0"/>
          <w:numId w:val="16"/>
        </w:numPr>
        <w:ind w:left="714" w:hanging="357"/>
        <w:contextualSpacing w:val="0"/>
      </w:pPr>
      <w:r w:rsidRPr="00A51443">
        <w:t xml:space="preserve">O91.10 </w:t>
      </w:r>
      <w:r w:rsidRPr="00A51443">
        <w:rPr>
          <w:i/>
          <w:iCs/>
        </w:rPr>
        <w:t xml:space="preserve">Abscess of breast associated with childbirth, </w:t>
      </w:r>
      <w:r w:rsidRPr="00A51443">
        <w:rPr>
          <w:b/>
          <w:bCs/>
          <w:i/>
          <w:iCs/>
        </w:rPr>
        <w:t>without</w:t>
      </w:r>
      <w:r w:rsidRPr="00A51443">
        <w:rPr>
          <w:i/>
          <w:iCs/>
        </w:rPr>
        <w:t xml:space="preserve"> mention of attachment difficulty</w:t>
      </w:r>
    </w:p>
    <w:p w14:paraId="1E0040DC" w14:textId="77777777" w:rsidR="00EF5AA6" w:rsidRPr="00A51443" w:rsidRDefault="00EF5AA6" w:rsidP="00623EF7">
      <w:pPr>
        <w:pStyle w:val="ListParagraph"/>
        <w:numPr>
          <w:ilvl w:val="0"/>
          <w:numId w:val="16"/>
        </w:numPr>
        <w:ind w:left="714" w:hanging="357"/>
        <w:contextualSpacing w:val="0"/>
      </w:pPr>
      <w:r w:rsidRPr="00A51443">
        <w:t xml:space="preserve">O91.20 </w:t>
      </w:r>
      <w:r w:rsidRPr="00A51443">
        <w:rPr>
          <w:i/>
          <w:iCs/>
        </w:rPr>
        <w:t xml:space="preserve">Nonpurulent mastitis associated with childbirth, </w:t>
      </w:r>
      <w:r w:rsidRPr="00A51443">
        <w:rPr>
          <w:b/>
          <w:bCs/>
          <w:i/>
          <w:iCs/>
        </w:rPr>
        <w:t xml:space="preserve">without </w:t>
      </w:r>
      <w:r w:rsidRPr="00A51443">
        <w:rPr>
          <w:i/>
          <w:iCs/>
        </w:rPr>
        <w:t>mention of attachment difficulty</w:t>
      </w:r>
    </w:p>
    <w:p w14:paraId="0AC50165" w14:textId="77777777" w:rsidR="00EF5AA6" w:rsidRPr="00A51443" w:rsidRDefault="00EF5AA6" w:rsidP="00623EF7">
      <w:pPr>
        <w:pStyle w:val="ListParagraph"/>
        <w:numPr>
          <w:ilvl w:val="0"/>
          <w:numId w:val="16"/>
        </w:numPr>
        <w:ind w:left="714" w:hanging="357"/>
        <w:contextualSpacing w:val="0"/>
      </w:pPr>
      <w:r w:rsidRPr="00A51443">
        <w:t xml:space="preserve">O92.00 </w:t>
      </w:r>
      <w:r w:rsidRPr="00A51443">
        <w:rPr>
          <w:i/>
          <w:iCs/>
        </w:rPr>
        <w:t xml:space="preserve">Retracted nipple associated with childbirth, </w:t>
      </w:r>
      <w:r w:rsidRPr="00A51443">
        <w:rPr>
          <w:b/>
          <w:bCs/>
          <w:i/>
          <w:iCs/>
        </w:rPr>
        <w:t>without</w:t>
      </w:r>
      <w:r w:rsidRPr="00A51443">
        <w:rPr>
          <w:i/>
          <w:iCs/>
        </w:rPr>
        <w:t xml:space="preserve"> mention of attachment difficulty</w:t>
      </w:r>
    </w:p>
    <w:p w14:paraId="42D323C5" w14:textId="77777777" w:rsidR="00EF5AA6" w:rsidRPr="00A51443" w:rsidRDefault="00EF5AA6" w:rsidP="00623EF7">
      <w:pPr>
        <w:pStyle w:val="ListParagraph"/>
        <w:numPr>
          <w:ilvl w:val="0"/>
          <w:numId w:val="16"/>
        </w:numPr>
        <w:contextualSpacing w:val="0"/>
      </w:pPr>
      <w:r w:rsidRPr="00A51443">
        <w:t xml:space="preserve">O92.10 </w:t>
      </w:r>
      <w:r w:rsidRPr="00A51443">
        <w:rPr>
          <w:i/>
          <w:iCs/>
        </w:rPr>
        <w:t xml:space="preserve">Cracked nipple associated with childbirth, </w:t>
      </w:r>
      <w:r w:rsidRPr="00A51443">
        <w:rPr>
          <w:b/>
          <w:bCs/>
          <w:i/>
          <w:iCs/>
        </w:rPr>
        <w:t>without</w:t>
      </w:r>
      <w:r w:rsidRPr="00A51443">
        <w:rPr>
          <w:i/>
          <w:iCs/>
        </w:rPr>
        <w:t xml:space="preserve"> mention of attachment difficulty</w:t>
      </w:r>
    </w:p>
    <w:p w14:paraId="38FD7824" w14:textId="10B85C6E" w:rsidR="00EF5AA6" w:rsidRPr="00A51443" w:rsidRDefault="00EF5AA6" w:rsidP="00623EF7">
      <w:pPr>
        <w:pStyle w:val="ListParagraph"/>
        <w:numPr>
          <w:ilvl w:val="0"/>
          <w:numId w:val="16"/>
        </w:numPr>
        <w:contextualSpacing w:val="0"/>
      </w:pPr>
      <w:r w:rsidRPr="00A51443">
        <w:t xml:space="preserve">O92.20 </w:t>
      </w:r>
      <w:r w:rsidRPr="00A51443">
        <w:rPr>
          <w:i/>
          <w:iCs/>
        </w:rPr>
        <w:t xml:space="preserve">Other and unspecified disorders of breast associated with childbirth, </w:t>
      </w:r>
      <w:r w:rsidRPr="00A51443">
        <w:rPr>
          <w:b/>
          <w:bCs/>
          <w:i/>
          <w:iCs/>
        </w:rPr>
        <w:t>without</w:t>
      </w:r>
      <w:r w:rsidRPr="00A51443">
        <w:rPr>
          <w:i/>
          <w:iCs/>
        </w:rPr>
        <w:t xml:space="preserve"> mention of attachment difficulty</w:t>
      </w:r>
      <w:r w:rsidR="007A5B36" w:rsidRPr="00A51443">
        <w:rPr>
          <w:i/>
          <w:iCs/>
        </w:rPr>
        <w:t>.</w:t>
      </w:r>
    </w:p>
    <w:p w14:paraId="6EF6E1B4" w14:textId="1A72CB4D" w:rsidR="00EF5AA6" w:rsidRPr="00A51443" w:rsidRDefault="009D7586" w:rsidP="00C006E1">
      <w:r w:rsidRPr="00A51443">
        <w:t>C</w:t>
      </w:r>
      <w:r w:rsidR="00767A39" w:rsidRPr="00A51443">
        <w:t xml:space="preserve">odes in categories O91 and O92 capture clinically similar conditions, irrespective of whether </w:t>
      </w:r>
      <w:r w:rsidRPr="00A51443">
        <w:t>there is</w:t>
      </w:r>
      <w:r w:rsidR="00767A39" w:rsidRPr="00A51443">
        <w:t xml:space="preserve"> attachment difficulty. </w:t>
      </w:r>
      <w:r w:rsidR="00F555F9" w:rsidRPr="00A51443">
        <w:t>In AR-DRG V12.0</w:t>
      </w:r>
      <w:r w:rsidR="0033533D" w:rsidRPr="00A51443">
        <w:t xml:space="preserve"> </w:t>
      </w:r>
      <w:r w:rsidR="002878B8" w:rsidRPr="00A51443">
        <w:t>all codes in</w:t>
      </w:r>
      <w:r w:rsidR="00EF5AA6" w:rsidRPr="00A51443">
        <w:t xml:space="preserve"> </w:t>
      </w:r>
      <w:r w:rsidR="002878B8" w:rsidRPr="00A51443">
        <w:t xml:space="preserve">categories O91 and O92 </w:t>
      </w:r>
      <w:r w:rsidRPr="00A51443">
        <w:t>group</w:t>
      </w:r>
      <w:r w:rsidR="002878B8" w:rsidRPr="00A51443">
        <w:t xml:space="preserve"> to </w:t>
      </w:r>
      <w:r w:rsidR="00EF5AA6" w:rsidRPr="00A51443">
        <w:t xml:space="preserve">ADRGs </w:t>
      </w:r>
      <w:r w:rsidR="0050537F" w:rsidRPr="00A51443">
        <w:t>O</w:t>
      </w:r>
      <w:r w:rsidR="00EF5AA6" w:rsidRPr="00A51443">
        <w:t xml:space="preserve">04 </w:t>
      </w:r>
      <w:r w:rsidR="002A68B6" w:rsidRPr="00A51443">
        <w:rPr>
          <w:i/>
          <w:iCs/>
        </w:rPr>
        <w:t xml:space="preserve">Postpartum and post abortion with </w:t>
      </w:r>
      <w:r w:rsidR="009122C2" w:rsidRPr="00A51443">
        <w:rPr>
          <w:i/>
          <w:iCs/>
        </w:rPr>
        <w:t>G</w:t>
      </w:r>
      <w:r w:rsidR="00BE22E3" w:rsidRPr="00A51443">
        <w:rPr>
          <w:i/>
          <w:iCs/>
        </w:rPr>
        <w:t xml:space="preserve">eneral </w:t>
      </w:r>
      <w:r w:rsidR="009122C2" w:rsidRPr="00A51443">
        <w:rPr>
          <w:i/>
          <w:iCs/>
        </w:rPr>
        <w:t>I</w:t>
      </w:r>
      <w:r w:rsidR="00BE22E3" w:rsidRPr="00A51443">
        <w:rPr>
          <w:i/>
          <w:iCs/>
        </w:rPr>
        <w:t>ntervention</w:t>
      </w:r>
      <w:r w:rsidR="009122C2" w:rsidRPr="00A51443">
        <w:rPr>
          <w:i/>
          <w:iCs/>
        </w:rPr>
        <w:t xml:space="preserve"> </w:t>
      </w:r>
      <w:r w:rsidR="00EF5AA6" w:rsidRPr="00A51443">
        <w:t xml:space="preserve">or </w:t>
      </w:r>
      <w:r w:rsidR="0050537F" w:rsidRPr="00A51443">
        <w:t>O</w:t>
      </w:r>
      <w:r w:rsidR="00EF5AA6" w:rsidRPr="00A51443">
        <w:t>61</w:t>
      </w:r>
      <w:r w:rsidR="0050537F" w:rsidRPr="00A51443">
        <w:t xml:space="preserve"> </w:t>
      </w:r>
      <w:r w:rsidR="0050537F" w:rsidRPr="00A51443">
        <w:rPr>
          <w:i/>
          <w:iCs/>
        </w:rPr>
        <w:t xml:space="preserve">Postpartum and post abortion without </w:t>
      </w:r>
      <w:r w:rsidR="009122C2" w:rsidRPr="00A51443">
        <w:rPr>
          <w:i/>
          <w:iCs/>
        </w:rPr>
        <w:t>G</w:t>
      </w:r>
      <w:r w:rsidR="00BE22E3" w:rsidRPr="00A51443">
        <w:rPr>
          <w:i/>
          <w:iCs/>
        </w:rPr>
        <w:t xml:space="preserve">eneral </w:t>
      </w:r>
      <w:r w:rsidR="009122C2" w:rsidRPr="00A51443">
        <w:rPr>
          <w:i/>
          <w:iCs/>
        </w:rPr>
        <w:t>I</w:t>
      </w:r>
      <w:r w:rsidR="00BE22E3" w:rsidRPr="00A51443">
        <w:rPr>
          <w:i/>
          <w:iCs/>
        </w:rPr>
        <w:t>ntervention</w:t>
      </w:r>
      <w:r w:rsidR="00EF5AA6" w:rsidRPr="00A51443">
        <w:t>.</w:t>
      </w:r>
    </w:p>
    <w:p w14:paraId="5A5F2F86" w14:textId="0872E78A" w:rsidR="002420EE" w:rsidRPr="00A51443" w:rsidRDefault="002420EE" w:rsidP="00C006E1">
      <w:r w:rsidRPr="00A51443">
        <w:lastRenderedPageBreak/>
        <w:t>Among the public hospital admitted patient care activity data from 2018–19 to 20</w:t>
      </w:r>
      <w:r w:rsidR="007F663F" w:rsidRPr="00A51443">
        <w:t>22</w:t>
      </w:r>
      <w:r w:rsidRPr="00A51443">
        <w:t>–2</w:t>
      </w:r>
      <w:r w:rsidR="007F663F" w:rsidRPr="00A51443">
        <w:t>3</w:t>
      </w:r>
      <w:r w:rsidRPr="00A51443">
        <w:t xml:space="preserve">, an average of </w:t>
      </w:r>
      <w:r w:rsidR="007F663F" w:rsidRPr="00A51443">
        <w:t>381</w:t>
      </w:r>
      <w:r w:rsidRPr="00A51443">
        <w:t xml:space="preserve"> episodes per year move from ADRG O66 </w:t>
      </w:r>
      <w:r w:rsidR="005E09E8" w:rsidRPr="00A51443">
        <w:rPr>
          <w:i/>
          <w:iCs/>
        </w:rPr>
        <w:t>Antenatal and other admissions related to pregnancy, childbirth and the puerperium</w:t>
      </w:r>
      <w:r w:rsidR="005E09E8" w:rsidRPr="00A51443">
        <w:t xml:space="preserve"> </w:t>
      </w:r>
      <w:r w:rsidRPr="00A51443">
        <w:t xml:space="preserve">to ADRGs O04 </w:t>
      </w:r>
      <w:r w:rsidR="00A836BC" w:rsidRPr="00A51443">
        <w:rPr>
          <w:i/>
          <w:iCs/>
        </w:rPr>
        <w:t>Postpartum and post abortion without G</w:t>
      </w:r>
      <w:r w:rsidR="00BE22E3" w:rsidRPr="00A51443">
        <w:rPr>
          <w:i/>
          <w:iCs/>
        </w:rPr>
        <w:t xml:space="preserve">eneral </w:t>
      </w:r>
      <w:r w:rsidR="00A836BC" w:rsidRPr="00A51443">
        <w:rPr>
          <w:i/>
          <w:iCs/>
        </w:rPr>
        <w:t>I</w:t>
      </w:r>
      <w:r w:rsidR="00BE22E3" w:rsidRPr="00A51443">
        <w:rPr>
          <w:i/>
          <w:iCs/>
        </w:rPr>
        <w:t>ntervention</w:t>
      </w:r>
      <w:r w:rsidR="00A836BC" w:rsidRPr="00A51443">
        <w:rPr>
          <w:i/>
          <w:iCs/>
        </w:rPr>
        <w:t xml:space="preserve"> </w:t>
      </w:r>
      <w:r w:rsidR="00634FD7" w:rsidRPr="00A51443">
        <w:t xml:space="preserve">or </w:t>
      </w:r>
      <w:r w:rsidRPr="00A51443">
        <w:t xml:space="preserve">O61 </w:t>
      </w:r>
      <w:r w:rsidR="00A836BC" w:rsidRPr="00A51443">
        <w:rPr>
          <w:i/>
          <w:iCs/>
        </w:rPr>
        <w:t>Postpartum and post abortion with G</w:t>
      </w:r>
      <w:r w:rsidR="00BE22E3" w:rsidRPr="00A51443">
        <w:rPr>
          <w:i/>
          <w:iCs/>
        </w:rPr>
        <w:t>eneral Intervention</w:t>
      </w:r>
      <w:r w:rsidR="00A836BC" w:rsidRPr="00A51443">
        <w:rPr>
          <w:i/>
          <w:iCs/>
        </w:rPr>
        <w:t xml:space="preserve"> </w:t>
      </w:r>
      <w:r w:rsidRPr="00A51443">
        <w:t>due to this change.</w:t>
      </w:r>
    </w:p>
    <w:p w14:paraId="2AA99727" w14:textId="0730DFFA" w:rsidR="00672EF3" w:rsidRPr="00A51443" w:rsidRDefault="00672EF3" w:rsidP="00672EF3">
      <w:pPr>
        <w:pStyle w:val="Heading2"/>
        <w:numPr>
          <w:ilvl w:val="1"/>
          <w:numId w:val="8"/>
        </w:numPr>
        <w:ind w:left="720" w:hanging="720"/>
        <w:rPr>
          <w:lang w:val="en-PH"/>
        </w:rPr>
      </w:pPr>
      <w:bookmarkStart w:id="495" w:name="_Ref187327946"/>
      <w:bookmarkStart w:id="496" w:name="_Toc188263118"/>
      <w:bookmarkStart w:id="497" w:name="_Toc193462710"/>
      <w:bookmarkStart w:id="498" w:name="_Ref182484075"/>
      <w:r w:rsidRPr="00A51443">
        <w:rPr>
          <w:lang w:val="en-PH"/>
        </w:rPr>
        <w:t xml:space="preserve">Guiding principles </w:t>
      </w:r>
      <w:r w:rsidR="007110B9">
        <w:rPr>
          <w:lang w:val="en-PH"/>
        </w:rPr>
        <w:t>for intervention type (General Intervention review)</w:t>
      </w:r>
      <w:bookmarkEnd w:id="495"/>
      <w:bookmarkEnd w:id="496"/>
      <w:bookmarkEnd w:id="497"/>
      <w:r w:rsidRPr="00A51443">
        <w:rPr>
          <w:lang w:val="en-PH"/>
        </w:rPr>
        <w:t xml:space="preserve"> </w:t>
      </w:r>
      <w:bookmarkEnd w:id="498"/>
    </w:p>
    <w:p w14:paraId="47188BA8" w14:textId="58E430C4" w:rsidR="00672EF3" w:rsidRPr="00A51443" w:rsidRDefault="00672EF3" w:rsidP="00672EF3">
      <w:r w:rsidRPr="00A51443">
        <w:t xml:space="preserve">The AR-DRG classification is categorised into 23 MDCs, most of which are divided into </w:t>
      </w:r>
      <w:r w:rsidR="00EE72DF">
        <w:t>2</w:t>
      </w:r>
      <w:r w:rsidRPr="00A51443">
        <w:t xml:space="preserve"> partitions, the intervention and medical partitions. ADRGs in the intervention partition are defined by interventions, while those in the medical partition are defined mainly by principal diagnosis.</w:t>
      </w:r>
    </w:p>
    <w:p w14:paraId="13B299BB" w14:textId="03109D39" w:rsidR="00672EF3" w:rsidRPr="00A51443" w:rsidRDefault="00672EF3" w:rsidP="00672EF3">
      <w:r w:rsidRPr="00A51443">
        <w:t xml:space="preserve">Historically, the only guidance on whether an intervention informed the grouping of an episode to the intervention partition was that the intervention was ‘significant’ within an episode’s MDC. However, the term ‘significant’ has never been precisely defined or consistently applied. Similarly, a General Intervention has historically been defined as an intervention that is ‘significant’ to each MDC. In addition to informing the grouping of episodes to the intervention partition, a GI informs grouping of episodes to ADRG 801 </w:t>
      </w:r>
      <w:r w:rsidRPr="00A51443">
        <w:rPr>
          <w:i/>
          <w:iCs/>
        </w:rPr>
        <w:t>General Intervention unrelated to principal diagnosis</w:t>
      </w:r>
      <w:r w:rsidRPr="00A51443">
        <w:t>. This means that, in most cases, an episode with a GI cannot group to the medical partition.</w:t>
      </w:r>
    </w:p>
    <w:p w14:paraId="45C04B6A" w14:textId="77777777" w:rsidR="00672EF3" w:rsidRPr="00A51443" w:rsidRDefault="00672EF3" w:rsidP="00672EF3">
      <w:r w:rsidRPr="00A51443">
        <w:t>For AR-DRG V12.0 guiding principles have been developed to determine interventions that inform grouping to an ADRG in the intervention partition; and of these, which should be GIs. The aim was to improve the clinical coherence of the AR-DRG classification through greater consistency as to which interventions are used to define ADRGs.</w:t>
      </w:r>
    </w:p>
    <w:p w14:paraId="7D19E8FC" w14:textId="77777777" w:rsidR="00672EF3" w:rsidRPr="00A51443" w:rsidRDefault="00672EF3" w:rsidP="00672EF3">
      <w:pPr>
        <w:spacing w:before="120"/>
      </w:pPr>
      <w:r w:rsidRPr="00A51443">
        <w:t>The guiding principles define 3 intervention types for ACHI codes:</w:t>
      </w:r>
    </w:p>
    <w:p w14:paraId="660C16B0" w14:textId="77777777" w:rsidR="00672EF3" w:rsidRPr="00A51443" w:rsidRDefault="00672EF3" w:rsidP="00672EF3">
      <w:pPr>
        <w:pStyle w:val="ListParagraph"/>
        <w:keepNext/>
        <w:numPr>
          <w:ilvl w:val="0"/>
          <w:numId w:val="31"/>
        </w:numPr>
        <w:spacing w:before="120"/>
        <w:ind w:hanging="357"/>
        <w:contextualSpacing w:val="0"/>
      </w:pPr>
      <w:r w:rsidRPr="00A51443">
        <w:t>An intervention does not inform grouping to the intervention partition if it meets one of the following criteria:</w:t>
      </w:r>
    </w:p>
    <w:p w14:paraId="78CF439D" w14:textId="77777777" w:rsidR="00672EF3" w:rsidRPr="00A51443" w:rsidRDefault="00672EF3" w:rsidP="00672EF3">
      <w:pPr>
        <w:pStyle w:val="ListParagraph"/>
        <w:numPr>
          <w:ilvl w:val="0"/>
          <w:numId w:val="40"/>
        </w:numPr>
        <w:spacing w:before="120"/>
        <w:ind w:hanging="357"/>
        <w:contextualSpacing w:val="0"/>
      </w:pPr>
      <w:r w:rsidRPr="00A51443">
        <w:t>the intervention is routinely performed as a component of another intervention</w:t>
      </w:r>
    </w:p>
    <w:p w14:paraId="4261CA88" w14:textId="77777777" w:rsidR="00672EF3" w:rsidRPr="00A51443" w:rsidRDefault="00672EF3" w:rsidP="00672EF3">
      <w:pPr>
        <w:pStyle w:val="ListParagraph"/>
        <w:numPr>
          <w:ilvl w:val="0"/>
          <w:numId w:val="40"/>
        </w:numPr>
        <w:spacing w:before="120"/>
        <w:ind w:hanging="357"/>
        <w:contextualSpacing w:val="0"/>
      </w:pPr>
      <w:r w:rsidRPr="00A51443">
        <w:t>the intervention is an assessment, evaluation, examination, or radiological imaging</w:t>
      </w:r>
    </w:p>
    <w:p w14:paraId="3CA39DD8" w14:textId="77777777" w:rsidR="00672EF3" w:rsidRPr="00A51443" w:rsidRDefault="00672EF3" w:rsidP="00672EF3">
      <w:pPr>
        <w:pStyle w:val="ListParagraph"/>
        <w:numPr>
          <w:ilvl w:val="0"/>
          <w:numId w:val="40"/>
        </w:numPr>
        <w:spacing w:before="120"/>
        <w:ind w:hanging="357"/>
        <w:contextualSpacing w:val="0"/>
      </w:pPr>
      <w:r w:rsidRPr="00A51443">
        <w:t>the intervention is a non-incisional insertion, removal or replacement of an implant or device</w:t>
      </w:r>
    </w:p>
    <w:p w14:paraId="6BEB4A86" w14:textId="790D26A0" w:rsidR="00672EF3" w:rsidRPr="00A51443" w:rsidRDefault="00672EF3" w:rsidP="00672EF3">
      <w:pPr>
        <w:pStyle w:val="ListParagraph"/>
        <w:numPr>
          <w:ilvl w:val="0"/>
          <w:numId w:val="40"/>
        </w:numPr>
        <w:spacing w:before="120"/>
        <w:ind w:hanging="357"/>
        <w:contextualSpacing w:val="0"/>
      </w:pPr>
      <w:r w:rsidRPr="00A51443">
        <w:t>the intervention is pharmacotherapy or dialysis – ADRGs informed by these procedures are defined by ICD-10-AM code</w:t>
      </w:r>
      <w:r w:rsidR="007110B9">
        <w:t>s</w:t>
      </w:r>
    </w:p>
    <w:p w14:paraId="3C96D577" w14:textId="77777777" w:rsidR="00672EF3" w:rsidRPr="00A51443" w:rsidRDefault="00672EF3" w:rsidP="00672EF3">
      <w:pPr>
        <w:pStyle w:val="ListParagraph"/>
        <w:numPr>
          <w:ilvl w:val="0"/>
          <w:numId w:val="40"/>
        </w:numPr>
        <w:spacing w:before="120"/>
        <w:ind w:hanging="357"/>
        <w:contextualSpacing w:val="0"/>
      </w:pPr>
      <w:r w:rsidRPr="00A51443">
        <w:t>the intervention is represented by an ACHI placeholder code</w:t>
      </w:r>
      <w:r w:rsidRPr="00A51443">
        <w:rPr>
          <w:vertAlign w:val="superscript"/>
        </w:rPr>
        <w:footnoteReference w:id="3"/>
      </w:r>
      <w:r w:rsidRPr="00A51443">
        <w:t>.</w:t>
      </w:r>
    </w:p>
    <w:p w14:paraId="01880788" w14:textId="77777777" w:rsidR="00672EF3" w:rsidRPr="00A51443" w:rsidRDefault="00672EF3" w:rsidP="00672EF3">
      <w:pPr>
        <w:pStyle w:val="ListParagraph"/>
        <w:keepNext/>
        <w:numPr>
          <w:ilvl w:val="0"/>
          <w:numId w:val="31"/>
        </w:numPr>
        <w:spacing w:before="120"/>
        <w:contextualSpacing w:val="0"/>
      </w:pPr>
      <w:r w:rsidRPr="00A51443">
        <w:lastRenderedPageBreak/>
        <w:t>An intervention informs grouping to the intervention partition but is not a GI, if it meets one of the following criteria:</w:t>
      </w:r>
    </w:p>
    <w:p w14:paraId="5A95A2F4" w14:textId="77777777" w:rsidR="00672EF3" w:rsidRPr="00A51443" w:rsidRDefault="00672EF3" w:rsidP="00672EF3">
      <w:pPr>
        <w:pStyle w:val="ListParagraph"/>
        <w:numPr>
          <w:ilvl w:val="0"/>
          <w:numId w:val="41"/>
        </w:numPr>
        <w:spacing w:before="120"/>
        <w:contextualSpacing w:val="0"/>
      </w:pPr>
      <w:r w:rsidRPr="00A51443">
        <w:t xml:space="preserve">the intervention is suitable to be performed in a specialist procedure suite whether or not such a suite is available </w:t>
      </w:r>
    </w:p>
    <w:p w14:paraId="39994D79" w14:textId="77777777" w:rsidR="00672EF3" w:rsidRPr="00A51443" w:rsidRDefault="00672EF3" w:rsidP="00672EF3">
      <w:pPr>
        <w:pStyle w:val="ListParagraph"/>
        <w:numPr>
          <w:ilvl w:val="0"/>
          <w:numId w:val="41"/>
        </w:numPr>
        <w:spacing w:before="120"/>
        <w:contextualSpacing w:val="0"/>
      </w:pPr>
      <w:r w:rsidRPr="00A51443">
        <w:t>the intervention is one of the following, that define existing intervention ADRGs:</w:t>
      </w:r>
    </w:p>
    <w:p w14:paraId="493DF04D" w14:textId="77777777" w:rsidR="00672EF3" w:rsidRPr="00A51443" w:rsidRDefault="00672EF3" w:rsidP="007110B9">
      <w:pPr>
        <w:pStyle w:val="ListParagraph"/>
        <w:numPr>
          <w:ilvl w:val="2"/>
          <w:numId w:val="43"/>
        </w:numPr>
        <w:autoSpaceDE w:val="0"/>
        <w:autoSpaceDN w:val="0"/>
        <w:adjustRightInd w:val="0"/>
        <w:spacing w:before="120"/>
        <w:contextualSpacing w:val="0"/>
      </w:pPr>
      <w:r w:rsidRPr="00A51443">
        <w:rPr>
          <w:rFonts w:cs="Arial"/>
        </w:rPr>
        <w:t>continuous</w:t>
      </w:r>
      <w:r w:rsidRPr="00A51443">
        <w:t xml:space="preserve"> ventilatory support (CVS)</w:t>
      </w:r>
    </w:p>
    <w:p w14:paraId="68388F8A" w14:textId="77777777" w:rsidR="00672EF3" w:rsidRPr="00A51443" w:rsidRDefault="00672EF3" w:rsidP="007110B9">
      <w:pPr>
        <w:pStyle w:val="ListParagraph"/>
        <w:numPr>
          <w:ilvl w:val="2"/>
          <w:numId w:val="43"/>
        </w:numPr>
        <w:autoSpaceDE w:val="0"/>
        <w:autoSpaceDN w:val="0"/>
        <w:adjustRightInd w:val="0"/>
        <w:spacing w:before="120"/>
        <w:contextualSpacing w:val="0"/>
      </w:pPr>
      <w:r w:rsidRPr="00A51443">
        <w:rPr>
          <w:rFonts w:cs="Arial"/>
        </w:rPr>
        <w:t>extracorporeal</w:t>
      </w:r>
      <w:r w:rsidRPr="00A51443">
        <w:t xml:space="preserve"> membrane oxygenation (ECMO)</w:t>
      </w:r>
    </w:p>
    <w:p w14:paraId="5CE78B9B" w14:textId="77777777" w:rsidR="00672EF3" w:rsidRPr="00A51443" w:rsidRDefault="00672EF3" w:rsidP="007110B9">
      <w:pPr>
        <w:pStyle w:val="ListParagraph"/>
        <w:numPr>
          <w:ilvl w:val="2"/>
          <w:numId w:val="43"/>
        </w:numPr>
        <w:autoSpaceDE w:val="0"/>
        <w:autoSpaceDN w:val="0"/>
        <w:adjustRightInd w:val="0"/>
        <w:spacing w:before="120"/>
        <w:contextualSpacing w:val="0"/>
      </w:pPr>
      <w:r w:rsidRPr="00A51443">
        <w:rPr>
          <w:rFonts w:cs="Arial"/>
        </w:rPr>
        <w:t>cardiopulmonary</w:t>
      </w:r>
      <w:r w:rsidRPr="00A51443">
        <w:t xml:space="preserve"> bypass (CPB) in open-heart surgery.</w:t>
      </w:r>
    </w:p>
    <w:p w14:paraId="39E3976B" w14:textId="088FB9CC" w:rsidR="00672EF3" w:rsidRPr="00A51443" w:rsidRDefault="00672EF3" w:rsidP="00672EF3">
      <w:pPr>
        <w:spacing w:before="120"/>
        <w:ind w:left="720"/>
      </w:pPr>
      <w:r w:rsidRPr="00A51443">
        <w:t>For the purposes of this definition, a specialist procedure suite</w:t>
      </w:r>
      <w:r w:rsidR="00484576" w:rsidRPr="00A51443">
        <w:t xml:space="preserve"> is defined in accordance with IHACPA’s costing standards</w:t>
      </w:r>
      <w:r w:rsidRPr="00A51443">
        <w:rPr>
          <w:rStyle w:val="FootnoteReference"/>
        </w:rPr>
        <w:footnoteReference w:id="4"/>
      </w:r>
      <w:r w:rsidRPr="00A51443">
        <w:t xml:space="preserve">: </w:t>
      </w:r>
    </w:p>
    <w:p w14:paraId="6B34C31A" w14:textId="77777777" w:rsidR="00672EF3" w:rsidRPr="00A51443" w:rsidRDefault="00672EF3" w:rsidP="00672EF3">
      <w:pPr>
        <w:spacing w:before="120"/>
        <w:ind w:left="1014"/>
        <w:rPr>
          <w:i/>
          <w:iCs/>
        </w:rPr>
      </w:pPr>
      <w:r w:rsidRPr="00A51443">
        <w:rPr>
          <w:i/>
          <w:iCs/>
        </w:rPr>
        <w:t>Specialist procedure suites are dedicated suites where specific procedures are performed, some of which are invasive and some are non-invasive in nature.</w:t>
      </w:r>
    </w:p>
    <w:p w14:paraId="622DB77A" w14:textId="77777777" w:rsidR="00672EF3" w:rsidRPr="00A51443" w:rsidRDefault="00672EF3" w:rsidP="00672EF3">
      <w:pPr>
        <w:spacing w:before="120"/>
        <w:ind w:left="1014"/>
        <w:rPr>
          <w:i/>
          <w:iCs/>
        </w:rPr>
      </w:pPr>
      <w:r w:rsidRPr="00A51443">
        <w:rPr>
          <w:i/>
          <w:iCs/>
        </w:rPr>
        <w:t>With the advancements in technology, most specialist procedure suites are day procedure centres and the patient is usually discharged on the same day.</w:t>
      </w:r>
    </w:p>
    <w:p w14:paraId="0EE4A70E" w14:textId="77777777" w:rsidR="00672EF3" w:rsidRPr="00A51443" w:rsidRDefault="00672EF3" w:rsidP="00672EF3">
      <w:pPr>
        <w:keepNext/>
        <w:spacing w:before="120"/>
        <w:ind w:left="720"/>
      </w:pPr>
      <w:r w:rsidRPr="00A51443">
        <w:t>Examples of specialist procedure suites as defined in the costing standards that meet the definition used in the principles include:</w:t>
      </w:r>
    </w:p>
    <w:p w14:paraId="74E96E7E" w14:textId="77777777" w:rsidR="00672EF3" w:rsidRPr="00A51443" w:rsidRDefault="00672EF3" w:rsidP="00672EF3">
      <w:pPr>
        <w:pStyle w:val="ListParagraph"/>
        <w:numPr>
          <w:ilvl w:val="0"/>
          <w:numId w:val="13"/>
        </w:numPr>
        <w:spacing w:before="120"/>
        <w:ind w:left="1428" w:hanging="357"/>
        <w:contextualSpacing w:val="0"/>
      </w:pPr>
      <w:r w:rsidRPr="00A51443">
        <w:t xml:space="preserve">cardiac catheter suites (for example, ADRG F41 </w:t>
      </w:r>
      <w:r w:rsidRPr="00A51443">
        <w:rPr>
          <w:i/>
          <w:iCs/>
        </w:rPr>
        <w:t>Circulatory disorders, admitted for AMI with invasive cardiac investigative interventions</w:t>
      </w:r>
      <w:r w:rsidRPr="00A51443">
        <w:t>)</w:t>
      </w:r>
    </w:p>
    <w:p w14:paraId="3A40D0A2" w14:textId="77777777" w:rsidR="00672EF3" w:rsidRPr="00A51443" w:rsidRDefault="00672EF3" w:rsidP="00672EF3">
      <w:pPr>
        <w:pStyle w:val="ListParagraph"/>
        <w:numPr>
          <w:ilvl w:val="0"/>
          <w:numId w:val="13"/>
        </w:numPr>
        <w:spacing w:before="120"/>
        <w:ind w:left="1428" w:hanging="357"/>
        <w:contextualSpacing w:val="0"/>
      </w:pPr>
      <w:r w:rsidRPr="00A51443">
        <w:t xml:space="preserve">general procedure suites (for example, ADRG D40 </w:t>
      </w:r>
      <w:r w:rsidRPr="00A51443">
        <w:rPr>
          <w:i/>
          <w:iCs/>
        </w:rPr>
        <w:t>Dental extractions and restorations</w:t>
      </w:r>
      <w:r w:rsidRPr="00A51443">
        <w:t>).</w:t>
      </w:r>
    </w:p>
    <w:p w14:paraId="6390B03D" w14:textId="77777777" w:rsidR="00672EF3" w:rsidRPr="00A51443" w:rsidRDefault="00672EF3" w:rsidP="00672EF3">
      <w:pPr>
        <w:pStyle w:val="ListParagraph"/>
        <w:keepNext/>
        <w:numPr>
          <w:ilvl w:val="0"/>
          <w:numId w:val="31"/>
        </w:numPr>
        <w:spacing w:before="120"/>
        <w:ind w:hanging="357"/>
        <w:contextualSpacing w:val="0"/>
      </w:pPr>
      <w:r w:rsidRPr="00A51443">
        <w:t xml:space="preserve">An intervention is a GI if it meets </w:t>
      </w:r>
      <w:r w:rsidRPr="00A51443">
        <w:rPr>
          <w:u w:val="single"/>
        </w:rPr>
        <w:t>each</w:t>
      </w:r>
      <w:r w:rsidRPr="00A51443">
        <w:t xml:space="preserve"> of the following criteria:</w:t>
      </w:r>
    </w:p>
    <w:p w14:paraId="40C608C0" w14:textId="77777777" w:rsidR="00672EF3" w:rsidRPr="00A51443" w:rsidRDefault="00672EF3" w:rsidP="00672EF3">
      <w:pPr>
        <w:pStyle w:val="ListParagraph"/>
        <w:numPr>
          <w:ilvl w:val="0"/>
          <w:numId w:val="41"/>
        </w:numPr>
        <w:spacing w:before="120"/>
        <w:contextualSpacing w:val="0"/>
      </w:pPr>
      <w:r w:rsidRPr="00A51443">
        <w:t>the intervention is invasive in nature</w:t>
      </w:r>
    </w:p>
    <w:p w14:paraId="084A7982" w14:textId="0CD7695B" w:rsidR="00672EF3" w:rsidRPr="00A51443" w:rsidRDefault="00672EF3" w:rsidP="00672EF3">
      <w:pPr>
        <w:pStyle w:val="ListParagraph"/>
        <w:numPr>
          <w:ilvl w:val="0"/>
          <w:numId w:val="41"/>
        </w:numPr>
        <w:spacing w:before="120"/>
        <w:contextualSpacing w:val="0"/>
      </w:pPr>
      <w:r w:rsidRPr="00A51443">
        <w:t xml:space="preserve">the intervention requires general anaesthesia or regional anaesthesia (for example, spinal or epidural anaesthesia). Excluding where a patient’s age or medical condition necessitates or prevents the use of a particular type of anaesthesia </w:t>
      </w:r>
    </w:p>
    <w:p w14:paraId="2C2415D8" w14:textId="77777777" w:rsidR="00672EF3" w:rsidRPr="00A51443" w:rsidRDefault="00672EF3" w:rsidP="00672EF3">
      <w:pPr>
        <w:pStyle w:val="ListParagraph"/>
        <w:numPr>
          <w:ilvl w:val="0"/>
          <w:numId w:val="41"/>
        </w:numPr>
        <w:spacing w:before="120"/>
        <w:contextualSpacing w:val="0"/>
      </w:pPr>
      <w:r w:rsidRPr="00A51443">
        <w:t>the intervention requires specialised surgical training and skills.</w:t>
      </w:r>
    </w:p>
    <w:p w14:paraId="7F66B9FC" w14:textId="77777777" w:rsidR="00672EF3" w:rsidRPr="00A51443" w:rsidRDefault="00672EF3" w:rsidP="00672EF3">
      <w:pPr>
        <w:keepNext/>
        <w:keepLines/>
        <w:ind w:left="720"/>
      </w:pPr>
      <w:r w:rsidRPr="00A51443">
        <w:t>For the purposes of these principles, the term ‘invasive’ refers to interventions which involve the introduction of instruments or other objects into the body or body cavities.</w:t>
      </w:r>
    </w:p>
    <w:p w14:paraId="22F9F36E" w14:textId="77777777" w:rsidR="00672EF3" w:rsidRPr="00A51443" w:rsidRDefault="00672EF3" w:rsidP="00672EF3">
      <w:pPr>
        <w:keepNext/>
        <w:keepLines/>
        <w:ind w:left="720"/>
      </w:pPr>
      <w:r w:rsidRPr="00A51443">
        <w:t>Interventions which do not meet the criteria of the proposed principles may require clinical advice to determine an appropriate intervention type.</w:t>
      </w:r>
    </w:p>
    <w:p w14:paraId="69FC989A" w14:textId="77777777" w:rsidR="00672EF3" w:rsidRPr="00A51443" w:rsidRDefault="00672EF3" w:rsidP="003F09F6">
      <w:pPr>
        <w:ind w:left="720"/>
      </w:pPr>
      <w:r w:rsidRPr="00A51443">
        <w:t>Conversely, while an intervention may meet the criteria of one of the principles, clinical judgement may also be required to determine whether the intervention or principal diagnosis is a better explanation of the resources required in an episode of care.</w:t>
      </w:r>
    </w:p>
    <w:p w14:paraId="1A773D64" w14:textId="77777777" w:rsidR="00672EF3" w:rsidRPr="00A51443" w:rsidRDefault="00672EF3" w:rsidP="00672EF3">
      <w:r w:rsidRPr="00A51443">
        <w:lastRenderedPageBreak/>
        <w:t>For AR-DRG V12.0 the intervention type of all ACHI Twelfth Edition codes were reviewed against the new guiding principles. This identified a large number of ACHI codes that contravened the guiding principles.</w:t>
      </w:r>
    </w:p>
    <w:p w14:paraId="6B7AD8F4" w14:textId="2FD7CC82" w:rsidR="00672EF3" w:rsidRPr="00A51443" w:rsidRDefault="00672EF3" w:rsidP="00672EF3">
      <w:pPr>
        <w:keepNext/>
        <w:keepLines/>
      </w:pPr>
      <w:r w:rsidRPr="00A51443">
        <w:t>These codes are broadly assigned into 4 categories:</w:t>
      </w:r>
    </w:p>
    <w:p w14:paraId="62E1E83F" w14:textId="77777777" w:rsidR="00672EF3" w:rsidRPr="00A51443" w:rsidRDefault="00672EF3" w:rsidP="00672EF3">
      <w:pPr>
        <w:pStyle w:val="ListParagraph"/>
        <w:keepNext/>
        <w:keepLines/>
        <w:numPr>
          <w:ilvl w:val="0"/>
          <w:numId w:val="46"/>
        </w:numPr>
        <w:spacing w:before="120"/>
        <w:ind w:left="714" w:hanging="357"/>
        <w:contextualSpacing w:val="0"/>
      </w:pPr>
      <w:r w:rsidRPr="00A51443">
        <w:t>interventions performed as a component of another intervention</w:t>
      </w:r>
    </w:p>
    <w:p w14:paraId="0F97B067" w14:textId="77777777" w:rsidR="00672EF3" w:rsidRPr="00A51443" w:rsidRDefault="00672EF3" w:rsidP="00672EF3">
      <w:pPr>
        <w:pStyle w:val="ListParagraph"/>
        <w:keepNext/>
        <w:keepLines/>
        <w:numPr>
          <w:ilvl w:val="0"/>
          <w:numId w:val="46"/>
        </w:numPr>
        <w:spacing w:before="120"/>
        <w:ind w:left="714" w:hanging="357"/>
        <w:contextualSpacing w:val="0"/>
      </w:pPr>
      <w:r w:rsidRPr="00A51443">
        <w:t>diagnostic interventions, for example biopsy or sampling</w:t>
      </w:r>
    </w:p>
    <w:p w14:paraId="49570807" w14:textId="77777777" w:rsidR="00672EF3" w:rsidRPr="00A51443" w:rsidRDefault="00672EF3" w:rsidP="00672EF3">
      <w:pPr>
        <w:pStyle w:val="ListParagraph"/>
        <w:keepNext/>
        <w:keepLines/>
        <w:numPr>
          <w:ilvl w:val="0"/>
          <w:numId w:val="46"/>
        </w:numPr>
        <w:spacing w:before="120"/>
        <w:ind w:left="714" w:hanging="357"/>
        <w:contextualSpacing w:val="0"/>
      </w:pPr>
      <w:r w:rsidRPr="00A51443">
        <w:t>interventions performed endoscopically or percutaneously</w:t>
      </w:r>
    </w:p>
    <w:p w14:paraId="2ADBDF9E" w14:textId="1A749717" w:rsidR="00672EF3" w:rsidRPr="00A51443" w:rsidRDefault="00672EF3" w:rsidP="00672EF3">
      <w:pPr>
        <w:pStyle w:val="ListParagraph"/>
        <w:numPr>
          <w:ilvl w:val="0"/>
          <w:numId w:val="46"/>
        </w:numPr>
        <w:spacing w:before="120"/>
        <w:ind w:left="714" w:hanging="357"/>
        <w:contextualSpacing w:val="0"/>
      </w:pPr>
      <w:r w:rsidRPr="00A51443">
        <w:t>other specific examples, such as internal or external fixation, telemetric electroencephalography (EEG) monitoring and percutaneous neurotomy.</w:t>
      </w:r>
    </w:p>
    <w:p w14:paraId="501E7987" w14:textId="77777777" w:rsidR="00672EF3" w:rsidRPr="00A51443" w:rsidRDefault="00672EF3" w:rsidP="00672EF3">
      <w:r w:rsidRPr="00A51443">
        <w:t>A staged approach has been adopted to remediate the intervention type of these ACHI codes to understand the impact and allow for consultation before changes are implemented.</w:t>
      </w:r>
    </w:p>
    <w:p w14:paraId="3C2914AC" w14:textId="0FEB3F0E" w:rsidR="00672EF3" w:rsidRPr="00A51443" w:rsidRDefault="00672EF3" w:rsidP="00672EF3">
      <w:r w:rsidRPr="00A51443">
        <w:t>In the first stage of implementation, for AR-DRG V12.0, the intervention type was remediated for 41 ACHI Thirteenth Edition codes</w:t>
      </w:r>
      <w:r w:rsidRPr="00A51443">
        <w:rPr>
          <w:rStyle w:val="FootnoteReference"/>
        </w:rPr>
        <w:footnoteReference w:id="5"/>
      </w:r>
      <w:r w:rsidRPr="00A51443">
        <w:t xml:space="preserve"> (listed in </w:t>
      </w:r>
      <w:r w:rsidRPr="00A51443">
        <w:rPr>
          <w:b/>
          <w:bCs/>
        </w:rPr>
        <w:t xml:space="preserve">Appendix </w:t>
      </w:r>
      <w:r w:rsidRPr="00DE042D">
        <w:rPr>
          <w:b/>
          <w:bCs/>
        </w:rPr>
        <w:t>A</w:t>
      </w:r>
      <w:r w:rsidR="0050718C" w:rsidRPr="00DE042D">
        <w:rPr>
          <w:b/>
          <w:bCs/>
        </w:rPr>
        <w:t>3</w:t>
      </w:r>
      <w:r w:rsidRPr="00A51443">
        <w:t xml:space="preserve">) that are, diagnostic interventions, endoscopies of the digestive system, internal or external fixations, or components of a different, more resource-intensive, intervention. In the 2018–19 to 2021–22 data used </w:t>
      </w:r>
      <w:r w:rsidR="003F09F6">
        <w:t>for</w:t>
      </w:r>
      <w:r w:rsidRPr="00A51443">
        <w:t xml:space="preserve"> </w:t>
      </w:r>
      <w:r w:rsidR="00EE72DF">
        <w:t>AR-DRG</w:t>
      </w:r>
      <w:r w:rsidRPr="00A51443">
        <w:t xml:space="preserve"> development, this resulted in 69,621 episodes grouping to different ADRGs.</w:t>
      </w:r>
    </w:p>
    <w:p w14:paraId="7991DFD7" w14:textId="3005E21A" w:rsidR="00672EF3" w:rsidRPr="00A51443" w:rsidRDefault="00672EF3" w:rsidP="00C006E1">
      <w:r w:rsidRPr="00A51443">
        <w:t>In future AR-DRG versions, the intervention type of the ACHI codes for the remaining endoscopic and percutaneous intervention and diagnostic procedures, notably percutaneous needle biopsies and telemetric EEG monitoring will be remediated.</w:t>
      </w:r>
    </w:p>
    <w:p w14:paraId="3A38B30F" w14:textId="71E0CD7C" w:rsidR="00761902" w:rsidRPr="00A51443" w:rsidRDefault="00F54606" w:rsidP="00623EF7">
      <w:pPr>
        <w:pStyle w:val="Heading2"/>
        <w:numPr>
          <w:ilvl w:val="1"/>
          <w:numId w:val="8"/>
        </w:numPr>
        <w:ind w:left="720" w:hanging="720"/>
        <w:rPr>
          <w:lang w:val="en-PH"/>
        </w:rPr>
      </w:pPr>
      <w:bookmarkStart w:id="499" w:name="_Toc183434342"/>
      <w:bookmarkStart w:id="500" w:name="_Toc183434597"/>
      <w:bookmarkStart w:id="501" w:name="_Toc182407523"/>
      <w:bookmarkStart w:id="502" w:name="_Toc182409857"/>
      <w:bookmarkStart w:id="503" w:name="_Toc182491426"/>
      <w:bookmarkStart w:id="504" w:name="_Toc182491714"/>
      <w:bookmarkStart w:id="505" w:name="_Toc182492002"/>
      <w:bookmarkStart w:id="506" w:name="_Toc182571779"/>
      <w:bookmarkStart w:id="507" w:name="_Toc183434343"/>
      <w:bookmarkStart w:id="508" w:name="_Toc183434598"/>
      <w:bookmarkStart w:id="509" w:name="_Ref187327927"/>
      <w:bookmarkStart w:id="510" w:name="_Toc188263119"/>
      <w:bookmarkStart w:id="511" w:name="_Toc193462711"/>
      <w:bookmarkStart w:id="512" w:name="_Toc100328199"/>
      <w:bookmarkEnd w:id="499"/>
      <w:bookmarkEnd w:id="500"/>
      <w:bookmarkEnd w:id="501"/>
      <w:bookmarkEnd w:id="502"/>
      <w:bookmarkEnd w:id="503"/>
      <w:bookmarkEnd w:id="504"/>
      <w:bookmarkEnd w:id="505"/>
      <w:bookmarkEnd w:id="506"/>
      <w:bookmarkEnd w:id="507"/>
      <w:bookmarkEnd w:id="508"/>
      <w:r w:rsidRPr="00A51443">
        <w:rPr>
          <w:lang w:val="en-PH"/>
        </w:rPr>
        <w:t xml:space="preserve">Enhancement of </w:t>
      </w:r>
      <w:r w:rsidR="002E11E0" w:rsidRPr="00A51443">
        <w:rPr>
          <w:lang w:val="en-PH"/>
        </w:rPr>
        <w:t>D</w:t>
      </w:r>
      <w:r w:rsidR="00380120" w:rsidRPr="00A51443">
        <w:rPr>
          <w:lang w:val="en-PH"/>
        </w:rPr>
        <w:t xml:space="preserve">iagnosis </w:t>
      </w:r>
      <w:r w:rsidR="00127F76" w:rsidRPr="00A51443">
        <w:rPr>
          <w:lang w:val="en-PH"/>
        </w:rPr>
        <w:t>C</w:t>
      </w:r>
      <w:r w:rsidR="00380120" w:rsidRPr="00A51443">
        <w:rPr>
          <w:lang w:val="en-PH"/>
        </w:rPr>
        <w:t xml:space="preserve">omplexity </w:t>
      </w:r>
      <w:r w:rsidR="00127F76" w:rsidRPr="00A51443">
        <w:rPr>
          <w:lang w:val="en-PH"/>
        </w:rPr>
        <w:t>L</w:t>
      </w:r>
      <w:r w:rsidR="00380120" w:rsidRPr="00A51443">
        <w:rPr>
          <w:lang w:val="en-PH"/>
        </w:rPr>
        <w:t>evel (DCL) precision for diabetes mellitus</w:t>
      </w:r>
      <w:bookmarkEnd w:id="509"/>
      <w:bookmarkEnd w:id="510"/>
      <w:bookmarkEnd w:id="511"/>
    </w:p>
    <w:p w14:paraId="561D7432" w14:textId="4ED04652" w:rsidR="00673F9B" w:rsidRPr="00A51443" w:rsidRDefault="00673F9B" w:rsidP="00C006E1">
      <w:bookmarkStart w:id="513" w:name="_Hlk180054968"/>
      <w:bookmarkEnd w:id="512"/>
      <w:r w:rsidRPr="00A51443">
        <w:t xml:space="preserve">The ECC </w:t>
      </w:r>
      <w:r w:rsidR="009E5410" w:rsidRPr="00A51443">
        <w:t>M</w:t>
      </w:r>
      <w:r w:rsidRPr="00A51443">
        <w:t xml:space="preserve">odel is used to calculate a complexity score for each episode by determining a DCL for each in-scope ICD-10-AM </w:t>
      </w:r>
      <w:r w:rsidR="0080126B" w:rsidRPr="00A51443">
        <w:t xml:space="preserve">(diagnosis) </w:t>
      </w:r>
      <w:r w:rsidRPr="00A51443">
        <w:t>code assigned to that episode. ECC</w:t>
      </w:r>
      <w:r w:rsidR="004A0322" w:rsidRPr="00A51443">
        <w:t xml:space="preserve">S </w:t>
      </w:r>
      <w:r w:rsidRPr="00A51443">
        <w:t xml:space="preserve">are used to distinguish different </w:t>
      </w:r>
      <w:r w:rsidR="007D6709" w:rsidRPr="00A51443">
        <w:t>DRGs</w:t>
      </w:r>
      <w:r w:rsidRPr="00A51443">
        <w:t xml:space="preserve"> within the same ADRG. Episodes with the highest ECC</w:t>
      </w:r>
      <w:r w:rsidR="004A0322" w:rsidRPr="00A51443">
        <w:t>S</w:t>
      </w:r>
      <w:r w:rsidRPr="00A51443">
        <w:t xml:space="preserve"> are assigned to the highest-complexity </w:t>
      </w:r>
      <w:r w:rsidR="001D75AD" w:rsidRPr="00A51443">
        <w:t xml:space="preserve">DRG </w:t>
      </w:r>
      <w:r w:rsidRPr="00A51443">
        <w:t>within their ADRG</w:t>
      </w:r>
      <w:r w:rsidR="00DB4899" w:rsidRPr="00A51443">
        <w:t>;</w:t>
      </w:r>
      <w:r w:rsidRPr="00A51443">
        <w:t xml:space="preserve"> similarly</w:t>
      </w:r>
      <w:r w:rsidR="00FE7B73" w:rsidRPr="00A51443">
        <w:t>,</w:t>
      </w:r>
      <w:r w:rsidRPr="00A51443">
        <w:t xml:space="preserve"> episodes with the lowest ECC</w:t>
      </w:r>
      <w:r w:rsidR="00EA553A" w:rsidRPr="00A51443">
        <w:t>S</w:t>
      </w:r>
      <w:r w:rsidRPr="00A51443">
        <w:t xml:space="preserve"> are assigned to the lowest-complexity </w:t>
      </w:r>
      <w:r w:rsidR="001D75AD" w:rsidRPr="00A51443">
        <w:t xml:space="preserve">DRG </w:t>
      </w:r>
      <w:r w:rsidRPr="00A51443">
        <w:t>within their ADRG.</w:t>
      </w:r>
    </w:p>
    <w:p w14:paraId="4572DEEC" w14:textId="252365E6" w:rsidR="00673F9B" w:rsidRPr="00A51443" w:rsidRDefault="00673F9B" w:rsidP="00C006E1">
      <w:r w:rsidRPr="00A51443">
        <w:t>The DCL of a code assigned to a given episode is calculated using:</w:t>
      </w:r>
    </w:p>
    <w:p w14:paraId="60530C5E" w14:textId="276AC0CA" w:rsidR="00673F9B" w:rsidRPr="00A51443" w:rsidRDefault="00673F9B" w:rsidP="00623EF7">
      <w:pPr>
        <w:pStyle w:val="ListParagraph"/>
        <w:numPr>
          <w:ilvl w:val="0"/>
          <w:numId w:val="11"/>
        </w:numPr>
        <w:ind w:left="714" w:hanging="357"/>
        <w:contextualSpacing w:val="0"/>
      </w:pPr>
      <w:r w:rsidRPr="00A51443">
        <w:t>the episode’s ADRG</w:t>
      </w:r>
    </w:p>
    <w:p w14:paraId="7F495FA5" w14:textId="27269886" w:rsidR="00673F9B" w:rsidRPr="00A51443" w:rsidRDefault="00673F9B" w:rsidP="00623EF7">
      <w:pPr>
        <w:pStyle w:val="ListParagraph"/>
        <w:numPr>
          <w:ilvl w:val="0"/>
          <w:numId w:val="11"/>
        </w:numPr>
        <w:contextualSpacing w:val="0"/>
      </w:pPr>
      <w:r w:rsidRPr="00A51443">
        <w:t xml:space="preserve">the first </w:t>
      </w:r>
      <w:r w:rsidR="00CC6FC4" w:rsidRPr="00A51443">
        <w:t>3</w:t>
      </w:r>
      <w:r w:rsidRPr="00A51443">
        <w:t xml:space="preserve"> characters of the </w:t>
      </w:r>
      <w:r w:rsidR="00EC48CF" w:rsidRPr="00A51443">
        <w:t xml:space="preserve">ICD-10-AM </w:t>
      </w:r>
      <w:r w:rsidRPr="00A51443">
        <w:t>code</w:t>
      </w:r>
    </w:p>
    <w:p w14:paraId="5D1A8DED" w14:textId="524ADFD6" w:rsidR="00673F9B" w:rsidRPr="00A51443" w:rsidRDefault="00673F9B" w:rsidP="00623EF7">
      <w:pPr>
        <w:pStyle w:val="ListParagraph"/>
        <w:numPr>
          <w:ilvl w:val="0"/>
          <w:numId w:val="11"/>
        </w:numPr>
        <w:contextualSpacing w:val="0"/>
      </w:pPr>
      <w:r w:rsidRPr="00A51443">
        <w:rPr>
          <w:rFonts w:cs="Arial"/>
          <w:color w:val="000000"/>
        </w:rPr>
        <w:lastRenderedPageBreak/>
        <w:t xml:space="preserve">the </w:t>
      </w:r>
      <w:r w:rsidR="00EC48CF" w:rsidRPr="00A51443">
        <w:rPr>
          <w:rFonts w:cs="Arial"/>
          <w:color w:val="000000"/>
        </w:rPr>
        <w:t xml:space="preserve">ICD-10-AM </w:t>
      </w:r>
      <w:r w:rsidR="009163E9" w:rsidRPr="00A51443">
        <w:rPr>
          <w:rFonts w:cs="Arial"/>
          <w:color w:val="000000"/>
        </w:rPr>
        <w:t>code’s Coherent Diagnosis Category (CDC)</w:t>
      </w:r>
      <w:r w:rsidR="00955724" w:rsidRPr="00A51443">
        <w:rPr>
          <w:rFonts w:cs="Arial"/>
          <w:color w:val="000000"/>
        </w:rPr>
        <w:t>.</w:t>
      </w:r>
      <w:r w:rsidR="003F4DA7" w:rsidRPr="00A51443">
        <w:rPr>
          <w:rFonts w:cs="Arial"/>
          <w:color w:val="000000"/>
        </w:rPr>
        <w:t xml:space="preserve"> </w:t>
      </w:r>
      <w:r w:rsidR="00A26BAF" w:rsidRPr="00A51443">
        <w:rPr>
          <w:rFonts w:cs="Arial"/>
          <w:color w:val="000000"/>
        </w:rPr>
        <w:t xml:space="preserve">A CDC is a </w:t>
      </w:r>
      <w:r w:rsidR="00EC48CF" w:rsidRPr="00A51443">
        <w:rPr>
          <w:rFonts w:cs="Arial"/>
          <w:color w:val="000000"/>
        </w:rPr>
        <w:t xml:space="preserve">group </w:t>
      </w:r>
      <w:r w:rsidR="00A26BAF" w:rsidRPr="00A51443">
        <w:rPr>
          <w:rFonts w:cs="Arial"/>
          <w:color w:val="000000"/>
        </w:rPr>
        <w:t xml:space="preserve">of </w:t>
      </w:r>
      <w:r w:rsidR="00EC48CF" w:rsidRPr="00A51443">
        <w:rPr>
          <w:rFonts w:cs="Arial"/>
          <w:color w:val="000000"/>
        </w:rPr>
        <w:t xml:space="preserve">clinically similar </w:t>
      </w:r>
      <w:r w:rsidR="0080126B" w:rsidRPr="00A51443">
        <w:rPr>
          <w:rFonts w:cs="Arial"/>
          <w:color w:val="000000"/>
        </w:rPr>
        <w:t>diagnosis</w:t>
      </w:r>
      <w:r w:rsidR="00A26BAF" w:rsidRPr="00A51443">
        <w:rPr>
          <w:rFonts w:cs="Arial"/>
          <w:color w:val="000000"/>
        </w:rPr>
        <w:t xml:space="preserve"> codes.</w:t>
      </w:r>
      <w:r w:rsidR="00571C1C" w:rsidRPr="00A51443">
        <w:rPr>
          <w:rStyle w:val="FootnoteReference"/>
          <w:rFonts w:cs="Arial"/>
          <w:color w:val="000000"/>
        </w:rPr>
        <w:footnoteReference w:id="6"/>
      </w:r>
    </w:p>
    <w:p w14:paraId="2A8E3550" w14:textId="0019C587" w:rsidR="00673F9B" w:rsidRPr="00A51443" w:rsidRDefault="00673F9B" w:rsidP="00C006E1">
      <w:r w:rsidRPr="00A51443">
        <w:t xml:space="preserve">This grouping of </w:t>
      </w:r>
      <w:r w:rsidR="0081291C" w:rsidRPr="00A51443">
        <w:t>code assignments</w:t>
      </w:r>
      <w:r w:rsidR="00955724" w:rsidRPr="00A51443">
        <w:t xml:space="preserve"> </w:t>
      </w:r>
      <w:r w:rsidR="00F905D3" w:rsidRPr="00A51443">
        <w:t xml:space="preserve">that </w:t>
      </w:r>
      <w:r w:rsidRPr="00A51443">
        <w:t>shar</w:t>
      </w:r>
      <w:r w:rsidR="00955724" w:rsidRPr="00A51443">
        <w:t>e</w:t>
      </w:r>
      <w:r w:rsidRPr="00A51443">
        <w:t xml:space="preserve"> common information for the purposes of DCL calculation has been adopted to balance the need for robust sample sizes, against the need to ensure that only clinically similar </w:t>
      </w:r>
      <w:r w:rsidR="00EC48CF" w:rsidRPr="00A51443">
        <w:t xml:space="preserve">diagnosis </w:t>
      </w:r>
      <w:r w:rsidRPr="00A51443">
        <w:t>codes receive the same DCL. This reduces volatility of DCLs over time</w:t>
      </w:r>
      <w:r w:rsidR="00955724" w:rsidRPr="00A51443">
        <w:t>. H</w:t>
      </w:r>
      <w:r w:rsidRPr="00A51443">
        <w:t>owever</w:t>
      </w:r>
      <w:r w:rsidR="009F3EB0" w:rsidRPr="00A51443">
        <w:t>,</w:t>
      </w:r>
      <w:r w:rsidRPr="00A51443">
        <w:t xml:space="preserve"> it also reduces capacity to distinguish between different codes, especially where clinically similar </w:t>
      </w:r>
      <w:r w:rsidR="00EC48CF" w:rsidRPr="00A51443">
        <w:t xml:space="preserve">diagnosis </w:t>
      </w:r>
      <w:r w:rsidRPr="00A51443">
        <w:t xml:space="preserve">codes reflect differing levels of severity. </w:t>
      </w:r>
    </w:p>
    <w:p w14:paraId="2CA00A44" w14:textId="7ED3AE65" w:rsidR="00673F9B" w:rsidRPr="00A51443" w:rsidRDefault="00EC48CF" w:rsidP="00C006E1">
      <w:r w:rsidRPr="00A51443">
        <w:t>Diagnosis</w:t>
      </w:r>
      <w:r w:rsidR="00673F9B" w:rsidRPr="00A51443">
        <w:t xml:space="preserve"> codes </w:t>
      </w:r>
      <w:r w:rsidR="002B488E">
        <w:t>for</w:t>
      </w:r>
      <w:r w:rsidR="00673F9B" w:rsidRPr="00A51443">
        <w:t xml:space="preserve"> diabetes mellitus</w:t>
      </w:r>
      <w:r w:rsidRPr="00A51443">
        <w:t xml:space="preserve"> were identified</w:t>
      </w:r>
      <w:r w:rsidR="00673F9B" w:rsidRPr="00A51443">
        <w:t xml:space="preserve"> as candidates for incorporating more granularity because: </w:t>
      </w:r>
    </w:p>
    <w:p w14:paraId="12B6A221" w14:textId="0506FF0E" w:rsidR="00673F9B" w:rsidRPr="00A51443" w:rsidRDefault="00673F9B" w:rsidP="00623EF7">
      <w:pPr>
        <w:pStyle w:val="ListParagraph"/>
        <w:numPr>
          <w:ilvl w:val="1"/>
          <w:numId w:val="26"/>
        </w:numPr>
        <w:ind w:left="714" w:hanging="357"/>
        <w:contextualSpacing w:val="0"/>
      </w:pPr>
      <w:r w:rsidRPr="00A51443">
        <w:t xml:space="preserve">diabetes is one of few conditions coded </w:t>
      </w:r>
      <w:r w:rsidR="00812D6F" w:rsidRPr="00A51443">
        <w:t xml:space="preserve">without needing </w:t>
      </w:r>
      <w:r w:rsidRPr="00A51443">
        <w:t xml:space="preserve">to meet ACS 0002 </w:t>
      </w:r>
      <w:r w:rsidRPr="00A51443">
        <w:rPr>
          <w:i/>
          <w:iCs/>
        </w:rPr>
        <w:t>Additional diagnoses</w:t>
      </w:r>
      <w:r w:rsidRPr="00A51443">
        <w:t xml:space="preserve">, which means robust samples are obtained at the </w:t>
      </w:r>
      <w:r w:rsidR="003F09F6" w:rsidRPr="00A51443">
        <w:t>four</w:t>
      </w:r>
      <w:r w:rsidR="003F09F6">
        <w:t>th</w:t>
      </w:r>
      <w:r w:rsidR="003F09F6" w:rsidRPr="00A51443">
        <w:t xml:space="preserve"> character</w:t>
      </w:r>
      <w:r w:rsidRPr="00A51443">
        <w:t xml:space="preserve"> code level. </w:t>
      </w:r>
    </w:p>
    <w:p w14:paraId="63BCE5B4" w14:textId="70EC3B86" w:rsidR="00673F9B" w:rsidRPr="00B97CEB" w:rsidRDefault="00673F9B" w:rsidP="00623EF7">
      <w:pPr>
        <w:pStyle w:val="ListParagraph"/>
        <w:numPr>
          <w:ilvl w:val="1"/>
          <w:numId w:val="26"/>
        </w:numPr>
        <w:autoSpaceDE w:val="0"/>
        <w:autoSpaceDN w:val="0"/>
        <w:adjustRightInd w:val="0"/>
        <w:ind w:left="714" w:hanging="357"/>
        <w:contextualSpacing w:val="0"/>
        <w:rPr>
          <w:rFonts w:cs="Arial"/>
        </w:rPr>
      </w:pPr>
      <w:bookmarkStart w:id="514" w:name="_Hlk190940235"/>
      <w:r w:rsidRPr="00B97CEB">
        <w:rPr>
          <w:rFonts w:cs="Arial"/>
        </w:rPr>
        <w:t>the code categories for diabetes mellitus contain codes</w:t>
      </w:r>
      <w:r w:rsidR="00DD08D3" w:rsidRPr="00B97CEB">
        <w:rPr>
          <w:rFonts w:cs="Arial"/>
        </w:rPr>
        <w:t xml:space="preserve"> </w:t>
      </w:r>
      <w:r w:rsidR="003F09F6" w:rsidRPr="00B97CEB">
        <w:rPr>
          <w:rFonts w:cs="Arial"/>
        </w:rPr>
        <w:t>at the fourth character level</w:t>
      </w:r>
      <w:r w:rsidR="00BB718B" w:rsidRPr="00B97CEB">
        <w:rPr>
          <w:rFonts w:cs="Arial"/>
        </w:rPr>
        <w:t xml:space="preserve"> </w:t>
      </w:r>
      <w:r w:rsidR="00DD08D3" w:rsidRPr="00B97CEB">
        <w:rPr>
          <w:rFonts w:cs="Arial"/>
        </w:rPr>
        <w:t xml:space="preserve">that indicate </w:t>
      </w:r>
      <w:r w:rsidR="00BB718B" w:rsidRPr="00B97CEB">
        <w:rPr>
          <w:rFonts w:cs="Arial"/>
        </w:rPr>
        <w:t xml:space="preserve">the presence of </w:t>
      </w:r>
      <w:r w:rsidR="00DD08D3" w:rsidRPr="00B97CEB">
        <w:rPr>
          <w:rFonts w:cs="Arial"/>
        </w:rPr>
        <w:t>diabetes mellitus</w:t>
      </w:r>
      <w:r w:rsidR="00BB718B" w:rsidRPr="00B97CEB">
        <w:rPr>
          <w:rFonts w:cs="Arial"/>
        </w:rPr>
        <w:t xml:space="preserve"> </w:t>
      </w:r>
      <w:r w:rsidR="0047625C" w:rsidRPr="00B97CEB">
        <w:rPr>
          <w:rFonts w:cs="Arial"/>
        </w:rPr>
        <w:t>without</w:t>
      </w:r>
      <w:r w:rsidR="00BB718B" w:rsidRPr="00B97CEB">
        <w:rPr>
          <w:rFonts w:cs="Arial"/>
        </w:rPr>
        <w:t xml:space="preserve"> complication</w:t>
      </w:r>
      <w:r w:rsidRPr="00B97CEB">
        <w:rPr>
          <w:rFonts w:cs="Arial"/>
        </w:rPr>
        <w:t>:</w:t>
      </w:r>
    </w:p>
    <w:bookmarkEnd w:id="514"/>
    <w:p w14:paraId="771E2635" w14:textId="6335AEB3" w:rsidR="00673F9B" w:rsidRPr="00A51443" w:rsidRDefault="00673F9B" w:rsidP="00DD08D3">
      <w:pPr>
        <w:pStyle w:val="ListParagraph"/>
        <w:numPr>
          <w:ilvl w:val="0"/>
          <w:numId w:val="61"/>
        </w:numPr>
        <w:autoSpaceDE w:val="0"/>
        <w:autoSpaceDN w:val="0"/>
        <w:adjustRightInd w:val="0"/>
        <w:contextualSpacing w:val="0"/>
        <w:rPr>
          <w:rFonts w:cs="Arial"/>
        </w:rPr>
      </w:pPr>
      <w:r w:rsidRPr="00A51443">
        <w:rPr>
          <w:rFonts w:cs="Arial"/>
        </w:rPr>
        <w:t xml:space="preserve">E10.9 </w:t>
      </w:r>
      <w:r w:rsidRPr="00A51443">
        <w:rPr>
          <w:rFonts w:cs="Arial"/>
          <w:i/>
          <w:iCs/>
        </w:rPr>
        <w:t xml:space="preserve">Type 1 diabetes without complication </w:t>
      </w:r>
    </w:p>
    <w:p w14:paraId="2C6E28F7" w14:textId="5C1432BF" w:rsidR="00673F9B" w:rsidRPr="00A51443" w:rsidRDefault="00673F9B" w:rsidP="00DD08D3">
      <w:pPr>
        <w:pStyle w:val="ListParagraph"/>
        <w:numPr>
          <w:ilvl w:val="0"/>
          <w:numId w:val="61"/>
        </w:numPr>
        <w:autoSpaceDE w:val="0"/>
        <w:autoSpaceDN w:val="0"/>
        <w:adjustRightInd w:val="0"/>
        <w:contextualSpacing w:val="0"/>
        <w:rPr>
          <w:rFonts w:cs="Arial"/>
        </w:rPr>
      </w:pPr>
      <w:r w:rsidRPr="00A51443">
        <w:rPr>
          <w:rFonts w:cs="Arial"/>
        </w:rPr>
        <w:t xml:space="preserve">E11.9 </w:t>
      </w:r>
      <w:r w:rsidRPr="00A51443">
        <w:rPr>
          <w:rFonts w:cs="Arial"/>
          <w:i/>
          <w:iCs/>
        </w:rPr>
        <w:t xml:space="preserve">Type 2 diabetes mellitus without complication </w:t>
      </w:r>
    </w:p>
    <w:p w14:paraId="20D50B8B" w14:textId="5078B100" w:rsidR="00673F9B" w:rsidRPr="00A51443" w:rsidRDefault="00673F9B" w:rsidP="00DD08D3">
      <w:pPr>
        <w:pStyle w:val="ListParagraph"/>
        <w:numPr>
          <w:ilvl w:val="0"/>
          <w:numId w:val="61"/>
        </w:numPr>
        <w:autoSpaceDE w:val="0"/>
        <w:autoSpaceDN w:val="0"/>
        <w:adjustRightInd w:val="0"/>
        <w:contextualSpacing w:val="0"/>
        <w:rPr>
          <w:rFonts w:cs="Arial"/>
          <w:color w:val="000000"/>
        </w:rPr>
      </w:pPr>
      <w:r w:rsidRPr="00A51443">
        <w:rPr>
          <w:rFonts w:cs="Arial"/>
        </w:rPr>
        <w:t xml:space="preserve">E13.9 </w:t>
      </w:r>
      <w:r w:rsidRPr="00A51443">
        <w:rPr>
          <w:rFonts w:cs="Arial"/>
          <w:i/>
          <w:iCs/>
        </w:rPr>
        <w:t>Other specified diabetes mellitus without complication</w:t>
      </w:r>
      <w:r w:rsidRPr="00A51443">
        <w:rPr>
          <w:rFonts w:cs="Arial"/>
        </w:rPr>
        <w:t xml:space="preserve">. </w:t>
      </w:r>
    </w:p>
    <w:p w14:paraId="5A3D8742" w14:textId="5351F2D5" w:rsidR="002F275D" w:rsidRDefault="009705A6" w:rsidP="00C006E1">
      <w:r w:rsidRPr="00B97CEB">
        <w:t xml:space="preserve">The </w:t>
      </w:r>
      <w:r w:rsidR="0047625C">
        <w:t xml:space="preserve">fourth character level </w:t>
      </w:r>
      <w:r w:rsidRPr="00B97CEB">
        <w:t>diagnosis</w:t>
      </w:r>
      <w:r w:rsidR="00A40CB6" w:rsidRPr="00B97CEB">
        <w:t xml:space="preserve"> code</w:t>
      </w:r>
      <w:r w:rsidRPr="00B97CEB">
        <w:t>s</w:t>
      </w:r>
      <w:r w:rsidR="00A40CB6" w:rsidRPr="00B97CEB">
        <w:t xml:space="preserve"> </w:t>
      </w:r>
      <w:r w:rsidRPr="00B97CEB">
        <w:t xml:space="preserve">for </w:t>
      </w:r>
      <w:r w:rsidR="00A40CB6" w:rsidRPr="00B97CEB">
        <w:t xml:space="preserve">‘without complication’ </w:t>
      </w:r>
      <w:r w:rsidRPr="00B97CEB">
        <w:t xml:space="preserve">are assigned more often </w:t>
      </w:r>
      <w:r w:rsidR="0055687C" w:rsidRPr="00B97CEB">
        <w:t>than the</w:t>
      </w:r>
      <w:r w:rsidRPr="00B97CEB">
        <w:t xml:space="preserve"> other</w:t>
      </w:r>
      <w:r w:rsidR="00B97CEB" w:rsidRPr="00B97CEB">
        <w:t xml:space="preserve"> </w:t>
      </w:r>
      <w:r w:rsidR="0047625C">
        <w:t xml:space="preserve">fourth </w:t>
      </w:r>
      <w:r w:rsidR="00A40CB6" w:rsidRPr="00B97CEB">
        <w:t>character</w:t>
      </w:r>
      <w:r w:rsidR="0047625C">
        <w:t xml:space="preserve"> level</w:t>
      </w:r>
      <w:r w:rsidR="0047625C" w:rsidRPr="00B97CEB">
        <w:t xml:space="preserve"> codes</w:t>
      </w:r>
      <w:r w:rsidR="00A40CB6" w:rsidRPr="00B97CEB">
        <w:t xml:space="preserve"> </w:t>
      </w:r>
      <w:r w:rsidR="002F275D" w:rsidRPr="00B97CEB">
        <w:t>for diabetes mellitus</w:t>
      </w:r>
      <w:r w:rsidR="0047625C">
        <w:t xml:space="preserve"> </w:t>
      </w:r>
      <w:r w:rsidR="0055687C" w:rsidRPr="00B97CEB">
        <w:t>and so have greater</w:t>
      </w:r>
      <w:r w:rsidR="00A40CB6" w:rsidRPr="00B97CEB">
        <w:t xml:space="preserve"> influence on the DCL value assigned.</w:t>
      </w:r>
      <w:r w:rsidR="009A067C" w:rsidRPr="00A51443">
        <w:t xml:space="preserve"> </w:t>
      </w:r>
    </w:p>
    <w:p w14:paraId="5DD0AACE" w14:textId="74ABB2B9" w:rsidR="00A40CB6" w:rsidRPr="00A51443" w:rsidRDefault="009A067C" w:rsidP="00C006E1">
      <w:r w:rsidRPr="00A51443">
        <w:t>Incorporating</w:t>
      </w:r>
      <w:r w:rsidR="002F275D">
        <w:t xml:space="preserve"> these</w:t>
      </w:r>
      <w:r w:rsidRPr="00A51443">
        <w:t xml:space="preserve"> codes</w:t>
      </w:r>
      <w:r w:rsidR="00C80555">
        <w:t xml:space="preserve"> (at the fourth character level)</w:t>
      </w:r>
      <w:r w:rsidRPr="00A51443">
        <w:t xml:space="preserve"> improves homogeneity among</w:t>
      </w:r>
      <w:r w:rsidR="0055687C" w:rsidRPr="00A51443">
        <w:t xml:space="preserve"> these</w:t>
      </w:r>
      <w:r w:rsidRPr="00A51443">
        <w:t xml:space="preserve"> codes </w:t>
      </w:r>
      <w:r w:rsidR="0055687C" w:rsidRPr="00A51443">
        <w:t xml:space="preserve">that share </w:t>
      </w:r>
      <w:r w:rsidRPr="00A51443">
        <w:t>the same DCL by allowing the complexity model to distinguish between diabetes mellitus with and without complication.</w:t>
      </w:r>
    </w:p>
    <w:p w14:paraId="5E826CBB" w14:textId="69F703E7" w:rsidR="00A40CB6" w:rsidRPr="00A51443" w:rsidRDefault="00A40CB6" w:rsidP="00C006E1">
      <w:r w:rsidRPr="00A51443">
        <w:t>For AR-DRG V12.0</w:t>
      </w:r>
      <w:r w:rsidR="005B7FF6" w:rsidRPr="00A51443">
        <w:t>,</w:t>
      </w:r>
      <w:r w:rsidR="0055687C" w:rsidRPr="00A51443">
        <w:t xml:space="preserve"> </w:t>
      </w:r>
      <w:r w:rsidRPr="00A51443">
        <w:t xml:space="preserve">DCL </w:t>
      </w:r>
      <w:r w:rsidR="0055687C" w:rsidRPr="00A51443">
        <w:t xml:space="preserve">values have been calculated </w:t>
      </w:r>
      <w:r w:rsidRPr="00A51443">
        <w:t>using</w:t>
      </w:r>
      <w:r w:rsidR="002F275D">
        <w:t xml:space="preserve"> 25</w:t>
      </w:r>
      <w:r w:rsidRPr="00A51443">
        <w:t xml:space="preserve"> </w:t>
      </w:r>
      <w:r w:rsidR="002F275D">
        <w:t>codes at the fourth character level within the diabetes mellitus code</w:t>
      </w:r>
      <w:r w:rsidRPr="00A51443">
        <w:t xml:space="preserve"> categories:</w:t>
      </w:r>
    </w:p>
    <w:p w14:paraId="1E69D2C3" w14:textId="18F09AF3" w:rsidR="00253F6B" w:rsidRPr="00A51443" w:rsidRDefault="00253F6B" w:rsidP="00235023">
      <w:pPr>
        <w:keepNext/>
      </w:pPr>
      <w:r w:rsidRPr="00A51443">
        <w:t>The 25 selected codes were selected based on the following criteria</w:t>
      </w:r>
      <w:r w:rsidR="002B488E">
        <w:t xml:space="preserve"> and </w:t>
      </w:r>
      <w:r w:rsidR="002B488E" w:rsidRPr="00A51443">
        <w:t xml:space="preserve">are listed in </w:t>
      </w:r>
      <w:r w:rsidR="002B488E" w:rsidRPr="00A51443">
        <w:rPr>
          <w:b/>
          <w:bCs/>
        </w:rPr>
        <w:t>Appendix A4</w:t>
      </w:r>
      <w:r w:rsidRPr="00A51443">
        <w:t>:</w:t>
      </w:r>
    </w:p>
    <w:p w14:paraId="5CC74839" w14:textId="5B64579D" w:rsidR="00253F6B" w:rsidRPr="00A51443" w:rsidRDefault="00253F6B" w:rsidP="00623EF7">
      <w:pPr>
        <w:pStyle w:val="ListParagraph"/>
        <w:numPr>
          <w:ilvl w:val="0"/>
          <w:numId w:val="13"/>
        </w:numPr>
        <w:ind w:left="714" w:hanging="357"/>
        <w:contextualSpacing w:val="0"/>
      </w:pPr>
      <w:r w:rsidRPr="00A51443">
        <w:t>each code</w:t>
      </w:r>
      <w:r w:rsidR="002B488E">
        <w:t xml:space="preserve"> at the fourth character level</w:t>
      </w:r>
      <w:r w:rsidRPr="00A51443">
        <w:t xml:space="preserve"> must have a sample size of at least 1,000 episodes per year in the data used for </w:t>
      </w:r>
      <w:r w:rsidR="00581196" w:rsidRPr="00A51443">
        <w:t xml:space="preserve">AR-DRG V12.0 </w:t>
      </w:r>
      <w:r w:rsidRPr="00A51443">
        <w:t>development</w:t>
      </w:r>
    </w:p>
    <w:p w14:paraId="235AC20E" w14:textId="71E98FA3" w:rsidR="005C0DF1" w:rsidRPr="00A51443" w:rsidRDefault="00253F6B" w:rsidP="00623EF7">
      <w:pPr>
        <w:pStyle w:val="ListParagraph"/>
        <w:numPr>
          <w:ilvl w:val="0"/>
          <w:numId w:val="13"/>
        </w:numPr>
        <w:ind w:left="714" w:hanging="357"/>
        <w:contextualSpacing w:val="0"/>
      </w:pPr>
      <w:r w:rsidRPr="00A51443">
        <w:t xml:space="preserve">the </w:t>
      </w:r>
      <w:r w:rsidR="002B488E">
        <w:t>code at the fourth character level</w:t>
      </w:r>
      <w:r w:rsidRPr="00A51443">
        <w:t xml:space="preserve"> must have a distinct cost profile to that </w:t>
      </w:r>
      <w:r w:rsidR="002B488E">
        <w:t>at the third</w:t>
      </w:r>
      <w:r w:rsidR="006667C8" w:rsidRPr="00A51443">
        <w:t xml:space="preserve"> </w:t>
      </w:r>
      <w:r w:rsidRPr="00A51443">
        <w:t>character code category</w:t>
      </w:r>
      <w:r w:rsidR="002B488E">
        <w:t xml:space="preserve"> level</w:t>
      </w:r>
      <w:r w:rsidRPr="00A51443">
        <w:t xml:space="preserve"> to which it belongs</w:t>
      </w:r>
    </w:p>
    <w:p w14:paraId="42B25D9E" w14:textId="7794BC58" w:rsidR="00266625" w:rsidRPr="00A51443" w:rsidRDefault="0081291C" w:rsidP="00623EF7">
      <w:pPr>
        <w:pStyle w:val="ListParagraph"/>
        <w:numPr>
          <w:ilvl w:val="0"/>
          <w:numId w:val="13"/>
        </w:numPr>
        <w:ind w:left="714" w:hanging="357"/>
        <w:contextualSpacing w:val="0"/>
      </w:pPr>
      <w:r w:rsidRPr="00A51443">
        <w:t>the code shares the same CDC as codes specifying ‘without complication’, therefore is commonly assigned the same DCL as codes specifying ‘without complication’</w:t>
      </w:r>
      <w:r w:rsidR="00266625" w:rsidRPr="00A51443">
        <w:t>.</w:t>
      </w:r>
    </w:p>
    <w:p w14:paraId="784672E5" w14:textId="7FDEF984" w:rsidR="00C710E5" w:rsidRPr="00A51443" w:rsidRDefault="00C710E5" w:rsidP="00C710E5">
      <w:r w:rsidRPr="00A51443">
        <w:t xml:space="preserve">To further enhance the clinical coherence of the classification and to reduce the potential for volatility, this change </w:t>
      </w:r>
      <w:r w:rsidR="0055687C" w:rsidRPr="00A51443">
        <w:t xml:space="preserve">has </w:t>
      </w:r>
      <w:r w:rsidRPr="00A51443">
        <w:t>only</w:t>
      </w:r>
      <w:r w:rsidR="0055687C" w:rsidRPr="00A51443">
        <w:t xml:space="preserve"> been</w:t>
      </w:r>
      <w:r w:rsidRPr="00A51443">
        <w:t xml:space="preserve"> implemented when </w:t>
      </w:r>
      <w:r w:rsidR="0055687C" w:rsidRPr="00A51443">
        <w:t>it</w:t>
      </w:r>
      <w:r w:rsidRPr="00A51443">
        <w:t xml:space="preserve"> result</w:t>
      </w:r>
      <w:r w:rsidR="0055687C" w:rsidRPr="00A51443">
        <w:t>s</w:t>
      </w:r>
      <w:r w:rsidRPr="00A51443">
        <w:t xml:space="preserve"> in a DCL higher than that which would be obtained by considering </w:t>
      </w:r>
      <w:r w:rsidR="002B488E">
        <w:t>the</w:t>
      </w:r>
      <w:r w:rsidR="002B488E" w:rsidRPr="00A51443">
        <w:t xml:space="preserve"> </w:t>
      </w:r>
      <w:r w:rsidRPr="00A51443">
        <w:t>code</w:t>
      </w:r>
      <w:r w:rsidR="002B488E">
        <w:t>s at the third character category level only</w:t>
      </w:r>
      <w:r w:rsidRPr="00A51443">
        <w:t xml:space="preserve">. This ensures </w:t>
      </w:r>
      <w:r w:rsidRPr="00A51443">
        <w:lastRenderedPageBreak/>
        <w:t>that a code for diabetes mellitus without complication cannot have a higher DCL than diabetes mellitus with a complication.</w:t>
      </w:r>
    </w:p>
    <w:p w14:paraId="4FBE50FC" w14:textId="755B2FEA" w:rsidR="00266625" w:rsidRPr="00A51443" w:rsidRDefault="00EE53F8" w:rsidP="00C006E1">
      <w:r w:rsidRPr="00A51443">
        <w:t xml:space="preserve">Consequently, the enhancement of DCL precision for the 25 ICD-10-AM codes, </w:t>
      </w:r>
      <w:r w:rsidR="00266625" w:rsidRPr="00A51443">
        <w:t>impact</w:t>
      </w:r>
      <w:r w:rsidR="0055687C" w:rsidRPr="00A51443">
        <w:t>s</w:t>
      </w:r>
      <w:r w:rsidR="00BF159B" w:rsidRPr="00A51443">
        <w:t xml:space="preserve"> </w:t>
      </w:r>
      <w:r w:rsidR="00C710E5" w:rsidRPr="00A51443">
        <w:t xml:space="preserve">approximately </w:t>
      </w:r>
      <w:r w:rsidR="00803371" w:rsidRPr="00A51443">
        <w:t>61</w:t>
      </w:r>
      <w:r w:rsidRPr="00A51443">
        <w:t>,</w:t>
      </w:r>
      <w:r w:rsidR="00803371" w:rsidRPr="00A51443">
        <w:t>967</w:t>
      </w:r>
      <w:r w:rsidR="00BF159B" w:rsidRPr="00A51443">
        <w:t xml:space="preserve"> episodes </w:t>
      </w:r>
      <w:r w:rsidR="00266625" w:rsidRPr="00A51443">
        <w:t>across 1</w:t>
      </w:r>
      <w:r w:rsidR="00803371" w:rsidRPr="00A51443">
        <w:t>82</w:t>
      </w:r>
      <w:r w:rsidR="00266625" w:rsidRPr="00A51443">
        <w:t xml:space="preserve"> ADRGs</w:t>
      </w:r>
      <w:r w:rsidR="00BF159B" w:rsidRPr="00A51443">
        <w:t xml:space="preserve"> </w:t>
      </w:r>
      <w:r w:rsidR="00672EF3" w:rsidRPr="00A51443">
        <w:t>between 2018–19 and 2021–22</w:t>
      </w:r>
      <w:r w:rsidR="009D3A28" w:rsidRPr="00A51443">
        <w:t>.</w:t>
      </w:r>
      <w:bookmarkStart w:id="515" w:name="_Hlk180057381"/>
    </w:p>
    <w:p w14:paraId="2E02F03B" w14:textId="328E2726" w:rsidR="009E54D1" w:rsidRPr="00A51443" w:rsidRDefault="009E54D1" w:rsidP="00623EF7">
      <w:pPr>
        <w:pStyle w:val="Heading2"/>
        <w:numPr>
          <w:ilvl w:val="1"/>
          <w:numId w:val="8"/>
        </w:numPr>
        <w:ind w:left="720" w:hanging="720"/>
        <w:rPr>
          <w:lang w:val="en-PH"/>
        </w:rPr>
      </w:pPr>
      <w:bookmarkStart w:id="516" w:name="_Ref187328056"/>
      <w:bookmarkStart w:id="517" w:name="_Toc188263120"/>
      <w:bookmarkStart w:id="518" w:name="_Toc193462712"/>
      <w:bookmarkEnd w:id="513"/>
      <w:bookmarkEnd w:id="515"/>
      <w:r w:rsidRPr="00A51443">
        <w:rPr>
          <w:lang w:val="en-PH"/>
        </w:rPr>
        <w:t xml:space="preserve">Posthumous </w:t>
      </w:r>
      <w:r w:rsidR="0031446F" w:rsidRPr="00A51443">
        <w:rPr>
          <w:lang w:val="en-PH"/>
        </w:rPr>
        <w:t>o</w:t>
      </w:r>
      <w:r w:rsidRPr="00A51443">
        <w:rPr>
          <w:lang w:val="en-PH"/>
        </w:rPr>
        <w:t xml:space="preserve">rgan </w:t>
      </w:r>
      <w:r w:rsidR="0031446F" w:rsidRPr="00A51443">
        <w:rPr>
          <w:lang w:val="en-PH"/>
        </w:rPr>
        <w:t>p</w:t>
      </w:r>
      <w:r w:rsidRPr="00A51443">
        <w:rPr>
          <w:lang w:val="en-PH"/>
        </w:rPr>
        <w:t>rocurement</w:t>
      </w:r>
      <w:bookmarkEnd w:id="516"/>
      <w:bookmarkEnd w:id="517"/>
      <w:bookmarkEnd w:id="518"/>
    </w:p>
    <w:p w14:paraId="722D2CD1" w14:textId="35AC39F8" w:rsidR="006D11A6" w:rsidRPr="00A51443" w:rsidRDefault="005D7984" w:rsidP="00C006E1">
      <w:r w:rsidRPr="00A51443">
        <w:t>In AR-DRG V12.0</w:t>
      </w:r>
      <w:r w:rsidR="008667B6" w:rsidRPr="00A51443">
        <w:t xml:space="preserve"> there is</w:t>
      </w:r>
      <w:r w:rsidR="006D11A6" w:rsidRPr="00A51443">
        <w:t xml:space="preserve"> a</w:t>
      </w:r>
      <w:r w:rsidR="005D02C2" w:rsidRPr="00A51443">
        <w:t xml:space="preserve"> new</w:t>
      </w:r>
      <w:r w:rsidR="006D11A6" w:rsidRPr="00A51443">
        <w:t xml:space="preserve"> ADRG </w:t>
      </w:r>
      <w:r w:rsidR="008667B6" w:rsidRPr="00A51443">
        <w:t>for</w:t>
      </w:r>
      <w:r w:rsidR="006D11A6" w:rsidRPr="00A51443">
        <w:t xml:space="preserve"> posthumous organ procurement</w:t>
      </w:r>
      <w:r w:rsidR="0037336C" w:rsidRPr="00A51443">
        <w:t>,</w:t>
      </w:r>
      <w:r w:rsidR="002661D0" w:rsidRPr="00A51443">
        <w:t xml:space="preserve"> </w:t>
      </w:r>
      <w:r w:rsidR="00A75562" w:rsidRPr="00A51443">
        <w:t xml:space="preserve">ADRG </w:t>
      </w:r>
      <w:r w:rsidR="0037336C" w:rsidRPr="00A51443">
        <w:t>A</w:t>
      </w:r>
      <w:r w:rsidR="00A75562" w:rsidRPr="00A51443">
        <w:t xml:space="preserve">16 </w:t>
      </w:r>
      <w:r w:rsidR="00A75562" w:rsidRPr="00A51443">
        <w:rPr>
          <w:i/>
          <w:iCs/>
        </w:rPr>
        <w:t>Posthumous organ procurement</w:t>
      </w:r>
      <w:r w:rsidR="00A75562" w:rsidRPr="00A51443">
        <w:t xml:space="preserve">. </w:t>
      </w:r>
      <w:r w:rsidR="006D11A6" w:rsidRPr="00A51443">
        <w:t xml:space="preserve">The creation of this ADRG </w:t>
      </w:r>
      <w:r w:rsidR="00C63561" w:rsidRPr="00A51443">
        <w:t>aims</w:t>
      </w:r>
      <w:r w:rsidR="0099610D" w:rsidRPr="00A51443">
        <w:t xml:space="preserve"> to </w:t>
      </w:r>
      <w:r w:rsidR="006D11A6" w:rsidRPr="00A51443">
        <w:t>more accurate</w:t>
      </w:r>
      <w:r w:rsidR="008667B6" w:rsidRPr="00A51443">
        <w:t>ly</w:t>
      </w:r>
      <w:r w:rsidR="006D11A6" w:rsidRPr="00A51443">
        <w:t xml:space="preserve"> </w:t>
      </w:r>
      <w:r w:rsidR="00524ED0" w:rsidRPr="00A51443">
        <w:t>capture posthumous organ procurement activity</w:t>
      </w:r>
      <w:r w:rsidR="006D11A6" w:rsidRPr="00A51443">
        <w:t>.</w:t>
      </w:r>
    </w:p>
    <w:p w14:paraId="3F474A78" w14:textId="060852CB" w:rsidR="002661D0" w:rsidRPr="00A51443" w:rsidRDefault="006D11A6" w:rsidP="00C006E1">
      <w:r w:rsidRPr="00A51443">
        <w:t xml:space="preserve">Activity pertaining to posthumous organ procurement is submitted via the </w:t>
      </w:r>
      <w:r w:rsidR="0002249F" w:rsidRPr="00A51443">
        <w:t>Admitted Patient Care (</w:t>
      </w:r>
      <w:r w:rsidRPr="00A51443">
        <w:t>APC</w:t>
      </w:r>
      <w:r w:rsidR="0002249F" w:rsidRPr="00A51443">
        <w:t>) National Minimum Data Set</w:t>
      </w:r>
      <w:r w:rsidRPr="00A51443">
        <w:t xml:space="preserve"> </w:t>
      </w:r>
      <w:r w:rsidR="0002249F" w:rsidRPr="00A51443">
        <w:t>(</w:t>
      </w:r>
      <w:r w:rsidRPr="00A51443">
        <w:t>NMDS</w:t>
      </w:r>
      <w:r w:rsidR="0002249F" w:rsidRPr="00A51443">
        <w:t>)</w:t>
      </w:r>
      <w:r w:rsidRPr="00A51443">
        <w:t xml:space="preserve"> on a ‘best </w:t>
      </w:r>
      <w:r w:rsidR="009F3EB0" w:rsidRPr="00A51443">
        <w:t>endeavo</w:t>
      </w:r>
      <w:r w:rsidR="00524ED0" w:rsidRPr="00A51443">
        <w:t>u</w:t>
      </w:r>
      <w:r w:rsidR="009F3EB0" w:rsidRPr="00A51443">
        <w:t>rs</w:t>
      </w:r>
      <w:r w:rsidRPr="00A51443">
        <w:t xml:space="preserve"> basis’</w:t>
      </w:r>
      <w:r w:rsidR="00D22003" w:rsidRPr="00A51443">
        <w:t>. Nonetheless,</w:t>
      </w:r>
      <w:r w:rsidRPr="00A51443">
        <w:t xml:space="preserve"> </w:t>
      </w:r>
      <w:r w:rsidR="00D22003" w:rsidRPr="00A51443">
        <w:t xml:space="preserve">in </w:t>
      </w:r>
      <w:r w:rsidRPr="00A51443">
        <w:t xml:space="preserve">the </w:t>
      </w:r>
      <w:r w:rsidR="0037336C" w:rsidRPr="00A51443">
        <w:t xml:space="preserve">data used for </w:t>
      </w:r>
      <w:r w:rsidRPr="00A51443">
        <w:t>AR-DRG V12.0</w:t>
      </w:r>
      <w:r w:rsidR="00D22003" w:rsidRPr="00A51443">
        <w:t xml:space="preserve"> </w:t>
      </w:r>
      <w:r w:rsidR="00BB04F8" w:rsidRPr="00A51443">
        <w:t xml:space="preserve">development </w:t>
      </w:r>
      <w:r w:rsidR="00D22003" w:rsidRPr="00A51443">
        <w:t>(</w:t>
      </w:r>
      <w:r w:rsidR="0037336C" w:rsidRPr="00A51443">
        <w:t xml:space="preserve">public hospital </w:t>
      </w:r>
      <w:r w:rsidR="00810750" w:rsidRPr="00A51443">
        <w:t xml:space="preserve">admitted patient care </w:t>
      </w:r>
      <w:r w:rsidR="0037336C" w:rsidRPr="00A51443">
        <w:t xml:space="preserve">activity </w:t>
      </w:r>
      <w:r w:rsidR="00D22003" w:rsidRPr="00A51443">
        <w:t>2018–19 to 202</w:t>
      </w:r>
      <w:r w:rsidR="00946B20" w:rsidRPr="00A51443">
        <w:t>1</w:t>
      </w:r>
      <w:r w:rsidR="00D22003" w:rsidRPr="00A51443">
        <w:t>–2</w:t>
      </w:r>
      <w:r w:rsidR="00946B20" w:rsidRPr="00A51443">
        <w:t>2</w:t>
      </w:r>
      <w:r w:rsidR="00D22003" w:rsidRPr="00A51443">
        <w:t>),</w:t>
      </w:r>
      <w:r w:rsidRPr="00A51443">
        <w:t xml:space="preserve"> all jurisdictions submitted some posthumous organ procurement activity in each year</w:t>
      </w:r>
      <w:r w:rsidR="00AE6AA2" w:rsidRPr="00A51443">
        <w:t>.</w:t>
      </w:r>
      <w:r w:rsidRPr="00A51443">
        <w:t xml:space="preserve"> Moreover, </w:t>
      </w:r>
      <w:r w:rsidR="007B16C0" w:rsidRPr="00A51443">
        <w:t xml:space="preserve">6 </w:t>
      </w:r>
      <w:r w:rsidRPr="00A51443">
        <w:t xml:space="preserve">jurisdictions submitted </w:t>
      </w:r>
      <w:r w:rsidR="000D35B4" w:rsidRPr="00A51443">
        <w:t xml:space="preserve">cost </w:t>
      </w:r>
      <w:r w:rsidRPr="00A51443">
        <w:t>data linked to posthumous organ procurement for these years.</w:t>
      </w:r>
    </w:p>
    <w:p w14:paraId="670BC1F0" w14:textId="7F4DD661" w:rsidR="0037336C" w:rsidRPr="00A51443" w:rsidRDefault="00D73E37" w:rsidP="00C006E1">
      <w:r w:rsidRPr="00A51443">
        <w:t xml:space="preserve">In AR-DRG V12.0, </w:t>
      </w:r>
      <w:r w:rsidR="009E5C37" w:rsidRPr="00A51443">
        <w:t>ADRG</w:t>
      </w:r>
      <w:r w:rsidR="006D11A6" w:rsidRPr="00A51443">
        <w:t xml:space="preserve"> </w:t>
      </w:r>
      <w:r w:rsidR="0037336C" w:rsidRPr="00A51443">
        <w:t>A</w:t>
      </w:r>
      <w:r w:rsidR="009E5C37" w:rsidRPr="00A51443">
        <w:t>16</w:t>
      </w:r>
      <w:r w:rsidR="006D11A6" w:rsidRPr="00A51443">
        <w:t xml:space="preserve"> </w:t>
      </w:r>
      <w:r w:rsidR="006D11A6" w:rsidRPr="00A51443">
        <w:rPr>
          <w:i/>
          <w:iCs/>
        </w:rPr>
        <w:t xml:space="preserve">Posthumous </w:t>
      </w:r>
      <w:r w:rsidR="0037336C" w:rsidRPr="00A51443">
        <w:rPr>
          <w:i/>
          <w:iCs/>
        </w:rPr>
        <w:t>o</w:t>
      </w:r>
      <w:r w:rsidR="006D11A6" w:rsidRPr="00A51443">
        <w:rPr>
          <w:i/>
          <w:iCs/>
        </w:rPr>
        <w:t xml:space="preserve">rgan </w:t>
      </w:r>
      <w:r w:rsidR="0037336C" w:rsidRPr="00A51443">
        <w:rPr>
          <w:i/>
          <w:iCs/>
        </w:rPr>
        <w:t>p</w:t>
      </w:r>
      <w:r w:rsidR="006D11A6" w:rsidRPr="00A51443">
        <w:rPr>
          <w:i/>
          <w:iCs/>
        </w:rPr>
        <w:t>rocurement</w:t>
      </w:r>
      <w:r w:rsidR="00AE6AA2" w:rsidRPr="00A51443">
        <w:t xml:space="preserve"> </w:t>
      </w:r>
      <w:r w:rsidRPr="00A51443">
        <w:t xml:space="preserve">belongs </w:t>
      </w:r>
      <w:r w:rsidR="00CA5D47" w:rsidRPr="00A51443">
        <w:t xml:space="preserve">in </w:t>
      </w:r>
      <w:r w:rsidR="0037336C" w:rsidRPr="00A51443">
        <w:t xml:space="preserve">MDC 00 </w:t>
      </w:r>
      <w:r w:rsidR="0037336C" w:rsidRPr="00A51443">
        <w:rPr>
          <w:i/>
          <w:iCs/>
        </w:rPr>
        <w:t>Pre M</w:t>
      </w:r>
      <w:r w:rsidR="002C7AEC" w:rsidRPr="00A51443">
        <w:rPr>
          <w:i/>
          <w:iCs/>
        </w:rPr>
        <w:t xml:space="preserve">ajor </w:t>
      </w:r>
      <w:r w:rsidR="0037336C" w:rsidRPr="00A51443">
        <w:rPr>
          <w:i/>
          <w:iCs/>
        </w:rPr>
        <w:t>D</w:t>
      </w:r>
      <w:r w:rsidR="002C7AEC" w:rsidRPr="00A51443">
        <w:rPr>
          <w:i/>
          <w:iCs/>
        </w:rPr>
        <w:t xml:space="preserve">iagnostic </w:t>
      </w:r>
      <w:r w:rsidR="0037336C" w:rsidRPr="00A51443">
        <w:rPr>
          <w:i/>
          <w:iCs/>
        </w:rPr>
        <w:t>C</w:t>
      </w:r>
      <w:r w:rsidR="002C7AEC" w:rsidRPr="00A51443">
        <w:rPr>
          <w:i/>
          <w:iCs/>
        </w:rPr>
        <w:t>ategory</w:t>
      </w:r>
      <w:r w:rsidR="001B365F" w:rsidRPr="00A51443">
        <w:t>. This</w:t>
      </w:r>
      <w:r w:rsidR="001B365F" w:rsidRPr="00A51443">
        <w:rPr>
          <w:i/>
          <w:iCs/>
        </w:rPr>
        <w:t xml:space="preserve"> </w:t>
      </w:r>
      <w:r w:rsidR="001B365F" w:rsidRPr="00A51443">
        <w:t>is i</w:t>
      </w:r>
      <w:r w:rsidR="0037336C" w:rsidRPr="00A51443">
        <w:t xml:space="preserve">n accordance with </w:t>
      </w:r>
      <w:r w:rsidR="001B365F" w:rsidRPr="00A51443">
        <w:t>the defining principles for Pre M</w:t>
      </w:r>
      <w:r w:rsidR="001F1446" w:rsidRPr="00A51443">
        <w:t xml:space="preserve">ajor </w:t>
      </w:r>
      <w:r w:rsidR="001B365F" w:rsidRPr="00A51443">
        <w:t>D</w:t>
      </w:r>
      <w:r w:rsidR="001F1446" w:rsidRPr="00A51443">
        <w:t xml:space="preserve">iagnostic </w:t>
      </w:r>
      <w:r w:rsidR="001B365F" w:rsidRPr="00A51443">
        <w:t>C</w:t>
      </w:r>
      <w:r w:rsidR="001F1446" w:rsidRPr="00A51443">
        <w:t>ategory</w:t>
      </w:r>
      <w:r w:rsidR="001B365F" w:rsidRPr="00A51443">
        <w:t xml:space="preserve"> ADRGs listed in </w:t>
      </w:r>
      <w:r w:rsidR="0037336C" w:rsidRPr="00A51443">
        <w:t>the</w:t>
      </w:r>
      <w:r w:rsidR="00551992" w:rsidRPr="00A51443">
        <w:t xml:space="preserve"> </w:t>
      </w:r>
      <w:r w:rsidR="00525F25" w:rsidRPr="00A51443">
        <w:t>g</w:t>
      </w:r>
      <w:r w:rsidR="005E09E8" w:rsidRPr="00A51443">
        <w:t xml:space="preserve">overnance </w:t>
      </w:r>
      <w:r w:rsidR="00525F25" w:rsidRPr="00A51443">
        <w:t>f</w:t>
      </w:r>
      <w:r w:rsidR="00551992" w:rsidRPr="00A51443">
        <w:t>ramework</w:t>
      </w:r>
      <w:r w:rsidR="0037336C" w:rsidRPr="00A51443">
        <w:t xml:space="preserve">, </w:t>
      </w:r>
      <w:r w:rsidR="001B365F" w:rsidRPr="00A51443">
        <w:t xml:space="preserve">that </w:t>
      </w:r>
      <w:r w:rsidR="0037336C" w:rsidRPr="00A51443">
        <w:t xml:space="preserve">an ADRG should belong to MDC 00 </w:t>
      </w:r>
      <w:r w:rsidR="0037336C" w:rsidRPr="00A51443">
        <w:rPr>
          <w:i/>
          <w:iCs/>
        </w:rPr>
        <w:t>Pre M</w:t>
      </w:r>
      <w:r w:rsidR="001F1446" w:rsidRPr="00A51443">
        <w:rPr>
          <w:i/>
          <w:iCs/>
        </w:rPr>
        <w:t xml:space="preserve">ajor </w:t>
      </w:r>
      <w:r w:rsidR="0037336C" w:rsidRPr="00A51443">
        <w:rPr>
          <w:i/>
          <w:iCs/>
        </w:rPr>
        <w:t>D</w:t>
      </w:r>
      <w:r w:rsidR="001F1446" w:rsidRPr="00A51443">
        <w:rPr>
          <w:i/>
          <w:iCs/>
        </w:rPr>
        <w:t xml:space="preserve">iagnostic </w:t>
      </w:r>
      <w:r w:rsidR="0037336C" w:rsidRPr="00A51443">
        <w:rPr>
          <w:i/>
          <w:iCs/>
        </w:rPr>
        <w:t>C</w:t>
      </w:r>
      <w:r w:rsidR="001F1446" w:rsidRPr="00A51443">
        <w:rPr>
          <w:i/>
          <w:iCs/>
        </w:rPr>
        <w:t>ategory</w:t>
      </w:r>
      <w:r w:rsidR="004609D2" w:rsidRPr="00A51443">
        <w:t xml:space="preserve"> </w:t>
      </w:r>
      <w:r w:rsidR="0037336C" w:rsidRPr="00A51443">
        <w:t xml:space="preserve">if it contains episodes </w:t>
      </w:r>
      <w:r w:rsidR="004B30F6" w:rsidRPr="00A51443">
        <w:t>that</w:t>
      </w:r>
      <w:r w:rsidR="0037336C" w:rsidRPr="00A51443">
        <w:t>:</w:t>
      </w:r>
    </w:p>
    <w:p w14:paraId="1C1A871B" w14:textId="2F787D17" w:rsidR="0037336C" w:rsidRPr="00A51443" w:rsidRDefault="0037336C" w:rsidP="00623EF7">
      <w:pPr>
        <w:pStyle w:val="ListParagraph"/>
        <w:numPr>
          <w:ilvl w:val="0"/>
          <w:numId w:val="13"/>
        </w:numPr>
        <w:ind w:left="714" w:hanging="357"/>
        <w:contextualSpacing w:val="0"/>
      </w:pPr>
      <w:r w:rsidRPr="00A51443">
        <w:t xml:space="preserve">have </w:t>
      </w:r>
      <w:r w:rsidR="006D11A6" w:rsidRPr="00A51443">
        <w:t>inherent high cost</w:t>
      </w:r>
    </w:p>
    <w:p w14:paraId="605C8464" w14:textId="1BE069EB" w:rsidR="006D11A6" w:rsidRPr="00A51443" w:rsidRDefault="006D11A6" w:rsidP="00623EF7">
      <w:pPr>
        <w:pStyle w:val="ListParagraph"/>
        <w:numPr>
          <w:ilvl w:val="0"/>
          <w:numId w:val="13"/>
        </w:numPr>
        <w:ind w:left="714" w:hanging="357"/>
        <w:contextualSpacing w:val="0"/>
      </w:pPr>
      <w:r w:rsidRPr="00A51443">
        <w:t xml:space="preserve">are more appropriately classified </w:t>
      </w:r>
      <w:r w:rsidR="004609D2" w:rsidRPr="00A51443">
        <w:t xml:space="preserve">by </w:t>
      </w:r>
      <w:r w:rsidRPr="00A51443">
        <w:t>intervention than diagnosis.</w:t>
      </w:r>
    </w:p>
    <w:p w14:paraId="27ED692F" w14:textId="4B519063" w:rsidR="00D142D1" w:rsidRPr="00A51443" w:rsidRDefault="0019227D" w:rsidP="00900041">
      <w:bookmarkStart w:id="519" w:name="_Hlk181607804"/>
      <w:r w:rsidRPr="00A51443">
        <w:t>In AR-DRG V12.0</w:t>
      </w:r>
      <w:r w:rsidR="006D11A6" w:rsidRPr="00A51443">
        <w:t xml:space="preserve">, </w:t>
      </w:r>
      <w:r w:rsidR="00676B14" w:rsidRPr="00A51443">
        <w:t xml:space="preserve">an episode may group to </w:t>
      </w:r>
      <w:r w:rsidR="006D11A6" w:rsidRPr="00A51443">
        <w:t>ADRG A</w:t>
      </w:r>
      <w:r w:rsidR="005D2BE5" w:rsidRPr="00A51443">
        <w:t>16</w:t>
      </w:r>
      <w:r w:rsidR="006D11A6" w:rsidRPr="00A51443">
        <w:t xml:space="preserve"> </w:t>
      </w:r>
      <w:r w:rsidR="006D11A6" w:rsidRPr="00A51443">
        <w:rPr>
          <w:i/>
          <w:iCs/>
        </w:rPr>
        <w:t xml:space="preserve">Posthumous </w:t>
      </w:r>
      <w:r w:rsidR="00A75562" w:rsidRPr="00A51443">
        <w:rPr>
          <w:i/>
          <w:iCs/>
        </w:rPr>
        <w:t>o</w:t>
      </w:r>
      <w:r w:rsidR="006D11A6" w:rsidRPr="00A51443">
        <w:rPr>
          <w:i/>
          <w:iCs/>
        </w:rPr>
        <w:t xml:space="preserve">rgan </w:t>
      </w:r>
      <w:r w:rsidR="00A75562" w:rsidRPr="00A51443">
        <w:rPr>
          <w:i/>
          <w:iCs/>
        </w:rPr>
        <w:t>p</w:t>
      </w:r>
      <w:r w:rsidR="006D11A6" w:rsidRPr="00A51443">
        <w:rPr>
          <w:i/>
          <w:iCs/>
        </w:rPr>
        <w:t>rocurement</w:t>
      </w:r>
      <w:r w:rsidR="006D11A6" w:rsidRPr="00A51443">
        <w:t xml:space="preserve"> </w:t>
      </w:r>
      <w:r w:rsidRPr="00A51443">
        <w:t>i</w:t>
      </w:r>
      <w:r w:rsidR="00676B14" w:rsidRPr="00A51443">
        <w:t xml:space="preserve">f it contains either </w:t>
      </w:r>
      <w:r w:rsidR="00C25B77" w:rsidRPr="00A51443">
        <w:t xml:space="preserve">an </w:t>
      </w:r>
      <w:r w:rsidR="006D11A6" w:rsidRPr="00A51443">
        <w:t>ACHI Thirteenth Edition code related to posthumous organ procurement</w:t>
      </w:r>
      <w:r w:rsidR="00226182" w:rsidRPr="00A51443">
        <w:t xml:space="preserve"> </w:t>
      </w:r>
      <w:r w:rsidR="00C25B77" w:rsidRPr="00A51443">
        <w:t>or</w:t>
      </w:r>
      <w:r w:rsidR="00226182" w:rsidRPr="00A51443">
        <w:t xml:space="preserve"> </w:t>
      </w:r>
      <w:r w:rsidR="002432A3" w:rsidRPr="00A51443">
        <w:t>the</w:t>
      </w:r>
      <w:r w:rsidR="00226182" w:rsidRPr="00A51443">
        <w:t xml:space="preserve"> ICD-10-AM Thirteenth Edition code </w:t>
      </w:r>
      <w:r w:rsidR="002432A3" w:rsidRPr="00A51443">
        <w:t xml:space="preserve">Z53.32 </w:t>
      </w:r>
      <w:r w:rsidR="00C1182A" w:rsidRPr="00A51443">
        <w:rPr>
          <w:i/>
          <w:iCs/>
        </w:rPr>
        <w:t>Posthumous</w:t>
      </w:r>
      <w:r w:rsidR="00C1182A" w:rsidRPr="00946677">
        <w:rPr>
          <w:i/>
        </w:rPr>
        <w:t xml:space="preserve"> organ procurement attempted but not completed</w:t>
      </w:r>
      <w:r w:rsidR="006D11A6" w:rsidRPr="00A51443">
        <w:t xml:space="preserve">. </w:t>
      </w:r>
      <w:r w:rsidRPr="00A51443">
        <w:t>These ACHI and ICD-10-AM codes are listed in</w:t>
      </w:r>
      <w:r w:rsidR="00A61803" w:rsidRPr="00A51443">
        <w:rPr>
          <w:b/>
          <w:bCs/>
        </w:rPr>
        <w:t xml:space="preserve"> Appendix A5</w:t>
      </w:r>
      <w:r w:rsidRPr="00A51443">
        <w:t>.</w:t>
      </w:r>
    </w:p>
    <w:p w14:paraId="67F45D4E" w14:textId="595DECB0" w:rsidR="00BC0969" w:rsidRPr="00A51443" w:rsidRDefault="00BC0969" w:rsidP="00900041">
      <w:r w:rsidRPr="00A51443">
        <w:t xml:space="preserve">The ADRG splitting review </w:t>
      </w:r>
      <w:r w:rsidR="00580BBF" w:rsidRPr="00A51443">
        <w:t xml:space="preserve">did not select a </w:t>
      </w:r>
      <w:r w:rsidRPr="00A51443">
        <w:t>complexity split for ADRG A16, resulting in one new DRG.</w:t>
      </w:r>
    </w:p>
    <w:p w14:paraId="0BDA1387" w14:textId="7651338D" w:rsidR="00626053" w:rsidRPr="00A51443" w:rsidRDefault="00356B71" w:rsidP="00C006E1">
      <w:r w:rsidRPr="00A51443">
        <w:t xml:space="preserve">Among </w:t>
      </w:r>
      <w:r w:rsidR="00E6454F" w:rsidRPr="00A51443">
        <w:t xml:space="preserve">the </w:t>
      </w:r>
      <w:r w:rsidRPr="00A51443">
        <w:t xml:space="preserve">public hospital </w:t>
      </w:r>
      <w:r w:rsidR="00390240" w:rsidRPr="00A51443">
        <w:t xml:space="preserve">admitted patient care activity </w:t>
      </w:r>
      <w:r w:rsidR="008D0C1F" w:rsidRPr="00A51443">
        <w:t xml:space="preserve">data </w:t>
      </w:r>
      <w:r w:rsidR="00A27E38" w:rsidRPr="00A51443">
        <w:t xml:space="preserve">from 2022–23, a total of </w:t>
      </w:r>
      <w:r w:rsidR="00E82A8E" w:rsidRPr="00A51443">
        <w:t>402</w:t>
      </w:r>
      <w:r w:rsidR="00A27E38" w:rsidRPr="00A51443">
        <w:t xml:space="preserve"> episodes were grouped to ADRG A16 </w:t>
      </w:r>
      <w:r w:rsidR="00A27E38" w:rsidRPr="00A51443">
        <w:rPr>
          <w:i/>
          <w:iCs/>
        </w:rPr>
        <w:t>Posthumous organ procurement</w:t>
      </w:r>
      <w:r w:rsidR="00A27E38" w:rsidRPr="00A51443">
        <w:t>. This</w:t>
      </w:r>
      <w:r w:rsidR="008E772C" w:rsidRPr="00A51443">
        <w:t xml:space="preserve"> is </w:t>
      </w:r>
      <w:r w:rsidR="00E82A8E" w:rsidRPr="00A51443">
        <w:t>similar</w:t>
      </w:r>
      <w:r w:rsidR="008E772C" w:rsidRPr="00A51443">
        <w:t xml:space="preserve"> </w:t>
      </w:r>
      <w:r w:rsidR="00E82A8E" w:rsidRPr="00A51443">
        <w:t xml:space="preserve">to </w:t>
      </w:r>
      <w:r w:rsidR="008E772C" w:rsidRPr="00A51443">
        <w:t xml:space="preserve">the average of </w:t>
      </w:r>
      <w:r w:rsidR="00E82A8E" w:rsidRPr="00A51443">
        <w:t>40</w:t>
      </w:r>
      <w:r w:rsidR="00C81C2E" w:rsidRPr="00A51443">
        <w:t>5</w:t>
      </w:r>
      <w:r w:rsidR="00E82A8E" w:rsidRPr="00A51443">
        <w:t xml:space="preserve"> </w:t>
      </w:r>
      <w:r w:rsidR="008E772C" w:rsidRPr="00A51443">
        <w:t xml:space="preserve">episodes per year between 2018–19 </w:t>
      </w:r>
      <w:r w:rsidR="0099315E" w:rsidRPr="00A51443">
        <w:t>and</w:t>
      </w:r>
      <w:r w:rsidR="008E772C" w:rsidRPr="00A51443">
        <w:t xml:space="preserve"> 2021–22. </w:t>
      </w:r>
      <w:r w:rsidR="007D7B33" w:rsidRPr="00A51443">
        <w:t xml:space="preserve">Activity in this ADRG may fluctuate </w:t>
      </w:r>
      <w:r w:rsidR="001041FC" w:rsidRPr="00A51443">
        <w:t xml:space="preserve">over time because posthumous organ procurement </w:t>
      </w:r>
      <w:r w:rsidR="00705D88" w:rsidRPr="00A51443">
        <w:t>epis</w:t>
      </w:r>
      <w:r w:rsidR="00D56364" w:rsidRPr="00A51443">
        <w:t>o</w:t>
      </w:r>
      <w:r w:rsidR="00705D88" w:rsidRPr="00A51443">
        <w:t xml:space="preserve">des </w:t>
      </w:r>
      <w:r w:rsidR="001041FC" w:rsidRPr="00A51443">
        <w:t>are submitted on a best endeavours basis</w:t>
      </w:r>
      <w:r w:rsidR="007D7B33" w:rsidRPr="00A51443">
        <w:t>.</w:t>
      </w:r>
    </w:p>
    <w:p w14:paraId="31090D9D" w14:textId="77777777" w:rsidR="00F057B2" w:rsidRPr="00A51443" w:rsidRDefault="00F057B2" w:rsidP="00623EF7">
      <w:pPr>
        <w:pStyle w:val="Heading2"/>
        <w:numPr>
          <w:ilvl w:val="1"/>
          <w:numId w:val="8"/>
        </w:numPr>
        <w:ind w:left="720" w:hanging="720"/>
        <w:rPr>
          <w:lang w:val="en-PH"/>
        </w:rPr>
      </w:pPr>
      <w:bookmarkStart w:id="520" w:name="_Toc182384523"/>
      <w:bookmarkStart w:id="521" w:name="_Toc182407527"/>
      <w:bookmarkStart w:id="522" w:name="_Toc182409861"/>
      <w:bookmarkStart w:id="523" w:name="_Toc182491430"/>
      <w:bookmarkStart w:id="524" w:name="_Toc182491718"/>
      <w:bookmarkStart w:id="525" w:name="_Toc182492006"/>
      <w:bookmarkStart w:id="526" w:name="_Toc182571783"/>
      <w:bookmarkStart w:id="527" w:name="_Toc183434347"/>
      <w:bookmarkStart w:id="528" w:name="_Toc183434602"/>
      <w:bookmarkStart w:id="529" w:name="_Toc182384524"/>
      <w:bookmarkStart w:id="530" w:name="_Toc182407528"/>
      <w:bookmarkStart w:id="531" w:name="_Toc182409862"/>
      <w:bookmarkStart w:id="532" w:name="_Toc182491431"/>
      <w:bookmarkStart w:id="533" w:name="_Toc182491719"/>
      <w:bookmarkStart w:id="534" w:name="_Toc182492007"/>
      <w:bookmarkStart w:id="535" w:name="_Toc182571784"/>
      <w:bookmarkStart w:id="536" w:name="_Toc183434348"/>
      <w:bookmarkStart w:id="537" w:name="_Toc183434603"/>
      <w:bookmarkStart w:id="538" w:name="_Toc182384525"/>
      <w:bookmarkStart w:id="539" w:name="_Toc182407529"/>
      <w:bookmarkStart w:id="540" w:name="_Toc182409863"/>
      <w:bookmarkStart w:id="541" w:name="_Toc182491432"/>
      <w:bookmarkStart w:id="542" w:name="_Toc182491720"/>
      <w:bookmarkStart w:id="543" w:name="_Toc182492008"/>
      <w:bookmarkStart w:id="544" w:name="_Toc182571785"/>
      <w:bookmarkStart w:id="545" w:name="_Toc183434349"/>
      <w:bookmarkStart w:id="546" w:name="_Toc183434604"/>
      <w:bookmarkStart w:id="547" w:name="_Toc182384526"/>
      <w:bookmarkStart w:id="548" w:name="_Toc182407530"/>
      <w:bookmarkStart w:id="549" w:name="_Toc182409864"/>
      <w:bookmarkStart w:id="550" w:name="_Toc182491433"/>
      <w:bookmarkStart w:id="551" w:name="_Toc182491721"/>
      <w:bookmarkStart w:id="552" w:name="_Toc182492009"/>
      <w:bookmarkStart w:id="553" w:name="_Toc182571786"/>
      <w:bookmarkStart w:id="554" w:name="_Toc183434350"/>
      <w:bookmarkStart w:id="555" w:name="_Toc183434605"/>
      <w:bookmarkStart w:id="556" w:name="_Toc182384527"/>
      <w:bookmarkStart w:id="557" w:name="_Toc182407531"/>
      <w:bookmarkStart w:id="558" w:name="_Toc182409865"/>
      <w:bookmarkStart w:id="559" w:name="_Toc182491434"/>
      <w:bookmarkStart w:id="560" w:name="_Toc182491722"/>
      <w:bookmarkStart w:id="561" w:name="_Toc182492010"/>
      <w:bookmarkStart w:id="562" w:name="_Toc182571787"/>
      <w:bookmarkStart w:id="563" w:name="_Toc183434351"/>
      <w:bookmarkStart w:id="564" w:name="_Toc183434606"/>
      <w:bookmarkStart w:id="565" w:name="_Toc182384528"/>
      <w:bookmarkStart w:id="566" w:name="_Toc182407532"/>
      <w:bookmarkStart w:id="567" w:name="_Toc182409866"/>
      <w:bookmarkStart w:id="568" w:name="_Toc182491435"/>
      <w:bookmarkStart w:id="569" w:name="_Toc182491723"/>
      <w:bookmarkStart w:id="570" w:name="_Toc182492011"/>
      <w:bookmarkStart w:id="571" w:name="_Toc182571788"/>
      <w:bookmarkStart w:id="572" w:name="_Toc183434352"/>
      <w:bookmarkStart w:id="573" w:name="_Toc183434607"/>
      <w:bookmarkStart w:id="574" w:name="_Toc182384529"/>
      <w:bookmarkStart w:id="575" w:name="_Toc182407533"/>
      <w:bookmarkStart w:id="576" w:name="_Toc182409867"/>
      <w:bookmarkStart w:id="577" w:name="_Toc182491436"/>
      <w:bookmarkStart w:id="578" w:name="_Toc182491724"/>
      <w:bookmarkStart w:id="579" w:name="_Toc182492012"/>
      <w:bookmarkStart w:id="580" w:name="_Toc182571789"/>
      <w:bookmarkStart w:id="581" w:name="_Toc183434353"/>
      <w:bookmarkStart w:id="582" w:name="_Toc183434608"/>
      <w:bookmarkStart w:id="583" w:name="_Toc182384530"/>
      <w:bookmarkStart w:id="584" w:name="_Toc182407534"/>
      <w:bookmarkStart w:id="585" w:name="_Toc182409868"/>
      <w:bookmarkStart w:id="586" w:name="_Toc182491437"/>
      <w:bookmarkStart w:id="587" w:name="_Toc182491725"/>
      <w:bookmarkStart w:id="588" w:name="_Toc182492013"/>
      <w:bookmarkStart w:id="589" w:name="_Toc182571790"/>
      <w:bookmarkStart w:id="590" w:name="_Toc183434354"/>
      <w:bookmarkStart w:id="591" w:name="_Toc183434609"/>
      <w:bookmarkStart w:id="592" w:name="_Toc182384531"/>
      <w:bookmarkStart w:id="593" w:name="_Toc182407535"/>
      <w:bookmarkStart w:id="594" w:name="_Toc182409869"/>
      <w:bookmarkStart w:id="595" w:name="_Toc182491438"/>
      <w:bookmarkStart w:id="596" w:name="_Toc182491726"/>
      <w:bookmarkStart w:id="597" w:name="_Toc182492014"/>
      <w:bookmarkStart w:id="598" w:name="_Toc182571791"/>
      <w:bookmarkStart w:id="599" w:name="_Toc183434355"/>
      <w:bookmarkStart w:id="600" w:name="_Toc183434610"/>
      <w:bookmarkStart w:id="601" w:name="_Toc182384532"/>
      <w:bookmarkStart w:id="602" w:name="_Toc182407536"/>
      <w:bookmarkStart w:id="603" w:name="_Toc182409870"/>
      <w:bookmarkStart w:id="604" w:name="_Toc182491439"/>
      <w:bookmarkStart w:id="605" w:name="_Toc182491727"/>
      <w:bookmarkStart w:id="606" w:name="_Toc182492015"/>
      <w:bookmarkStart w:id="607" w:name="_Toc182571792"/>
      <w:bookmarkStart w:id="608" w:name="_Toc183434356"/>
      <w:bookmarkStart w:id="609" w:name="_Toc183434611"/>
      <w:bookmarkStart w:id="610" w:name="_Toc182384533"/>
      <w:bookmarkStart w:id="611" w:name="_Toc182407537"/>
      <w:bookmarkStart w:id="612" w:name="_Toc182409871"/>
      <w:bookmarkStart w:id="613" w:name="_Toc182491440"/>
      <w:bookmarkStart w:id="614" w:name="_Toc182491728"/>
      <w:bookmarkStart w:id="615" w:name="_Toc182492016"/>
      <w:bookmarkStart w:id="616" w:name="_Toc182571793"/>
      <w:bookmarkStart w:id="617" w:name="_Toc183434357"/>
      <w:bookmarkStart w:id="618" w:name="_Toc183434612"/>
      <w:bookmarkStart w:id="619" w:name="_Toc182384534"/>
      <w:bookmarkStart w:id="620" w:name="_Toc182407538"/>
      <w:bookmarkStart w:id="621" w:name="_Toc182409872"/>
      <w:bookmarkStart w:id="622" w:name="_Toc182491441"/>
      <w:bookmarkStart w:id="623" w:name="_Toc182491729"/>
      <w:bookmarkStart w:id="624" w:name="_Toc182492017"/>
      <w:bookmarkStart w:id="625" w:name="_Toc182571794"/>
      <w:bookmarkStart w:id="626" w:name="_Toc183434358"/>
      <w:bookmarkStart w:id="627" w:name="_Toc183434613"/>
      <w:bookmarkStart w:id="628" w:name="_Toc182384535"/>
      <w:bookmarkStart w:id="629" w:name="_Toc182407539"/>
      <w:bookmarkStart w:id="630" w:name="_Toc182409873"/>
      <w:bookmarkStart w:id="631" w:name="_Toc182491442"/>
      <w:bookmarkStart w:id="632" w:name="_Toc182491730"/>
      <w:bookmarkStart w:id="633" w:name="_Toc182492018"/>
      <w:bookmarkStart w:id="634" w:name="_Toc182571795"/>
      <w:bookmarkStart w:id="635" w:name="_Toc183434359"/>
      <w:bookmarkStart w:id="636" w:name="_Toc183434614"/>
      <w:bookmarkStart w:id="637" w:name="_Toc182384536"/>
      <w:bookmarkStart w:id="638" w:name="_Toc182407540"/>
      <w:bookmarkStart w:id="639" w:name="_Toc182409874"/>
      <w:bookmarkStart w:id="640" w:name="_Toc182491443"/>
      <w:bookmarkStart w:id="641" w:name="_Toc182491731"/>
      <w:bookmarkStart w:id="642" w:name="_Toc182492019"/>
      <w:bookmarkStart w:id="643" w:name="_Toc182571796"/>
      <w:bookmarkStart w:id="644" w:name="_Toc183434360"/>
      <w:bookmarkStart w:id="645" w:name="_Toc183434615"/>
      <w:bookmarkStart w:id="646" w:name="_Toc182384537"/>
      <w:bookmarkStart w:id="647" w:name="_Toc182407541"/>
      <w:bookmarkStart w:id="648" w:name="_Toc182409875"/>
      <w:bookmarkStart w:id="649" w:name="_Toc182491444"/>
      <w:bookmarkStart w:id="650" w:name="_Toc182491732"/>
      <w:bookmarkStart w:id="651" w:name="_Toc182492020"/>
      <w:bookmarkStart w:id="652" w:name="_Toc182571797"/>
      <w:bookmarkStart w:id="653" w:name="_Toc183434361"/>
      <w:bookmarkStart w:id="654" w:name="_Toc183434616"/>
      <w:bookmarkStart w:id="655" w:name="_Toc182384538"/>
      <w:bookmarkStart w:id="656" w:name="_Toc182407542"/>
      <w:bookmarkStart w:id="657" w:name="_Toc182409876"/>
      <w:bookmarkStart w:id="658" w:name="_Toc182491445"/>
      <w:bookmarkStart w:id="659" w:name="_Toc182491733"/>
      <w:bookmarkStart w:id="660" w:name="_Toc182492021"/>
      <w:bookmarkStart w:id="661" w:name="_Toc182571798"/>
      <w:bookmarkStart w:id="662" w:name="_Toc183434362"/>
      <w:bookmarkStart w:id="663" w:name="_Toc183434617"/>
      <w:bookmarkStart w:id="664" w:name="_Toc182384539"/>
      <w:bookmarkStart w:id="665" w:name="_Toc182407543"/>
      <w:bookmarkStart w:id="666" w:name="_Toc182409877"/>
      <w:bookmarkStart w:id="667" w:name="_Toc182491446"/>
      <w:bookmarkStart w:id="668" w:name="_Toc182491734"/>
      <w:bookmarkStart w:id="669" w:name="_Toc182492022"/>
      <w:bookmarkStart w:id="670" w:name="_Toc182571799"/>
      <w:bookmarkStart w:id="671" w:name="_Toc183434363"/>
      <w:bookmarkStart w:id="672" w:name="_Toc183434618"/>
      <w:bookmarkStart w:id="673" w:name="_Toc182384540"/>
      <w:bookmarkStart w:id="674" w:name="_Toc182407544"/>
      <w:bookmarkStart w:id="675" w:name="_Toc182409878"/>
      <w:bookmarkStart w:id="676" w:name="_Toc182491447"/>
      <w:bookmarkStart w:id="677" w:name="_Toc182491735"/>
      <w:bookmarkStart w:id="678" w:name="_Toc182492023"/>
      <w:bookmarkStart w:id="679" w:name="_Toc182571800"/>
      <w:bookmarkStart w:id="680" w:name="_Toc183434364"/>
      <w:bookmarkStart w:id="681" w:name="_Toc183434619"/>
      <w:bookmarkStart w:id="682" w:name="_Toc182384541"/>
      <w:bookmarkStart w:id="683" w:name="_Toc182407545"/>
      <w:bookmarkStart w:id="684" w:name="_Toc182409879"/>
      <w:bookmarkStart w:id="685" w:name="_Toc182491448"/>
      <w:bookmarkStart w:id="686" w:name="_Toc182491736"/>
      <w:bookmarkStart w:id="687" w:name="_Toc182492024"/>
      <w:bookmarkStart w:id="688" w:name="_Toc182571801"/>
      <w:bookmarkStart w:id="689" w:name="_Toc183434365"/>
      <w:bookmarkStart w:id="690" w:name="_Toc183434620"/>
      <w:bookmarkStart w:id="691" w:name="_Toc182384542"/>
      <w:bookmarkStart w:id="692" w:name="_Toc182407546"/>
      <w:bookmarkStart w:id="693" w:name="_Toc182409880"/>
      <w:bookmarkStart w:id="694" w:name="_Toc182491449"/>
      <w:bookmarkStart w:id="695" w:name="_Toc182491737"/>
      <w:bookmarkStart w:id="696" w:name="_Toc182492025"/>
      <w:bookmarkStart w:id="697" w:name="_Toc182571802"/>
      <w:bookmarkStart w:id="698" w:name="_Toc183434366"/>
      <w:bookmarkStart w:id="699" w:name="_Toc183434621"/>
      <w:bookmarkStart w:id="700" w:name="_Toc182384543"/>
      <w:bookmarkStart w:id="701" w:name="_Toc182407547"/>
      <w:bookmarkStart w:id="702" w:name="_Toc182409881"/>
      <w:bookmarkStart w:id="703" w:name="_Toc182491450"/>
      <w:bookmarkStart w:id="704" w:name="_Toc182491738"/>
      <w:bookmarkStart w:id="705" w:name="_Toc182492026"/>
      <w:bookmarkStart w:id="706" w:name="_Toc182571803"/>
      <w:bookmarkStart w:id="707" w:name="_Toc183434367"/>
      <w:bookmarkStart w:id="708" w:name="_Toc183434622"/>
      <w:bookmarkStart w:id="709" w:name="_Toc182384544"/>
      <w:bookmarkStart w:id="710" w:name="_Toc182407548"/>
      <w:bookmarkStart w:id="711" w:name="_Toc182409882"/>
      <w:bookmarkStart w:id="712" w:name="_Toc182491451"/>
      <w:bookmarkStart w:id="713" w:name="_Toc182491739"/>
      <w:bookmarkStart w:id="714" w:name="_Toc182492027"/>
      <w:bookmarkStart w:id="715" w:name="_Toc182571804"/>
      <w:bookmarkStart w:id="716" w:name="_Toc183434368"/>
      <w:bookmarkStart w:id="717" w:name="_Toc183434623"/>
      <w:bookmarkStart w:id="718" w:name="_Toc182384545"/>
      <w:bookmarkStart w:id="719" w:name="_Toc182407549"/>
      <w:bookmarkStart w:id="720" w:name="_Toc182409883"/>
      <w:bookmarkStart w:id="721" w:name="_Toc182491452"/>
      <w:bookmarkStart w:id="722" w:name="_Toc182491740"/>
      <w:bookmarkStart w:id="723" w:name="_Toc182492028"/>
      <w:bookmarkStart w:id="724" w:name="_Toc182571805"/>
      <w:bookmarkStart w:id="725" w:name="_Toc183434369"/>
      <w:bookmarkStart w:id="726" w:name="_Toc183434624"/>
      <w:bookmarkStart w:id="727" w:name="_Toc182384546"/>
      <w:bookmarkStart w:id="728" w:name="_Toc182407550"/>
      <w:bookmarkStart w:id="729" w:name="_Toc182409884"/>
      <w:bookmarkStart w:id="730" w:name="_Toc182491453"/>
      <w:bookmarkStart w:id="731" w:name="_Toc182491741"/>
      <w:bookmarkStart w:id="732" w:name="_Toc182492029"/>
      <w:bookmarkStart w:id="733" w:name="_Toc182571806"/>
      <w:bookmarkStart w:id="734" w:name="_Toc183434370"/>
      <w:bookmarkStart w:id="735" w:name="_Toc183434625"/>
      <w:bookmarkStart w:id="736" w:name="_Toc182384547"/>
      <w:bookmarkStart w:id="737" w:name="_Toc182407551"/>
      <w:bookmarkStart w:id="738" w:name="_Toc182409885"/>
      <w:bookmarkStart w:id="739" w:name="_Toc182491454"/>
      <w:bookmarkStart w:id="740" w:name="_Toc182491742"/>
      <w:bookmarkStart w:id="741" w:name="_Toc182492030"/>
      <w:bookmarkStart w:id="742" w:name="_Toc182571807"/>
      <w:bookmarkStart w:id="743" w:name="_Toc183434371"/>
      <w:bookmarkStart w:id="744" w:name="_Toc183434626"/>
      <w:bookmarkStart w:id="745" w:name="_Toc182384548"/>
      <w:bookmarkStart w:id="746" w:name="_Toc182407552"/>
      <w:bookmarkStart w:id="747" w:name="_Toc182409886"/>
      <w:bookmarkStart w:id="748" w:name="_Toc182491455"/>
      <w:bookmarkStart w:id="749" w:name="_Toc182491743"/>
      <w:bookmarkStart w:id="750" w:name="_Toc182492031"/>
      <w:bookmarkStart w:id="751" w:name="_Toc182571808"/>
      <w:bookmarkStart w:id="752" w:name="_Toc183434372"/>
      <w:bookmarkStart w:id="753" w:name="_Toc183434627"/>
      <w:bookmarkStart w:id="754" w:name="_Toc182384549"/>
      <w:bookmarkStart w:id="755" w:name="_Toc182407553"/>
      <w:bookmarkStart w:id="756" w:name="_Toc182409887"/>
      <w:bookmarkStart w:id="757" w:name="_Toc182491456"/>
      <w:bookmarkStart w:id="758" w:name="_Toc182491744"/>
      <w:bookmarkStart w:id="759" w:name="_Toc182492032"/>
      <w:bookmarkStart w:id="760" w:name="_Toc182571809"/>
      <w:bookmarkStart w:id="761" w:name="_Toc183434373"/>
      <w:bookmarkStart w:id="762" w:name="_Toc183434628"/>
      <w:bookmarkStart w:id="763" w:name="_Toc182384550"/>
      <w:bookmarkStart w:id="764" w:name="_Toc182407554"/>
      <w:bookmarkStart w:id="765" w:name="_Toc182409888"/>
      <w:bookmarkStart w:id="766" w:name="_Toc182491457"/>
      <w:bookmarkStart w:id="767" w:name="_Toc182491745"/>
      <w:bookmarkStart w:id="768" w:name="_Toc182492033"/>
      <w:bookmarkStart w:id="769" w:name="_Toc182571810"/>
      <w:bookmarkStart w:id="770" w:name="_Toc183434374"/>
      <w:bookmarkStart w:id="771" w:name="_Toc183434629"/>
      <w:bookmarkStart w:id="772" w:name="_Toc182384551"/>
      <w:bookmarkStart w:id="773" w:name="_Toc182407555"/>
      <w:bookmarkStart w:id="774" w:name="_Toc182409889"/>
      <w:bookmarkStart w:id="775" w:name="_Toc182491458"/>
      <w:bookmarkStart w:id="776" w:name="_Toc182491746"/>
      <w:bookmarkStart w:id="777" w:name="_Toc182492034"/>
      <w:bookmarkStart w:id="778" w:name="_Toc182571811"/>
      <w:bookmarkStart w:id="779" w:name="_Toc183434375"/>
      <w:bookmarkStart w:id="780" w:name="_Toc183434630"/>
      <w:bookmarkStart w:id="781" w:name="_Toc182384552"/>
      <w:bookmarkStart w:id="782" w:name="_Toc182407556"/>
      <w:bookmarkStart w:id="783" w:name="_Toc182409890"/>
      <w:bookmarkStart w:id="784" w:name="_Toc182491459"/>
      <w:bookmarkStart w:id="785" w:name="_Toc182491747"/>
      <w:bookmarkStart w:id="786" w:name="_Toc182492035"/>
      <w:bookmarkStart w:id="787" w:name="_Toc182571812"/>
      <w:bookmarkStart w:id="788" w:name="_Toc183434376"/>
      <w:bookmarkStart w:id="789" w:name="_Toc183434631"/>
      <w:bookmarkStart w:id="790" w:name="_Toc182384553"/>
      <w:bookmarkStart w:id="791" w:name="_Toc182407557"/>
      <w:bookmarkStart w:id="792" w:name="_Toc182409891"/>
      <w:bookmarkStart w:id="793" w:name="_Toc182491460"/>
      <w:bookmarkStart w:id="794" w:name="_Toc182491748"/>
      <w:bookmarkStart w:id="795" w:name="_Toc182492036"/>
      <w:bookmarkStart w:id="796" w:name="_Toc182571813"/>
      <w:bookmarkStart w:id="797" w:name="_Toc183434377"/>
      <w:bookmarkStart w:id="798" w:name="_Toc183434632"/>
      <w:bookmarkStart w:id="799" w:name="_Toc182384554"/>
      <w:bookmarkStart w:id="800" w:name="_Toc182407558"/>
      <w:bookmarkStart w:id="801" w:name="_Toc182409892"/>
      <w:bookmarkStart w:id="802" w:name="_Toc182491461"/>
      <w:bookmarkStart w:id="803" w:name="_Toc182491749"/>
      <w:bookmarkStart w:id="804" w:name="_Toc182492037"/>
      <w:bookmarkStart w:id="805" w:name="_Toc182571814"/>
      <w:bookmarkStart w:id="806" w:name="_Toc183434378"/>
      <w:bookmarkStart w:id="807" w:name="_Toc183434633"/>
      <w:bookmarkStart w:id="808" w:name="_Toc182384555"/>
      <w:bookmarkStart w:id="809" w:name="_Toc182407559"/>
      <w:bookmarkStart w:id="810" w:name="_Toc182409893"/>
      <w:bookmarkStart w:id="811" w:name="_Toc182491462"/>
      <w:bookmarkStart w:id="812" w:name="_Toc182491750"/>
      <w:bookmarkStart w:id="813" w:name="_Toc182492038"/>
      <w:bookmarkStart w:id="814" w:name="_Toc182571815"/>
      <w:bookmarkStart w:id="815" w:name="_Toc183434379"/>
      <w:bookmarkStart w:id="816" w:name="_Toc183434634"/>
      <w:bookmarkStart w:id="817" w:name="_Toc182384556"/>
      <w:bookmarkStart w:id="818" w:name="_Toc182407560"/>
      <w:bookmarkStart w:id="819" w:name="_Toc182409894"/>
      <w:bookmarkStart w:id="820" w:name="_Toc182491463"/>
      <w:bookmarkStart w:id="821" w:name="_Toc182491751"/>
      <w:bookmarkStart w:id="822" w:name="_Toc182492039"/>
      <w:bookmarkStart w:id="823" w:name="_Toc182571816"/>
      <w:bookmarkStart w:id="824" w:name="_Toc183434380"/>
      <w:bookmarkStart w:id="825" w:name="_Toc183434635"/>
      <w:bookmarkStart w:id="826" w:name="_Toc182384557"/>
      <w:bookmarkStart w:id="827" w:name="_Toc182407561"/>
      <w:bookmarkStart w:id="828" w:name="_Toc182409895"/>
      <w:bookmarkStart w:id="829" w:name="_Toc182491464"/>
      <w:bookmarkStart w:id="830" w:name="_Toc182491752"/>
      <w:bookmarkStart w:id="831" w:name="_Toc182492040"/>
      <w:bookmarkStart w:id="832" w:name="_Toc182571817"/>
      <w:bookmarkStart w:id="833" w:name="_Toc183434381"/>
      <w:bookmarkStart w:id="834" w:name="_Toc183434636"/>
      <w:bookmarkStart w:id="835" w:name="_Toc182384558"/>
      <w:bookmarkStart w:id="836" w:name="_Toc182407562"/>
      <w:bookmarkStart w:id="837" w:name="_Toc182409896"/>
      <w:bookmarkStart w:id="838" w:name="_Toc182491465"/>
      <w:bookmarkStart w:id="839" w:name="_Toc182491753"/>
      <w:bookmarkStart w:id="840" w:name="_Toc182492041"/>
      <w:bookmarkStart w:id="841" w:name="_Toc182571818"/>
      <w:bookmarkStart w:id="842" w:name="_Toc183434382"/>
      <w:bookmarkStart w:id="843" w:name="_Toc183434637"/>
      <w:bookmarkStart w:id="844" w:name="_Toc182407564"/>
      <w:bookmarkStart w:id="845" w:name="_Toc182407565"/>
      <w:bookmarkStart w:id="846" w:name="_Toc182407566"/>
      <w:bookmarkStart w:id="847" w:name="_Toc182409900"/>
      <w:bookmarkStart w:id="848" w:name="_Toc182491467"/>
      <w:bookmarkStart w:id="849" w:name="_Toc182491755"/>
      <w:bookmarkStart w:id="850" w:name="_Toc182492043"/>
      <w:bookmarkStart w:id="851" w:name="_Toc182571820"/>
      <w:bookmarkStart w:id="852" w:name="_Toc183434384"/>
      <w:bookmarkStart w:id="853" w:name="_Toc183434639"/>
      <w:bookmarkStart w:id="854" w:name="_Toc182407567"/>
      <w:bookmarkStart w:id="855" w:name="_Toc182409901"/>
      <w:bookmarkStart w:id="856" w:name="_Toc182491469"/>
      <w:bookmarkStart w:id="857" w:name="_Toc182491757"/>
      <w:bookmarkStart w:id="858" w:name="_Toc182492045"/>
      <w:bookmarkStart w:id="859" w:name="_Toc182571822"/>
      <w:bookmarkStart w:id="860" w:name="_Toc183434386"/>
      <w:bookmarkStart w:id="861" w:name="_Toc183434641"/>
      <w:bookmarkStart w:id="862" w:name="_Toc182407568"/>
      <w:bookmarkStart w:id="863" w:name="_Toc182409902"/>
      <w:bookmarkStart w:id="864" w:name="_Toc182491470"/>
      <w:bookmarkStart w:id="865" w:name="_Toc182491758"/>
      <w:bookmarkStart w:id="866" w:name="_Toc182492046"/>
      <w:bookmarkStart w:id="867" w:name="_Toc182571823"/>
      <w:bookmarkStart w:id="868" w:name="_Toc183434387"/>
      <w:bookmarkStart w:id="869" w:name="_Toc183434642"/>
      <w:bookmarkStart w:id="870" w:name="_Toc182407569"/>
      <w:bookmarkStart w:id="871" w:name="_Toc182409903"/>
      <w:bookmarkStart w:id="872" w:name="_Toc182491471"/>
      <w:bookmarkStart w:id="873" w:name="_Toc182491759"/>
      <w:bookmarkStart w:id="874" w:name="_Toc182492047"/>
      <w:bookmarkStart w:id="875" w:name="_Toc182571824"/>
      <w:bookmarkStart w:id="876" w:name="_Toc183434388"/>
      <w:bookmarkStart w:id="877" w:name="_Toc183434643"/>
      <w:bookmarkStart w:id="878" w:name="_Toc182407570"/>
      <w:bookmarkStart w:id="879" w:name="_Toc182409904"/>
      <w:bookmarkStart w:id="880" w:name="_Toc182491472"/>
      <w:bookmarkStart w:id="881" w:name="_Toc182491760"/>
      <w:bookmarkStart w:id="882" w:name="_Toc182492048"/>
      <w:bookmarkStart w:id="883" w:name="_Toc182571825"/>
      <w:bookmarkStart w:id="884" w:name="_Toc183434389"/>
      <w:bookmarkStart w:id="885" w:name="_Toc183434644"/>
      <w:bookmarkStart w:id="886" w:name="_Toc182407571"/>
      <w:bookmarkStart w:id="887" w:name="_Toc182409905"/>
      <w:bookmarkStart w:id="888" w:name="_Toc182491473"/>
      <w:bookmarkStart w:id="889" w:name="_Toc182491761"/>
      <w:bookmarkStart w:id="890" w:name="_Toc182492049"/>
      <w:bookmarkStart w:id="891" w:name="_Toc182571826"/>
      <w:bookmarkStart w:id="892" w:name="_Toc183434390"/>
      <w:bookmarkStart w:id="893" w:name="_Toc183434645"/>
      <w:bookmarkStart w:id="894" w:name="_Toc100328204"/>
      <w:bookmarkStart w:id="895" w:name="_Toc188263121"/>
      <w:bookmarkStart w:id="896" w:name="_Toc193462713"/>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Pr="00A51443">
        <w:rPr>
          <w:lang w:val="en-PH"/>
        </w:rPr>
        <w:lastRenderedPageBreak/>
        <w:t>Standard AR-DRG refinements</w:t>
      </w:r>
      <w:bookmarkEnd w:id="894"/>
      <w:bookmarkEnd w:id="895"/>
      <w:bookmarkEnd w:id="896"/>
    </w:p>
    <w:p w14:paraId="0EE39490" w14:textId="77777777" w:rsidR="00D66B0B" w:rsidRPr="00A51443" w:rsidRDefault="00D66B0B" w:rsidP="00623EF7">
      <w:pPr>
        <w:pStyle w:val="Heading3"/>
        <w:numPr>
          <w:ilvl w:val="2"/>
          <w:numId w:val="8"/>
        </w:numPr>
        <w:spacing w:before="240"/>
        <w:ind w:left="720"/>
        <w:rPr>
          <w:color w:val="104F99" w:themeColor="accent2"/>
          <w:sz w:val="28"/>
          <w:szCs w:val="28"/>
        </w:rPr>
      </w:pPr>
      <w:bookmarkStart w:id="897" w:name="_Toc188263122"/>
      <w:bookmarkStart w:id="898" w:name="_Toc193462714"/>
      <w:r w:rsidRPr="00A51443">
        <w:rPr>
          <w:color w:val="104F99" w:themeColor="accent2"/>
          <w:sz w:val="28"/>
          <w:szCs w:val="28"/>
        </w:rPr>
        <w:t>ADRG intervention hierarchy review</w:t>
      </w:r>
      <w:bookmarkEnd w:id="897"/>
      <w:bookmarkEnd w:id="898"/>
    </w:p>
    <w:p w14:paraId="4BC71D9F" w14:textId="77777777" w:rsidR="00D66B0B" w:rsidRPr="00A51443" w:rsidRDefault="00D66B0B" w:rsidP="00235023">
      <w:pPr>
        <w:keepLines/>
      </w:pPr>
      <w:r w:rsidRPr="00A51443">
        <w:t>Within each MDC, episodes are allocated to an ADRG in a specific hierarchical order. The hierarchy of the intervention partition is important given episodes have the potential to meet multiple intervention ADRG criteria. When an episode meets multiple intervention ADRG criteria, the episode is allocated to the first ADRG where it meets the intervention criterion in the ADRG intervention hierarchy.</w:t>
      </w:r>
    </w:p>
    <w:p w14:paraId="30C83747" w14:textId="7CA3C19F" w:rsidR="00D66B0B" w:rsidRPr="00A51443" w:rsidRDefault="00D66B0B" w:rsidP="00C006E1">
      <w:pPr>
        <w:rPr>
          <w:iCs/>
        </w:rPr>
      </w:pPr>
      <w:r w:rsidRPr="00A51443">
        <w:t>For example</w:t>
      </w:r>
      <w:r w:rsidR="0092107C">
        <w:t>,</w:t>
      </w:r>
      <w:r w:rsidRPr="00A51443">
        <w:t xml:space="preserve"> when an episode is assigned to MDC 01 </w:t>
      </w:r>
      <w:r w:rsidRPr="00A51443">
        <w:rPr>
          <w:i/>
        </w:rPr>
        <w:t xml:space="preserve">Diseases and </w:t>
      </w:r>
      <w:r w:rsidR="00C56410" w:rsidRPr="00A51443">
        <w:rPr>
          <w:i/>
        </w:rPr>
        <w:t>d</w:t>
      </w:r>
      <w:r w:rsidRPr="00A51443">
        <w:rPr>
          <w:i/>
        </w:rPr>
        <w:t xml:space="preserve">isorders of the </w:t>
      </w:r>
      <w:r w:rsidR="00C56410" w:rsidRPr="00A51443">
        <w:rPr>
          <w:i/>
        </w:rPr>
        <w:t>n</w:t>
      </w:r>
      <w:r w:rsidRPr="00A51443">
        <w:rPr>
          <w:i/>
        </w:rPr>
        <w:t xml:space="preserve">ervous </w:t>
      </w:r>
      <w:r w:rsidR="00C56410" w:rsidRPr="00A51443">
        <w:rPr>
          <w:i/>
        </w:rPr>
        <w:t>s</w:t>
      </w:r>
      <w:r w:rsidRPr="00A51443">
        <w:rPr>
          <w:i/>
        </w:rPr>
        <w:t xml:space="preserve">ystem </w:t>
      </w:r>
      <w:r w:rsidRPr="00A51443">
        <w:t xml:space="preserve">and meets intervention ADRG criteria for both ADRGs B02 </w:t>
      </w:r>
      <w:r w:rsidRPr="00A51443">
        <w:rPr>
          <w:i/>
          <w:iCs/>
        </w:rPr>
        <w:t xml:space="preserve">Cranial </w:t>
      </w:r>
      <w:r w:rsidR="00C56410" w:rsidRPr="00A51443">
        <w:rPr>
          <w:i/>
          <w:iCs/>
        </w:rPr>
        <w:t>i</w:t>
      </w:r>
      <w:r w:rsidRPr="00A51443">
        <w:rPr>
          <w:i/>
          <w:iCs/>
        </w:rPr>
        <w:t xml:space="preserve">nterventions </w:t>
      </w:r>
      <w:r w:rsidRPr="00A51443">
        <w:t>and B08</w:t>
      </w:r>
      <w:r w:rsidR="00645853" w:rsidRPr="00A51443">
        <w:t> </w:t>
      </w:r>
      <w:r w:rsidRPr="00A51443">
        <w:rPr>
          <w:i/>
          <w:iCs/>
        </w:rPr>
        <w:t xml:space="preserve">Endovascular </w:t>
      </w:r>
      <w:r w:rsidR="00C56410" w:rsidRPr="00A51443">
        <w:rPr>
          <w:i/>
          <w:iCs/>
        </w:rPr>
        <w:t>c</w:t>
      </w:r>
      <w:r w:rsidRPr="00A51443">
        <w:rPr>
          <w:i/>
          <w:iCs/>
        </w:rPr>
        <w:t xml:space="preserve">lot </w:t>
      </w:r>
      <w:r w:rsidR="00C56410" w:rsidRPr="00A51443">
        <w:rPr>
          <w:i/>
          <w:iCs/>
        </w:rPr>
        <w:t>r</w:t>
      </w:r>
      <w:r w:rsidRPr="00A51443">
        <w:rPr>
          <w:i/>
          <w:iCs/>
        </w:rPr>
        <w:t>etrieval</w:t>
      </w:r>
      <w:r w:rsidRPr="00A51443">
        <w:rPr>
          <w:iCs/>
        </w:rPr>
        <w:t xml:space="preserve">, the episode will be allocated to ADRG B02 </w:t>
      </w:r>
      <w:r w:rsidRPr="00A51443">
        <w:rPr>
          <w:i/>
        </w:rPr>
        <w:t xml:space="preserve">Cranial </w:t>
      </w:r>
      <w:r w:rsidR="00C56410" w:rsidRPr="00A51443">
        <w:rPr>
          <w:i/>
        </w:rPr>
        <w:t>i</w:t>
      </w:r>
      <w:r w:rsidRPr="00A51443">
        <w:rPr>
          <w:i/>
        </w:rPr>
        <w:t xml:space="preserve">nterventions. </w:t>
      </w:r>
      <w:r w:rsidRPr="00A51443">
        <w:rPr>
          <w:iCs/>
        </w:rPr>
        <w:t xml:space="preserve">This is because </w:t>
      </w:r>
      <w:r w:rsidR="00C23D8B" w:rsidRPr="00A51443">
        <w:rPr>
          <w:iCs/>
        </w:rPr>
        <w:t xml:space="preserve">ADRG </w:t>
      </w:r>
      <w:r w:rsidRPr="00A51443">
        <w:rPr>
          <w:iCs/>
        </w:rPr>
        <w:t xml:space="preserve">B02 </w:t>
      </w:r>
      <w:r w:rsidRPr="00A51443">
        <w:rPr>
          <w:i/>
        </w:rPr>
        <w:t xml:space="preserve">Cranial </w:t>
      </w:r>
      <w:r w:rsidR="00C56410" w:rsidRPr="00A51443">
        <w:rPr>
          <w:i/>
        </w:rPr>
        <w:t>i</w:t>
      </w:r>
      <w:r w:rsidRPr="00A51443">
        <w:rPr>
          <w:i/>
        </w:rPr>
        <w:t xml:space="preserve">nterventions </w:t>
      </w:r>
      <w:r w:rsidRPr="00A51443">
        <w:rPr>
          <w:iCs/>
        </w:rPr>
        <w:t xml:space="preserve">is ranked higher than </w:t>
      </w:r>
      <w:r w:rsidR="00C23D8B" w:rsidRPr="00A51443">
        <w:rPr>
          <w:iCs/>
        </w:rPr>
        <w:t xml:space="preserve">ADRG </w:t>
      </w:r>
      <w:r w:rsidRPr="00A51443">
        <w:rPr>
          <w:iCs/>
        </w:rPr>
        <w:t xml:space="preserve">B08 </w:t>
      </w:r>
      <w:r w:rsidRPr="00A51443">
        <w:rPr>
          <w:i/>
        </w:rPr>
        <w:t xml:space="preserve">Endovascular </w:t>
      </w:r>
      <w:r w:rsidR="00C56410" w:rsidRPr="00A51443">
        <w:rPr>
          <w:i/>
        </w:rPr>
        <w:t>c</w:t>
      </w:r>
      <w:r w:rsidRPr="00A51443">
        <w:rPr>
          <w:i/>
        </w:rPr>
        <w:t xml:space="preserve">lot </w:t>
      </w:r>
      <w:r w:rsidR="00C56410" w:rsidRPr="00A51443">
        <w:rPr>
          <w:i/>
        </w:rPr>
        <w:t>r</w:t>
      </w:r>
      <w:r w:rsidRPr="00A51443">
        <w:rPr>
          <w:i/>
        </w:rPr>
        <w:t xml:space="preserve">etrieval </w:t>
      </w:r>
      <w:r w:rsidRPr="00A51443">
        <w:rPr>
          <w:iCs/>
        </w:rPr>
        <w:t>in the ADRG intervention hierarchy.</w:t>
      </w:r>
    </w:p>
    <w:p w14:paraId="0BFD6275" w14:textId="08C690E2" w:rsidR="00D66B0B" w:rsidRPr="00A51443" w:rsidRDefault="00D66B0B" w:rsidP="00C006E1">
      <w:r w:rsidRPr="00A51443">
        <w:t xml:space="preserve">The </w:t>
      </w:r>
      <w:r w:rsidR="00CF1A9C" w:rsidRPr="00A51443">
        <w:t xml:space="preserve">ADRG </w:t>
      </w:r>
      <w:r w:rsidRPr="00A51443">
        <w:t>intervention hierarchy is generally based on cost, with high cost ADRGs higher in the hierarchy. However, cost is not the only determinant. Other factors are also considered such as specific ADRGs being positioned higher than non-specific ADRGs and treatment intervention ADRGs being positioned higher than diagnostic intervention ADRGs.</w:t>
      </w:r>
    </w:p>
    <w:p w14:paraId="12B6D6CF" w14:textId="220102CD" w:rsidR="00D66B0B" w:rsidRPr="00A51443" w:rsidRDefault="00D66B0B" w:rsidP="00C006E1">
      <w:r w:rsidRPr="00A51443">
        <w:t xml:space="preserve">An </w:t>
      </w:r>
      <w:r w:rsidR="005D767E" w:rsidRPr="00A51443">
        <w:t xml:space="preserve">ADRG </w:t>
      </w:r>
      <w:r w:rsidRPr="00A51443">
        <w:t xml:space="preserve">intervention hierarchy review was undertaken for AR-DRG V12.0 according to the </w:t>
      </w:r>
      <w:r w:rsidR="00C232F1" w:rsidRPr="00A51443">
        <w:t xml:space="preserve">ADRG </w:t>
      </w:r>
      <w:r w:rsidRPr="00A51443">
        <w:t>hierarchy principles</w:t>
      </w:r>
      <w:r w:rsidR="003D1040" w:rsidRPr="00A51443">
        <w:t xml:space="preserve"> </w:t>
      </w:r>
      <w:r w:rsidRPr="00A51443">
        <w:t>specified in the</w:t>
      </w:r>
      <w:r w:rsidR="00DC08FC" w:rsidRPr="00A51443">
        <w:t xml:space="preserve"> </w:t>
      </w:r>
      <w:r w:rsidR="00525F25" w:rsidRPr="00A51443">
        <w:t>g</w:t>
      </w:r>
      <w:r w:rsidR="005E09E8" w:rsidRPr="00A51443">
        <w:t xml:space="preserve">overnance </w:t>
      </w:r>
      <w:r w:rsidR="00525F25" w:rsidRPr="00A51443">
        <w:t>f</w:t>
      </w:r>
      <w:r w:rsidR="00DC08FC" w:rsidRPr="00A51443">
        <w:t>ramework</w:t>
      </w:r>
      <w:r w:rsidRPr="00A51443">
        <w:t xml:space="preserve">. </w:t>
      </w:r>
    </w:p>
    <w:p w14:paraId="0B5B6E70" w14:textId="14FDA842" w:rsidR="004B7102" w:rsidRPr="00A51443" w:rsidRDefault="00661687" w:rsidP="00C006E1">
      <w:r w:rsidRPr="00A51443">
        <w:t xml:space="preserve">The review resulted in a change to the </w:t>
      </w:r>
      <w:r w:rsidR="00436F51" w:rsidRPr="00A51443">
        <w:t xml:space="preserve">ADRG </w:t>
      </w:r>
      <w:r w:rsidRPr="00A51443">
        <w:t xml:space="preserve">intervention hierarchy in </w:t>
      </w:r>
      <w:r w:rsidR="00D66B0B" w:rsidRPr="00A51443">
        <w:t xml:space="preserve">MDC 02 </w:t>
      </w:r>
      <w:r w:rsidR="00D66B0B" w:rsidRPr="00A51443">
        <w:rPr>
          <w:i/>
          <w:iCs/>
        </w:rPr>
        <w:t xml:space="preserve">Diseases and </w:t>
      </w:r>
      <w:r w:rsidR="00C56410" w:rsidRPr="00A51443">
        <w:rPr>
          <w:i/>
          <w:iCs/>
        </w:rPr>
        <w:t>d</w:t>
      </w:r>
      <w:r w:rsidR="00D66B0B" w:rsidRPr="00A51443">
        <w:rPr>
          <w:i/>
          <w:iCs/>
        </w:rPr>
        <w:t xml:space="preserve">isorders of the </w:t>
      </w:r>
      <w:r w:rsidR="00C56410" w:rsidRPr="00A51443">
        <w:rPr>
          <w:i/>
          <w:iCs/>
        </w:rPr>
        <w:t>e</w:t>
      </w:r>
      <w:r w:rsidR="00D66B0B" w:rsidRPr="00A51443">
        <w:rPr>
          <w:i/>
          <w:iCs/>
        </w:rPr>
        <w:t>ye</w:t>
      </w:r>
      <w:r w:rsidR="00D66B0B" w:rsidRPr="00A51443">
        <w:t xml:space="preserve">. ADRG C01 </w:t>
      </w:r>
      <w:r w:rsidR="00D66B0B" w:rsidRPr="00A51443">
        <w:rPr>
          <w:i/>
          <w:iCs/>
        </w:rPr>
        <w:t xml:space="preserve">Interventions for </w:t>
      </w:r>
      <w:r w:rsidR="00C56410" w:rsidRPr="00A51443">
        <w:rPr>
          <w:i/>
          <w:iCs/>
        </w:rPr>
        <w:t>p</w:t>
      </w:r>
      <w:r w:rsidR="00D66B0B" w:rsidRPr="00A51443">
        <w:rPr>
          <w:i/>
          <w:iCs/>
        </w:rPr>
        <w:t xml:space="preserve">enetrating </w:t>
      </w:r>
      <w:r w:rsidR="00C56410" w:rsidRPr="00A51443">
        <w:rPr>
          <w:i/>
          <w:iCs/>
        </w:rPr>
        <w:t>e</w:t>
      </w:r>
      <w:r w:rsidR="00D66B0B" w:rsidRPr="00A51443">
        <w:rPr>
          <w:i/>
          <w:iCs/>
        </w:rPr>
        <w:t xml:space="preserve">ye </w:t>
      </w:r>
      <w:r w:rsidR="00C56410" w:rsidRPr="00A51443">
        <w:rPr>
          <w:i/>
          <w:iCs/>
        </w:rPr>
        <w:t>i</w:t>
      </w:r>
      <w:r w:rsidR="00D66B0B" w:rsidRPr="00A51443">
        <w:rPr>
          <w:i/>
          <w:iCs/>
        </w:rPr>
        <w:t>njury</w:t>
      </w:r>
      <w:r w:rsidR="00D66B0B" w:rsidRPr="00A51443">
        <w:t xml:space="preserve"> </w:t>
      </w:r>
      <w:r w:rsidR="00E26437" w:rsidRPr="00A51443">
        <w:t xml:space="preserve">has </w:t>
      </w:r>
      <w:r w:rsidR="005D767E" w:rsidRPr="00A51443">
        <w:t>moved to the top of the ADRG intervention hierarchy in MDC 02</w:t>
      </w:r>
      <w:r w:rsidR="009E2B38" w:rsidRPr="00A51443">
        <w:t xml:space="preserve"> as illustrated in </w:t>
      </w:r>
      <w:r w:rsidR="00B03EF7" w:rsidRPr="00A51443">
        <w:rPr>
          <w:b/>
          <w:bCs/>
        </w:rPr>
        <w:fldChar w:fldCharType="begin"/>
      </w:r>
      <w:r w:rsidR="00B03EF7" w:rsidRPr="00A51443">
        <w:rPr>
          <w:b/>
          <w:bCs/>
        </w:rPr>
        <w:instrText xml:space="preserve"> REF _Ref182564542 \h  \* MERGEFORMAT </w:instrText>
      </w:r>
      <w:r w:rsidR="00B03EF7" w:rsidRPr="00A51443">
        <w:rPr>
          <w:b/>
          <w:bCs/>
        </w:rPr>
      </w:r>
      <w:r w:rsidR="00B03EF7" w:rsidRPr="00A51443">
        <w:rPr>
          <w:b/>
          <w:bCs/>
        </w:rPr>
        <w:fldChar w:fldCharType="separate"/>
      </w:r>
      <w:r w:rsidR="009D07F9" w:rsidRPr="009D07F9">
        <w:rPr>
          <w:b/>
          <w:bCs/>
        </w:rPr>
        <w:t xml:space="preserve">Table </w:t>
      </w:r>
      <w:r w:rsidR="009D07F9" w:rsidRPr="009D07F9">
        <w:rPr>
          <w:b/>
          <w:bCs/>
          <w:noProof/>
        </w:rPr>
        <w:t>2</w:t>
      </w:r>
      <w:r w:rsidR="00B03EF7" w:rsidRPr="00A51443">
        <w:rPr>
          <w:b/>
          <w:bCs/>
        </w:rPr>
        <w:fldChar w:fldCharType="end"/>
      </w:r>
      <w:r w:rsidR="00D66B0B" w:rsidRPr="00A51443">
        <w:t xml:space="preserve">. This </w:t>
      </w:r>
      <w:r w:rsidR="006A23EF" w:rsidRPr="00A51443">
        <w:t xml:space="preserve">arose </w:t>
      </w:r>
      <w:r w:rsidR="004B30F6" w:rsidRPr="00A51443">
        <w:t>from</w:t>
      </w:r>
      <w:r w:rsidR="00D66B0B" w:rsidRPr="00A51443">
        <w:t xml:space="preserve"> </w:t>
      </w:r>
      <w:r w:rsidR="006A23EF" w:rsidRPr="00A51443">
        <w:t>the change in cost profile in MDC 02</w:t>
      </w:r>
      <w:r w:rsidR="00C0063C" w:rsidRPr="00A51443">
        <w:t xml:space="preserve"> and to align with the specificity principle in the governance framework</w:t>
      </w:r>
      <w:r w:rsidR="009F78C3" w:rsidRPr="00A51443">
        <w:t>, on the understanding that ADRG C01 is highly specific as it is defined in terms of both diagnoses and interventions</w:t>
      </w:r>
      <w:r w:rsidR="006A23EF" w:rsidRPr="00A51443">
        <w:t>.</w:t>
      </w:r>
    </w:p>
    <w:p w14:paraId="5113F3BB" w14:textId="5299DF64" w:rsidR="00D66B0B" w:rsidRPr="00A51443" w:rsidRDefault="00B03EF7" w:rsidP="004E2BB8">
      <w:pPr>
        <w:pStyle w:val="Caption"/>
      </w:pPr>
      <w:bookmarkStart w:id="899" w:name="_Ref182564542"/>
      <w:r w:rsidRPr="00A51443">
        <w:t xml:space="preserve">Table </w:t>
      </w:r>
      <w:r w:rsidRPr="00A51443">
        <w:fldChar w:fldCharType="begin"/>
      </w:r>
      <w:r w:rsidRPr="00A51443">
        <w:instrText xml:space="preserve"> SEQ Table \* ARABIC </w:instrText>
      </w:r>
      <w:r w:rsidRPr="00A51443">
        <w:fldChar w:fldCharType="separate"/>
      </w:r>
      <w:r w:rsidR="009D07F9">
        <w:rPr>
          <w:noProof/>
        </w:rPr>
        <w:t>2</w:t>
      </w:r>
      <w:r w:rsidRPr="00A51443">
        <w:fldChar w:fldCharType="end"/>
      </w:r>
      <w:bookmarkEnd w:id="899"/>
      <w:r w:rsidR="00D66B0B" w:rsidRPr="00A51443">
        <w:t xml:space="preserve">: Changed positions in </w:t>
      </w:r>
      <w:r w:rsidR="00B310B6" w:rsidRPr="00A51443">
        <w:t xml:space="preserve">ADRG </w:t>
      </w:r>
      <w:r w:rsidR="00D66B0B" w:rsidRPr="00A51443">
        <w:t xml:space="preserve">intervention hierarchy </w:t>
      </w:r>
      <w:r w:rsidR="0000680E" w:rsidRPr="00A51443">
        <w:t xml:space="preserve">in </w:t>
      </w:r>
      <w:r w:rsidR="00D66B0B" w:rsidRPr="00A51443">
        <w:t xml:space="preserve">MDC 02 </w:t>
      </w:r>
      <w:r w:rsidR="00D66B0B" w:rsidRPr="00A51443">
        <w:rPr>
          <w:i/>
          <w:iCs/>
        </w:rPr>
        <w:t xml:space="preserve">Diseases and </w:t>
      </w:r>
      <w:r w:rsidR="002D31B4" w:rsidRPr="00A51443">
        <w:rPr>
          <w:i/>
          <w:iCs/>
        </w:rPr>
        <w:t>d</w:t>
      </w:r>
      <w:r w:rsidR="00D66B0B" w:rsidRPr="00A51443">
        <w:rPr>
          <w:i/>
          <w:iCs/>
        </w:rPr>
        <w:t xml:space="preserve">isorders of the </w:t>
      </w:r>
      <w:r w:rsidR="002D31B4" w:rsidRPr="00A51443">
        <w:rPr>
          <w:i/>
          <w:iCs/>
        </w:rPr>
        <w:t>e</w:t>
      </w:r>
      <w:r w:rsidR="00D66B0B" w:rsidRPr="00A51443">
        <w:rPr>
          <w:i/>
          <w:iCs/>
        </w:rPr>
        <w:t>ye</w:t>
      </w:r>
      <w:r w:rsidR="00B310B6" w:rsidRPr="00A51443">
        <w:t xml:space="preserve"> </w:t>
      </w:r>
    </w:p>
    <w:tbl>
      <w:tblPr>
        <w:tblStyle w:val="ListTable3-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823"/>
        <w:gridCol w:w="1931"/>
        <w:gridCol w:w="1856"/>
      </w:tblGrid>
      <w:tr w:rsidR="00D66B0B" w:rsidRPr="00A51443" w14:paraId="4CD3FF0E" w14:textId="77777777" w:rsidTr="000001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12" w:type="dxa"/>
            <w:shd w:val="clear" w:color="auto" w:fill="104F99" w:themeFill="accent2"/>
            <w:vAlign w:val="center"/>
          </w:tcPr>
          <w:p w14:paraId="057A3EAE" w14:textId="0C0432C9" w:rsidR="00D66B0B" w:rsidRPr="00A51443" w:rsidRDefault="00D66B0B" w:rsidP="00D74C69">
            <w:pPr>
              <w:spacing w:after="160"/>
              <w:rPr>
                <w:color w:val="FFFFFF" w:themeColor="accent6"/>
              </w:rPr>
            </w:pPr>
            <w:r w:rsidRPr="00A51443">
              <w:rPr>
                <w:color w:val="FFFFFF" w:themeColor="accent6"/>
              </w:rPr>
              <w:t>M</w:t>
            </w:r>
            <w:r w:rsidR="00127EBB" w:rsidRPr="00A51443">
              <w:rPr>
                <w:color w:val="FFFFFF" w:themeColor="accent6"/>
              </w:rPr>
              <w:t xml:space="preserve">ajor </w:t>
            </w:r>
            <w:r w:rsidR="00B96AD3" w:rsidRPr="00A51443">
              <w:rPr>
                <w:color w:val="FFFFFF" w:themeColor="accent6"/>
              </w:rPr>
              <w:t>D</w:t>
            </w:r>
            <w:r w:rsidR="00127EBB" w:rsidRPr="00A51443">
              <w:rPr>
                <w:color w:val="FFFFFF" w:themeColor="accent6"/>
              </w:rPr>
              <w:t xml:space="preserve">iagnostic </w:t>
            </w:r>
            <w:r w:rsidR="00B96AD3" w:rsidRPr="00A51443">
              <w:rPr>
                <w:color w:val="FFFFFF" w:themeColor="accent6"/>
              </w:rPr>
              <w:t>C</w:t>
            </w:r>
            <w:r w:rsidR="00127EBB" w:rsidRPr="00A51443">
              <w:rPr>
                <w:color w:val="FFFFFF" w:themeColor="accent6"/>
              </w:rPr>
              <w:t>ategory</w:t>
            </w:r>
          </w:p>
        </w:tc>
        <w:tc>
          <w:tcPr>
            <w:tcW w:w="2823" w:type="dxa"/>
            <w:shd w:val="clear" w:color="auto" w:fill="104F99" w:themeFill="accent2"/>
            <w:vAlign w:val="center"/>
          </w:tcPr>
          <w:p w14:paraId="3DC34259" w14:textId="77777777" w:rsidR="00D66B0B" w:rsidRPr="00A51443" w:rsidRDefault="00D66B0B" w:rsidP="00D74C69">
            <w:pPr>
              <w:spacing w:after="160"/>
              <w:cnfStyle w:val="100000000000" w:firstRow="1" w:lastRow="0" w:firstColumn="0" w:lastColumn="0" w:oddVBand="0" w:evenVBand="0" w:oddHBand="0" w:evenHBand="0" w:firstRowFirstColumn="0" w:firstRowLastColumn="0" w:lastRowFirstColumn="0" w:lastRowLastColumn="0"/>
              <w:rPr>
                <w:color w:val="FFFFFF" w:themeColor="accent6"/>
              </w:rPr>
            </w:pPr>
            <w:r w:rsidRPr="00A51443">
              <w:rPr>
                <w:color w:val="FFFFFF" w:themeColor="accent6"/>
              </w:rPr>
              <w:t>ADRG</w:t>
            </w:r>
          </w:p>
        </w:tc>
        <w:tc>
          <w:tcPr>
            <w:tcW w:w="1931" w:type="dxa"/>
            <w:shd w:val="clear" w:color="auto" w:fill="104F99" w:themeFill="accent2"/>
            <w:vAlign w:val="center"/>
          </w:tcPr>
          <w:p w14:paraId="06D51F76" w14:textId="07C36D31" w:rsidR="00D66B0B" w:rsidRPr="00A51443" w:rsidRDefault="000B7116" w:rsidP="00D92203">
            <w:pPr>
              <w:spacing w:after="160"/>
              <w:jc w:val="center"/>
              <w:cnfStyle w:val="100000000000" w:firstRow="1" w:lastRow="0" w:firstColumn="0" w:lastColumn="0" w:oddVBand="0" w:evenVBand="0" w:oddHBand="0" w:evenHBand="0" w:firstRowFirstColumn="0" w:firstRowLastColumn="0" w:lastRowFirstColumn="0" w:lastRowLastColumn="0"/>
              <w:rPr>
                <w:color w:val="FFFFFF" w:themeColor="accent6"/>
              </w:rPr>
            </w:pPr>
            <w:r w:rsidRPr="00A51443">
              <w:rPr>
                <w:color w:val="FFFFFF" w:themeColor="accent6"/>
              </w:rPr>
              <w:t xml:space="preserve">Hierarchy position in </w:t>
            </w:r>
            <w:r w:rsidR="00235023" w:rsidRPr="00A51443">
              <w:rPr>
                <w:color w:val="FFFFFF" w:themeColor="accent6"/>
              </w:rPr>
              <w:br/>
            </w:r>
            <w:r w:rsidR="00AE5857" w:rsidRPr="00A51443">
              <w:rPr>
                <w:color w:val="FFFFFF" w:themeColor="accent6"/>
              </w:rPr>
              <w:t xml:space="preserve">AR-DRG </w:t>
            </w:r>
            <w:r w:rsidR="00D66B0B" w:rsidRPr="00A51443">
              <w:rPr>
                <w:color w:val="FFFFFF" w:themeColor="accent6"/>
              </w:rPr>
              <w:t>V11.0</w:t>
            </w:r>
            <w:r w:rsidRPr="00A51443">
              <w:rPr>
                <w:color w:val="FFFFFF" w:themeColor="accent6"/>
              </w:rPr>
              <w:t xml:space="preserve"> </w:t>
            </w:r>
          </w:p>
        </w:tc>
        <w:tc>
          <w:tcPr>
            <w:tcW w:w="1856" w:type="dxa"/>
            <w:shd w:val="clear" w:color="auto" w:fill="104F99" w:themeFill="accent2"/>
          </w:tcPr>
          <w:p w14:paraId="39249E27" w14:textId="601C39FD" w:rsidR="00D66B0B" w:rsidRPr="00A51443" w:rsidRDefault="000B7116" w:rsidP="00D92203">
            <w:pPr>
              <w:jc w:val="center"/>
              <w:cnfStyle w:val="100000000000" w:firstRow="1" w:lastRow="0" w:firstColumn="0" w:lastColumn="0" w:oddVBand="0" w:evenVBand="0" w:oddHBand="0" w:evenHBand="0" w:firstRowFirstColumn="0" w:firstRowLastColumn="0" w:lastRowFirstColumn="0" w:lastRowLastColumn="0"/>
              <w:rPr>
                <w:color w:val="FFFFFF" w:themeColor="accent6"/>
              </w:rPr>
            </w:pPr>
            <w:r w:rsidRPr="00A51443">
              <w:rPr>
                <w:color w:val="FFFFFF" w:themeColor="accent6"/>
              </w:rPr>
              <w:t xml:space="preserve">Hierarchy position in </w:t>
            </w:r>
            <w:r w:rsidR="00235023" w:rsidRPr="00A51443">
              <w:rPr>
                <w:color w:val="FFFFFF" w:themeColor="accent6"/>
              </w:rPr>
              <w:br/>
            </w:r>
            <w:r w:rsidR="00AE5857" w:rsidRPr="00A51443">
              <w:rPr>
                <w:color w:val="FFFFFF" w:themeColor="accent6"/>
              </w:rPr>
              <w:t xml:space="preserve">AR-DRG </w:t>
            </w:r>
            <w:r w:rsidR="00D66B0B" w:rsidRPr="00A51443">
              <w:rPr>
                <w:color w:val="FFFFFF" w:themeColor="accent6"/>
              </w:rPr>
              <w:t>V12.0</w:t>
            </w:r>
          </w:p>
        </w:tc>
      </w:tr>
      <w:tr w:rsidR="00E076C5" w:rsidRPr="00A51443" w14:paraId="706E2D4D" w14:textId="77777777" w:rsidTr="000001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7BECA176" w14:textId="3403DA4F" w:rsidR="00E076C5" w:rsidRPr="00A51443" w:rsidRDefault="00127EBB" w:rsidP="00235023">
            <w:pPr>
              <w:spacing w:before="60" w:after="60"/>
              <w:rPr>
                <w:b w:val="0"/>
                <w:bCs w:val="0"/>
              </w:rPr>
            </w:pPr>
            <w:r w:rsidRPr="00A51443">
              <w:t xml:space="preserve">MDC </w:t>
            </w:r>
            <w:r w:rsidR="00E076C5" w:rsidRPr="00A51443">
              <w:t xml:space="preserve">02 </w:t>
            </w:r>
            <w:r w:rsidR="00E076C5" w:rsidRPr="00A51443">
              <w:rPr>
                <w:i/>
                <w:iCs/>
              </w:rPr>
              <w:t xml:space="preserve">Diseases and </w:t>
            </w:r>
            <w:r w:rsidR="00C56410" w:rsidRPr="00A51443">
              <w:rPr>
                <w:i/>
                <w:iCs/>
              </w:rPr>
              <w:t>d</w:t>
            </w:r>
            <w:r w:rsidR="00E076C5" w:rsidRPr="00A51443">
              <w:rPr>
                <w:i/>
                <w:iCs/>
              </w:rPr>
              <w:t xml:space="preserve">isorders of the </w:t>
            </w:r>
            <w:r w:rsidR="00C56410" w:rsidRPr="00A51443">
              <w:rPr>
                <w:i/>
                <w:iCs/>
              </w:rPr>
              <w:t>e</w:t>
            </w:r>
            <w:r w:rsidR="00E076C5" w:rsidRPr="00A51443">
              <w:rPr>
                <w:i/>
                <w:iCs/>
              </w:rPr>
              <w:t>ye</w:t>
            </w:r>
          </w:p>
        </w:tc>
        <w:tc>
          <w:tcPr>
            <w:tcW w:w="0" w:type="dxa"/>
            <w:shd w:val="clear" w:color="auto" w:fill="auto"/>
            <w:vAlign w:val="center"/>
          </w:tcPr>
          <w:p w14:paraId="3FFB22DB" w14:textId="1CD2D405" w:rsidR="00E076C5" w:rsidRPr="00A51443" w:rsidRDefault="00661687" w:rsidP="00235023">
            <w:pPr>
              <w:spacing w:before="60" w:after="60"/>
              <w:cnfStyle w:val="000000100000" w:firstRow="0" w:lastRow="0" w:firstColumn="0" w:lastColumn="0" w:oddVBand="0" w:evenVBand="0" w:oddHBand="1" w:evenHBand="0" w:firstRowFirstColumn="0" w:firstRowLastColumn="0" w:lastRowFirstColumn="0" w:lastRowLastColumn="0"/>
            </w:pPr>
            <w:r w:rsidRPr="00A51443">
              <w:t xml:space="preserve">C01 </w:t>
            </w:r>
            <w:r w:rsidRPr="00A51443">
              <w:rPr>
                <w:i/>
                <w:iCs/>
              </w:rPr>
              <w:t xml:space="preserve">Interventions for </w:t>
            </w:r>
            <w:r w:rsidR="00C56410" w:rsidRPr="00A51443">
              <w:rPr>
                <w:i/>
                <w:iCs/>
              </w:rPr>
              <w:t>p</w:t>
            </w:r>
            <w:r w:rsidRPr="00A51443">
              <w:rPr>
                <w:i/>
                <w:iCs/>
              </w:rPr>
              <w:t xml:space="preserve">enetrating </w:t>
            </w:r>
            <w:r w:rsidR="00C56410" w:rsidRPr="00A51443">
              <w:rPr>
                <w:i/>
                <w:iCs/>
              </w:rPr>
              <w:t>e</w:t>
            </w:r>
            <w:r w:rsidRPr="00A51443">
              <w:rPr>
                <w:i/>
                <w:iCs/>
              </w:rPr>
              <w:t xml:space="preserve">ye </w:t>
            </w:r>
            <w:r w:rsidR="00C56410" w:rsidRPr="00A51443">
              <w:rPr>
                <w:i/>
                <w:iCs/>
              </w:rPr>
              <w:t>i</w:t>
            </w:r>
            <w:r w:rsidRPr="00A51443">
              <w:rPr>
                <w:i/>
                <w:iCs/>
              </w:rPr>
              <w:t>njury</w:t>
            </w:r>
          </w:p>
        </w:tc>
        <w:tc>
          <w:tcPr>
            <w:tcW w:w="0" w:type="dxa"/>
            <w:shd w:val="clear" w:color="auto" w:fill="auto"/>
            <w:vAlign w:val="center"/>
          </w:tcPr>
          <w:p w14:paraId="2074F01F" w14:textId="7C4EB09B" w:rsidR="00E076C5" w:rsidRPr="00A51443" w:rsidRDefault="00004231" w:rsidP="00235023">
            <w:pPr>
              <w:spacing w:before="60" w:after="60"/>
              <w:jc w:val="right"/>
              <w:cnfStyle w:val="000000100000" w:firstRow="0" w:lastRow="0" w:firstColumn="0" w:lastColumn="0" w:oddVBand="0" w:evenVBand="0" w:oddHBand="1" w:evenHBand="0" w:firstRowFirstColumn="0" w:firstRowLastColumn="0" w:lastRowFirstColumn="0" w:lastRowLastColumn="0"/>
            </w:pPr>
            <w:r w:rsidRPr="00A51443">
              <w:t>3</w:t>
            </w:r>
          </w:p>
        </w:tc>
        <w:tc>
          <w:tcPr>
            <w:tcW w:w="0" w:type="dxa"/>
            <w:vAlign w:val="center"/>
          </w:tcPr>
          <w:p w14:paraId="412C9075" w14:textId="6CE3D1D3" w:rsidR="00E076C5" w:rsidRPr="00A51443" w:rsidRDefault="00661687" w:rsidP="00235023">
            <w:pPr>
              <w:spacing w:before="60" w:after="60"/>
              <w:jc w:val="right"/>
              <w:cnfStyle w:val="000000100000" w:firstRow="0" w:lastRow="0" w:firstColumn="0" w:lastColumn="0" w:oddVBand="0" w:evenVBand="0" w:oddHBand="1" w:evenHBand="0" w:firstRowFirstColumn="0" w:firstRowLastColumn="0" w:lastRowFirstColumn="0" w:lastRowLastColumn="0"/>
            </w:pPr>
            <w:r w:rsidRPr="00A51443">
              <w:t>1</w:t>
            </w:r>
          </w:p>
        </w:tc>
      </w:tr>
      <w:tr w:rsidR="00E076C5" w:rsidRPr="00A51443" w14:paraId="2B1CB492" w14:textId="77777777" w:rsidTr="00000118">
        <w:trPr>
          <w:jc w:val="center"/>
        </w:trPr>
        <w:tc>
          <w:tcPr>
            <w:cnfStyle w:val="001000000000" w:firstRow="0" w:lastRow="0" w:firstColumn="1" w:lastColumn="0" w:oddVBand="0" w:evenVBand="0" w:oddHBand="0" w:evenHBand="0" w:firstRowFirstColumn="0" w:firstRowLastColumn="0" w:lastRowFirstColumn="0" w:lastRowLastColumn="0"/>
            <w:tcW w:w="2712" w:type="dxa"/>
            <w:vMerge/>
            <w:shd w:val="clear" w:color="auto" w:fill="auto"/>
            <w:vAlign w:val="center"/>
          </w:tcPr>
          <w:p w14:paraId="77170D01" w14:textId="77777777" w:rsidR="00E076C5" w:rsidRPr="00A51443" w:rsidRDefault="00E076C5" w:rsidP="00235023">
            <w:pPr>
              <w:spacing w:before="60" w:after="60"/>
            </w:pPr>
          </w:p>
        </w:tc>
        <w:tc>
          <w:tcPr>
            <w:tcW w:w="2823" w:type="dxa"/>
            <w:shd w:val="clear" w:color="auto" w:fill="auto"/>
            <w:vAlign w:val="center"/>
          </w:tcPr>
          <w:p w14:paraId="4A5AD42D" w14:textId="036D2B87" w:rsidR="00E076C5" w:rsidRPr="00A51443" w:rsidRDefault="00661687" w:rsidP="00235023">
            <w:pPr>
              <w:spacing w:before="60" w:after="60"/>
              <w:cnfStyle w:val="000000000000" w:firstRow="0" w:lastRow="0" w:firstColumn="0" w:lastColumn="0" w:oddVBand="0" w:evenVBand="0" w:oddHBand="0" w:evenHBand="0" w:firstRowFirstColumn="0" w:firstRowLastColumn="0" w:lastRowFirstColumn="0" w:lastRowLastColumn="0"/>
            </w:pPr>
            <w:r w:rsidRPr="00A51443">
              <w:t>C02</w:t>
            </w:r>
            <w:r w:rsidRPr="00A51443">
              <w:rPr>
                <w:i/>
                <w:iCs/>
              </w:rPr>
              <w:t xml:space="preserve"> Enucleations and </w:t>
            </w:r>
            <w:r w:rsidR="00C56410" w:rsidRPr="00A51443">
              <w:rPr>
                <w:i/>
                <w:iCs/>
              </w:rPr>
              <w:t>o</w:t>
            </w:r>
            <w:r w:rsidRPr="00A51443">
              <w:rPr>
                <w:i/>
                <w:iCs/>
              </w:rPr>
              <w:t xml:space="preserve">rbital </w:t>
            </w:r>
            <w:r w:rsidR="00C56410" w:rsidRPr="00A51443">
              <w:rPr>
                <w:i/>
                <w:iCs/>
              </w:rPr>
              <w:t>i</w:t>
            </w:r>
            <w:r w:rsidRPr="00A51443">
              <w:rPr>
                <w:i/>
                <w:iCs/>
              </w:rPr>
              <w:t>nterventions</w:t>
            </w:r>
            <w:r w:rsidRPr="00A51443">
              <w:t xml:space="preserve"> </w:t>
            </w:r>
          </w:p>
        </w:tc>
        <w:tc>
          <w:tcPr>
            <w:tcW w:w="1931" w:type="dxa"/>
            <w:shd w:val="clear" w:color="auto" w:fill="auto"/>
            <w:vAlign w:val="center"/>
          </w:tcPr>
          <w:p w14:paraId="198AA315" w14:textId="70691D35" w:rsidR="00E076C5" w:rsidRPr="00A51443" w:rsidRDefault="00004231" w:rsidP="00235023">
            <w:pPr>
              <w:spacing w:before="60" w:after="60"/>
              <w:jc w:val="right"/>
              <w:cnfStyle w:val="000000000000" w:firstRow="0" w:lastRow="0" w:firstColumn="0" w:lastColumn="0" w:oddVBand="0" w:evenVBand="0" w:oddHBand="0" w:evenHBand="0" w:firstRowFirstColumn="0" w:firstRowLastColumn="0" w:lastRowFirstColumn="0" w:lastRowLastColumn="0"/>
            </w:pPr>
            <w:r w:rsidRPr="00A51443">
              <w:t>1</w:t>
            </w:r>
          </w:p>
        </w:tc>
        <w:tc>
          <w:tcPr>
            <w:tcW w:w="1856" w:type="dxa"/>
            <w:vAlign w:val="center"/>
          </w:tcPr>
          <w:p w14:paraId="769F2335" w14:textId="04BB5249" w:rsidR="00E076C5" w:rsidRPr="00A51443" w:rsidRDefault="00661687" w:rsidP="00235023">
            <w:pPr>
              <w:spacing w:before="60" w:after="60"/>
              <w:jc w:val="right"/>
              <w:cnfStyle w:val="000000000000" w:firstRow="0" w:lastRow="0" w:firstColumn="0" w:lastColumn="0" w:oddVBand="0" w:evenVBand="0" w:oddHBand="0" w:evenHBand="0" w:firstRowFirstColumn="0" w:firstRowLastColumn="0" w:lastRowFirstColumn="0" w:lastRowLastColumn="0"/>
            </w:pPr>
            <w:r w:rsidRPr="00A51443">
              <w:t>2</w:t>
            </w:r>
          </w:p>
        </w:tc>
      </w:tr>
      <w:tr w:rsidR="00E076C5" w:rsidRPr="00A51443" w14:paraId="75D28113" w14:textId="77777777" w:rsidTr="0000011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vAlign w:val="center"/>
          </w:tcPr>
          <w:p w14:paraId="4AE49B44" w14:textId="77777777" w:rsidR="00E076C5" w:rsidRPr="00A51443" w:rsidRDefault="00E076C5" w:rsidP="00235023">
            <w:pPr>
              <w:spacing w:before="60" w:after="60"/>
            </w:pPr>
          </w:p>
        </w:tc>
        <w:tc>
          <w:tcPr>
            <w:tcW w:w="0" w:type="dxa"/>
            <w:shd w:val="clear" w:color="auto" w:fill="auto"/>
            <w:vAlign w:val="center"/>
          </w:tcPr>
          <w:p w14:paraId="3F2567B4" w14:textId="344F8DE6" w:rsidR="00E076C5" w:rsidRPr="00A51443" w:rsidRDefault="00661687" w:rsidP="00235023">
            <w:pPr>
              <w:spacing w:before="60" w:after="60"/>
              <w:cnfStyle w:val="000000100000" w:firstRow="0" w:lastRow="0" w:firstColumn="0" w:lastColumn="0" w:oddVBand="0" w:evenVBand="0" w:oddHBand="1" w:evenHBand="0" w:firstRowFirstColumn="0" w:firstRowLastColumn="0" w:lastRowFirstColumn="0" w:lastRowLastColumn="0"/>
            </w:pPr>
            <w:r w:rsidRPr="00A51443">
              <w:t xml:space="preserve">C04 </w:t>
            </w:r>
            <w:r w:rsidRPr="00A51443">
              <w:rPr>
                <w:i/>
                <w:iCs/>
              </w:rPr>
              <w:t xml:space="preserve">Major </w:t>
            </w:r>
            <w:r w:rsidR="00C56410" w:rsidRPr="00A51443">
              <w:rPr>
                <w:i/>
                <w:iCs/>
              </w:rPr>
              <w:t>c</w:t>
            </w:r>
            <w:r w:rsidRPr="00A51443">
              <w:rPr>
                <w:i/>
                <w:iCs/>
              </w:rPr>
              <w:t xml:space="preserve">orneal, </w:t>
            </w:r>
            <w:r w:rsidR="00C56410" w:rsidRPr="00A51443">
              <w:rPr>
                <w:i/>
                <w:iCs/>
              </w:rPr>
              <w:t>s</w:t>
            </w:r>
            <w:r w:rsidRPr="00A51443">
              <w:rPr>
                <w:i/>
                <w:iCs/>
              </w:rPr>
              <w:t xml:space="preserve">cleral and </w:t>
            </w:r>
            <w:r w:rsidR="00C56410" w:rsidRPr="00A51443">
              <w:rPr>
                <w:i/>
                <w:iCs/>
              </w:rPr>
              <w:t>c</w:t>
            </w:r>
            <w:r w:rsidRPr="00A51443">
              <w:rPr>
                <w:i/>
                <w:iCs/>
              </w:rPr>
              <w:t xml:space="preserve">onjunctival </w:t>
            </w:r>
            <w:r w:rsidR="00C56410" w:rsidRPr="00A51443">
              <w:rPr>
                <w:i/>
                <w:iCs/>
              </w:rPr>
              <w:t>i</w:t>
            </w:r>
            <w:r w:rsidRPr="00A51443">
              <w:rPr>
                <w:i/>
                <w:iCs/>
              </w:rPr>
              <w:t>nterventions</w:t>
            </w:r>
          </w:p>
        </w:tc>
        <w:tc>
          <w:tcPr>
            <w:tcW w:w="0" w:type="dxa"/>
            <w:shd w:val="clear" w:color="auto" w:fill="auto"/>
            <w:vAlign w:val="center"/>
          </w:tcPr>
          <w:p w14:paraId="190842BA" w14:textId="5B2620E5" w:rsidR="00E076C5" w:rsidRPr="00A51443" w:rsidRDefault="00004231" w:rsidP="00235023">
            <w:pPr>
              <w:spacing w:before="60" w:after="60"/>
              <w:jc w:val="right"/>
              <w:cnfStyle w:val="000000100000" w:firstRow="0" w:lastRow="0" w:firstColumn="0" w:lastColumn="0" w:oddVBand="0" w:evenVBand="0" w:oddHBand="1" w:evenHBand="0" w:firstRowFirstColumn="0" w:firstRowLastColumn="0" w:lastRowFirstColumn="0" w:lastRowLastColumn="0"/>
            </w:pPr>
            <w:r w:rsidRPr="00A51443">
              <w:t>2</w:t>
            </w:r>
          </w:p>
        </w:tc>
        <w:tc>
          <w:tcPr>
            <w:tcW w:w="0" w:type="dxa"/>
            <w:vAlign w:val="center"/>
          </w:tcPr>
          <w:p w14:paraId="6CF4A758" w14:textId="4CE3EF27" w:rsidR="00E076C5" w:rsidRPr="00A51443" w:rsidRDefault="00661687" w:rsidP="00235023">
            <w:pPr>
              <w:spacing w:before="60" w:after="60"/>
              <w:jc w:val="right"/>
              <w:cnfStyle w:val="000000100000" w:firstRow="0" w:lastRow="0" w:firstColumn="0" w:lastColumn="0" w:oddVBand="0" w:evenVBand="0" w:oddHBand="1" w:evenHBand="0" w:firstRowFirstColumn="0" w:firstRowLastColumn="0" w:lastRowFirstColumn="0" w:lastRowLastColumn="0"/>
            </w:pPr>
            <w:r w:rsidRPr="00A51443">
              <w:t>3</w:t>
            </w:r>
          </w:p>
        </w:tc>
      </w:tr>
    </w:tbl>
    <w:p w14:paraId="62398352" w14:textId="7BB8AAA8" w:rsidR="00EE2DC7" w:rsidRPr="00A51443" w:rsidRDefault="00EE2DC7" w:rsidP="00C9526E">
      <w:pPr>
        <w:spacing w:before="120"/>
      </w:pPr>
      <w:r w:rsidRPr="00A51443">
        <w:t xml:space="preserve">The new intervention ADRG A16 </w:t>
      </w:r>
      <w:r w:rsidRPr="00A51443">
        <w:rPr>
          <w:i/>
          <w:iCs/>
        </w:rPr>
        <w:t>Posthumous organ procurement</w:t>
      </w:r>
      <w:r w:rsidRPr="00A51443">
        <w:t xml:space="preserve"> was placed in the lowest position in the MDC 00 </w:t>
      </w:r>
      <w:r w:rsidRPr="00A51443">
        <w:rPr>
          <w:i/>
          <w:iCs/>
        </w:rPr>
        <w:t>Pre M</w:t>
      </w:r>
      <w:r w:rsidR="004B7102" w:rsidRPr="00A51443">
        <w:rPr>
          <w:i/>
          <w:iCs/>
        </w:rPr>
        <w:t xml:space="preserve">ajor </w:t>
      </w:r>
      <w:r w:rsidRPr="00A51443">
        <w:rPr>
          <w:i/>
          <w:iCs/>
        </w:rPr>
        <w:t>D</w:t>
      </w:r>
      <w:r w:rsidR="004B7102" w:rsidRPr="00A51443">
        <w:rPr>
          <w:i/>
          <w:iCs/>
        </w:rPr>
        <w:t xml:space="preserve">iagnostic </w:t>
      </w:r>
      <w:r w:rsidRPr="00A51443">
        <w:rPr>
          <w:i/>
          <w:iCs/>
        </w:rPr>
        <w:t>C</w:t>
      </w:r>
      <w:r w:rsidR="00054016" w:rsidRPr="00A51443">
        <w:rPr>
          <w:i/>
          <w:iCs/>
        </w:rPr>
        <w:t>ategory</w:t>
      </w:r>
      <w:r w:rsidRPr="00A51443">
        <w:t xml:space="preserve"> intervention hierarchy due to its lower cost relative to the other ADRGs in the </w:t>
      </w:r>
      <w:r w:rsidR="00054016" w:rsidRPr="00A51443">
        <w:rPr>
          <w:i/>
          <w:iCs/>
        </w:rPr>
        <w:t>same MDC</w:t>
      </w:r>
      <w:r w:rsidRPr="00A51443">
        <w:t>.</w:t>
      </w:r>
    </w:p>
    <w:p w14:paraId="01BB90E3" w14:textId="6CBB22F8" w:rsidR="00086591" w:rsidRPr="00A51443" w:rsidRDefault="00086591" w:rsidP="00127EBB">
      <w:r w:rsidRPr="00A51443">
        <w:lastRenderedPageBreak/>
        <w:t xml:space="preserve">The </w:t>
      </w:r>
      <w:r w:rsidRPr="00A51443">
        <w:rPr>
          <w:i/>
          <w:iCs/>
        </w:rPr>
        <w:t>AR-DRG V</w:t>
      </w:r>
      <w:r w:rsidR="005E09E8" w:rsidRPr="00A51443">
        <w:rPr>
          <w:i/>
          <w:iCs/>
        </w:rPr>
        <w:t xml:space="preserve">ersion </w:t>
      </w:r>
      <w:r w:rsidRPr="00A51443">
        <w:rPr>
          <w:i/>
          <w:iCs/>
        </w:rPr>
        <w:t>12.0 Technical Specifications</w:t>
      </w:r>
      <w:r w:rsidRPr="00A51443">
        <w:t xml:space="preserve"> provides further details as to the methodology and outcomes of the ADRG intervention hierarchy</w:t>
      </w:r>
      <w:r w:rsidR="000B7116" w:rsidRPr="00A51443">
        <w:t xml:space="preserve"> review</w:t>
      </w:r>
      <w:r w:rsidRPr="00A51443">
        <w:t xml:space="preserve"> for AR-DRG V12.0</w:t>
      </w:r>
      <w:r w:rsidR="000B7116" w:rsidRPr="00A51443">
        <w:t>.</w:t>
      </w:r>
    </w:p>
    <w:p w14:paraId="3B4395AD" w14:textId="62E01C68" w:rsidR="0003278B" w:rsidRPr="00A51443" w:rsidRDefault="0003278B" w:rsidP="00623EF7">
      <w:pPr>
        <w:pStyle w:val="Heading3"/>
        <w:numPr>
          <w:ilvl w:val="2"/>
          <w:numId w:val="8"/>
        </w:numPr>
        <w:spacing w:before="240"/>
        <w:ind w:left="720"/>
        <w:rPr>
          <w:color w:val="104F99" w:themeColor="accent2"/>
          <w:sz w:val="28"/>
          <w:szCs w:val="28"/>
        </w:rPr>
      </w:pPr>
      <w:bookmarkStart w:id="900" w:name="_Ref187328078"/>
      <w:bookmarkStart w:id="901" w:name="_Toc188263123"/>
      <w:bookmarkStart w:id="902" w:name="_Toc193462715"/>
      <w:r w:rsidRPr="00A51443">
        <w:rPr>
          <w:color w:val="104F99" w:themeColor="accent2"/>
          <w:sz w:val="28"/>
          <w:szCs w:val="28"/>
        </w:rPr>
        <w:t xml:space="preserve">Review of ADRG 801 </w:t>
      </w:r>
      <w:r w:rsidR="009122C2" w:rsidRPr="00A51443">
        <w:rPr>
          <w:i/>
          <w:iCs/>
          <w:color w:val="104F99" w:themeColor="accent2"/>
          <w:sz w:val="28"/>
          <w:szCs w:val="28"/>
        </w:rPr>
        <w:t>G</w:t>
      </w:r>
      <w:r w:rsidR="00BE22E3" w:rsidRPr="00A51443">
        <w:rPr>
          <w:i/>
          <w:iCs/>
          <w:color w:val="104F99" w:themeColor="accent2"/>
          <w:sz w:val="28"/>
          <w:szCs w:val="28"/>
        </w:rPr>
        <w:t xml:space="preserve">eneral </w:t>
      </w:r>
      <w:r w:rsidR="009122C2" w:rsidRPr="00A51443">
        <w:rPr>
          <w:i/>
          <w:iCs/>
          <w:color w:val="104F99" w:themeColor="accent2"/>
          <w:sz w:val="28"/>
          <w:szCs w:val="28"/>
        </w:rPr>
        <w:t>I</w:t>
      </w:r>
      <w:r w:rsidR="00BE22E3" w:rsidRPr="00A51443">
        <w:rPr>
          <w:i/>
          <w:iCs/>
          <w:color w:val="104F99" w:themeColor="accent2"/>
          <w:sz w:val="28"/>
          <w:szCs w:val="28"/>
        </w:rPr>
        <w:t>ntervention</w:t>
      </w:r>
      <w:r w:rsidR="009122C2" w:rsidRPr="00A51443">
        <w:rPr>
          <w:i/>
          <w:iCs/>
          <w:color w:val="104F99" w:themeColor="accent2"/>
          <w:sz w:val="28"/>
          <w:szCs w:val="28"/>
        </w:rPr>
        <w:t xml:space="preserve"> </w:t>
      </w:r>
      <w:r w:rsidR="00C56410" w:rsidRPr="00A51443">
        <w:rPr>
          <w:i/>
          <w:iCs/>
          <w:color w:val="104F99" w:themeColor="accent2"/>
          <w:sz w:val="28"/>
          <w:szCs w:val="28"/>
        </w:rPr>
        <w:t>u</w:t>
      </w:r>
      <w:r w:rsidRPr="00A51443">
        <w:rPr>
          <w:i/>
          <w:iCs/>
          <w:color w:val="104F99" w:themeColor="accent2"/>
          <w:sz w:val="28"/>
          <w:szCs w:val="28"/>
        </w:rPr>
        <w:t xml:space="preserve">nrelated to </w:t>
      </w:r>
      <w:r w:rsidR="00C56410" w:rsidRPr="00A51443">
        <w:rPr>
          <w:i/>
          <w:iCs/>
          <w:color w:val="104F99" w:themeColor="accent2"/>
          <w:sz w:val="28"/>
          <w:szCs w:val="28"/>
        </w:rPr>
        <w:t>p</w:t>
      </w:r>
      <w:r w:rsidRPr="00A51443">
        <w:rPr>
          <w:i/>
          <w:iCs/>
          <w:color w:val="104F99" w:themeColor="accent2"/>
          <w:sz w:val="28"/>
          <w:szCs w:val="28"/>
        </w:rPr>
        <w:t xml:space="preserve">rincipal </w:t>
      </w:r>
      <w:r w:rsidR="00C56410" w:rsidRPr="00A51443">
        <w:rPr>
          <w:i/>
          <w:iCs/>
          <w:color w:val="104F99" w:themeColor="accent2"/>
          <w:sz w:val="28"/>
          <w:szCs w:val="28"/>
        </w:rPr>
        <w:t>d</w:t>
      </w:r>
      <w:r w:rsidRPr="00A51443">
        <w:rPr>
          <w:i/>
          <w:iCs/>
          <w:color w:val="104F99" w:themeColor="accent2"/>
          <w:sz w:val="28"/>
          <w:szCs w:val="28"/>
        </w:rPr>
        <w:t>iagnosis</w:t>
      </w:r>
      <w:bookmarkEnd w:id="900"/>
      <w:bookmarkEnd w:id="901"/>
      <w:bookmarkEnd w:id="902"/>
    </w:p>
    <w:p w14:paraId="52AF113A" w14:textId="5141F317" w:rsidR="0003278B" w:rsidRPr="00A51443" w:rsidRDefault="0003278B" w:rsidP="00C006E1">
      <w:r w:rsidRPr="00A51443">
        <w:t xml:space="preserve">ADRG 801 </w:t>
      </w:r>
      <w:r w:rsidR="00722A28" w:rsidRPr="00A51443">
        <w:rPr>
          <w:i/>
          <w:iCs/>
        </w:rPr>
        <w:t>G</w:t>
      </w:r>
      <w:r w:rsidR="00BE22E3" w:rsidRPr="00A51443">
        <w:rPr>
          <w:i/>
          <w:iCs/>
        </w:rPr>
        <w:t xml:space="preserve">eneral </w:t>
      </w:r>
      <w:r w:rsidRPr="00A51443">
        <w:rPr>
          <w:i/>
          <w:iCs/>
        </w:rPr>
        <w:t>I</w:t>
      </w:r>
      <w:r w:rsidR="00BE22E3" w:rsidRPr="00A51443">
        <w:rPr>
          <w:i/>
          <w:iCs/>
        </w:rPr>
        <w:t>ntervention</w:t>
      </w:r>
      <w:r w:rsidRPr="00A51443">
        <w:rPr>
          <w:i/>
          <w:iCs/>
        </w:rPr>
        <w:t xml:space="preserve"> </w:t>
      </w:r>
      <w:r w:rsidR="00C56410" w:rsidRPr="00A51443">
        <w:rPr>
          <w:i/>
          <w:iCs/>
        </w:rPr>
        <w:t>u</w:t>
      </w:r>
      <w:r w:rsidRPr="00A51443">
        <w:rPr>
          <w:i/>
          <w:iCs/>
        </w:rPr>
        <w:t xml:space="preserve">nrelated to </w:t>
      </w:r>
      <w:r w:rsidR="00C56410" w:rsidRPr="00A51443">
        <w:rPr>
          <w:i/>
          <w:iCs/>
        </w:rPr>
        <w:t>p</w:t>
      </w:r>
      <w:r w:rsidRPr="00A51443">
        <w:rPr>
          <w:i/>
          <w:iCs/>
        </w:rPr>
        <w:t xml:space="preserve">rincipal </w:t>
      </w:r>
      <w:r w:rsidR="00C56410" w:rsidRPr="00A51443">
        <w:rPr>
          <w:i/>
          <w:iCs/>
        </w:rPr>
        <w:t>d</w:t>
      </w:r>
      <w:r w:rsidRPr="00A51443">
        <w:rPr>
          <w:i/>
          <w:iCs/>
        </w:rPr>
        <w:t>iagnosis</w:t>
      </w:r>
      <w:r w:rsidRPr="00A51443">
        <w:t xml:space="preserve"> is valid for circumstances where the principal diagnosis does not relate to a GI performed during the episode. For example, when patients are admitted for medical treatment and subsequently have treatment for an unrelated complication. </w:t>
      </w:r>
    </w:p>
    <w:p w14:paraId="69996A92" w14:textId="208F9A3E" w:rsidR="00E26B1B" w:rsidRPr="00A51443" w:rsidRDefault="00E26437" w:rsidP="00C006E1">
      <w:r w:rsidRPr="00A51443">
        <w:t xml:space="preserve">For </w:t>
      </w:r>
      <w:r w:rsidR="00E26B1B" w:rsidRPr="00A51443">
        <w:t>AR-DRG V12.0</w:t>
      </w:r>
      <w:r w:rsidRPr="00A51443">
        <w:t>, episodes grouping to ADRG 801</w:t>
      </w:r>
      <w:r w:rsidRPr="00A51443">
        <w:rPr>
          <w:i/>
          <w:iCs/>
        </w:rPr>
        <w:t xml:space="preserve"> G</w:t>
      </w:r>
      <w:r w:rsidR="00BE22E3" w:rsidRPr="00A51443">
        <w:rPr>
          <w:i/>
          <w:iCs/>
        </w:rPr>
        <w:t xml:space="preserve">eneral </w:t>
      </w:r>
      <w:r w:rsidRPr="00A51443">
        <w:rPr>
          <w:i/>
          <w:iCs/>
        </w:rPr>
        <w:t>I</w:t>
      </w:r>
      <w:r w:rsidR="00BE22E3" w:rsidRPr="00A51443">
        <w:rPr>
          <w:i/>
          <w:iCs/>
        </w:rPr>
        <w:t>ntervention</w:t>
      </w:r>
      <w:r w:rsidRPr="00A51443">
        <w:rPr>
          <w:i/>
          <w:iCs/>
        </w:rPr>
        <w:t xml:space="preserve"> unrelated to principal diagnosis</w:t>
      </w:r>
      <w:r w:rsidRPr="00A51443">
        <w:t xml:space="preserve"> were reviewed where the principal diagnosis and GI were considered related. This was</w:t>
      </w:r>
      <w:r w:rsidR="00E26B1B" w:rsidRPr="00A51443">
        <w:t xml:space="preserve"> </w:t>
      </w:r>
      <w:r w:rsidRPr="00A51443">
        <w:t>in response to</w:t>
      </w:r>
      <w:r w:rsidR="00E26B1B" w:rsidRPr="00A51443">
        <w:t xml:space="preserve"> several public submissions and internally identified instances </w:t>
      </w:r>
      <w:r w:rsidRPr="00A51443">
        <w:t xml:space="preserve">where this </w:t>
      </w:r>
      <w:r w:rsidR="00E26B1B" w:rsidRPr="00A51443">
        <w:t>grouping</w:t>
      </w:r>
      <w:r w:rsidRPr="00A51443">
        <w:t xml:space="preserve"> occurred</w:t>
      </w:r>
      <w:r w:rsidR="00E26B1B" w:rsidRPr="00A51443">
        <w:t xml:space="preserve">. </w:t>
      </w:r>
    </w:p>
    <w:p w14:paraId="3BDD0CAE" w14:textId="428C19F8" w:rsidR="0003278B" w:rsidRPr="00A51443" w:rsidRDefault="00D64D5D" w:rsidP="00C006E1">
      <w:r w:rsidRPr="00A51443">
        <w:t>Con</w:t>
      </w:r>
      <w:r w:rsidR="00012FA0" w:rsidRPr="00A51443">
        <w:t>sequently</w:t>
      </w:r>
      <w:r w:rsidR="0092107C">
        <w:t>,</w:t>
      </w:r>
      <w:r w:rsidR="00012FA0" w:rsidRPr="00A51443">
        <w:t xml:space="preserve"> the ADRG grouping</w:t>
      </w:r>
      <w:r w:rsidR="009D4F87" w:rsidRPr="00A51443">
        <w:t>s</w:t>
      </w:r>
      <w:r w:rsidR="00012FA0" w:rsidRPr="00A51443">
        <w:t xml:space="preserve"> for several </w:t>
      </w:r>
      <w:r w:rsidR="00E26B1B" w:rsidRPr="00A51443">
        <w:t>ACHI codes</w:t>
      </w:r>
      <w:r w:rsidRPr="00A51443">
        <w:t xml:space="preserve"> have been remediated</w:t>
      </w:r>
      <w:r w:rsidR="00012FA0" w:rsidRPr="00A51443">
        <w:t>. These ACHI codes, the principal diagnos</w:t>
      </w:r>
      <w:r w:rsidR="00634FD7" w:rsidRPr="00A51443">
        <w:t>i</w:t>
      </w:r>
      <w:r w:rsidR="00012FA0" w:rsidRPr="00A51443">
        <w:t xml:space="preserve">s </w:t>
      </w:r>
      <w:r w:rsidR="00634FD7" w:rsidRPr="00A51443">
        <w:t xml:space="preserve">codes </w:t>
      </w:r>
      <w:r w:rsidR="00B96AD3" w:rsidRPr="00A51443">
        <w:t xml:space="preserve">which commonly occur in the same episode, </w:t>
      </w:r>
      <w:r w:rsidR="00012FA0" w:rsidRPr="00A51443">
        <w:t>and</w:t>
      </w:r>
      <w:r w:rsidR="00B96AD3" w:rsidRPr="00A51443">
        <w:t xml:space="preserve"> their</w:t>
      </w:r>
      <w:r w:rsidR="00012FA0" w:rsidRPr="00A51443">
        <w:t xml:space="preserve"> ADRG groupings </w:t>
      </w:r>
      <w:r w:rsidR="00E26B1B" w:rsidRPr="00A51443">
        <w:t>are listed in</w:t>
      </w:r>
      <w:r w:rsidR="00A61803" w:rsidRPr="00A51443">
        <w:rPr>
          <w:b/>
          <w:bCs/>
        </w:rPr>
        <w:t xml:space="preserve"> Appendix A6</w:t>
      </w:r>
      <w:r w:rsidR="00E26B1B" w:rsidRPr="00A51443">
        <w:t>.</w:t>
      </w:r>
    </w:p>
    <w:p w14:paraId="435C183A" w14:textId="4DB2D407" w:rsidR="00F057B2" w:rsidRPr="00A51443" w:rsidRDefault="00F057B2" w:rsidP="00623EF7">
      <w:pPr>
        <w:pStyle w:val="Heading3"/>
        <w:numPr>
          <w:ilvl w:val="2"/>
          <w:numId w:val="8"/>
        </w:numPr>
        <w:spacing w:before="240"/>
        <w:ind w:left="720"/>
        <w:rPr>
          <w:color w:val="104F99" w:themeColor="accent2"/>
          <w:sz w:val="28"/>
          <w:szCs w:val="28"/>
        </w:rPr>
      </w:pPr>
      <w:bookmarkStart w:id="903" w:name="_Ref187328094"/>
      <w:bookmarkStart w:id="904" w:name="_Toc188263124"/>
      <w:bookmarkStart w:id="905" w:name="_Toc193462716"/>
      <w:r w:rsidRPr="00A51443">
        <w:rPr>
          <w:color w:val="104F99" w:themeColor="accent2"/>
          <w:sz w:val="28"/>
          <w:szCs w:val="28"/>
        </w:rPr>
        <w:t>Diagnos</w:t>
      </w:r>
      <w:r w:rsidR="00634FD7" w:rsidRPr="00A51443">
        <w:rPr>
          <w:color w:val="104F99" w:themeColor="accent2"/>
          <w:sz w:val="28"/>
          <w:szCs w:val="28"/>
        </w:rPr>
        <w:t>i</w:t>
      </w:r>
      <w:r w:rsidRPr="00A51443">
        <w:rPr>
          <w:color w:val="104F99" w:themeColor="accent2"/>
          <w:sz w:val="28"/>
          <w:szCs w:val="28"/>
        </w:rPr>
        <w:t>s</w:t>
      </w:r>
      <w:r w:rsidR="00634FD7" w:rsidRPr="00A51443">
        <w:rPr>
          <w:color w:val="104F99" w:themeColor="accent2"/>
          <w:sz w:val="28"/>
          <w:szCs w:val="28"/>
        </w:rPr>
        <w:t xml:space="preserve"> codes</w:t>
      </w:r>
      <w:r w:rsidRPr="00A51443">
        <w:rPr>
          <w:color w:val="104F99" w:themeColor="accent2"/>
          <w:sz w:val="28"/>
          <w:szCs w:val="28"/>
        </w:rPr>
        <w:t xml:space="preserve"> in-scope for receiving a Diagnosis Complexity Level</w:t>
      </w:r>
      <w:bookmarkEnd w:id="903"/>
      <w:bookmarkEnd w:id="904"/>
      <w:bookmarkEnd w:id="905"/>
    </w:p>
    <w:p w14:paraId="3113D9B3" w14:textId="57E6BC8E" w:rsidR="00D20C38" w:rsidRPr="00A51443" w:rsidRDefault="00F057B2" w:rsidP="00C006E1">
      <w:r w:rsidRPr="00A51443">
        <w:t xml:space="preserve">To maintain clinical currency and robustness of the AR-DRG classification, a review of </w:t>
      </w:r>
      <w:r w:rsidR="00B93A4E" w:rsidRPr="00A51443">
        <w:t>ICD</w:t>
      </w:r>
      <w:r w:rsidR="00B93A4E" w:rsidRPr="00A51443">
        <w:noBreakHyphen/>
        <w:t>10-AM (</w:t>
      </w:r>
      <w:r w:rsidRPr="00A51443">
        <w:t>diagnosis</w:t>
      </w:r>
      <w:r w:rsidR="00B93A4E" w:rsidRPr="00A51443">
        <w:t>)</w:t>
      </w:r>
      <w:r w:rsidRPr="00A51443">
        <w:t xml:space="preserve"> codes </w:t>
      </w:r>
      <w:r w:rsidR="001A4B6C" w:rsidRPr="00A51443">
        <w:t xml:space="preserve">that are </w:t>
      </w:r>
      <w:r w:rsidRPr="00A51443">
        <w:t>in-scope for episode complexity is conducted for every new version of the AR-DRG classification</w:t>
      </w:r>
      <w:r w:rsidR="00D20C38" w:rsidRPr="00A51443">
        <w:t>.</w:t>
      </w:r>
    </w:p>
    <w:p w14:paraId="7FE25ABC" w14:textId="080EB42B" w:rsidR="007E76B8" w:rsidRPr="00A51443" w:rsidRDefault="007E76B8" w:rsidP="00C006E1">
      <w:r w:rsidRPr="00A51443">
        <w:t>For AR-DRG V12.0, the diagnosis codes assigned in admitted acute episodes in public hospitals over the six-year period from 2016–17 to 2021–22</w:t>
      </w:r>
      <w:r w:rsidR="00D64D5D" w:rsidRPr="00A51443">
        <w:t xml:space="preserve"> were reviewed</w:t>
      </w:r>
      <w:r w:rsidRPr="00A51443">
        <w:t xml:space="preserve">. This </w:t>
      </w:r>
      <w:r w:rsidR="00491894" w:rsidRPr="00A51443">
        <w:t>is consistent with</w:t>
      </w:r>
      <w:r w:rsidRPr="00A51443">
        <w:t xml:space="preserve"> the diagnosis exclusion review performed for AR-DRG V11.0.</w:t>
      </w:r>
    </w:p>
    <w:p w14:paraId="77EE80C9" w14:textId="6DB70EA4" w:rsidR="00EB5EBF" w:rsidRPr="00A51443" w:rsidRDefault="00F057B2" w:rsidP="00EB5EBF">
      <w:r w:rsidRPr="00A51443">
        <w:t xml:space="preserve">All valid diagnosis codes in ICD-10-AM </w:t>
      </w:r>
      <w:r w:rsidR="004A2703" w:rsidRPr="00A51443">
        <w:t xml:space="preserve">Twelfth </w:t>
      </w:r>
      <w:r w:rsidRPr="00A51443">
        <w:t xml:space="preserve">Edition were </w:t>
      </w:r>
      <w:r w:rsidR="001A080A" w:rsidRPr="00A51443">
        <w:t xml:space="preserve">eligible for </w:t>
      </w:r>
      <w:r w:rsidRPr="00A51443">
        <w:t xml:space="preserve">review. </w:t>
      </w:r>
      <w:r w:rsidR="00BB2803" w:rsidRPr="00A51443">
        <w:t>F</w:t>
      </w:r>
      <w:r w:rsidR="00F3531F" w:rsidRPr="00A51443">
        <w:t xml:space="preserve">ollowing </w:t>
      </w:r>
      <w:r w:rsidR="00C94C00" w:rsidRPr="00A51443">
        <w:t>statistical analysis</w:t>
      </w:r>
      <w:r w:rsidR="001A080A" w:rsidRPr="00A51443">
        <w:t xml:space="preserve">, </w:t>
      </w:r>
      <w:r w:rsidRPr="00A51443">
        <w:t xml:space="preserve">diagnosis codes warranting </w:t>
      </w:r>
      <w:r w:rsidR="0000658F" w:rsidRPr="00A51443">
        <w:t xml:space="preserve">individual </w:t>
      </w:r>
      <w:r w:rsidRPr="00A51443">
        <w:t>assessment</w:t>
      </w:r>
      <w:r w:rsidR="00D64D5D" w:rsidRPr="00A51443">
        <w:t xml:space="preserve"> were identified</w:t>
      </w:r>
      <w:r w:rsidRPr="00A51443">
        <w:t xml:space="preserve">. </w:t>
      </w:r>
      <w:r w:rsidR="00EB5EBF" w:rsidRPr="00A51443">
        <w:t xml:space="preserve">An analysis of the changing prevalence of each diagnosis code over time resulted in a review of 17 codes to ensure they were still fit-for-purpose for inclusion in the complexity model. </w:t>
      </w:r>
    </w:p>
    <w:p w14:paraId="176AD540" w14:textId="5E059E2D" w:rsidR="001329D3" w:rsidRPr="00A51443" w:rsidRDefault="00FE5942" w:rsidP="00C006E1">
      <w:r w:rsidRPr="00A51443">
        <w:t xml:space="preserve">Each of these diagnosis codes was assessed independently against the guiding principles for diagnosis exclusions </w:t>
      </w:r>
      <w:r w:rsidR="007866DB" w:rsidRPr="00A51443">
        <w:t xml:space="preserve">from the </w:t>
      </w:r>
      <w:r w:rsidRPr="00A51443">
        <w:t>complexity model</w:t>
      </w:r>
      <w:r w:rsidR="007866DB" w:rsidRPr="00A51443">
        <w:t xml:space="preserve"> specified in the </w:t>
      </w:r>
      <w:r w:rsidR="001329D3" w:rsidRPr="00A51443">
        <w:t>g</w:t>
      </w:r>
      <w:r w:rsidR="005E09E8" w:rsidRPr="00A51443">
        <w:t xml:space="preserve">overnance </w:t>
      </w:r>
      <w:r w:rsidR="001329D3" w:rsidRPr="00A51443">
        <w:t>f</w:t>
      </w:r>
      <w:r w:rsidR="007866DB" w:rsidRPr="00A51443">
        <w:t xml:space="preserve">ramework. </w:t>
      </w:r>
      <w:r w:rsidR="00EB5EBF" w:rsidRPr="00A51443">
        <w:t>Following this assessment and</w:t>
      </w:r>
      <w:r w:rsidR="0092107C">
        <w:t xml:space="preserve"> in</w:t>
      </w:r>
      <w:r w:rsidR="00EB5EBF" w:rsidRPr="00A51443">
        <w:t xml:space="preserve"> </w:t>
      </w:r>
      <w:r w:rsidR="00EB5EBF" w:rsidRPr="00A51443">
        <w:rPr>
          <w:rFonts w:cs="Arial"/>
        </w:rPr>
        <w:t>consultation with IHACPA’s clinical and technical working groups, all 17 of these codes were retained as in-scope within the complexity model</w:t>
      </w:r>
      <w:r w:rsidR="0042506D" w:rsidRPr="00A51443">
        <w:rPr>
          <w:rFonts w:cs="Arial"/>
        </w:rPr>
        <w:t>.</w:t>
      </w:r>
    </w:p>
    <w:p w14:paraId="1AFD93B9" w14:textId="18B5FC01" w:rsidR="00EB5EBF" w:rsidRPr="00A51443" w:rsidRDefault="00EB5EBF" w:rsidP="00EB5EBF">
      <w:r w:rsidRPr="00A51443">
        <w:t xml:space="preserve">In AR-DRG V11.0 development, code U07.11 </w:t>
      </w:r>
      <w:r w:rsidRPr="00A51443">
        <w:rPr>
          <w:i/>
          <w:iCs/>
        </w:rPr>
        <w:t>Coronavirus disease 2019 [COVID-19], virus identified, asymptomatic</w:t>
      </w:r>
      <w:r w:rsidRPr="00A51443">
        <w:t>, was identified as a candidate for exclusion on the basis that it represents an asymptomatic condition. In October 2021, CCAG recommended that this code be retained in the complexity model for AR-DRG V11.0 but that the decision be revisited once COVID</w:t>
      </w:r>
      <w:r w:rsidRPr="00A51443">
        <w:noBreakHyphen/>
        <w:t>19 treatment had normalised. Consequently, in consultation with IHACPA’s clinical and technical working groups, U07.11</w:t>
      </w:r>
      <w:r w:rsidRPr="00A51443">
        <w:rPr>
          <w:i/>
          <w:iCs/>
        </w:rPr>
        <w:t xml:space="preserve"> Coronavirus disease 2019 [COVID-19], virus identified, asymptomatic</w:t>
      </w:r>
      <w:r w:rsidRPr="00A51443">
        <w:t xml:space="preserve"> is not in scope within the complexity model in AR-DRG V12.0 based on the guiding principles for exclusion. </w:t>
      </w:r>
    </w:p>
    <w:p w14:paraId="3CA4B232" w14:textId="453A895A" w:rsidR="00FE5942" w:rsidRPr="00A51443" w:rsidRDefault="003E4A43" w:rsidP="00946677">
      <w:pPr>
        <w:rPr>
          <w:rFonts w:cs="Arial"/>
        </w:rPr>
      </w:pPr>
      <w:r w:rsidRPr="00A51443">
        <w:lastRenderedPageBreak/>
        <w:t>The</w:t>
      </w:r>
      <w:r w:rsidR="007D18B1" w:rsidRPr="00A51443">
        <w:t xml:space="preserve"> </w:t>
      </w:r>
      <w:r w:rsidR="00253022" w:rsidRPr="00A51443">
        <w:t>122 codes created in ICD-10-AM Thirteenth Edition were assessed against the guiding principles for exclusion from the complexity model. In consultation with IHACPA’s clinical and technical working groups</w:t>
      </w:r>
      <w:r w:rsidR="00D527F7" w:rsidRPr="00A51443">
        <w:t>,</w:t>
      </w:r>
      <w:r w:rsidR="00FE5942" w:rsidRPr="00A51443">
        <w:t xml:space="preserve"> </w:t>
      </w:r>
      <w:r w:rsidR="00564648" w:rsidRPr="00A51443">
        <w:t>107</w:t>
      </w:r>
      <w:r w:rsidR="00253022" w:rsidRPr="00A51443">
        <w:t xml:space="preserve"> of the</w:t>
      </w:r>
      <w:r w:rsidR="00FE5942" w:rsidRPr="00A51443">
        <w:t xml:space="preserve"> </w:t>
      </w:r>
      <w:r w:rsidR="00253022" w:rsidRPr="00A51443">
        <w:t xml:space="preserve">new </w:t>
      </w:r>
      <w:r w:rsidR="00FE5942" w:rsidRPr="00A51443">
        <w:t xml:space="preserve">ICD-10-AM Thirteenth Edition codes were </w:t>
      </w:r>
      <w:r w:rsidR="00253022" w:rsidRPr="00A51443">
        <w:t xml:space="preserve">consequently </w:t>
      </w:r>
      <w:r w:rsidR="00FE5942" w:rsidRPr="00A51443">
        <w:t>excluded from the complexity model.</w:t>
      </w:r>
      <w:r w:rsidR="003F2732" w:rsidRPr="00A51443">
        <w:t xml:space="preserve"> A list of</w:t>
      </w:r>
      <w:r w:rsidR="005030D4" w:rsidRPr="00A51443">
        <w:t xml:space="preserve"> the codes </w:t>
      </w:r>
      <w:r w:rsidR="00722DAA" w:rsidRPr="00A51443">
        <w:t>assessed</w:t>
      </w:r>
      <w:r w:rsidR="005030D4" w:rsidRPr="00A51443">
        <w:t xml:space="preserve"> and their </w:t>
      </w:r>
      <w:r w:rsidR="00894552" w:rsidRPr="00A51443">
        <w:t>status for receiving a DCL in AR</w:t>
      </w:r>
      <w:r w:rsidR="00127EBB" w:rsidRPr="00A51443">
        <w:noBreakHyphen/>
      </w:r>
      <w:r w:rsidR="00894552" w:rsidRPr="00A51443">
        <w:t>DRG</w:t>
      </w:r>
      <w:r w:rsidR="00127EBB" w:rsidRPr="00A51443">
        <w:t> </w:t>
      </w:r>
      <w:r w:rsidR="00894552" w:rsidRPr="00A51443">
        <w:t xml:space="preserve">V12.0 </w:t>
      </w:r>
      <w:r w:rsidR="00127EBB" w:rsidRPr="00A51443">
        <w:t>are listed</w:t>
      </w:r>
      <w:r w:rsidR="00CF62C0" w:rsidRPr="00A51443">
        <w:t xml:space="preserve"> </w:t>
      </w:r>
      <w:r w:rsidR="005030D4" w:rsidRPr="00A51443">
        <w:t>in</w:t>
      </w:r>
      <w:r w:rsidR="00A61803" w:rsidRPr="00A51443">
        <w:rPr>
          <w:b/>
          <w:bCs/>
        </w:rPr>
        <w:t xml:space="preserve"> Appendix A7</w:t>
      </w:r>
      <w:r w:rsidR="005030D4" w:rsidRPr="00A51443">
        <w:t>.</w:t>
      </w:r>
    </w:p>
    <w:p w14:paraId="76682ABA" w14:textId="68842DF4" w:rsidR="00C94C00" w:rsidRPr="00A51443" w:rsidRDefault="00F057B2" w:rsidP="00B64364">
      <w:r w:rsidRPr="00A51443">
        <w:t xml:space="preserve">In total, </w:t>
      </w:r>
      <w:r w:rsidR="000B6418" w:rsidRPr="00A51443">
        <w:t>11,0</w:t>
      </w:r>
      <w:r w:rsidR="007E219A" w:rsidRPr="00A51443">
        <w:t>5</w:t>
      </w:r>
      <w:r w:rsidR="00FF3182" w:rsidRPr="00A51443">
        <w:t>7</w:t>
      </w:r>
      <w:r w:rsidR="007941E2" w:rsidRPr="00A51443">
        <w:t xml:space="preserve"> ICD-10-AM</w:t>
      </w:r>
      <w:r w:rsidR="001C2E6A" w:rsidRPr="00A51443">
        <w:t xml:space="preserve"> </w:t>
      </w:r>
      <w:r w:rsidR="001D6CE9" w:rsidRPr="00A51443">
        <w:t xml:space="preserve">Thirteenth Edition </w:t>
      </w:r>
      <w:r w:rsidRPr="00A51443">
        <w:t>codes are in-scope for receiving a DCL in AR</w:t>
      </w:r>
      <w:r w:rsidR="00803371" w:rsidRPr="00A51443">
        <w:noBreakHyphen/>
      </w:r>
      <w:r w:rsidRPr="00A51443">
        <w:t>DRG</w:t>
      </w:r>
      <w:r w:rsidR="00803371" w:rsidRPr="00A51443">
        <w:t> </w:t>
      </w:r>
      <w:r w:rsidRPr="00A51443">
        <w:t>V</w:t>
      </w:r>
      <w:r w:rsidR="00756665" w:rsidRPr="00A51443">
        <w:t>12.0</w:t>
      </w:r>
      <w:r w:rsidRPr="00A51443">
        <w:t>, as compared to 11,</w:t>
      </w:r>
      <w:r w:rsidR="00F907FF" w:rsidRPr="00A51443">
        <w:t>065</w:t>
      </w:r>
      <w:r w:rsidR="00253022" w:rsidRPr="00A51443">
        <w:t xml:space="preserve"> ICD-10-AM </w:t>
      </w:r>
      <w:r w:rsidR="001D6CE9" w:rsidRPr="00A51443">
        <w:t xml:space="preserve">Twelfth Edition </w:t>
      </w:r>
      <w:r w:rsidRPr="00A51443">
        <w:t xml:space="preserve">codes in AR-DRG </w:t>
      </w:r>
      <w:r w:rsidR="0093292E" w:rsidRPr="00A51443">
        <w:t>V11</w:t>
      </w:r>
      <w:r w:rsidRPr="00A51443">
        <w:t>.0.</w:t>
      </w:r>
    </w:p>
    <w:p w14:paraId="3162A28B" w14:textId="67889E73" w:rsidR="00F057B2" w:rsidRPr="00A51443" w:rsidRDefault="00F057B2" w:rsidP="00B64364">
      <w:r w:rsidRPr="00A51443">
        <w:t>The full list of unconditional</w:t>
      </w:r>
      <w:r w:rsidR="0092107C">
        <w:t>ly</w:t>
      </w:r>
      <w:r w:rsidRPr="00A51443">
        <w:t xml:space="preserve"> and conditional</w:t>
      </w:r>
      <w:r w:rsidR="0092107C">
        <w:t>ly</w:t>
      </w:r>
      <w:r w:rsidRPr="00A51443">
        <w:t xml:space="preserve"> </w:t>
      </w:r>
      <w:r w:rsidR="0092107C" w:rsidRPr="00A51443">
        <w:t>exclu</w:t>
      </w:r>
      <w:r w:rsidR="0092107C">
        <w:t>ded</w:t>
      </w:r>
      <w:r w:rsidR="0092107C" w:rsidRPr="00A51443">
        <w:t xml:space="preserve"> </w:t>
      </w:r>
      <w:r w:rsidRPr="00A51443">
        <w:t>codes</w:t>
      </w:r>
      <w:r w:rsidRPr="00A51443">
        <w:rPr>
          <w:rStyle w:val="FootnoteReference"/>
        </w:rPr>
        <w:footnoteReference w:id="7"/>
      </w:r>
      <w:r w:rsidRPr="00A51443">
        <w:t xml:space="preserve"> can be found in Appendix C of the </w:t>
      </w:r>
      <w:r w:rsidRPr="00946677">
        <w:rPr>
          <w:iCs/>
        </w:rPr>
        <w:t>AR-DRG V</w:t>
      </w:r>
      <w:r w:rsidR="007866CB" w:rsidRPr="00946677">
        <w:rPr>
          <w:iCs/>
        </w:rPr>
        <w:t xml:space="preserve">ersion </w:t>
      </w:r>
      <w:r w:rsidR="00756665" w:rsidRPr="00946677">
        <w:rPr>
          <w:iCs/>
        </w:rPr>
        <w:t>12.0</w:t>
      </w:r>
      <w:r w:rsidRPr="00946677">
        <w:rPr>
          <w:iCs/>
        </w:rPr>
        <w:t xml:space="preserve"> Definitions Manual</w:t>
      </w:r>
      <w:r w:rsidR="00AA3993">
        <w:rPr>
          <w:iCs/>
        </w:rPr>
        <w:t xml:space="preserve"> </w:t>
      </w:r>
      <w:r w:rsidR="00AA3993" w:rsidRPr="00AA3993">
        <w:rPr>
          <w:iCs/>
        </w:rPr>
        <w:t xml:space="preserve">and </w:t>
      </w:r>
      <w:r w:rsidR="00AA3993" w:rsidRPr="00AA3993">
        <w:t>on the IHACPA website</w:t>
      </w:r>
      <w:r w:rsidRPr="00A51443">
        <w:t xml:space="preserve">. </w:t>
      </w:r>
    </w:p>
    <w:p w14:paraId="72140415" w14:textId="04E393E3" w:rsidR="00F057B2" w:rsidRPr="00A51443" w:rsidRDefault="00F057B2" w:rsidP="00623EF7">
      <w:pPr>
        <w:pStyle w:val="Heading3"/>
        <w:numPr>
          <w:ilvl w:val="2"/>
          <w:numId w:val="8"/>
        </w:numPr>
        <w:spacing w:before="240"/>
        <w:ind w:left="720"/>
        <w:rPr>
          <w:color w:val="104F99" w:themeColor="accent2"/>
          <w:sz w:val="28"/>
          <w:szCs w:val="28"/>
        </w:rPr>
      </w:pPr>
      <w:bookmarkStart w:id="906" w:name="_Toc182491478"/>
      <w:bookmarkStart w:id="907" w:name="_Toc182491766"/>
      <w:bookmarkStart w:id="908" w:name="_Toc182492054"/>
      <w:bookmarkStart w:id="909" w:name="_Toc182571831"/>
      <w:bookmarkStart w:id="910" w:name="_Toc183434395"/>
      <w:bookmarkStart w:id="911" w:name="_Toc183434650"/>
      <w:bookmarkStart w:id="912" w:name="_Toc182491479"/>
      <w:bookmarkStart w:id="913" w:name="_Toc182491767"/>
      <w:bookmarkStart w:id="914" w:name="_Toc182492055"/>
      <w:bookmarkStart w:id="915" w:name="_Toc182571832"/>
      <w:bookmarkStart w:id="916" w:name="_Toc183434396"/>
      <w:bookmarkStart w:id="917" w:name="_Toc183434651"/>
      <w:bookmarkStart w:id="918" w:name="_Toc182491480"/>
      <w:bookmarkStart w:id="919" w:name="_Toc182491768"/>
      <w:bookmarkStart w:id="920" w:name="_Toc182492056"/>
      <w:bookmarkStart w:id="921" w:name="_Toc182571833"/>
      <w:bookmarkStart w:id="922" w:name="_Toc183434397"/>
      <w:bookmarkStart w:id="923" w:name="_Toc183434652"/>
      <w:bookmarkStart w:id="924" w:name="_Toc182491481"/>
      <w:bookmarkStart w:id="925" w:name="_Toc182491769"/>
      <w:bookmarkStart w:id="926" w:name="_Toc182492057"/>
      <w:bookmarkStart w:id="927" w:name="_Toc182571834"/>
      <w:bookmarkStart w:id="928" w:name="_Toc183434398"/>
      <w:bookmarkStart w:id="929" w:name="_Toc183434653"/>
      <w:bookmarkStart w:id="930" w:name="_Toc182491482"/>
      <w:bookmarkStart w:id="931" w:name="_Toc182491770"/>
      <w:bookmarkStart w:id="932" w:name="_Toc182492058"/>
      <w:bookmarkStart w:id="933" w:name="_Toc182571835"/>
      <w:bookmarkStart w:id="934" w:name="_Toc183434399"/>
      <w:bookmarkStart w:id="935" w:name="_Toc183434654"/>
      <w:bookmarkStart w:id="936" w:name="_Toc182491483"/>
      <w:bookmarkStart w:id="937" w:name="_Toc182491771"/>
      <w:bookmarkStart w:id="938" w:name="_Toc182492059"/>
      <w:bookmarkStart w:id="939" w:name="_Toc182571836"/>
      <w:bookmarkStart w:id="940" w:name="_Toc183434400"/>
      <w:bookmarkStart w:id="941" w:name="_Toc183434655"/>
      <w:bookmarkStart w:id="942" w:name="_Toc182491484"/>
      <w:bookmarkStart w:id="943" w:name="_Toc182491772"/>
      <w:bookmarkStart w:id="944" w:name="_Toc182492060"/>
      <w:bookmarkStart w:id="945" w:name="_Toc182571837"/>
      <w:bookmarkStart w:id="946" w:name="_Toc183434401"/>
      <w:bookmarkStart w:id="947" w:name="_Toc183434656"/>
      <w:bookmarkStart w:id="948" w:name="_Toc182491485"/>
      <w:bookmarkStart w:id="949" w:name="_Toc182491773"/>
      <w:bookmarkStart w:id="950" w:name="_Toc182492061"/>
      <w:bookmarkStart w:id="951" w:name="_Toc182571838"/>
      <w:bookmarkStart w:id="952" w:name="_Toc183434402"/>
      <w:bookmarkStart w:id="953" w:name="_Toc183434657"/>
      <w:bookmarkStart w:id="954" w:name="_Toc182491486"/>
      <w:bookmarkStart w:id="955" w:name="_Toc182491774"/>
      <w:bookmarkStart w:id="956" w:name="_Toc182492062"/>
      <w:bookmarkStart w:id="957" w:name="_Toc182571839"/>
      <w:bookmarkStart w:id="958" w:name="_Toc183434403"/>
      <w:bookmarkStart w:id="959" w:name="_Toc183434658"/>
      <w:bookmarkStart w:id="960" w:name="_Toc182491497"/>
      <w:bookmarkStart w:id="961" w:name="_Toc182491785"/>
      <w:bookmarkStart w:id="962" w:name="_Toc182492073"/>
      <w:bookmarkStart w:id="963" w:name="_Toc182571850"/>
      <w:bookmarkStart w:id="964" w:name="_Toc183434414"/>
      <w:bookmarkStart w:id="965" w:name="_Toc183434669"/>
      <w:bookmarkStart w:id="966" w:name="_Toc182491502"/>
      <w:bookmarkStart w:id="967" w:name="_Toc182491790"/>
      <w:bookmarkStart w:id="968" w:name="_Toc182492078"/>
      <w:bookmarkStart w:id="969" w:name="_Toc182571855"/>
      <w:bookmarkStart w:id="970" w:name="_Toc183434419"/>
      <w:bookmarkStart w:id="971" w:name="_Toc183434674"/>
      <w:bookmarkStart w:id="972" w:name="_Toc182491507"/>
      <w:bookmarkStart w:id="973" w:name="_Toc182491795"/>
      <w:bookmarkStart w:id="974" w:name="_Toc182492083"/>
      <w:bookmarkStart w:id="975" w:name="_Toc182571860"/>
      <w:bookmarkStart w:id="976" w:name="_Toc183434424"/>
      <w:bookmarkStart w:id="977" w:name="_Toc183434679"/>
      <w:bookmarkStart w:id="978" w:name="_Toc182491508"/>
      <w:bookmarkStart w:id="979" w:name="_Toc182491796"/>
      <w:bookmarkStart w:id="980" w:name="_Toc182492084"/>
      <w:bookmarkStart w:id="981" w:name="_Toc182571861"/>
      <w:bookmarkStart w:id="982" w:name="_Toc183434425"/>
      <w:bookmarkStart w:id="983" w:name="_Toc183434680"/>
      <w:bookmarkStart w:id="984" w:name="_Toc182491509"/>
      <w:bookmarkStart w:id="985" w:name="_Toc182491797"/>
      <w:bookmarkStart w:id="986" w:name="_Toc182492085"/>
      <w:bookmarkStart w:id="987" w:name="_Toc182571862"/>
      <w:bookmarkStart w:id="988" w:name="_Toc183434426"/>
      <w:bookmarkStart w:id="989" w:name="_Toc183434681"/>
      <w:bookmarkStart w:id="990" w:name="_Toc182491522"/>
      <w:bookmarkStart w:id="991" w:name="_Toc182491810"/>
      <w:bookmarkStart w:id="992" w:name="_Toc182492098"/>
      <w:bookmarkStart w:id="993" w:name="_Toc182571875"/>
      <w:bookmarkStart w:id="994" w:name="_Toc183434439"/>
      <w:bookmarkStart w:id="995" w:name="_Toc183434694"/>
      <w:bookmarkStart w:id="996" w:name="_Toc182491526"/>
      <w:bookmarkStart w:id="997" w:name="_Toc182491814"/>
      <w:bookmarkStart w:id="998" w:name="_Toc182492102"/>
      <w:bookmarkStart w:id="999" w:name="_Toc182571879"/>
      <w:bookmarkStart w:id="1000" w:name="_Toc183434443"/>
      <w:bookmarkStart w:id="1001" w:name="_Toc183434698"/>
      <w:bookmarkStart w:id="1002" w:name="_Toc182491530"/>
      <w:bookmarkStart w:id="1003" w:name="_Toc182491818"/>
      <w:bookmarkStart w:id="1004" w:name="_Toc182492106"/>
      <w:bookmarkStart w:id="1005" w:name="_Toc182571883"/>
      <w:bookmarkStart w:id="1006" w:name="_Toc183434447"/>
      <w:bookmarkStart w:id="1007" w:name="_Toc183434702"/>
      <w:bookmarkStart w:id="1008" w:name="_Toc182491538"/>
      <w:bookmarkStart w:id="1009" w:name="_Toc182491826"/>
      <w:bookmarkStart w:id="1010" w:name="_Toc182492114"/>
      <w:bookmarkStart w:id="1011" w:name="_Toc182571891"/>
      <w:bookmarkStart w:id="1012" w:name="_Toc183434455"/>
      <w:bookmarkStart w:id="1013" w:name="_Toc183434710"/>
      <w:bookmarkStart w:id="1014" w:name="_Toc182384566"/>
      <w:bookmarkStart w:id="1015" w:name="_Toc182407575"/>
      <w:bookmarkStart w:id="1016" w:name="_Toc182409909"/>
      <w:bookmarkStart w:id="1017" w:name="_Toc182491539"/>
      <w:bookmarkStart w:id="1018" w:name="_Toc182491827"/>
      <w:bookmarkStart w:id="1019" w:name="_Toc182492115"/>
      <w:bookmarkStart w:id="1020" w:name="_Toc182571892"/>
      <w:bookmarkStart w:id="1021" w:name="_Toc183434456"/>
      <w:bookmarkStart w:id="1022" w:name="_Toc183434711"/>
      <w:bookmarkStart w:id="1023" w:name="_Toc188263125"/>
      <w:bookmarkStart w:id="1024" w:name="_Toc193462717"/>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A51443">
        <w:rPr>
          <w:color w:val="104F99" w:themeColor="accent2"/>
          <w:sz w:val="28"/>
          <w:szCs w:val="28"/>
        </w:rPr>
        <w:t>ADRG splitting review</w:t>
      </w:r>
      <w:bookmarkEnd w:id="1023"/>
      <w:bookmarkEnd w:id="1024"/>
    </w:p>
    <w:p w14:paraId="04ED9DA9" w14:textId="1290CCF4" w:rsidR="00F057B2" w:rsidRPr="00A51443" w:rsidRDefault="00F057B2" w:rsidP="00C006E1">
      <w:r w:rsidRPr="00A51443">
        <w:t>An episode of care is initially assigned to an ADRG</w:t>
      </w:r>
      <w:r w:rsidR="00D527F7" w:rsidRPr="00A51443">
        <w:t>,</w:t>
      </w:r>
      <w:r w:rsidRPr="00A51443">
        <w:t xml:space="preserve"> which broadly groups episodes with the same diagnosis and intervention profiles. The final stage is to subdivide (or ‘split’) each ADRG into individual DRG</w:t>
      </w:r>
      <w:r w:rsidR="007866CB" w:rsidRPr="00A51443">
        <w:t>s</w:t>
      </w:r>
      <w:r w:rsidRPr="00A51443">
        <w:t xml:space="preserve"> based on the ECCS and occasionally other factors such as mode</w:t>
      </w:r>
      <w:r w:rsidR="00E42026" w:rsidRPr="00A51443">
        <w:t xml:space="preserve"> of separation</w:t>
      </w:r>
      <w:r w:rsidRPr="00A51443">
        <w:t xml:space="preserve">, length of stay and age. </w:t>
      </w:r>
    </w:p>
    <w:p w14:paraId="095C06B5" w14:textId="089F44C3" w:rsidR="00BD4D94" w:rsidRPr="00A51443" w:rsidRDefault="00F057B2" w:rsidP="00C006E1">
      <w:r w:rsidRPr="00A51443">
        <w:t>An ADRG splitting review was undertaken for AR-DRG V</w:t>
      </w:r>
      <w:r w:rsidR="00756665" w:rsidRPr="00A51443">
        <w:t>12.0</w:t>
      </w:r>
      <w:r w:rsidRPr="00A51443">
        <w:t xml:space="preserve"> according to </w:t>
      </w:r>
      <w:r w:rsidR="002E1D6B" w:rsidRPr="00A51443">
        <w:t xml:space="preserve">the DRG </w:t>
      </w:r>
      <w:r w:rsidRPr="00A51443">
        <w:t xml:space="preserve">principles specified in the </w:t>
      </w:r>
      <w:r w:rsidR="00525F25" w:rsidRPr="00A51443">
        <w:t>g</w:t>
      </w:r>
      <w:r w:rsidR="007866CB" w:rsidRPr="00A51443">
        <w:t xml:space="preserve">overnance </w:t>
      </w:r>
      <w:r w:rsidR="00525F25" w:rsidRPr="00A51443">
        <w:rPr>
          <w:iCs/>
        </w:rPr>
        <w:t>f</w:t>
      </w:r>
      <w:r w:rsidR="00AE2CCA" w:rsidRPr="00A51443">
        <w:rPr>
          <w:iCs/>
        </w:rPr>
        <w:t>ramework</w:t>
      </w:r>
      <w:r w:rsidRPr="00A51443">
        <w:t>.</w:t>
      </w:r>
      <w:r w:rsidR="00BA5D56" w:rsidRPr="00A51443">
        <w:t xml:space="preserve"> </w:t>
      </w:r>
      <w:r w:rsidRPr="00A51443">
        <w:t xml:space="preserve">The outcome of the review is </w:t>
      </w:r>
      <w:r w:rsidR="00621DF3">
        <w:t xml:space="preserve">summarised in </w:t>
      </w:r>
      <w:r w:rsidR="00621DF3" w:rsidRPr="00621DF3">
        <w:rPr>
          <w:b/>
          <w:bCs/>
        </w:rPr>
        <w:t>Table 3</w:t>
      </w:r>
      <w:r w:rsidR="00621DF3">
        <w:t>.</w:t>
      </w:r>
    </w:p>
    <w:p w14:paraId="7C38A9DB" w14:textId="3FF01F33" w:rsidR="00BD7D79" w:rsidRPr="00A51443" w:rsidRDefault="00BD7D79" w:rsidP="004E2BB8">
      <w:pPr>
        <w:pStyle w:val="Caption"/>
        <w:rPr>
          <w:rFonts w:cs="Arial"/>
        </w:rPr>
      </w:pPr>
      <w:bookmarkStart w:id="1025" w:name="_Ref182566769"/>
      <w:r w:rsidRPr="00A51443">
        <w:t xml:space="preserve">Table </w:t>
      </w:r>
      <w:r w:rsidRPr="00A51443">
        <w:fldChar w:fldCharType="begin"/>
      </w:r>
      <w:r w:rsidRPr="00A51443">
        <w:instrText xml:space="preserve"> SEQ Table \* ARABIC </w:instrText>
      </w:r>
      <w:r w:rsidRPr="00A51443">
        <w:fldChar w:fldCharType="separate"/>
      </w:r>
      <w:r w:rsidR="009D07F9">
        <w:rPr>
          <w:noProof/>
        </w:rPr>
        <w:t>3</w:t>
      </w:r>
      <w:r w:rsidRPr="00A51443">
        <w:fldChar w:fldCharType="end"/>
      </w:r>
      <w:bookmarkEnd w:id="1025"/>
      <w:r w:rsidRPr="00A51443">
        <w:t xml:space="preserve">: Comparison of ADRG splitting profile between AR-DRG </w:t>
      </w:r>
      <w:r w:rsidRPr="00A51443">
        <w:rPr>
          <w:rFonts w:cs="Arial"/>
        </w:rPr>
        <w:t>V11.0 and V12.0 by number of complexity splits</w:t>
      </w:r>
    </w:p>
    <w:tbl>
      <w:tblPr>
        <w:tblStyle w:val="TableGrid"/>
        <w:tblW w:w="0" w:type="auto"/>
        <w:jc w:val="center"/>
        <w:tblLayout w:type="fixed"/>
        <w:tblLook w:val="04A0" w:firstRow="1" w:lastRow="0" w:firstColumn="1" w:lastColumn="0" w:noHBand="0" w:noVBand="1"/>
      </w:tblPr>
      <w:tblGrid>
        <w:gridCol w:w="846"/>
        <w:gridCol w:w="1417"/>
        <w:gridCol w:w="1134"/>
        <w:gridCol w:w="1276"/>
        <w:gridCol w:w="1134"/>
        <w:gridCol w:w="1134"/>
        <w:gridCol w:w="1134"/>
        <w:gridCol w:w="1134"/>
      </w:tblGrid>
      <w:tr w:rsidR="00244AAE" w:rsidRPr="00A51443" w14:paraId="21CAD813" w14:textId="77777777" w:rsidTr="00000118">
        <w:trPr>
          <w:jc w:val="center"/>
        </w:trPr>
        <w:tc>
          <w:tcPr>
            <w:tcW w:w="2263" w:type="dxa"/>
            <w:gridSpan w:val="2"/>
            <w:vMerge w:val="restart"/>
            <w:shd w:val="clear" w:color="auto" w:fill="104F99"/>
            <w:vAlign w:val="center"/>
          </w:tcPr>
          <w:p w14:paraId="24D91E30" w14:textId="22EBD25B" w:rsidR="00BD7D79" w:rsidRPr="00A51443" w:rsidRDefault="00244AAE"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Number of complexity splits</w:t>
            </w:r>
          </w:p>
        </w:tc>
        <w:tc>
          <w:tcPr>
            <w:tcW w:w="4678" w:type="dxa"/>
            <w:gridSpan w:val="4"/>
            <w:shd w:val="clear" w:color="auto" w:fill="104F99"/>
            <w:vAlign w:val="center"/>
          </w:tcPr>
          <w:p w14:paraId="3867D302"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AR-DRG V11.0</w:t>
            </w:r>
          </w:p>
        </w:tc>
        <w:tc>
          <w:tcPr>
            <w:tcW w:w="1134" w:type="dxa"/>
            <w:shd w:val="clear" w:color="auto" w:fill="FFFFCC"/>
            <w:vAlign w:val="center"/>
          </w:tcPr>
          <w:p w14:paraId="0216B6B7" w14:textId="77777777" w:rsidR="00BD7D79" w:rsidRPr="00A51443" w:rsidRDefault="00BD7D79" w:rsidP="00000118">
            <w:pPr>
              <w:pStyle w:val="BodyText"/>
              <w:spacing w:before="60" w:after="60"/>
              <w:jc w:val="center"/>
              <w:rPr>
                <w:rStyle w:val="IntenseReference"/>
                <w:smallCaps w:val="0"/>
                <w:color w:val="auto"/>
                <w:spacing w:val="0"/>
                <w:sz w:val="20"/>
                <w:szCs w:val="20"/>
                <w:u w:val="none"/>
              </w:rPr>
            </w:pPr>
            <w:r w:rsidRPr="00A51443">
              <w:rPr>
                <w:rStyle w:val="IntenseReference"/>
                <w:smallCaps w:val="0"/>
                <w:color w:val="auto"/>
                <w:spacing w:val="0"/>
                <w:sz w:val="20"/>
                <w:szCs w:val="20"/>
                <w:u w:val="none"/>
              </w:rPr>
              <w:t>New</w:t>
            </w:r>
            <w:r w:rsidRPr="00A51443">
              <w:rPr>
                <w:rStyle w:val="IntenseReference"/>
                <w:smallCaps w:val="0"/>
                <w:color w:val="auto"/>
                <w:spacing w:val="0"/>
                <w:sz w:val="20"/>
                <w:szCs w:val="20"/>
                <w:u w:val="none"/>
              </w:rPr>
              <w:br/>
              <w:t>ADRG</w:t>
            </w:r>
          </w:p>
        </w:tc>
        <w:tc>
          <w:tcPr>
            <w:tcW w:w="1134" w:type="dxa"/>
            <w:shd w:val="clear" w:color="auto" w:fill="104F99"/>
          </w:tcPr>
          <w:p w14:paraId="3C6C4CCB" w14:textId="0D6242A5" w:rsidR="00BD7D79" w:rsidRPr="00A51443" w:rsidRDefault="00244AAE" w:rsidP="00000118">
            <w:pPr>
              <w:pStyle w:val="BodyText"/>
              <w:spacing w:before="60" w:after="60"/>
              <w:jc w:val="center"/>
              <w:rPr>
                <w:rStyle w:val="IntenseReference"/>
                <w:smallCaps w:val="0"/>
                <w:color w:val="auto"/>
                <w:spacing w:val="0"/>
                <w:sz w:val="20"/>
                <w:szCs w:val="20"/>
                <w:u w:val="none"/>
              </w:rPr>
            </w:pPr>
            <w:r w:rsidRPr="00A51443">
              <w:rPr>
                <w:rStyle w:val="IntenseReference"/>
                <w:smallCaps w:val="0"/>
                <w:color w:val="FFFFFF" w:themeColor="accent6"/>
                <w:spacing w:val="0"/>
                <w:sz w:val="20"/>
                <w:szCs w:val="20"/>
                <w:u w:val="none"/>
              </w:rPr>
              <w:t>Total ADRGs in V12.0</w:t>
            </w:r>
          </w:p>
        </w:tc>
      </w:tr>
      <w:tr w:rsidR="00244AAE" w:rsidRPr="00A51443" w14:paraId="2A3BD5BD" w14:textId="77777777" w:rsidTr="00000118">
        <w:trPr>
          <w:jc w:val="center"/>
        </w:trPr>
        <w:tc>
          <w:tcPr>
            <w:tcW w:w="2263" w:type="dxa"/>
            <w:gridSpan w:val="2"/>
            <w:vMerge/>
            <w:shd w:val="clear" w:color="auto" w:fill="104F99"/>
            <w:vAlign w:val="center"/>
          </w:tcPr>
          <w:p w14:paraId="7DD01097"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p>
        </w:tc>
        <w:tc>
          <w:tcPr>
            <w:tcW w:w="1134" w:type="dxa"/>
            <w:shd w:val="clear" w:color="auto" w:fill="104F99"/>
            <w:vAlign w:val="center"/>
          </w:tcPr>
          <w:p w14:paraId="321959D5"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0</w:t>
            </w:r>
          </w:p>
        </w:tc>
        <w:tc>
          <w:tcPr>
            <w:tcW w:w="1276" w:type="dxa"/>
            <w:shd w:val="clear" w:color="auto" w:fill="104F99"/>
            <w:vAlign w:val="center"/>
          </w:tcPr>
          <w:p w14:paraId="1198064A"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1</w:t>
            </w:r>
          </w:p>
        </w:tc>
        <w:tc>
          <w:tcPr>
            <w:tcW w:w="1134" w:type="dxa"/>
            <w:shd w:val="clear" w:color="auto" w:fill="104F99"/>
            <w:vAlign w:val="center"/>
          </w:tcPr>
          <w:p w14:paraId="10360A6B"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2</w:t>
            </w:r>
          </w:p>
        </w:tc>
        <w:tc>
          <w:tcPr>
            <w:tcW w:w="1134" w:type="dxa"/>
            <w:shd w:val="clear" w:color="auto" w:fill="104F99"/>
            <w:vAlign w:val="center"/>
          </w:tcPr>
          <w:p w14:paraId="043A73EE"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3</w:t>
            </w:r>
          </w:p>
        </w:tc>
        <w:tc>
          <w:tcPr>
            <w:tcW w:w="1134" w:type="dxa"/>
            <w:shd w:val="clear" w:color="auto" w:fill="FFFFCC"/>
            <w:vAlign w:val="center"/>
          </w:tcPr>
          <w:p w14:paraId="517E28C2"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p>
        </w:tc>
        <w:tc>
          <w:tcPr>
            <w:tcW w:w="1134" w:type="dxa"/>
            <w:shd w:val="clear" w:color="auto" w:fill="104F99"/>
          </w:tcPr>
          <w:p w14:paraId="6FEE7643"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p>
        </w:tc>
      </w:tr>
      <w:tr w:rsidR="00244AAE" w:rsidRPr="00A51443" w14:paraId="1028ED39" w14:textId="77777777" w:rsidTr="00000118">
        <w:trPr>
          <w:trHeight w:val="416"/>
          <w:jc w:val="center"/>
        </w:trPr>
        <w:tc>
          <w:tcPr>
            <w:tcW w:w="846" w:type="dxa"/>
            <w:vMerge w:val="restart"/>
            <w:shd w:val="clear" w:color="auto" w:fill="104F99"/>
            <w:textDirection w:val="btLr"/>
            <w:vAlign w:val="center"/>
          </w:tcPr>
          <w:p w14:paraId="54836EA1"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AR-DRG V12.0</w:t>
            </w:r>
          </w:p>
        </w:tc>
        <w:tc>
          <w:tcPr>
            <w:tcW w:w="1417" w:type="dxa"/>
            <w:shd w:val="clear" w:color="auto" w:fill="104F99"/>
            <w:vAlign w:val="center"/>
          </w:tcPr>
          <w:p w14:paraId="5137EE74"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0</w:t>
            </w:r>
          </w:p>
        </w:tc>
        <w:tc>
          <w:tcPr>
            <w:tcW w:w="1134" w:type="dxa"/>
            <w:shd w:val="clear" w:color="auto" w:fill="C1DAF8" w:themeFill="accent2" w:themeFillTint="33"/>
            <w:vAlign w:val="center"/>
          </w:tcPr>
          <w:p w14:paraId="69C3BB6B"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86</w:t>
            </w:r>
          </w:p>
        </w:tc>
        <w:tc>
          <w:tcPr>
            <w:tcW w:w="1276" w:type="dxa"/>
            <w:vAlign w:val="center"/>
          </w:tcPr>
          <w:p w14:paraId="14F9EB90"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vAlign w:val="center"/>
          </w:tcPr>
          <w:p w14:paraId="52CEB82C"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vAlign w:val="center"/>
          </w:tcPr>
          <w:p w14:paraId="5F7C470D"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shd w:val="clear" w:color="auto" w:fill="FFFFCC"/>
            <w:vAlign w:val="center"/>
          </w:tcPr>
          <w:p w14:paraId="3DBE9A1C"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1</w:t>
            </w:r>
          </w:p>
        </w:tc>
        <w:tc>
          <w:tcPr>
            <w:tcW w:w="1134" w:type="dxa"/>
            <w:shd w:val="clear" w:color="auto" w:fill="auto"/>
            <w:vAlign w:val="center"/>
          </w:tcPr>
          <w:p w14:paraId="542AFC96"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87</w:t>
            </w:r>
          </w:p>
        </w:tc>
      </w:tr>
      <w:tr w:rsidR="00244AAE" w:rsidRPr="00A51443" w14:paraId="3F5AB7F4" w14:textId="77777777" w:rsidTr="00000118">
        <w:trPr>
          <w:trHeight w:val="408"/>
          <w:jc w:val="center"/>
        </w:trPr>
        <w:tc>
          <w:tcPr>
            <w:tcW w:w="846" w:type="dxa"/>
            <w:vMerge/>
            <w:shd w:val="clear" w:color="auto" w:fill="104F99"/>
            <w:vAlign w:val="center"/>
          </w:tcPr>
          <w:p w14:paraId="0D21584F"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p>
        </w:tc>
        <w:tc>
          <w:tcPr>
            <w:tcW w:w="1417" w:type="dxa"/>
            <w:shd w:val="clear" w:color="auto" w:fill="104F99"/>
            <w:vAlign w:val="center"/>
          </w:tcPr>
          <w:p w14:paraId="534595CE"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1</w:t>
            </w:r>
          </w:p>
        </w:tc>
        <w:tc>
          <w:tcPr>
            <w:tcW w:w="1134" w:type="dxa"/>
            <w:vAlign w:val="center"/>
          </w:tcPr>
          <w:p w14:paraId="2F90E823"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1</w:t>
            </w:r>
          </w:p>
        </w:tc>
        <w:tc>
          <w:tcPr>
            <w:tcW w:w="1276" w:type="dxa"/>
            <w:shd w:val="clear" w:color="auto" w:fill="C1DAF8" w:themeFill="accent2" w:themeFillTint="33"/>
            <w:vAlign w:val="center"/>
          </w:tcPr>
          <w:p w14:paraId="65265A8F"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229</w:t>
            </w:r>
          </w:p>
        </w:tc>
        <w:tc>
          <w:tcPr>
            <w:tcW w:w="1134" w:type="dxa"/>
            <w:vAlign w:val="center"/>
          </w:tcPr>
          <w:p w14:paraId="0B6D039B"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vAlign w:val="center"/>
          </w:tcPr>
          <w:p w14:paraId="70301B1C"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shd w:val="clear" w:color="auto" w:fill="FFFFCC"/>
            <w:vAlign w:val="center"/>
          </w:tcPr>
          <w:p w14:paraId="008CFE28"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5</w:t>
            </w:r>
          </w:p>
        </w:tc>
        <w:tc>
          <w:tcPr>
            <w:tcW w:w="1134" w:type="dxa"/>
            <w:shd w:val="clear" w:color="auto" w:fill="auto"/>
            <w:vAlign w:val="center"/>
          </w:tcPr>
          <w:p w14:paraId="3BFEF71C"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235</w:t>
            </w:r>
          </w:p>
        </w:tc>
      </w:tr>
      <w:tr w:rsidR="00244AAE" w:rsidRPr="00A51443" w14:paraId="6C8EEC04" w14:textId="77777777" w:rsidTr="00000118">
        <w:trPr>
          <w:trHeight w:val="442"/>
          <w:jc w:val="center"/>
        </w:trPr>
        <w:tc>
          <w:tcPr>
            <w:tcW w:w="846" w:type="dxa"/>
            <w:vMerge/>
            <w:shd w:val="clear" w:color="auto" w:fill="104F99"/>
            <w:vAlign w:val="center"/>
          </w:tcPr>
          <w:p w14:paraId="164FD539"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p>
        </w:tc>
        <w:tc>
          <w:tcPr>
            <w:tcW w:w="1417" w:type="dxa"/>
            <w:shd w:val="clear" w:color="auto" w:fill="104F99"/>
            <w:vAlign w:val="center"/>
          </w:tcPr>
          <w:p w14:paraId="0FB3AD6C"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2</w:t>
            </w:r>
          </w:p>
        </w:tc>
        <w:tc>
          <w:tcPr>
            <w:tcW w:w="1134" w:type="dxa"/>
            <w:vAlign w:val="center"/>
          </w:tcPr>
          <w:p w14:paraId="7B10C72C"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276" w:type="dxa"/>
            <w:vAlign w:val="center"/>
          </w:tcPr>
          <w:p w14:paraId="4DB5D300"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1</w:t>
            </w:r>
          </w:p>
        </w:tc>
        <w:tc>
          <w:tcPr>
            <w:tcW w:w="1134" w:type="dxa"/>
            <w:shd w:val="clear" w:color="auto" w:fill="C1DAF8" w:themeFill="accent2" w:themeFillTint="33"/>
            <w:vAlign w:val="center"/>
          </w:tcPr>
          <w:p w14:paraId="536C961E"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77</w:t>
            </w:r>
          </w:p>
        </w:tc>
        <w:tc>
          <w:tcPr>
            <w:tcW w:w="1134" w:type="dxa"/>
            <w:vAlign w:val="center"/>
          </w:tcPr>
          <w:p w14:paraId="07C7E50D"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shd w:val="clear" w:color="auto" w:fill="FFFFCC"/>
            <w:vAlign w:val="center"/>
          </w:tcPr>
          <w:p w14:paraId="1AAAE9A2"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shd w:val="clear" w:color="auto" w:fill="auto"/>
            <w:vAlign w:val="center"/>
          </w:tcPr>
          <w:p w14:paraId="29D1B163"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78</w:t>
            </w:r>
          </w:p>
        </w:tc>
      </w:tr>
      <w:tr w:rsidR="00244AAE" w:rsidRPr="00A51443" w14:paraId="2130849E" w14:textId="77777777" w:rsidTr="00000118">
        <w:trPr>
          <w:trHeight w:val="490"/>
          <w:jc w:val="center"/>
        </w:trPr>
        <w:tc>
          <w:tcPr>
            <w:tcW w:w="846" w:type="dxa"/>
            <w:vMerge/>
            <w:shd w:val="clear" w:color="auto" w:fill="104F99"/>
            <w:vAlign w:val="center"/>
          </w:tcPr>
          <w:p w14:paraId="4201597A"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p>
        </w:tc>
        <w:tc>
          <w:tcPr>
            <w:tcW w:w="1417" w:type="dxa"/>
            <w:shd w:val="clear" w:color="auto" w:fill="104F99"/>
            <w:vAlign w:val="center"/>
          </w:tcPr>
          <w:p w14:paraId="48D27942" w14:textId="77777777" w:rsidR="00BD7D79" w:rsidRPr="00A51443" w:rsidRDefault="00BD7D79" w:rsidP="00000118">
            <w:pPr>
              <w:pStyle w:val="BodyText"/>
              <w:spacing w:before="60" w:after="60"/>
              <w:jc w:val="center"/>
              <w:rPr>
                <w:rStyle w:val="IntenseReference"/>
                <w:smallCaps w:val="0"/>
                <w:color w:val="FFFFFF" w:themeColor="accent6"/>
                <w:spacing w:val="0"/>
                <w:sz w:val="20"/>
                <w:szCs w:val="20"/>
                <w:u w:val="none"/>
              </w:rPr>
            </w:pPr>
            <w:r w:rsidRPr="00A51443">
              <w:rPr>
                <w:rStyle w:val="IntenseReference"/>
                <w:smallCaps w:val="0"/>
                <w:color w:val="FFFFFF" w:themeColor="accent6"/>
                <w:spacing w:val="0"/>
                <w:sz w:val="20"/>
                <w:szCs w:val="20"/>
                <w:u w:val="none"/>
              </w:rPr>
              <w:t>3</w:t>
            </w:r>
          </w:p>
        </w:tc>
        <w:tc>
          <w:tcPr>
            <w:tcW w:w="1134" w:type="dxa"/>
            <w:vAlign w:val="center"/>
          </w:tcPr>
          <w:p w14:paraId="4D82ADF2"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276" w:type="dxa"/>
            <w:vAlign w:val="center"/>
          </w:tcPr>
          <w:p w14:paraId="2957F601"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vAlign w:val="center"/>
          </w:tcPr>
          <w:p w14:paraId="2E855D14"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shd w:val="clear" w:color="auto" w:fill="C1DAF8" w:themeFill="accent2" w:themeFillTint="33"/>
            <w:vAlign w:val="center"/>
          </w:tcPr>
          <w:p w14:paraId="4D50A480"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5</w:t>
            </w:r>
          </w:p>
        </w:tc>
        <w:tc>
          <w:tcPr>
            <w:tcW w:w="1134" w:type="dxa"/>
            <w:shd w:val="clear" w:color="auto" w:fill="FFFFCC"/>
            <w:vAlign w:val="center"/>
          </w:tcPr>
          <w:p w14:paraId="29C3B358"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shd w:val="clear" w:color="auto" w:fill="auto"/>
            <w:vAlign w:val="center"/>
          </w:tcPr>
          <w:p w14:paraId="53C3FF93"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5</w:t>
            </w:r>
          </w:p>
        </w:tc>
      </w:tr>
      <w:tr w:rsidR="00244AAE" w:rsidRPr="00A51443" w14:paraId="3280BC68" w14:textId="77777777" w:rsidTr="00000118">
        <w:trPr>
          <w:trHeight w:val="456"/>
          <w:jc w:val="center"/>
        </w:trPr>
        <w:tc>
          <w:tcPr>
            <w:tcW w:w="2263" w:type="dxa"/>
            <w:gridSpan w:val="2"/>
            <w:shd w:val="clear" w:color="auto" w:fill="FFFFCC"/>
            <w:vAlign w:val="center"/>
          </w:tcPr>
          <w:p w14:paraId="5D5C6F8C" w14:textId="72BCABD3" w:rsidR="00BD7D79" w:rsidRPr="00A51443" w:rsidRDefault="00244AAE" w:rsidP="00000118">
            <w:pPr>
              <w:pStyle w:val="BodyText"/>
              <w:spacing w:before="60" w:after="60"/>
              <w:jc w:val="center"/>
              <w:rPr>
                <w:rStyle w:val="IntenseReference"/>
                <w:smallCaps w:val="0"/>
                <w:color w:val="auto"/>
                <w:spacing w:val="0"/>
                <w:sz w:val="20"/>
                <w:szCs w:val="20"/>
                <w:u w:val="none"/>
              </w:rPr>
            </w:pPr>
            <w:r w:rsidRPr="00A51443">
              <w:rPr>
                <w:rStyle w:val="IntenseReference"/>
                <w:smallCaps w:val="0"/>
                <w:color w:val="auto"/>
                <w:spacing w:val="0"/>
                <w:sz w:val="20"/>
                <w:szCs w:val="20"/>
                <w:u w:val="none"/>
              </w:rPr>
              <w:t>ADRG removed</w:t>
            </w:r>
          </w:p>
        </w:tc>
        <w:tc>
          <w:tcPr>
            <w:tcW w:w="1134" w:type="dxa"/>
            <w:tcBorders>
              <w:bottom w:val="single" w:sz="4" w:space="0" w:color="auto"/>
            </w:tcBorders>
            <w:shd w:val="clear" w:color="auto" w:fill="FFFFCC"/>
            <w:vAlign w:val="center"/>
          </w:tcPr>
          <w:p w14:paraId="3E303902"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276" w:type="dxa"/>
            <w:tcBorders>
              <w:bottom w:val="single" w:sz="4" w:space="0" w:color="auto"/>
            </w:tcBorders>
            <w:shd w:val="clear" w:color="auto" w:fill="FFFFCC"/>
            <w:vAlign w:val="center"/>
          </w:tcPr>
          <w:p w14:paraId="5B07D1D3"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tcBorders>
              <w:bottom w:val="single" w:sz="4" w:space="0" w:color="auto"/>
            </w:tcBorders>
            <w:shd w:val="clear" w:color="auto" w:fill="FFFFCC"/>
            <w:vAlign w:val="center"/>
          </w:tcPr>
          <w:p w14:paraId="56096C29"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1</w:t>
            </w:r>
          </w:p>
        </w:tc>
        <w:tc>
          <w:tcPr>
            <w:tcW w:w="1134" w:type="dxa"/>
            <w:tcBorders>
              <w:bottom w:val="single" w:sz="4" w:space="0" w:color="auto"/>
            </w:tcBorders>
            <w:shd w:val="clear" w:color="auto" w:fill="FFFFCC"/>
            <w:vAlign w:val="center"/>
          </w:tcPr>
          <w:p w14:paraId="428738EF"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0</w:t>
            </w:r>
          </w:p>
        </w:tc>
        <w:tc>
          <w:tcPr>
            <w:tcW w:w="1134" w:type="dxa"/>
            <w:tcBorders>
              <w:bottom w:val="single" w:sz="4" w:space="0" w:color="auto"/>
            </w:tcBorders>
            <w:shd w:val="clear" w:color="auto" w:fill="auto"/>
            <w:vAlign w:val="center"/>
          </w:tcPr>
          <w:p w14:paraId="58A01312" w14:textId="77777777" w:rsidR="00BD7D79" w:rsidRPr="00A51443" w:rsidRDefault="00BD7D79" w:rsidP="00000118">
            <w:pPr>
              <w:pStyle w:val="BodyText"/>
              <w:spacing w:before="60" w:after="6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w:t>
            </w:r>
          </w:p>
        </w:tc>
        <w:tc>
          <w:tcPr>
            <w:tcW w:w="1134" w:type="dxa"/>
            <w:tcBorders>
              <w:bottom w:val="single" w:sz="4" w:space="0" w:color="auto"/>
            </w:tcBorders>
            <w:shd w:val="clear" w:color="auto" w:fill="104F99"/>
            <w:vAlign w:val="center"/>
          </w:tcPr>
          <w:p w14:paraId="1008891C" w14:textId="77777777" w:rsidR="00BD7D79" w:rsidRPr="00A51443" w:rsidRDefault="00BD7D79" w:rsidP="00000118">
            <w:pPr>
              <w:pStyle w:val="BodyText"/>
              <w:spacing w:before="60" w:after="60"/>
              <w:jc w:val="center"/>
              <w:rPr>
                <w:rStyle w:val="IntenseReference"/>
                <w:smallCaps w:val="0"/>
                <w:color w:val="auto"/>
                <w:spacing w:val="0"/>
                <w:sz w:val="20"/>
                <w:szCs w:val="20"/>
                <w:u w:val="none"/>
              </w:rPr>
            </w:pPr>
            <w:r w:rsidRPr="00A51443">
              <w:rPr>
                <w:rStyle w:val="IntenseReference"/>
                <w:smallCaps w:val="0"/>
                <w:color w:val="FFFFFF" w:themeColor="accent6"/>
                <w:spacing w:val="0"/>
                <w:sz w:val="20"/>
                <w:szCs w:val="20"/>
                <w:u w:val="none"/>
              </w:rPr>
              <w:t>405</w:t>
            </w:r>
          </w:p>
        </w:tc>
      </w:tr>
      <w:tr w:rsidR="00244AAE" w:rsidRPr="00A51443" w14:paraId="2AEF4ECD" w14:textId="77777777" w:rsidTr="00000118">
        <w:trPr>
          <w:jc w:val="center"/>
        </w:trPr>
        <w:tc>
          <w:tcPr>
            <w:tcW w:w="2263" w:type="dxa"/>
            <w:gridSpan w:val="2"/>
            <w:shd w:val="clear" w:color="auto" w:fill="104F99"/>
          </w:tcPr>
          <w:p w14:paraId="0FC8B554" w14:textId="77777777" w:rsidR="00BD7D79" w:rsidRPr="00A51443" w:rsidRDefault="00BD7D79" w:rsidP="00000118">
            <w:pPr>
              <w:pStyle w:val="BodyText"/>
              <w:spacing w:before="120" w:after="120"/>
              <w:jc w:val="center"/>
              <w:rPr>
                <w:rStyle w:val="IntenseReference"/>
                <w:smallCaps w:val="0"/>
                <w:color w:val="auto"/>
                <w:spacing w:val="0"/>
                <w:sz w:val="20"/>
                <w:szCs w:val="20"/>
                <w:u w:val="none"/>
              </w:rPr>
            </w:pPr>
            <w:r w:rsidRPr="00A51443">
              <w:rPr>
                <w:rStyle w:val="IntenseReference"/>
                <w:smallCaps w:val="0"/>
                <w:color w:val="FFFFFF" w:themeColor="accent6"/>
                <w:spacing w:val="0"/>
                <w:sz w:val="20"/>
                <w:szCs w:val="20"/>
                <w:u w:val="none"/>
              </w:rPr>
              <w:t>Total ADRGs in V11.0</w:t>
            </w:r>
          </w:p>
        </w:tc>
        <w:tc>
          <w:tcPr>
            <w:tcW w:w="1134" w:type="dxa"/>
            <w:vAlign w:val="center"/>
          </w:tcPr>
          <w:p w14:paraId="21E11F4D" w14:textId="77777777" w:rsidR="00BD7D79" w:rsidRPr="00A51443" w:rsidRDefault="00BD7D79" w:rsidP="00000118">
            <w:pPr>
              <w:pStyle w:val="BodyText"/>
              <w:spacing w:before="120" w:after="12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87</w:t>
            </w:r>
          </w:p>
        </w:tc>
        <w:tc>
          <w:tcPr>
            <w:tcW w:w="1276" w:type="dxa"/>
            <w:vAlign w:val="center"/>
          </w:tcPr>
          <w:p w14:paraId="547A80E6" w14:textId="77777777" w:rsidR="00BD7D79" w:rsidRPr="00A51443" w:rsidRDefault="00BD7D79" w:rsidP="00000118">
            <w:pPr>
              <w:pStyle w:val="BodyText"/>
              <w:spacing w:before="120" w:after="12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230</w:t>
            </w:r>
          </w:p>
        </w:tc>
        <w:tc>
          <w:tcPr>
            <w:tcW w:w="1134" w:type="dxa"/>
            <w:vAlign w:val="center"/>
          </w:tcPr>
          <w:p w14:paraId="7AAFCCAC" w14:textId="77777777" w:rsidR="00BD7D79" w:rsidRPr="00A51443" w:rsidRDefault="00BD7D79" w:rsidP="00000118">
            <w:pPr>
              <w:pStyle w:val="BodyText"/>
              <w:spacing w:before="120" w:after="12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78</w:t>
            </w:r>
          </w:p>
        </w:tc>
        <w:tc>
          <w:tcPr>
            <w:tcW w:w="1134" w:type="dxa"/>
            <w:vAlign w:val="center"/>
          </w:tcPr>
          <w:p w14:paraId="454BC983" w14:textId="77777777" w:rsidR="00BD7D79" w:rsidRPr="00A51443" w:rsidRDefault="00BD7D79" w:rsidP="00000118">
            <w:pPr>
              <w:pStyle w:val="BodyText"/>
              <w:spacing w:before="120" w:after="120"/>
              <w:jc w:val="center"/>
              <w:rPr>
                <w:rStyle w:val="IntenseReference"/>
                <w:b w:val="0"/>
                <w:bCs w:val="0"/>
                <w:smallCaps w:val="0"/>
                <w:color w:val="auto"/>
                <w:spacing w:val="0"/>
                <w:sz w:val="20"/>
                <w:szCs w:val="20"/>
                <w:u w:val="none"/>
              </w:rPr>
            </w:pPr>
            <w:r w:rsidRPr="00A51443">
              <w:rPr>
                <w:rStyle w:val="IntenseReference"/>
                <w:b w:val="0"/>
                <w:bCs w:val="0"/>
                <w:smallCaps w:val="0"/>
                <w:color w:val="auto"/>
                <w:spacing w:val="0"/>
                <w:sz w:val="20"/>
                <w:szCs w:val="20"/>
                <w:u w:val="none"/>
              </w:rPr>
              <w:t>5</w:t>
            </w:r>
          </w:p>
        </w:tc>
        <w:tc>
          <w:tcPr>
            <w:tcW w:w="1134" w:type="dxa"/>
            <w:shd w:val="clear" w:color="auto" w:fill="104F99"/>
            <w:vAlign w:val="center"/>
          </w:tcPr>
          <w:p w14:paraId="077E7724" w14:textId="77777777" w:rsidR="00BD7D79" w:rsidRPr="00A51443" w:rsidRDefault="00BD7D79" w:rsidP="00000118">
            <w:pPr>
              <w:pStyle w:val="BodyText"/>
              <w:spacing w:before="120" w:after="120"/>
              <w:jc w:val="center"/>
              <w:rPr>
                <w:rStyle w:val="IntenseReference"/>
                <w:smallCaps w:val="0"/>
                <w:color w:val="auto"/>
                <w:spacing w:val="0"/>
                <w:sz w:val="20"/>
                <w:szCs w:val="20"/>
                <w:u w:val="none"/>
              </w:rPr>
            </w:pPr>
            <w:r w:rsidRPr="00A51443">
              <w:rPr>
                <w:rStyle w:val="IntenseReference"/>
                <w:smallCaps w:val="0"/>
                <w:color w:val="FFFFFF" w:themeColor="accent6"/>
                <w:spacing w:val="0"/>
                <w:sz w:val="20"/>
                <w:szCs w:val="20"/>
                <w:u w:val="none"/>
              </w:rPr>
              <w:t>400</w:t>
            </w:r>
          </w:p>
        </w:tc>
        <w:tc>
          <w:tcPr>
            <w:tcW w:w="1134" w:type="dxa"/>
            <w:tcBorders>
              <w:bottom w:val="nil"/>
              <w:right w:val="nil"/>
            </w:tcBorders>
            <w:shd w:val="clear" w:color="auto" w:fill="auto"/>
          </w:tcPr>
          <w:p w14:paraId="19AD5DAC" w14:textId="77777777" w:rsidR="00BD7D79" w:rsidRPr="00A51443" w:rsidRDefault="00BD7D79" w:rsidP="00000118">
            <w:pPr>
              <w:pStyle w:val="BodyText"/>
              <w:spacing w:before="60" w:after="60"/>
              <w:jc w:val="center"/>
              <w:rPr>
                <w:rStyle w:val="IntenseReference"/>
                <w:b w:val="0"/>
                <w:bCs w:val="0"/>
                <w:i/>
                <w:smallCaps w:val="0"/>
                <w:color w:val="54C1AF" w:themeColor="background1"/>
                <w:sz w:val="20"/>
                <w:szCs w:val="20"/>
              </w:rPr>
            </w:pPr>
          </w:p>
        </w:tc>
      </w:tr>
    </w:tbl>
    <w:p w14:paraId="404696A4" w14:textId="77777777" w:rsidR="00803371" w:rsidRPr="00A51443" w:rsidRDefault="00F057B2" w:rsidP="00E91812">
      <w:pPr>
        <w:spacing w:before="120"/>
      </w:pPr>
      <w:r w:rsidRPr="00A51443">
        <w:t xml:space="preserve">Of the </w:t>
      </w:r>
      <w:r w:rsidR="00F56C60" w:rsidRPr="00A51443">
        <w:t xml:space="preserve">405 </w:t>
      </w:r>
      <w:r w:rsidRPr="00A51443">
        <w:t xml:space="preserve">ADRGs in </w:t>
      </w:r>
      <w:r w:rsidR="00555BCE" w:rsidRPr="00A51443">
        <w:t xml:space="preserve">AR-DRG </w:t>
      </w:r>
      <w:r w:rsidRPr="00A51443">
        <w:t>V</w:t>
      </w:r>
      <w:r w:rsidR="00756665" w:rsidRPr="00A51443">
        <w:t>12.0</w:t>
      </w:r>
      <w:r w:rsidRPr="00A51443">
        <w:t xml:space="preserve">, </w:t>
      </w:r>
      <w:r w:rsidR="00B311B0" w:rsidRPr="00A51443">
        <w:t>23</w:t>
      </w:r>
      <w:r w:rsidR="00456BDF" w:rsidRPr="00A51443">
        <w:t>5</w:t>
      </w:r>
      <w:r w:rsidR="00B311B0" w:rsidRPr="00A51443">
        <w:t xml:space="preserve"> </w:t>
      </w:r>
      <w:r w:rsidRPr="00A51443">
        <w:t xml:space="preserve">ADRGs have one split (A, B). </w:t>
      </w:r>
    </w:p>
    <w:p w14:paraId="0C309505" w14:textId="460ED265" w:rsidR="00C62721" w:rsidRDefault="00F057B2" w:rsidP="00C006E1">
      <w:r w:rsidRPr="00A51443">
        <w:t xml:space="preserve">Of </w:t>
      </w:r>
      <w:r w:rsidR="00564648" w:rsidRPr="00A51443">
        <w:t>the 405 ADRGs</w:t>
      </w:r>
      <w:r w:rsidR="00CC3E56" w:rsidRPr="00A51443">
        <w:t xml:space="preserve"> in AR</w:t>
      </w:r>
      <w:r w:rsidR="00A92689" w:rsidRPr="00A51443">
        <w:noBreakHyphen/>
      </w:r>
      <w:r w:rsidR="00CC3E56" w:rsidRPr="00A51443">
        <w:t>DRG V12.0</w:t>
      </w:r>
      <w:r w:rsidRPr="00A51443">
        <w:t xml:space="preserve">, </w:t>
      </w:r>
      <w:r w:rsidR="00B311B0" w:rsidRPr="00A51443">
        <w:t xml:space="preserve">399 </w:t>
      </w:r>
      <w:r w:rsidRPr="00A51443">
        <w:t xml:space="preserve">ADRGs are directly comparable to </w:t>
      </w:r>
      <w:r w:rsidR="00CC3E56" w:rsidRPr="00A51443">
        <w:t xml:space="preserve">AR-DRG </w:t>
      </w:r>
      <w:r w:rsidR="00B311B0" w:rsidRPr="00A51443">
        <w:t>V11</w:t>
      </w:r>
      <w:r w:rsidRPr="00A51443">
        <w:t>.0.</w:t>
      </w:r>
      <w:r w:rsidR="00803371" w:rsidRPr="00A51443">
        <w:t xml:space="preserve"> </w:t>
      </w:r>
      <w:r w:rsidR="003463DA" w:rsidRPr="00A51443">
        <w:t>In AR-DRG V12.0, t</w:t>
      </w:r>
      <w:r w:rsidR="00B311B0" w:rsidRPr="00A51443">
        <w:t xml:space="preserve">here </w:t>
      </w:r>
      <w:r w:rsidR="003463DA" w:rsidRPr="00A51443">
        <w:t xml:space="preserve">are 6 </w:t>
      </w:r>
      <w:r w:rsidR="00B311B0" w:rsidRPr="00A51443">
        <w:t xml:space="preserve">new ADRGs and </w:t>
      </w:r>
      <w:r w:rsidR="00C62721">
        <w:t>one</w:t>
      </w:r>
      <w:r w:rsidR="00C62721" w:rsidRPr="00A51443">
        <w:t xml:space="preserve"> </w:t>
      </w:r>
      <w:r w:rsidR="00B311B0" w:rsidRPr="00A51443">
        <w:t>ADRG</w:t>
      </w:r>
      <w:r w:rsidR="00671442" w:rsidRPr="00A51443">
        <w:t xml:space="preserve"> was removed</w:t>
      </w:r>
      <w:r w:rsidR="00B311B0" w:rsidRPr="00A51443">
        <w:t>.</w:t>
      </w:r>
    </w:p>
    <w:p w14:paraId="1B2AC02C" w14:textId="733A3451" w:rsidR="00985D21" w:rsidRPr="00A51443" w:rsidRDefault="00F057B2" w:rsidP="00946677">
      <w:r w:rsidRPr="00A51443">
        <w:t xml:space="preserve">Of the </w:t>
      </w:r>
      <w:r w:rsidR="00942CFB" w:rsidRPr="00A51443">
        <w:t>399</w:t>
      </w:r>
      <w:r w:rsidR="001C6A0E" w:rsidRPr="00A51443">
        <w:t xml:space="preserve"> </w:t>
      </w:r>
      <w:r w:rsidRPr="00A51443">
        <w:t>ADRGs</w:t>
      </w:r>
      <w:r w:rsidR="00C31486" w:rsidRPr="00A51443">
        <w:t xml:space="preserve"> that are in both AR-DRG V11.0 </w:t>
      </w:r>
      <w:r w:rsidR="00244AAE" w:rsidRPr="00A51443">
        <w:t xml:space="preserve">and </w:t>
      </w:r>
      <w:r w:rsidR="00C31486" w:rsidRPr="00A51443">
        <w:t>V12</w:t>
      </w:r>
      <w:r w:rsidR="000F7AE8" w:rsidRPr="00A51443">
        <w:t>.0</w:t>
      </w:r>
      <w:r w:rsidR="007D0886" w:rsidRPr="00A51443">
        <w:t>:</w:t>
      </w:r>
    </w:p>
    <w:p w14:paraId="26F3822E" w14:textId="21D41A05" w:rsidR="00985D21" w:rsidRPr="00A51443" w:rsidRDefault="00273EF4" w:rsidP="00623EF7">
      <w:pPr>
        <w:pStyle w:val="ListParagraph"/>
        <w:numPr>
          <w:ilvl w:val="0"/>
          <w:numId w:val="25"/>
        </w:numPr>
        <w:ind w:left="714" w:hanging="357"/>
        <w:contextualSpacing w:val="0"/>
      </w:pPr>
      <w:r w:rsidRPr="00A51443">
        <w:lastRenderedPageBreak/>
        <w:t>397 ADRGs</w:t>
      </w:r>
      <w:r w:rsidR="00FA7DD7" w:rsidRPr="00A51443">
        <w:t xml:space="preserve"> </w:t>
      </w:r>
      <w:r w:rsidR="00F057B2" w:rsidRPr="00A51443">
        <w:t xml:space="preserve">have the same number of </w:t>
      </w:r>
      <w:r w:rsidR="008C1749" w:rsidRPr="00A51443">
        <w:t xml:space="preserve">complexity </w:t>
      </w:r>
      <w:r w:rsidR="00F057B2" w:rsidRPr="00A51443">
        <w:t>splits as in V1</w:t>
      </w:r>
      <w:r w:rsidRPr="00A51443">
        <w:t>1</w:t>
      </w:r>
      <w:r w:rsidR="00F057B2" w:rsidRPr="00A51443">
        <w:t>.0</w:t>
      </w:r>
    </w:p>
    <w:p w14:paraId="298977DD" w14:textId="4B0EBF7D" w:rsidR="002B798F" w:rsidRPr="00A51443" w:rsidRDefault="0042506D" w:rsidP="00623EF7">
      <w:pPr>
        <w:pStyle w:val="ListParagraph"/>
        <w:numPr>
          <w:ilvl w:val="0"/>
          <w:numId w:val="25"/>
        </w:numPr>
        <w:ind w:left="714" w:hanging="357"/>
        <w:contextualSpacing w:val="0"/>
      </w:pPr>
      <w:r w:rsidRPr="00A51443">
        <w:t xml:space="preserve">one </w:t>
      </w:r>
      <w:r w:rsidR="00985D21" w:rsidRPr="00A51443">
        <w:t xml:space="preserve">ADRG (ADRG C01 </w:t>
      </w:r>
      <w:r w:rsidR="00985D21" w:rsidRPr="00A51443">
        <w:rPr>
          <w:i/>
          <w:iCs/>
        </w:rPr>
        <w:t xml:space="preserve">Interventions for </w:t>
      </w:r>
      <w:r w:rsidR="00C56410" w:rsidRPr="00A51443">
        <w:rPr>
          <w:i/>
          <w:iCs/>
        </w:rPr>
        <w:t>p</w:t>
      </w:r>
      <w:r w:rsidR="00985D21" w:rsidRPr="00A51443">
        <w:rPr>
          <w:i/>
          <w:iCs/>
        </w:rPr>
        <w:t xml:space="preserve">enetrating </w:t>
      </w:r>
      <w:r w:rsidR="00C56410" w:rsidRPr="00A51443">
        <w:rPr>
          <w:i/>
          <w:iCs/>
        </w:rPr>
        <w:t>e</w:t>
      </w:r>
      <w:r w:rsidR="00985D21" w:rsidRPr="00A51443">
        <w:rPr>
          <w:i/>
          <w:iCs/>
        </w:rPr>
        <w:t xml:space="preserve">ye </w:t>
      </w:r>
      <w:r w:rsidR="00C56410" w:rsidRPr="00A51443">
        <w:rPr>
          <w:i/>
          <w:iCs/>
        </w:rPr>
        <w:t>i</w:t>
      </w:r>
      <w:r w:rsidR="00985D21" w:rsidRPr="00A51443">
        <w:rPr>
          <w:i/>
          <w:iCs/>
        </w:rPr>
        <w:t>njury</w:t>
      </w:r>
      <w:r w:rsidR="00985D21" w:rsidRPr="00A51443">
        <w:t xml:space="preserve">) has changed from having no split in V11.0 to </w:t>
      </w:r>
      <w:r w:rsidR="00673EB1">
        <w:t>one</w:t>
      </w:r>
      <w:r w:rsidR="00673EB1" w:rsidRPr="00A51443">
        <w:t xml:space="preserve"> </w:t>
      </w:r>
      <w:r w:rsidR="00985D21" w:rsidRPr="00A51443">
        <w:t xml:space="preserve">split </w:t>
      </w:r>
      <w:r w:rsidR="00467FC3" w:rsidRPr="00A51443">
        <w:t>(</w:t>
      </w:r>
      <w:r w:rsidR="006260EA" w:rsidRPr="00A51443">
        <w:t>A, B</w:t>
      </w:r>
      <w:r w:rsidR="00467FC3" w:rsidRPr="00A51443">
        <w:t xml:space="preserve">) </w:t>
      </w:r>
      <w:r w:rsidR="00985D21" w:rsidRPr="00A51443">
        <w:t>in V12.0</w:t>
      </w:r>
      <w:bookmarkEnd w:id="313"/>
      <w:bookmarkEnd w:id="314"/>
    </w:p>
    <w:p w14:paraId="410F0873" w14:textId="4FCA4047" w:rsidR="00985D21" w:rsidRPr="00A51443" w:rsidRDefault="0042506D" w:rsidP="00623EF7">
      <w:pPr>
        <w:pStyle w:val="ListParagraph"/>
        <w:numPr>
          <w:ilvl w:val="0"/>
          <w:numId w:val="25"/>
        </w:numPr>
        <w:ind w:left="714" w:hanging="357"/>
        <w:contextualSpacing w:val="0"/>
      </w:pPr>
      <w:r w:rsidRPr="00A51443">
        <w:t xml:space="preserve">one </w:t>
      </w:r>
      <w:r w:rsidR="00985D21" w:rsidRPr="00A51443">
        <w:t xml:space="preserve">ADRG (ADRG C61 </w:t>
      </w:r>
      <w:r w:rsidR="00985D21" w:rsidRPr="00A51443">
        <w:rPr>
          <w:i/>
          <w:iCs/>
        </w:rPr>
        <w:t xml:space="preserve">Neurological and </w:t>
      </w:r>
      <w:r w:rsidR="00C56410" w:rsidRPr="00A51443">
        <w:rPr>
          <w:i/>
          <w:iCs/>
        </w:rPr>
        <w:t>v</w:t>
      </w:r>
      <w:r w:rsidR="00985D21" w:rsidRPr="00A51443">
        <w:rPr>
          <w:i/>
          <w:iCs/>
        </w:rPr>
        <w:t xml:space="preserve">ascular </w:t>
      </w:r>
      <w:r w:rsidR="00C56410" w:rsidRPr="00A51443">
        <w:rPr>
          <w:i/>
          <w:iCs/>
        </w:rPr>
        <w:t>d</w:t>
      </w:r>
      <w:r w:rsidR="00985D21" w:rsidRPr="00A51443">
        <w:rPr>
          <w:i/>
          <w:iCs/>
        </w:rPr>
        <w:t xml:space="preserve">isorders of the </w:t>
      </w:r>
      <w:r w:rsidR="00C56410" w:rsidRPr="00A51443">
        <w:rPr>
          <w:i/>
          <w:iCs/>
        </w:rPr>
        <w:t>e</w:t>
      </w:r>
      <w:r w:rsidR="00985D21" w:rsidRPr="00A51443">
        <w:rPr>
          <w:i/>
          <w:iCs/>
        </w:rPr>
        <w:t>ye</w:t>
      </w:r>
      <w:r w:rsidR="00985D21" w:rsidRPr="00A51443">
        <w:t xml:space="preserve">) </w:t>
      </w:r>
      <w:r w:rsidR="00671442" w:rsidRPr="00A51443">
        <w:t xml:space="preserve">had </w:t>
      </w:r>
      <w:r w:rsidR="00985D21" w:rsidRPr="00A51443">
        <w:t xml:space="preserve">one split in V11.0 </w:t>
      </w:r>
      <w:r w:rsidR="00671442" w:rsidRPr="00A51443">
        <w:t>but has 2</w:t>
      </w:r>
      <w:r w:rsidR="00985D21" w:rsidRPr="00A51443">
        <w:t xml:space="preserve"> splits</w:t>
      </w:r>
      <w:r w:rsidR="00671442" w:rsidRPr="00A51443">
        <w:t xml:space="preserve"> (</w:t>
      </w:r>
      <w:r w:rsidR="006260EA" w:rsidRPr="00A51443">
        <w:t>A, B, C</w:t>
      </w:r>
      <w:r w:rsidR="00671442" w:rsidRPr="00A51443">
        <w:t>)</w:t>
      </w:r>
      <w:r w:rsidR="00985D21" w:rsidRPr="00A51443">
        <w:t xml:space="preserve"> in V12.0.</w:t>
      </w:r>
    </w:p>
    <w:p w14:paraId="13AA8429" w14:textId="6C8355B4" w:rsidR="00F057B2" w:rsidRPr="00A51443" w:rsidRDefault="00F057B2" w:rsidP="00C006E1">
      <w:r w:rsidRPr="00A51443">
        <w:t xml:space="preserve">The </w:t>
      </w:r>
      <w:r w:rsidRPr="00A51443">
        <w:rPr>
          <w:i/>
          <w:iCs/>
        </w:rPr>
        <w:t>AR-DRG V</w:t>
      </w:r>
      <w:r w:rsidR="007866CB" w:rsidRPr="00A51443">
        <w:rPr>
          <w:i/>
          <w:iCs/>
        </w:rPr>
        <w:t xml:space="preserve">ersion </w:t>
      </w:r>
      <w:r w:rsidR="00756665" w:rsidRPr="00A51443">
        <w:rPr>
          <w:i/>
          <w:iCs/>
        </w:rPr>
        <w:t>12.0</w:t>
      </w:r>
      <w:r w:rsidRPr="00A51443">
        <w:rPr>
          <w:i/>
          <w:iCs/>
        </w:rPr>
        <w:t xml:space="preserve"> Technical Specifications</w:t>
      </w:r>
      <w:r w:rsidRPr="00A51443">
        <w:t xml:space="preserve"> provide</w:t>
      </w:r>
      <w:r w:rsidR="00B7413F" w:rsidRPr="00A51443">
        <w:t>s</w:t>
      </w:r>
      <w:r w:rsidRPr="00A51443">
        <w:t xml:space="preserve"> further details as to the methodology and outcomes of the </w:t>
      </w:r>
      <w:r w:rsidR="004174B3" w:rsidRPr="00A51443">
        <w:t xml:space="preserve">ADRG </w:t>
      </w:r>
      <w:r w:rsidRPr="00A51443">
        <w:t>splitting refinements for AR-DRG V</w:t>
      </w:r>
      <w:r w:rsidR="00756665" w:rsidRPr="00A51443">
        <w:t>12.0</w:t>
      </w:r>
      <w:r w:rsidRPr="00A51443">
        <w:t>.</w:t>
      </w:r>
    </w:p>
    <w:p w14:paraId="0D7F40B4" w14:textId="769F1F74" w:rsidR="000969E5" w:rsidRPr="00A51443" w:rsidRDefault="000969E5" w:rsidP="000969E5">
      <w:pPr>
        <w:pStyle w:val="Heading3"/>
        <w:numPr>
          <w:ilvl w:val="2"/>
          <w:numId w:val="8"/>
        </w:numPr>
        <w:spacing w:before="240"/>
        <w:ind w:left="720"/>
        <w:rPr>
          <w:rFonts w:eastAsiaTheme="minorHAnsi" w:cstheme="minorBidi"/>
          <w:color w:val="15272F" w:themeColor="text1"/>
          <w:sz w:val="22"/>
          <w:szCs w:val="22"/>
        </w:rPr>
      </w:pPr>
      <w:bookmarkStart w:id="1026" w:name="_Toc188263126"/>
      <w:bookmarkStart w:id="1027" w:name="_Toc193462718"/>
      <w:r w:rsidRPr="00A51443">
        <w:rPr>
          <w:color w:val="104F99" w:themeColor="accent2"/>
          <w:sz w:val="28"/>
          <w:szCs w:val="28"/>
        </w:rPr>
        <w:t>ICD-10-AM/ACHI/ACS Thirteenth Edition amendments</w:t>
      </w:r>
      <w:bookmarkEnd w:id="1026"/>
      <w:bookmarkEnd w:id="1027"/>
      <w:r w:rsidRPr="00A51443">
        <w:rPr>
          <w:rFonts w:eastAsiaTheme="minorHAnsi" w:cstheme="minorBidi"/>
          <w:color w:val="15272F" w:themeColor="text1"/>
          <w:sz w:val="22"/>
          <w:szCs w:val="22"/>
        </w:rPr>
        <w:t xml:space="preserve"> </w:t>
      </w:r>
    </w:p>
    <w:p w14:paraId="65E1ECCA" w14:textId="42589BDE" w:rsidR="000969E5" w:rsidRPr="00A51443" w:rsidRDefault="000969E5" w:rsidP="000969E5">
      <w:r w:rsidRPr="00A51443">
        <w:t>ICD-10-AM/ACHI/ACS Thirteenth Edition amendments were assessed</w:t>
      </w:r>
      <w:r w:rsidR="00236F79" w:rsidRPr="00A51443">
        <w:t>, including</w:t>
      </w:r>
      <w:r w:rsidRPr="00A51443">
        <w:t>:</w:t>
      </w:r>
    </w:p>
    <w:p w14:paraId="08332A93" w14:textId="56111579" w:rsidR="000969E5" w:rsidRPr="00A51443" w:rsidRDefault="00236F79" w:rsidP="00370BF1">
      <w:pPr>
        <w:pStyle w:val="Heading4"/>
      </w:pPr>
      <w:r w:rsidRPr="00A51443">
        <w:t xml:space="preserve">Expansion of </w:t>
      </w:r>
      <w:r w:rsidRPr="00946677">
        <w:t xml:space="preserve">R10.2 </w:t>
      </w:r>
      <w:r w:rsidRPr="00370BF1">
        <w:rPr>
          <w:i/>
          <w:iCs w:val="0"/>
        </w:rPr>
        <w:t>Pelvic and perineal pain</w:t>
      </w:r>
    </w:p>
    <w:p w14:paraId="2DF503C6" w14:textId="70250D27" w:rsidR="00236F79" w:rsidRPr="00A51443" w:rsidRDefault="000969E5" w:rsidP="00946677">
      <w:r w:rsidRPr="00A51443">
        <w:t xml:space="preserve">For AR-DRG V12.0, the expanded codes R10.21 </w:t>
      </w:r>
      <w:r w:rsidRPr="00A51443">
        <w:rPr>
          <w:i/>
          <w:iCs/>
        </w:rPr>
        <w:t>Pelvic and perineal pain associated with male pelvis</w:t>
      </w:r>
      <w:r w:rsidRPr="00A51443">
        <w:t xml:space="preserve"> and R10.22 </w:t>
      </w:r>
      <w:r w:rsidRPr="00A51443">
        <w:rPr>
          <w:i/>
          <w:iCs/>
        </w:rPr>
        <w:t>Pelvic and perineal pain associated with female pelvis</w:t>
      </w:r>
      <w:r w:rsidRPr="00A51443">
        <w:t xml:space="preserve"> are grouped to their respective ADRGs in MDC 12 </w:t>
      </w:r>
      <w:r w:rsidRPr="00A51443">
        <w:rPr>
          <w:i/>
          <w:iCs/>
        </w:rPr>
        <w:t>Diseases and disorders of the male reproductive system</w:t>
      </w:r>
      <w:r w:rsidRPr="00A51443">
        <w:t xml:space="preserve"> and MDC 13 </w:t>
      </w:r>
      <w:r w:rsidRPr="00A51443">
        <w:rPr>
          <w:i/>
          <w:iCs/>
        </w:rPr>
        <w:t>Diseases and disorders of the female reproductive system</w:t>
      </w:r>
      <w:r w:rsidRPr="00A51443">
        <w:t xml:space="preserve">. Accordingly, AR-DRG V12.0 </w:t>
      </w:r>
      <w:r w:rsidR="00370BF1" w:rsidRPr="00A51443">
        <w:t>eliminate</w:t>
      </w:r>
      <w:r w:rsidR="00370BF1">
        <w:t>s</w:t>
      </w:r>
      <w:r w:rsidR="00370BF1" w:rsidRPr="00A51443">
        <w:t xml:space="preserve"> </w:t>
      </w:r>
      <w:r w:rsidRPr="00A51443">
        <w:t>the use of sex as a classification variable</w:t>
      </w:r>
      <w:r w:rsidR="00370BF1">
        <w:t>, completing the work commenced in AR-DRG V11.0</w:t>
      </w:r>
      <w:r w:rsidRPr="00A51443">
        <w:t xml:space="preserve">. </w:t>
      </w:r>
    </w:p>
    <w:p w14:paraId="2B9E8984" w14:textId="3B353525" w:rsidR="000969E5" w:rsidRPr="00370BF1" w:rsidRDefault="00140765" w:rsidP="00370BF1">
      <w:pPr>
        <w:pStyle w:val="Heading4"/>
      </w:pPr>
      <w:r w:rsidRPr="00370BF1">
        <w:t>P</w:t>
      </w:r>
      <w:r w:rsidR="000969E5" w:rsidRPr="00370BF1">
        <w:t>rocedural complications</w:t>
      </w:r>
    </w:p>
    <w:p w14:paraId="7C0E4479" w14:textId="77777777" w:rsidR="000969E5" w:rsidRPr="00A51443" w:rsidRDefault="000969E5" w:rsidP="00946677">
      <w:r w:rsidRPr="00A51443">
        <w:t>The classification of procedural complications has been revised. This included the removal of residual (other and unspecified) procedural complication codes from specific body system chapters, that lacked granularity and duplicated concepts classifiable elsewhere.</w:t>
      </w:r>
    </w:p>
    <w:p w14:paraId="41FD3EF5" w14:textId="230AA118" w:rsidR="00BF0E08" w:rsidRPr="00A51443" w:rsidRDefault="000969E5" w:rsidP="00946677">
      <w:r w:rsidRPr="00A51443">
        <w:t xml:space="preserve">Episodes impacted by the removal of the procedural complication codes as principal diagnosis will either group to another ADRG in their original MDC or an ADRG in MDC 21B </w:t>
      </w:r>
      <w:r w:rsidRPr="00A51443">
        <w:rPr>
          <w:i/>
          <w:iCs/>
        </w:rPr>
        <w:t>Injuries, poisoning and toxic effects of drugs</w:t>
      </w:r>
      <w:r w:rsidRPr="00A51443">
        <w:t xml:space="preserve"> in AR-DRG V12.0.</w:t>
      </w:r>
    </w:p>
    <w:p w14:paraId="4C442901" w14:textId="30329E0A" w:rsidR="00865EB3" w:rsidRPr="00370BF1" w:rsidRDefault="00140765" w:rsidP="00370BF1">
      <w:pPr>
        <w:pStyle w:val="Heading4"/>
      </w:pPr>
      <w:r w:rsidRPr="00370BF1">
        <w:t>C</w:t>
      </w:r>
      <w:r w:rsidR="00865EB3" w:rsidRPr="00370BF1">
        <w:t>luster coding</w:t>
      </w:r>
    </w:p>
    <w:p w14:paraId="5B56015D" w14:textId="756CA86D" w:rsidR="000969E5" w:rsidRPr="00A51443" w:rsidRDefault="00865EB3" w:rsidP="00946677">
      <w:pPr>
        <w:rPr>
          <w:color w:val="auto"/>
        </w:rPr>
      </w:pPr>
      <w:r w:rsidRPr="00A51443">
        <w:rPr>
          <w:color w:val="auto"/>
        </w:rPr>
        <w:t>ICD-10-AM/ACHI/</w:t>
      </w:r>
      <w:r w:rsidRPr="00A51443">
        <w:t>ACS</w:t>
      </w:r>
      <w:r w:rsidRPr="00A51443">
        <w:rPr>
          <w:color w:val="auto"/>
        </w:rPr>
        <w:t xml:space="preserve"> Thirteenth Edition includes the implementation of cluster coding with a change of practice to allow double coding of certain codes when clustering is applied. The AR-DRG grouper ignores duplicate ICD-10-AM codes, therefore clustering has no impact on AR</w:t>
      </w:r>
      <w:r w:rsidRPr="00A51443">
        <w:rPr>
          <w:color w:val="auto"/>
        </w:rPr>
        <w:noBreakHyphen/>
        <w:t>DRG assignment.</w:t>
      </w:r>
    </w:p>
    <w:p w14:paraId="4B28DCA6" w14:textId="2386AC55" w:rsidR="00F057B2" w:rsidRPr="00A51443" w:rsidRDefault="001533B7" w:rsidP="00623EF7">
      <w:pPr>
        <w:pStyle w:val="Heading2"/>
        <w:numPr>
          <w:ilvl w:val="1"/>
          <w:numId w:val="8"/>
        </w:numPr>
        <w:ind w:left="720" w:hanging="720"/>
        <w:rPr>
          <w:lang w:val="en-PH"/>
        </w:rPr>
      </w:pPr>
      <w:bookmarkStart w:id="1028" w:name="_Toc182491541"/>
      <w:bookmarkStart w:id="1029" w:name="_Toc182491829"/>
      <w:bookmarkStart w:id="1030" w:name="_Toc182492117"/>
      <w:bookmarkStart w:id="1031" w:name="_Toc182571894"/>
      <w:bookmarkStart w:id="1032" w:name="_Toc183434458"/>
      <w:bookmarkStart w:id="1033" w:name="_Toc183434713"/>
      <w:bookmarkStart w:id="1034" w:name="_Toc182491542"/>
      <w:bookmarkStart w:id="1035" w:name="_Toc182491830"/>
      <w:bookmarkStart w:id="1036" w:name="_Toc182492118"/>
      <w:bookmarkStart w:id="1037" w:name="_Toc182571895"/>
      <w:bookmarkStart w:id="1038" w:name="_Toc183434459"/>
      <w:bookmarkStart w:id="1039" w:name="_Toc183434714"/>
      <w:bookmarkStart w:id="1040" w:name="_Toc182491543"/>
      <w:bookmarkStart w:id="1041" w:name="_Toc182491831"/>
      <w:bookmarkStart w:id="1042" w:name="_Toc182492119"/>
      <w:bookmarkStart w:id="1043" w:name="_Toc182571896"/>
      <w:bookmarkStart w:id="1044" w:name="_Toc183434460"/>
      <w:bookmarkStart w:id="1045" w:name="_Toc183434715"/>
      <w:bookmarkStart w:id="1046" w:name="_Toc182491544"/>
      <w:bookmarkStart w:id="1047" w:name="_Toc182491832"/>
      <w:bookmarkStart w:id="1048" w:name="_Toc182492120"/>
      <w:bookmarkStart w:id="1049" w:name="_Toc182571897"/>
      <w:bookmarkStart w:id="1050" w:name="_Toc183434461"/>
      <w:bookmarkStart w:id="1051" w:name="_Toc183434716"/>
      <w:bookmarkStart w:id="1052" w:name="_Toc182491545"/>
      <w:bookmarkStart w:id="1053" w:name="_Toc182491833"/>
      <w:bookmarkStart w:id="1054" w:name="_Toc182492121"/>
      <w:bookmarkStart w:id="1055" w:name="_Toc182571898"/>
      <w:bookmarkStart w:id="1056" w:name="_Toc183434462"/>
      <w:bookmarkStart w:id="1057" w:name="_Toc183434717"/>
      <w:bookmarkStart w:id="1058" w:name="_Toc182491546"/>
      <w:bookmarkStart w:id="1059" w:name="_Toc182491834"/>
      <w:bookmarkStart w:id="1060" w:name="_Toc182492122"/>
      <w:bookmarkStart w:id="1061" w:name="_Toc182571899"/>
      <w:bookmarkStart w:id="1062" w:name="_Toc183434463"/>
      <w:bookmarkStart w:id="1063" w:name="_Toc183434718"/>
      <w:bookmarkStart w:id="1064" w:name="_Toc182409912"/>
      <w:bookmarkStart w:id="1065" w:name="_Toc182491547"/>
      <w:bookmarkStart w:id="1066" w:name="_Toc182491835"/>
      <w:bookmarkStart w:id="1067" w:name="_Toc182492123"/>
      <w:bookmarkStart w:id="1068" w:name="_Toc182571900"/>
      <w:bookmarkStart w:id="1069" w:name="_Toc183434464"/>
      <w:bookmarkStart w:id="1070" w:name="_Toc183434719"/>
      <w:bookmarkStart w:id="1071" w:name="_Toc182384569"/>
      <w:bookmarkStart w:id="1072" w:name="_Toc182407578"/>
      <w:bookmarkStart w:id="1073" w:name="_Toc182409913"/>
      <w:bookmarkStart w:id="1074" w:name="_Toc182491548"/>
      <w:bookmarkStart w:id="1075" w:name="_Toc182491836"/>
      <w:bookmarkStart w:id="1076" w:name="_Toc182492124"/>
      <w:bookmarkStart w:id="1077" w:name="_Toc182571901"/>
      <w:bookmarkStart w:id="1078" w:name="_Toc183434465"/>
      <w:bookmarkStart w:id="1079" w:name="_Toc183434720"/>
      <w:bookmarkStart w:id="1080" w:name="_Toc182384570"/>
      <w:bookmarkStart w:id="1081" w:name="_Toc182407579"/>
      <w:bookmarkStart w:id="1082" w:name="_Toc182409914"/>
      <w:bookmarkStart w:id="1083" w:name="_Toc182491549"/>
      <w:bookmarkStart w:id="1084" w:name="_Toc182491837"/>
      <w:bookmarkStart w:id="1085" w:name="_Toc182492125"/>
      <w:bookmarkStart w:id="1086" w:name="_Toc182571902"/>
      <w:bookmarkStart w:id="1087" w:name="_Toc183434466"/>
      <w:bookmarkStart w:id="1088" w:name="_Toc183434721"/>
      <w:bookmarkStart w:id="1089" w:name="_Toc182384571"/>
      <w:bookmarkStart w:id="1090" w:name="_Toc182407580"/>
      <w:bookmarkStart w:id="1091" w:name="_Toc182409915"/>
      <w:bookmarkStart w:id="1092" w:name="_Toc182491550"/>
      <w:bookmarkStart w:id="1093" w:name="_Toc182491838"/>
      <w:bookmarkStart w:id="1094" w:name="_Toc182492126"/>
      <w:bookmarkStart w:id="1095" w:name="_Toc182571903"/>
      <w:bookmarkStart w:id="1096" w:name="_Toc183434467"/>
      <w:bookmarkStart w:id="1097" w:name="_Toc183434722"/>
      <w:bookmarkStart w:id="1098" w:name="_Toc182384572"/>
      <w:bookmarkStart w:id="1099" w:name="_Toc182407581"/>
      <w:bookmarkStart w:id="1100" w:name="_Toc182409916"/>
      <w:bookmarkStart w:id="1101" w:name="_Toc182491551"/>
      <w:bookmarkStart w:id="1102" w:name="_Toc182491839"/>
      <w:bookmarkStart w:id="1103" w:name="_Toc182492127"/>
      <w:bookmarkStart w:id="1104" w:name="_Toc182571904"/>
      <w:bookmarkStart w:id="1105" w:name="_Toc183434468"/>
      <w:bookmarkStart w:id="1106" w:name="_Toc183434723"/>
      <w:bookmarkStart w:id="1107" w:name="_Toc182384573"/>
      <w:bookmarkStart w:id="1108" w:name="_Toc182407582"/>
      <w:bookmarkStart w:id="1109" w:name="_Toc182409917"/>
      <w:bookmarkStart w:id="1110" w:name="_Toc182491552"/>
      <w:bookmarkStart w:id="1111" w:name="_Toc182491840"/>
      <w:bookmarkStart w:id="1112" w:name="_Toc182492128"/>
      <w:bookmarkStart w:id="1113" w:name="_Toc182571905"/>
      <w:bookmarkStart w:id="1114" w:name="_Toc183434469"/>
      <w:bookmarkStart w:id="1115" w:name="_Toc183434724"/>
      <w:bookmarkStart w:id="1116" w:name="_Toc182384574"/>
      <w:bookmarkStart w:id="1117" w:name="_Toc182407583"/>
      <w:bookmarkStart w:id="1118" w:name="_Toc182409918"/>
      <w:bookmarkStart w:id="1119" w:name="_Toc182491553"/>
      <w:bookmarkStart w:id="1120" w:name="_Toc182491841"/>
      <w:bookmarkStart w:id="1121" w:name="_Toc182492129"/>
      <w:bookmarkStart w:id="1122" w:name="_Toc182571906"/>
      <w:bookmarkStart w:id="1123" w:name="_Toc183434470"/>
      <w:bookmarkStart w:id="1124" w:name="_Toc183434725"/>
      <w:bookmarkStart w:id="1125" w:name="_Toc182384575"/>
      <w:bookmarkStart w:id="1126" w:name="_Toc182407584"/>
      <w:bookmarkStart w:id="1127" w:name="_Toc182409919"/>
      <w:bookmarkStart w:id="1128" w:name="_Toc182491554"/>
      <w:bookmarkStart w:id="1129" w:name="_Toc182491842"/>
      <w:bookmarkStart w:id="1130" w:name="_Toc182492130"/>
      <w:bookmarkStart w:id="1131" w:name="_Toc182571907"/>
      <w:bookmarkStart w:id="1132" w:name="_Toc183434471"/>
      <w:bookmarkStart w:id="1133" w:name="_Toc183434726"/>
      <w:bookmarkStart w:id="1134" w:name="_Toc182384576"/>
      <w:bookmarkStart w:id="1135" w:name="_Toc182407585"/>
      <w:bookmarkStart w:id="1136" w:name="_Toc182409920"/>
      <w:bookmarkStart w:id="1137" w:name="_Toc182491555"/>
      <w:bookmarkStart w:id="1138" w:name="_Toc182491843"/>
      <w:bookmarkStart w:id="1139" w:name="_Toc182492131"/>
      <w:bookmarkStart w:id="1140" w:name="_Toc182571908"/>
      <w:bookmarkStart w:id="1141" w:name="_Toc183434472"/>
      <w:bookmarkStart w:id="1142" w:name="_Toc183434727"/>
      <w:bookmarkStart w:id="1143" w:name="_Toc182384577"/>
      <w:bookmarkStart w:id="1144" w:name="_Toc182407586"/>
      <w:bookmarkStart w:id="1145" w:name="_Toc182409921"/>
      <w:bookmarkStart w:id="1146" w:name="_Toc182491556"/>
      <w:bookmarkStart w:id="1147" w:name="_Toc182491844"/>
      <w:bookmarkStart w:id="1148" w:name="_Toc182492132"/>
      <w:bookmarkStart w:id="1149" w:name="_Toc182571909"/>
      <w:bookmarkStart w:id="1150" w:name="_Toc183434473"/>
      <w:bookmarkStart w:id="1151" w:name="_Toc183434728"/>
      <w:bookmarkStart w:id="1152" w:name="_Toc182384578"/>
      <w:bookmarkStart w:id="1153" w:name="_Toc182407587"/>
      <w:bookmarkStart w:id="1154" w:name="_Toc182409922"/>
      <w:bookmarkStart w:id="1155" w:name="_Toc182491557"/>
      <w:bookmarkStart w:id="1156" w:name="_Toc182491845"/>
      <w:bookmarkStart w:id="1157" w:name="_Toc182492133"/>
      <w:bookmarkStart w:id="1158" w:name="_Toc182571910"/>
      <w:bookmarkStart w:id="1159" w:name="_Toc183434474"/>
      <w:bookmarkStart w:id="1160" w:name="_Toc183434729"/>
      <w:bookmarkStart w:id="1161" w:name="_Toc182384579"/>
      <w:bookmarkStart w:id="1162" w:name="_Toc182407588"/>
      <w:bookmarkStart w:id="1163" w:name="_Toc182409923"/>
      <w:bookmarkStart w:id="1164" w:name="_Toc182491558"/>
      <w:bookmarkStart w:id="1165" w:name="_Toc182491846"/>
      <w:bookmarkStart w:id="1166" w:name="_Toc182492134"/>
      <w:bookmarkStart w:id="1167" w:name="_Toc182571911"/>
      <w:bookmarkStart w:id="1168" w:name="_Toc183434475"/>
      <w:bookmarkStart w:id="1169" w:name="_Toc183434730"/>
      <w:bookmarkStart w:id="1170" w:name="_Toc182384580"/>
      <w:bookmarkStart w:id="1171" w:name="_Toc182407589"/>
      <w:bookmarkStart w:id="1172" w:name="_Toc182409924"/>
      <w:bookmarkStart w:id="1173" w:name="_Toc182491559"/>
      <w:bookmarkStart w:id="1174" w:name="_Toc182491847"/>
      <w:bookmarkStart w:id="1175" w:name="_Toc182492135"/>
      <w:bookmarkStart w:id="1176" w:name="_Toc182571912"/>
      <w:bookmarkStart w:id="1177" w:name="_Toc183434476"/>
      <w:bookmarkStart w:id="1178" w:name="_Toc183434731"/>
      <w:bookmarkStart w:id="1179" w:name="_Toc182384581"/>
      <w:bookmarkStart w:id="1180" w:name="_Toc182407590"/>
      <w:bookmarkStart w:id="1181" w:name="_Toc182409925"/>
      <w:bookmarkStart w:id="1182" w:name="_Toc182491560"/>
      <w:bookmarkStart w:id="1183" w:name="_Toc182491848"/>
      <w:bookmarkStart w:id="1184" w:name="_Toc182492136"/>
      <w:bookmarkStart w:id="1185" w:name="_Toc182571913"/>
      <w:bookmarkStart w:id="1186" w:name="_Toc183434477"/>
      <w:bookmarkStart w:id="1187" w:name="_Toc183434732"/>
      <w:bookmarkStart w:id="1188" w:name="_Toc182384582"/>
      <w:bookmarkStart w:id="1189" w:name="_Toc182407591"/>
      <w:bookmarkStart w:id="1190" w:name="_Toc182409926"/>
      <w:bookmarkStart w:id="1191" w:name="_Toc182491561"/>
      <w:bookmarkStart w:id="1192" w:name="_Toc182491849"/>
      <w:bookmarkStart w:id="1193" w:name="_Toc182492137"/>
      <w:bookmarkStart w:id="1194" w:name="_Toc182571914"/>
      <w:bookmarkStart w:id="1195" w:name="_Toc183434478"/>
      <w:bookmarkStart w:id="1196" w:name="_Toc183434733"/>
      <w:bookmarkStart w:id="1197" w:name="_Toc182384583"/>
      <w:bookmarkStart w:id="1198" w:name="_Toc182407592"/>
      <w:bookmarkStart w:id="1199" w:name="_Toc182409927"/>
      <w:bookmarkStart w:id="1200" w:name="_Toc182491562"/>
      <w:bookmarkStart w:id="1201" w:name="_Toc182491850"/>
      <w:bookmarkStart w:id="1202" w:name="_Toc182492138"/>
      <w:bookmarkStart w:id="1203" w:name="_Toc182571915"/>
      <w:bookmarkStart w:id="1204" w:name="_Toc183434479"/>
      <w:bookmarkStart w:id="1205" w:name="_Toc183434734"/>
      <w:bookmarkStart w:id="1206" w:name="_Toc182384584"/>
      <w:bookmarkStart w:id="1207" w:name="_Toc182407593"/>
      <w:bookmarkStart w:id="1208" w:name="_Toc182409928"/>
      <w:bookmarkStart w:id="1209" w:name="_Toc182491563"/>
      <w:bookmarkStart w:id="1210" w:name="_Toc182491851"/>
      <w:bookmarkStart w:id="1211" w:name="_Toc182492139"/>
      <w:bookmarkStart w:id="1212" w:name="_Toc182571916"/>
      <w:bookmarkStart w:id="1213" w:name="_Toc183434480"/>
      <w:bookmarkStart w:id="1214" w:name="_Toc183434735"/>
      <w:bookmarkStart w:id="1215" w:name="_Toc182384585"/>
      <w:bookmarkStart w:id="1216" w:name="_Toc182407594"/>
      <w:bookmarkStart w:id="1217" w:name="_Toc182409929"/>
      <w:bookmarkStart w:id="1218" w:name="_Toc182491564"/>
      <w:bookmarkStart w:id="1219" w:name="_Toc182491852"/>
      <w:bookmarkStart w:id="1220" w:name="_Toc182492140"/>
      <w:bookmarkStart w:id="1221" w:name="_Toc182571917"/>
      <w:bookmarkStart w:id="1222" w:name="_Toc183434481"/>
      <w:bookmarkStart w:id="1223" w:name="_Toc183434736"/>
      <w:bookmarkStart w:id="1224" w:name="_Toc182384586"/>
      <w:bookmarkStart w:id="1225" w:name="_Toc182407595"/>
      <w:bookmarkStart w:id="1226" w:name="_Toc182409930"/>
      <w:bookmarkStart w:id="1227" w:name="_Toc182491565"/>
      <w:bookmarkStart w:id="1228" w:name="_Toc182491853"/>
      <w:bookmarkStart w:id="1229" w:name="_Toc182492141"/>
      <w:bookmarkStart w:id="1230" w:name="_Toc182571918"/>
      <w:bookmarkStart w:id="1231" w:name="_Toc183434482"/>
      <w:bookmarkStart w:id="1232" w:name="_Toc183434737"/>
      <w:bookmarkStart w:id="1233" w:name="_Toc94715387"/>
      <w:bookmarkStart w:id="1234" w:name="_Toc100328206"/>
      <w:bookmarkStart w:id="1235" w:name="_Toc188263127"/>
      <w:bookmarkStart w:id="1236" w:name="_Toc193462719"/>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sidRPr="00A51443">
        <w:rPr>
          <w:lang w:val="en-PH"/>
        </w:rPr>
        <w:t>Potential refinement</w:t>
      </w:r>
      <w:r w:rsidR="00370BF1">
        <w:rPr>
          <w:lang w:val="en-PH"/>
        </w:rPr>
        <w:t>s</w:t>
      </w:r>
      <w:r w:rsidR="00F057B2" w:rsidRPr="00A51443">
        <w:rPr>
          <w:lang w:val="en-PH"/>
        </w:rPr>
        <w:t xml:space="preserve"> assessed and not progressed for AR-DRG V</w:t>
      </w:r>
      <w:bookmarkEnd w:id="1234"/>
      <w:r w:rsidR="00756665" w:rsidRPr="00A51443">
        <w:rPr>
          <w:lang w:val="en-PH"/>
        </w:rPr>
        <w:t>12.0</w:t>
      </w:r>
      <w:bookmarkEnd w:id="1235"/>
      <w:bookmarkEnd w:id="1236"/>
    </w:p>
    <w:p w14:paraId="260554B8" w14:textId="0E85516D" w:rsidR="0030551D" w:rsidRPr="00A51443" w:rsidRDefault="00433118">
      <w:r w:rsidRPr="00A51443">
        <w:t>Other potential refinement</w:t>
      </w:r>
      <w:r w:rsidR="00370BF1">
        <w:t>s</w:t>
      </w:r>
      <w:r w:rsidRPr="00A51443">
        <w:t xml:space="preserve"> were </w:t>
      </w:r>
      <w:r w:rsidR="002A39B6" w:rsidRPr="00A51443">
        <w:t>assessed</w:t>
      </w:r>
      <w:r w:rsidRPr="00A51443">
        <w:t xml:space="preserve"> for AR-DRG V12.0</w:t>
      </w:r>
      <w:r w:rsidR="00F74E6B" w:rsidRPr="00A51443">
        <w:t xml:space="preserve">. </w:t>
      </w:r>
      <w:r w:rsidR="00F45EE2" w:rsidRPr="00A51443">
        <w:t>However, following</w:t>
      </w:r>
      <w:r w:rsidRPr="00A51443">
        <w:t xml:space="preserve"> analysis and consultation through IHACPA’s clinical and technical advisory </w:t>
      </w:r>
      <w:r w:rsidR="00671442" w:rsidRPr="00A51443">
        <w:t xml:space="preserve">working groups </w:t>
      </w:r>
      <w:r w:rsidRPr="00A51443">
        <w:t>and the public consultation</w:t>
      </w:r>
      <w:r w:rsidR="00F74E6B" w:rsidRPr="00A51443">
        <w:t xml:space="preserve">, </w:t>
      </w:r>
      <w:r w:rsidRPr="00A51443">
        <w:t>they have not been progressed for inclusion in AR-DRG V12.0</w:t>
      </w:r>
      <w:r w:rsidR="00272DD6" w:rsidRPr="00A51443">
        <w:t xml:space="preserve">. </w:t>
      </w:r>
      <w:r w:rsidR="00370BF1">
        <w:t>T</w:t>
      </w:r>
      <w:r w:rsidR="00272DD6" w:rsidRPr="00A51443">
        <w:t xml:space="preserve">hese </w:t>
      </w:r>
      <w:r w:rsidR="00F45EE2" w:rsidRPr="00A51443">
        <w:t xml:space="preserve">refinements </w:t>
      </w:r>
      <w:r w:rsidR="00272DD6" w:rsidRPr="00A51443">
        <w:t xml:space="preserve">may be </w:t>
      </w:r>
      <w:r w:rsidR="009B663F" w:rsidRPr="00A51443">
        <w:t xml:space="preserve">considered for </w:t>
      </w:r>
      <w:r w:rsidR="00370BF1">
        <w:t xml:space="preserve">a </w:t>
      </w:r>
      <w:r w:rsidR="009B663F" w:rsidRPr="00A51443">
        <w:t>future version</w:t>
      </w:r>
      <w:r w:rsidR="00F070CE" w:rsidRPr="00A51443">
        <w:t xml:space="preserve"> in consultation with </w:t>
      </w:r>
      <w:r w:rsidR="00671442" w:rsidRPr="00A51443">
        <w:t>stakeholders</w:t>
      </w:r>
      <w:r w:rsidR="00F070CE" w:rsidRPr="00A51443">
        <w:t>.</w:t>
      </w:r>
    </w:p>
    <w:p w14:paraId="48D57171" w14:textId="2B80B9CF" w:rsidR="00EE4132" w:rsidRPr="00A51443" w:rsidRDefault="00EE4132" w:rsidP="00623EF7">
      <w:pPr>
        <w:pStyle w:val="Heading3"/>
        <w:numPr>
          <w:ilvl w:val="2"/>
          <w:numId w:val="8"/>
        </w:numPr>
        <w:spacing w:before="240"/>
        <w:ind w:left="720"/>
        <w:rPr>
          <w:color w:val="104F99" w:themeColor="accent2"/>
          <w:sz w:val="28"/>
          <w:szCs w:val="28"/>
        </w:rPr>
      </w:pPr>
      <w:bookmarkStart w:id="1237" w:name="_Toc188263128"/>
      <w:bookmarkStart w:id="1238" w:name="_Toc193462720"/>
      <w:r w:rsidRPr="00A51443">
        <w:rPr>
          <w:color w:val="104F99" w:themeColor="accent2"/>
          <w:sz w:val="28"/>
          <w:szCs w:val="28"/>
        </w:rPr>
        <w:lastRenderedPageBreak/>
        <w:t>Continuous ventilatory support</w:t>
      </w:r>
      <w:bookmarkEnd w:id="1237"/>
      <w:bookmarkEnd w:id="1238"/>
    </w:p>
    <w:p w14:paraId="3E1F4D93" w14:textId="489403C4" w:rsidR="00EE4132" w:rsidRPr="00A51443" w:rsidRDefault="00EE4132" w:rsidP="00C006E1">
      <w:r w:rsidRPr="00A51443">
        <w:t>Hours of continuous ventilatory support</w:t>
      </w:r>
      <w:r w:rsidR="00EF37F6">
        <w:t xml:space="preserve"> (mechanical ventilation)</w:t>
      </w:r>
      <w:r w:rsidRPr="00A51443">
        <w:t xml:space="preserve"> is used as a classification variable for some ADRGs</w:t>
      </w:r>
      <w:r w:rsidR="00F070CE" w:rsidRPr="00A51443">
        <w:t xml:space="preserve">. </w:t>
      </w:r>
      <w:r w:rsidRPr="00A51443">
        <w:t>In AR-DRG V11.0, there are 2 ways to identify hours of continuous ventilatory support in the AR-DRG classification grouping logic:</w:t>
      </w:r>
    </w:p>
    <w:p w14:paraId="51EFE7E1" w14:textId="76033C5E" w:rsidR="00EE4132" w:rsidRPr="00A51443" w:rsidRDefault="00EE4132" w:rsidP="00623EF7">
      <w:pPr>
        <w:pStyle w:val="ListParagraph"/>
        <w:numPr>
          <w:ilvl w:val="0"/>
          <w:numId w:val="14"/>
        </w:numPr>
        <w:ind w:left="714" w:hanging="357"/>
        <w:contextualSpacing w:val="0"/>
      </w:pPr>
      <w:r w:rsidRPr="00A51443">
        <w:t xml:space="preserve">duration of continuous ventilatory support value as recorded in the </w:t>
      </w:r>
      <w:r w:rsidR="00614EBB" w:rsidRPr="00A51443">
        <w:t>APC NMDS</w:t>
      </w:r>
      <w:r w:rsidR="009D1EE0" w:rsidRPr="00A51443">
        <w:rPr>
          <w:rStyle w:val="FootnoteReference"/>
        </w:rPr>
        <w:footnoteReference w:id="8"/>
      </w:r>
    </w:p>
    <w:p w14:paraId="7B9F76A8" w14:textId="019D97F1" w:rsidR="00EE4132" w:rsidRPr="00A51443" w:rsidRDefault="00334CDD" w:rsidP="00623EF7">
      <w:pPr>
        <w:pStyle w:val="ListParagraph"/>
        <w:numPr>
          <w:ilvl w:val="0"/>
          <w:numId w:val="14"/>
        </w:numPr>
        <w:ind w:left="714" w:hanging="357"/>
        <w:contextualSpacing w:val="0"/>
      </w:pPr>
      <w:r w:rsidRPr="00A51443">
        <w:t>ACHI</w:t>
      </w:r>
      <w:r w:rsidR="00EE4132" w:rsidRPr="00A51443">
        <w:t xml:space="preserve"> code</w:t>
      </w:r>
      <w:r w:rsidR="001C5FC7" w:rsidRPr="00A51443">
        <w:t>s</w:t>
      </w:r>
      <w:r w:rsidR="00EE4132" w:rsidRPr="00A51443">
        <w:t>:</w:t>
      </w:r>
    </w:p>
    <w:p w14:paraId="2F97F5A8" w14:textId="3AD90537" w:rsidR="00EE4132" w:rsidRPr="00A51443" w:rsidRDefault="00EE4132" w:rsidP="00C9526E">
      <w:pPr>
        <w:pStyle w:val="ListParagraph"/>
        <w:widowControl w:val="0"/>
        <w:numPr>
          <w:ilvl w:val="0"/>
          <w:numId w:val="48"/>
        </w:numPr>
        <w:autoSpaceDE w:val="0"/>
        <w:autoSpaceDN w:val="0"/>
      </w:pPr>
      <w:r w:rsidRPr="00A51443">
        <w:t xml:space="preserve">13882-01 </w:t>
      </w:r>
      <w:r w:rsidRPr="00A51443">
        <w:rPr>
          <w:i/>
          <w:iCs/>
        </w:rPr>
        <w:t>Management of continuous ventilatory support, more than 24 hours but less than 96 hours</w:t>
      </w:r>
    </w:p>
    <w:p w14:paraId="73B7F3C9" w14:textId="3CF65F36" w:rsidR="00EE4132" w:rsidRPr="00A51443" w:rsidRDefault="00EE4132" w:rsidP="00C9526E">
      <w:pPr>
        <w:pStyle w:val="ListParagraph"/>
        <w:widowControl w:val="0"/>
        <w:numPr>
          <w:ilvl w:val="0"/>
          <w:numId w:val="48"/>
        </w:numPr>
        <w:autoSpaceDE w:val="0"/>
        <w:autoSpaceDN w:val="0"/>
      </w:pPr>
      <w:r w:rsidRPr="00A51443">
        <w:t xml:space="preserve">13882-02 </w:t>
      </w:r>
      <w:r w:rsidRPr="00A51443">
        <w:rPr>
          <w:i/>
          <w:iCs/>
        </w:rPr>
        <w:t>Management of continuous ventilatory support, 96 hours or more</w:t>
      </w:r>
      <w:r w:rsidRPr="00A51443">
        <w:t>.</w:t>
      </w:r>
    </w:p>
    <w:p w14:paraId="37FDEEDA" w14:textId="1A3DCDC4" w:rsidR="003F576E" w:rsidRPr="00A51443" w:rsidRDefault="00EE4132" w:rsidP="00C006E1">
      <w:r w:rsidRPr="00A51443">
        <w:t xml:space="preserve">Consequently, inconsistency is possible between the use of the duration of continuous ventilatory support value as recorded in the </w:t>
      </w:r>
      <w:r w:rsidR="00614EBB" w:rsidRPr="00A51443">
        <w:t>APC NMDS</w:t>
      </w:r>
      <w:r w:rsidRPr="00A51443">
        <w:t xml:space="preserve"> </w:t>
      </w:r>
      <w:r w:rsidR="0044338A" w:rsidRPr="00A51443">
        <w:t xml:space="preserve">data item </w:t>
      </w:r>
      <w:r w:rsidRPr="00A51443">
        <w:t xml:space="preserve">as opposed to the </w:t>
      </w:r>
      <w:r w:rsidR="00334CDD" w:rsidRPr="00A51443">
        <w:t xml:space="preserve">less granular duration of continuous ventilatory support </w:t>
      </w:r>
      <w:r w:rsidRPr="00A51443">
        <w:t xml:space="preserve">information obtained from </w:t>
      </w:r>
      <w:r w:rsidR="00EA4613" w:rsidRPr="00A51443">
        <w:t xml:space="preserve">the </w:t>
      </w:r>
      <w:r w:rsidRPr="00A51443">
        <w:t>ACHI codes.</w:t>
      </w:r>
      <w:r w:rsidR="00536DF6" w:rsidRPr="00A51443">
        <w:t xml:space="preserve"> </w:t>
      </w:r>
    </w:p>
    <w:p w14:paraId="73106A57" w14:textId="63A51A3C" w:rsidR="00EE4132" w:rsidRPr="00A51443" w:rsidRDefault="00566DB8" w:rsidP="00C006E1">
      <w:r w:rsidRPr="00A51443">
        <w:t xml:space="preserve">There is also </w:t>
      </w:r>
      <w:r w:rsidR="00925E3C" w:rsidRPr="00A51443">
        <w:t xml:space="preserve">an </w:t>
      </w:r>
      <w:r w:rsidRPr="00A51443">
        <w:t>opportunity to improve the resource homogeneity of the classification</w:t>
      </w:r>
      <w:r w:rsidR="008F4499" w:rsidRPr="00A51443">
        <w:t xml:space="preserve"> by using the more granular information obtained from </w:t>
      </w:r>
      <w:r w:rsidR="00536DF6" w:rsidRPr="00A51443">
        <w:t>the APC NMDS data item</w:t>
      </w:r>
      <w:r w:rsidR="008F4499" w:rsidRPr="00A51443">
        <w:t>.</w:t>
      </w:r>
      <w:r w:rsidR="003F576E" w:rsidRPr="00A51443">
        <w:t xml:space="preserve"> The ACHI codes can only identify instances in which continuous ventilatory support is required for more than 24 hours </w:t>
      </w:r>
      <w:r w:rsidR="00EF37F6">
        <w:t>or</w:t>
      </w:r>
      <w:r w:rsidR="00245AC9" w:rsidRPr="00A51443">
        <w:t xml:space="preserve"> more than 96 hours. However</w:t>
      </w:r>
      <w:r w:rsidR="00530510" w:rsidRPr="00A51443">
        <w:t>,</w:t>
      </w:r>
      <w:r w:rsidR="00245AC9" w:rsidRPr="00A51443">
        <w:t xml:space="preserve"> there may be </w:t>
      </w:r>
      <w:r w:rsidR="006E7F0B" w:rsidRPr="00A51443">
        <w:t xml:space="preserve">different thresholds </w:t>
      </w:r>
      <w:r w:rsidR="00EF37F6">
        <w:t>that</w:t>
      </w:r>
      <w:r w:rsidR="00EF37F6" w:rsidRPr="00A51443">
        <w:t xml:space="preserve"> </w:t>
      </w:r>
      <w:r w:rsidR="006E7F0B" w:rsidRPr="00A51443">
        <w:t>could be used</w:t>
      </w:r>
      <w:r w:rsidR="00673EB1">
        <w:t xml:space="preserve"> that </w:t>
      </w:r>
      <w:r w:rsidR="006E7F0B" w:rsidRPr="00A51443">
        <w:t>improve the resource homogeneity of the classification in future.</w:t>
      </w:r>
    </w:p>
    <w:p w14:paraId="21107E38" w14:textId="02D30B05" w:rsidR="007230FC" w:rsidRPr="00A51443" w:rsidRDefault="00EE4132" w:rsidP="00C006E1">
      <w:r w:rsidRPr="00A51443">
        <w:t xml:space="preserve">IHACPA investigated whether there was consistency between the </w:t>
      </w:r>
      <w:r w:rsidR="009D1EE0" w:rsidRPr="00A51443">
        <w:t>2</w:t>
      </w:r>
      <w:r w:rsidRPr="00A51443">
        <w:t xml:space="preserve"> modes of identification using </w:t>
      </w:r>
      <w:r w:rsidR="00B717F9" w:rsidRPr="00A51443">
        <w:t xml:space="preserve">the 2018–19 to 2021–22 </w:t>
      </w:r>
      <w:r w:rsidRPr="00A51443">
        <w:t xml:space="preserve">data </w:t>
      </w:r>
      <w:r w:rsidR="00B717F9" w:rsidRPr="00A51443">
        <w:t>used for classification development</w:t>
      </w:r>
      <w:r w:rsidR="009152CA" w:rsidRPr="00A51443">
        <w:t>. Analysis showed only minimal inconsistency</w:t>
      </w:r>
      <w:r w:rsidR="005E42F3" w:rsidRPr="00A51443">
        <w:t xml:space="preserve">. </w:t>
      </w:r>
      <w:r w:rsidR="00CB6ABB" w:rsidRPr="00A51443">
        <w:t>Nonetheless, due to the potential improvements in granularity</w:t>
      </w:r>
      <w:r w:rsidR="00671442" w:rsidRPr="00A51443">
        <w:t xml:space="preserve"> </w:t>
      </w:r>
      <w:r w:rsidR="00341645" w:rsidRPr="00A51443">
        <w:t xml:space="preserve">the </w:t>
      </w:r>
      <w:r w:rsidR="009152CA" w:rsidRPr="00A51443">
        <w:t>use of ACHI codes to inform duration of continuous ventilatory support in several ADRG</w:t>
      </w:r>
      <w:r w:rsidR="00671442" w:rsidRPr="00A51443">
        <w:t>s may be reconsidered in the future</w:t>
      </w:r>
      <w:r w:rsidR="009152CA" w:rsidRPr="00A51443">
        <w:t>.</w:t>
      </w:r>
    </w:p>
    <w:p w14:paraId="11958012" w14:textId="77777777" w:rsidR="007230FC" w:rsidRPr="00A51443" w:rsidRDefault="007230FC" w:rsidP="00623EF7">
      <w:pPr>
        <w:pStyle w:val="Heading3"/>
        <w:numPr>
          <w:ilvl w:val="2"/>
          <w:numId w:val="8"/>
        </w:numPr>
        <w:spacing w:before="240"/>
        <w:ind w:left="720"/>
        <w:rPr>
          <w:color w:val="104F99" w:themeColor="accent2"/>
          <w:sz w:val="28"/>
          <w:szCs w:val="28"/>
        </w:rPr>
      </w:pPr>
      <w:bookmarkStart w:id="1239" w:name="_Toc188263129"/>
      <w:bookmarkStart w:id="1240" w:name="_Toc193462721"/>
      <w:r w:rsidRPr="00A51443">
        <w:rPr>
          <w:color w:val="104F99" w:themeColor="accent2"/>
          <w:sz w:val="28"/>
          <w:szCs w:val="28"/>
        </w:rPr>
        <w:t>Analysis of gestational age for neonates</w:t>
      </w:r>
      <w:bookmarkEnd w:id="1239"/>
      <w:bookmarkEnd w:id="1240"/>
    </w:p>
    <w:p w14:paraId="2F5EDBD3" w14:textId="445DFD21" w:rsidR="007230FC" w:rsidRPr="00A51443" w:rsidRDefault="007230FC" w:rsidP="00495527">
      <w:pPr>
        <w:keepLines/>
      </w:pPr>
      <w:r w:rsidRPr="00A51443">
        <w:t xml:space="preserve">In AR-DRG V11.0, the main variable for assigning an ADRG to episodes in MDC 15 </w:t>
      </w:r>
      <w:r w:rsidRPr="00A51443">
        <w:rPr>
          <w:i/>
          <w:iCs/>
        </w:rPr>
        <w:t xml:space="preserve">Newborns and </w:t>
      </w:r>
      <w:r w:rsidR="007866CB" w:rsidRPr="00A51443">
        <w:rPr>
          <w:i/>
          <w:iCs/>
        </w:rPr>
        <w:t>o</w:t>
      </w:r>
      <w:r w:rsidRPr="00A51443">
        <w:rPr>
          <w:i/>
          <w:iCs/>
        </w:rPr>
        <w:t xml:space="preserve">ther </w:t>
      </w:r>
      <w:r w:rsidR="007866CB" w:rsidRPr="00A51443">
        <w:rPr>
          <w:i/>
          <w:iCs/>
        </w:rPr>
        <w:t>n</w:t>
      </w:r>
      <w:r w:rsidRPr="00A51443">
        <w:rPr>
          <w:i/>
          <w:iCs/>
        </w:rPr>
        <w:t>eonates</w:t>
      </w:r>
      <w:r w:rsidRPr="00A51443">
        <w:t xml:space="preserve"> is admission weight. </w:t>
      </w:r>
      <w:r w:rsidR="00671442" w:rsidRPr="00A51443">
        <w:t>A</w:t>
      </w:r>
      <w:r w:rsidRPr="00A51443">
        <w:t xml:space="preserve"> public submission from the Australian and New Zealand Neonatal Network (ANZNN) </w:t>
      </w:r>
      <w:r w:rsidR="00671442" w:rsidRPr="00A51443">
        <w:t xml:space="preserve">purported </w:t>
      </w:r>
      <w:r w:rsidRPr="00A51443">
        <w:t xml:space="preserve">that </w:t>
      </w:r>
      <w:r w:rsidR="000972BE" w:rsidRPr="00A51443">
        <w:t xml:space="preserve">for MDC 15 </w:t>
      </w:r>
      <w:r w:rsidR="000972BE" w:rsidRPr="00A51443">
        <w:rPr>
          <w:i/>
          <w:iCs/>
        </w:rPr>
        <w:t xml:space="preserve">Newborns and </w:t>
      </w:r>
      <w:r w:rsidR="007866CB" w:rsidRPr="00A51443">
        <w:rPr>
          <w:i/>
          <w:iCs/>
        </w:rPr>
        <w:t>o</w:t>
      </w:r>
      <w:r w:rsidR="000972BE" w:rsidRPr="00A51443">
        <w:rPr>
          <w:i/>
          <w:iCs/>
        </w:rPr>
        <w:t xml:space="preserve">ther </w:t>
      </w:r>
      <w:r w:rsidR="007866CB" w:rsidRPr="00A51443">
        <w:rPr>
          <w:i/>
          <w:iCs/>
        </w:rPr>
        <w:t>n</w:t>
      </w:r>
      <w:r w:rsidR="000972BE" w:rsidRPr="00A51443">
        <w:rPr>
          <w:i/>
          <w:iCs/>
        </w:rPr>
        <w:t>eonates</w:t>
      </w:r>
      <w:r w:rsidR="000972BE" w:rsidRPr="00A51443">
        <w:t xml:space="preserve">, </w:t>
      </w:r>
      <w:r w:rsidRPr="00A51443">
        <w:t xml:space="preserve">gestational age is a better predictor of clinical complexity than admission weight. </w:t>
      </w:r>
      <w:r w:rsidR="00FB0C4B" w:rsidRPr="00A51443">
        <w:t>T</w:t>
      </w:r>
      <w:r w:rsidRPr="00A51443">
        <w:t xml:space="preserve">wo submissions in response to the </w:t>
      </w:r>
      <w:r w:rsidRPr="00A51443">
        <w:rPr>
          <w:i/>
          <w:iCs/>
        </w:rPr>
        <w:t>Consultation Paper on the Pricing Framework for Australian Public Hospital Services 2021–22</w:t>
      </w:r>
      <w:r w:rsidRPr="00A51443">
        <w:t xml:space="preserve"> </w:t>
      </w:r>
      <w:r w:rsidR="00FB0C4B" w:rsidRPr="00A51443">
        <w:t xml:space="preserve">also requested </w:t>
      </w:r>
      <w:r w:rsidRPr="00A51443">
        <w:t>consideration</w:t>
      </w:r>
      <w:r w:rsidR="00FB0C4B" w:rsidRPr="00A51443">
        <w:t xml:space="preserve"> be given</w:t>
      </w:r>
      <w:r w:rsidRPr="00A51443">
        <w:t xml:space="preserve"> to using gestational age in </w:t>
      </w:r>
      <w:r w:rsidR="00E967FE" w:rsidRPr="00A51443">
        <w:t>the</w:t>
      </w:r>
      <w:r w:rsidR="000972BE" w:rsidRPr="00A51443">
        <w:t xml:space="preserve"> </w:t>
      </w:r>
      <w:r w:rsidRPr="00A51443">
        <w:t xml:space="preserve">AR-DRG classification </w:t>
      </w:r>
      <w:r w:rsidR="00F9351E" w:rsidRPr="00A51443">
        <w:t xml:space="preserve">to </w:t>
      </w:r>
      <w:r w:rsidRPr="00A51443">
        <w:t xml:space="preserve">estimate patient complexity </w:t>
      </w:r>
      <w:r w:rsidR="000972BE" w:rsidRPr="00A51443">
        <w:t>rather than neonatal admission weight</w:t>
      </w:r>
      <w:r w:rsidRPr="00A51443">
        <w:t>.</w:t>
      </w:r>
    </w:p>
    <w:p w14:paraId="65240AB6" w14:textId="3EDB79E1" w:rsidR="007230FC" w:rsidRPr="00A51443" w:rsidRDefault="007230FC" w:rsidP="00C006E1">
      <w:r w:rsidRPr="00A51443">
        <w:t xml:space="preserve">Gestational age is not collected as part of the APC NMDS, however limited gestational age information can be inferred from some ICD-10-AM Eleventh Edition codes. The code set for gestational age was significantly expanded </w:t>
      </w:r>
      <w:r w:rsidR="00ED32EF" w:rsidRPr="00A51443">
        <w:t>in</w:t>
      </w:r>
      <w:r w:rsidRPr="00A51443">
        <w:t xml:space="preserve"> ICD-10-AM Twelfth Edition (implemented 1 July 2022), providing more granular information. However, costed data that has been coded using ICD</w:t>
      </w:r>
      <w:r w:rsidR="007C7896" w:rsidRPr="00A51443">
        <w:noBreakHyphen/>
      </w:r>
      <w:r w:rsidRPr="00A51443">
        <w:t>10-AM Twelfth Edition will not be available until AR-DRG V13.0 development.</w:t>
      </w:r>
    </w:p>
    <w:p w14:paraId="5EC1F129" w14:textId="459D5C9D" w:rsidR="00634FD7" w:rsidRPr="00A51443" w:rsidRDefault="007230FC" w:rsidP="00C006E1">
      <w:r w:rsidRPr="00A51443">
        <w:lastRenderedPageBreak/>
        <w:t xml:space="preserve">IHACPA will consider using gestational age in MDC 15 </w:t>
      </w:r>
      <w:r w:rsidR="00804F38" w:rsidRPr="00A51443">
        <w:rPr>
          <w:i/>
          <w:iCs/>
        </w:rPr>
        <w:t xml:space="preserve">Newborns and other neonates </w:t>
      </w:r>
      <w:r w:rsidRPr="00A51443">
        <w:t xml:space="preserve">in the </w:t>
      </w:r>
      <w:r w:rsidR="00ED32EF" w:rsidRPr="00A51443">
        <w:t>AR</w:t>
      </w:r>
      <w:r w:rsidR="00E7796C" w:rsidRPr="00A51443">
        <w:noBreakHyphen/>
      </w:r>
      <w:r w:rsidR="00ED32EF" w:rsidRPr="00A51443">
        <w:t xml:space="preserve">DRG V13.0 </w:t>
      </w:r>
      <w:r w:rsidRPr="00A51443">
        <w:t>development</w:t>
      </w:r>
      <w:r w:rsidR="00E7796C" w:rsidRPr="00A51443">
        <w:t xml:space="preserve"> </w:t>
      </w:r>
      <w:r w:rsidRPr="00A51443">
        <w:t>when costed activity data using ICD-10-AM Twelfth Edition is available. This data will contain more granular information about gestational age and allow more robust analysis.</w:t>
      </w:r>
    </w:p>
    <w:p w14:paraId="5F7B4E31" w14:textId="44DFEA22" w:rsidR="009D3A28" w:rsidRPr="00A51443" w:rsidRDefault="009D3A28" w:rsidP="0052213B">
      <w:pPr>
        <w:pStyle w:val="Heading3"/>
        <w:numPr>
          <w:ilvl w:val="2"/>
          <w:numId w:val="8"/>
        </w:numPr>
        <w:spacing w:before="240"/>
        <w:ind w:left="720"/>
        <w:rPr>
          <w:color w:val="104F99" w:themeColor="accent2"/>
          <w:sz w:val="28"/>
          <w:szCs w:val="28"/>
        </w:rPr>
      </w:pPr>
      <w:bookmarkStart w:id="1241" w:name="_Toc182384603"/>
      <w:bookmarkStart w:id="1242" w:name="_Toc182407612"/>
      <w:bookmarkStart w:id="1243" w:name="_Toc182409947"/>
      <w:bookmarkStart w:id="1244" w:name="_Toc182491581"/>
      <w:bookmarkStart w:id="1245" w:name="_Toc182491869"/>
      <w:bookmarkStart w:id="1246" w:name="_Toc182492157"/>
      <w:bookmarkStart w:id="1247" w:name="_Toc182571934"/>
      <w:bookmarkStart w:id="1248" w:name="_Toc183434498"/>
      <w:bookmarkStart w:id="1249" w:name="_Toc183434753"/>
      <w:bookmarkStart w:id="1250" w:name="_Toc182384604"/>
      <w:bookmarkStart w:id="1251" w:name="_Toc182407613"/>
      <w:bookmarkStart w:id="1252" w:name="_Toc182409948"/>
      <w:bookmarkStart w:id="1253" w:name="_Toc182491582"/>
      <w:bookmarkStart w:id="1254" w:name="_Toc182491870"/>
      <w:bookmarkStart w:id="1255" w:name="_Toc182492158"/>
      <w:bookmarkStart w:id="1256" w:name="_Toc182571935"/>
      <w:bookmarkStart w:id="1257" w:name="_Toc183434499"/>
      <w:bookmarkStart w:id="1258" w:name="_Toc183434754"/>
      <w:bookmarkStart w:id="1259" w:name="_Toc182384605"/>
      <w:bookmarkStart w:id="1260" w:name="_Toc182407614"/>
      <w:bookmarkStart w:id="1261" w:name="_Toc182409949"/>
      <w:bookmarkStart w:id="1262" w:name="_Toc182491583"/>
      <w:bookmarkStart w:id="1263" w:name="_Toc182491871"/>
      <w:bookmarkStart w:id="1264" w:name="_Toc182492159"/>
      <w:bookmarkStart w:id="1265" w:name="_Toc182571936"/>
      <w:bookmarkStart w:id="1266" w:name="_Toc183434500"/>
      <w:bookmarkStart w:id="1267" w:name="_Toc183434755"/>
      <w:bookmarkStart w:id="1268" w:name="_Toc182384606"/>
      <w:bookmarkStart w:id="1269" w:name="_Toc182407615"/>
      <w:bookmarkStart w:id="1270" w:name="_Toc182409950"/>
      <w:bookmarkStart w:id="1271" w:name="_Toc182491584"/>
      <w:bookmarkStart w:id="1272" w:name="_Toc182491872"/>
      <w:bookmarkStart w:id="1273" w:name="_Toc182492160"/>
      <w:bookmarkStart w:id="1274" w:name="_Toc182571937"/>
      <w:bookmarkStart w:id="1275" w:name="_Toc183434501"/>
      <w:bookmarkStart w:id="1276" w:name="_Toc183434756"/>
      <w:bookmarkStart w:id="1277" w:name="_Toc182384607"/>
      <w:bookmarkStart w:id="1278" w:name="_Toc182407616"/>
      <w:bookmarkStart w:id="1279" w:name="_Toc182409951"/>
      <w:bookmarkStart w:id="1280" w:name="_Toc182491585"/>
      <w:bookmarkStart w:id="1281" w:name="_Toc182491873"/>
      <w:bookmarkStart w:id="1282" w:name="_Toc182492161"/>
      <w:bookmarkStart w:id="1283" w:name="_Toc182571938"/>
      <w:bookmarkStart w:id="1284" w:name="_Toc183434502"/>
      <w:bookmarkStart w:id="1285" w:name="_Toc183434757"/>
      <w:bookmarkStart w:id="1286" w:name="_Toc182384608"/>
      <w:bookmarkStart w:id="1287" w:name="_Toc182407617"/>
      <w:bookmarkStart w:id="1288" w:name="_Toc182409952"/>
      <w:bookmarkStart w:id="1289" w:name="_Toc182491586"/>
      <w:bookmarkStart w:id="1290" w:name="_Toc182491874"/>
      <w:bookmarkStart w:id="1291" w:name="_Toc182492162"/>
      <w:bookmarkStart w:id="1292" w:name="_Toc182571939"/>
      <w:bookmarkStart w:id="1293" w:name="_Toc183434503"/>
      <w:bookmarkStart w:id="1294" w:name="_Toc183434758"/>
      <w:bookmarkStart w:id="1295" w:name="_Toc182384609"/>
      <w:bookmarkStart w:id="1296" w:name="_Toc182407618"/>
      <w:bookmarkStart w:id="1297" w:name="_Toc182409953"/>
      <w:bookmarkStart w:id="1298" w:name="_Toc182491587"/>
      <w:bookmarkStart w:id="1299" w:name="_Toc182491875"/>
      <w:bookmarkStart w:id="1300" w:name="_Toc182492163"/>
      <w:bookmarkStart w:id="1301" w:name="_Toc182571940"/>
      <w:bookmarkStart w:id="1302" w:name="_Toc183434504"/>
      <w:bookmarkStart w:id="1303" w:name="_Toc183434759"/>
      <w:bookmarkStart w:id="1304" w:name="_Toc182384610"/>
      <w:bookmarkStart w:id="1305" w:name="_Toc182407619"/>
      <w:bookmarkStart w:id="1306" w:name="_Toc182409954"/>
      <w:bookmarkStart w:id="1307" w:name="_Toc182491588"/>
      <w:bookmarkStart w:id="1308" w:name="_Toc182491876"/>
      <w:bookmarkStart w:id="1309" w:name="_Toc182492164"/>
      <w:bookmarkStart w:id="1310" w:name="_Toc182571941"/>
      <w:bookmarkStart w:id="1311" w:name="_Toc183434505"/>
      <w:bookmarkStart w:id="1312" w:name="_Toc183434760"/>
      <w:bookmarkStart w:id="1313" w:name="_Toc182384611"/>
      <w:bookmarkStart w:id="1314" w:name="_Toc182407620"/>
      <w:bookmarkStart w:id="1315" w:name="_Toc182409955"/>
      <w:bookmarkStart w:id="1316" w:name="_Toc182491589"/>
      <w:bookmarkStart w:id="1317" w:name="_Toc182491877"/>
      <w:bookmarkStart w:id="1318" w:name="_Toc182492165"/>
      <w:bookmarkStart w:id="1319" w:name="_Toc182571942"/>
      <w:bookmarkStart w:id="1320" w:name="_Toc183434506"/>
      <w:bookmarkStart w:id="1321" w:name="_Toc183434761"/>
      <w:bookmarkStart w:id="1322" w:name="_Toc182384612"/>
      <w:bookmarkStart w:id="1323" w:name="_Toc182407621"/>
      <w:bookmarkStart w:id="1324" w:name="_Toc182409956"/>
      <w:bookmarkStart w:id="1325" w:name="_Toc182491590"/>
      <w:bookmarkStart w:id="1326" w:name="_Toc182491878"/>
      <w:bookmarkStart w:id="1327" w:name="_Toc182492166"/>
      <w:bookmarkStart w:id="1328" w:name="_Toc182571943"/>
      <w:bookmarkStart w:id="1329" w:name="_Toc183434507"/>
      <w:bookmarkStart w:id="1330" w:name="_Toc183434762"/>
      <w:bookmarkStart w:id="1331" w:name="_Toc188263130"/>
      <w:bookmarkStart w:id="1332" w:name="_Toc193462722"/>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r w:rsidRPr="00A51443">
        <w:rPr>
          <w:color w:val="104F99" w:themeColor="accent2"/>
          <w:sz w:val="28"/>
          <w:szCs w:val="28"/>
        </w:rPr>
        <w:t>Care types used in development</w:t>
      </w:r>
      <w:bookmarkEnd w:id="1331"/>
      <w:bookmarkEnd w:id="1332"/>
    </w:p>
    <w:p w14:paraId="25BC23E8" w14:textId="189EEAE7" w:rsidR="0052213B" w:rsidRPr="00A51443" w:rsidRDefault="0052213B" w:rsidP="0052213B">
      <w:r w:rsidRPr="00A51443">
        <w:t>Episodes are considered for inclusion in AR-DRG development if they have a care type of Acute care, Newborn care, Posthumous organ procurement or Mental health care. Episodes with a</w:t>
      </w:r>
      <w:r w:rsidR="00C52A91" w:rsidRPr="00A51443">
        <w:t xml:space="preserve"> subacute or non-acute</w:t>
      </w:r>
      <w:r w:rsidRPr="00A51443">
        <w:t xml:space="preserve"> care type</w:t>
      </w:r>
      <w:r w:rsidR="00C52A91" w:rsidRPr="00A51443">
        <w:t xml:space="preserve">, that is Rehabilitation care, Palliative care, Geriatric evaluation and management, Psychogeriatric care or Maintenance care, </w:t>
      </w:r>
      <w:r w:rsidRPr="00A51443">
        <w:t xml:space="preserve">are excluded. </w:t>
      </w:r>
      <w:r w:rsidR="00673EB1">
        <w:t>Episo</w:t>
      </w:r>
      <w:r w:rsidR="00073220">
        <w:t>d</w:t>
      </w:r>
      <w:r w:rsidR="00673EB1">
        <w:t>es</w:t>
      </w:r>
      <w:r w:rsidR="00673EB1" w:rsidRPr="00A51443">
        <w:t xml:space="preserve"> </w:t>
      </w:r>
      <w:r w:rsidRPr="00A51443">
        <w:t xml:space="preserve">with a care type of Mental health care </w:t>
      </w:r>
      <w:r w:rsidR="009F44B4" w:rsidRPr="00A51443">
        <w:t>are</w:t>
      </w:r>
      <w:r w:rsidRPr="00A51443">
        <w:t xml:space="preserve"> classified using the Australian Mental Health Care Classification (AMHCC) and those with a care type of subacute or non-acute care </w:t>
      </w:r>
      <w:r w:rsidR="00673EB1">
        <w:t>are</w:t>
      </w:r>
      <w:r w:rsidRPr="00A51443">
        <w:t xml:space="preserve"> classified using the Australian National Subacute and Non-acute Patient (AN-SNAP) classification. Therefore, the impact of either including or excluding</w:t>
      </w:r>
      <w:r w:rsidR="00673EB1">
        <w:t xml:space="preserve"> episodes of</w:t>
      </w:r>
      <w:r w:rsidRPr="00A51443">
        <w:t xml:space="preserve"> both mental health and subacute and non-acute </w:t>
      </w:r>
      <w:r w:rsidR="005D3924">
        <w:t>care types was</w:t>
      </w:r>
      <w:r w:rsidRPr="00A51443">
        <w:t xml:space="preserve"> investigated to determine whether a consistent approach to both sets of </w:t>
      </w:r>
      <w:r w:rsidR="005D3924">
        <w:t>episodes</w:t>
      </w:r>
      <w:r w:rsidR="005D3924" w:rsidRPr="00A51443">
        <w:t xml:space="preserve"> </w:t>
      </w:r>
      <w:r w:rsidRPr="00A51443">
        <w:t>would be beneficial.</w:t>
      </w:r>
    </w:p>
    <w:p w14:paraId="6BF9FC72" w14:textId="1665F9F7" w:rsidR="00960F02" w:rsidRPr="00A51443" w:rsidRDefault="0052213B" w:rsidP="0052213B">
      <w:r w:rsidRPr="00A51443">
        <w:t xml:space="preserve">Implementing changes to </w:t>
      </w:r>
      <w:r w:rsidR="005D3924">
        <w:t>include</w:t>
      </w:r>
      <w:r w:rsidRPr="00A51443">
        <w:t xml:space="preserve"> mental health care or subacute and non-acute care was found to introduce volatility with little measurable benefit in the overall statistical performance of the classification. </w:t>
      </w:r>
    </w:p>
    <w:p w14:paraId="154F968F" w14:textId="1AFA0437" w:rsidR="00960F02" w:rsidRPr="00A51443" w:rsidRDefault="0052213B" w:rsidP="0052213B">
      <w:r w:rsidRPr="00A51443">
        <w:t>The removal of mental health care records resulted in a decrease in the volume of episodes in MDC</w:t>
      </w:r>
      <w:r w:rsidR="00960F02" w:rsidRPr="00A51443">
        <w:t> </w:t>
      </w:r>
      <w:r w:rsidRPr="00A51443">
        <w:t xml:space="preserve">19 </w:t>
      </w:r>
      <w:r w:rsidRPr="00A51443">
        <w:rPr>
          <w:i/>
          <w:iCs/>
        </w:rPr>
        <w:t xml:space="preserve">Mental, behavioural and neurodevelopmental disorders </w:t>
      </w:r>
      <w:r w:rsidRPr="00A51443">
        <w:t xml:space="preserve">with no substantial improvement in performance in other areas. </w:t>
      </w:r>
    </w:p>
    <w:p w14:paraId="4173FAA2" w14:textId="5928FE04" w:rsidR="00960F02" w:rsidRPr="00A51443" w:rsidRDefault="0052213B" w:rsidP="0052213B">
      <w:r w:rsidRPr="00A51443">
        <w:t xml:space="preserve">When subacute and non-acute care episodes were introduced, the ECC model no longer effectively distinguished between different levels of severity of acute care episodes. Instead, the ECC model began distinguishing between acute and subacute and non-acute episodes because the latter were higher cost. </w:t>
      </w:r>
    </w:p>
    <w:p w14:paraId="5F199523" w14:textId="1864BAED" w:rsidR="00B64364" w:rsidRPr="00A51443" w:rsidRDefault="0052213B" w:rsidP="0052213B">
      <w:r w:rsidRPr="00A51443">
        <w:t xml:space="preserve">Therefore, episodes of mental health care were retained, and episodes of subacute and non-acute care </w:t>
      </w:r>
      <w:r w:rsidR="00EF37F6">
        <w:t>continue to be</w:t>
      </w:r>
      <w:r w:rsidR="00EF37F6" w:rsidRPr="00A51443">
        <w:t xml:space="preserve"> </w:t>
      </w:r>
      <w:r w:rsidRPr="00A51443">
        <w:t xml:space="preserve">excluded from </w:t>
      </w:r>
      <w:r w:rsidR="009F44B4" w:rsidRPr="00A51443">
        <w:t xml:space="preserve">the data set used </w:t>
      </w:r>
      <w:r w:rsidR="00EF37F6">
        <w:t>in</w:t>
      </w:r>
      <w:r w:rsidR="00EF37F6" w:rsidRPr="00A51443">
        <w:t xml:space="preserve"> </w:t>
      </w:r>
      <w:r w:rsidRPr="00A51443">
        <w:t>AR-DRG development. This maintains the status quo as used in the development of AR</w:t>
      </w:r>
      <w:r w:rsidRPr="00A51443">
        <w:noBreakHyphen/>
        <w:t>DRG V8.0–V11.0.</w:t>
      </w:r>
    </w:p>
    <w:p w14:paraId="2641F3E4" w14:textId="58FFCF9B" w:rsidR="0052213B" w:rsidRPr="00A51443" w:rsidRDefault="0052213B" w:rsidP="0052213B">
      <w:pPr>
        <w:pStyle w:val="Heading3"/>
        <w:numPr>
          <w:ilvl w:val="2"/>
          <w:numId w:val="8"/>
        </w:numPr>
        <w:spacing w:before="240"/>
        <w:ind w:left="720"/>
        <w:rPr>
          <w:color w:val="104F99" w:themeColor="accent2"/>
          <w:sz w:val="28"/>
          <w:szCs w:val="28"/>
        </w:rPr>
      </w:pPr>
      <w:bookmarkStart w:id="1333" w:name="_Toc193462723"/>
      <w:bookmarkStart w:id="1334" w:name="_Toc188263131"/>
      <w:r w:rsidRPr="00A51443">
        <w:rPr>
          <w:color w:val="104F99" w:themeColor="accent2"/>
          <w:sz w:val="28"/>
          <w:szCs w:val="28"/>
        </w:rPr>
        <w:t>The impact of coronavirus disease 2019 (COVID-19)</w:t>
      </w:r>
      <w:bookmarkEnd w:id="1333"/>
      <w:r w:rsidRPr="00A51443">
        <w:rPr>
          <w:color w:val="104F99" w:themeColor="accent2"/>
          <w:sz w:val="28"/>
          <w:szCs w:val="28"/>
        </w:rPr>
        <w:t xml:space="preserve"> </w:t>
      </w:r>
      <w:bookmarkEnd w:id="1334"/>
    </w:p>
    <w:p w14:paraId="2DA3366D" w14:textId="3F9D5D62" w:rsidR="009D3A28" w:rsidRPr="00A51443" w:rsidRDefault="009D3A28" w:rsidP="009D3A28">
      <w:r w:rsidRPr="00A51443">
        <w:t>AR-DRG V12.0 development uses data from 2018–19 to 2021–22. A large portion of this data was impacted by changes to hospital service delivery and cost</w:t>
      </w:r>
      <w:r w:rsidR="009F44B4" w:rsidRPr="00A51443">
        <w:t>s</w:t>
      </w:r>
      <w:r w:rsidRPr="00A51443">
        <w:t xml:space="preserve"> during the COVID-19 pandemic</w:t>
      </w:r>
      <w:r w:rsidR="004A11F6" w:rsidRPr="00A51443">
        <w:t xml:space="preserve">. Modifications to the data used in development were considered to accommodate these changes but were not progressed because these modifications </w:t>
      </w:r>
      <w:r w:rsidR="00EF37F6">
        <w:t>did not</w:t>
      </w:r>
      <w:r w:rsidR="004A11F6" w:rsidRPr="00A51443">
        <w:t xml:space="preserve"> improve the performance of the</w:t>
      </w:r>
      <w:r w:rsidR="00EF37F6">
        <w:t xml:space="preserve"> </w:t>
      </w:r>
      <w:r w:rsidR="00EF37F6">
        <w:br/>
        <w:t>AR-DRG</w:t>
      </w:r>
      <w:r w:rsidR="004A11F6" w:rsidRPr="00A51443">
        <w:t xml:space="preserve"> classification</w:t>
      </w:r>
      <w:r w:rsidRPr="00A51443">
        <w:t>.</w:t>
      </w:r>
    </w:p>
    <w:p w14:paraId="53CA2F5A" w14:textId="2786C31C" w:rsidR="007476BF" w:rsidRPr="00A51443" w:rsidRDefault="007476BF" w:rsidP="007476BF">
      <w:r w:rsidRPr="00A51443">
        <w:t>Two major risks were identified in relation to data obtained during the COVID-19 pandemic. The first risk was that fluctuations in the volume and cost of hospital activity</w:t>
      </w:r>
      <w:r w:rsidR="00EF37F6">
        <w:t>,</w:t>
      </w:r>
      <w:r w:rsidRPr="00A51443">
        <w:t xml:space="preserve"> most prominently a sharp decrease in separations in early 2020</w:t>
      </w:r>
      <w:r w:rsidR="00EF37F6">
        <w:t>,</w:t>
      </w:r>
      <w:r w:rsidRPr="00A51443">
        <w:t xml:space="preserve"> would make it more difficult to identify a relationship between an episode’s diagnoses and cost, which is a necessary part of the ECC model. The second risk was that episodes with COVID-19 may have an inconsistent cost profile because of the changing care </w:t>
      </w:r>
      <w:r w:rsidRPr="00A51443">
        <w:lastRenderedPageBreak/>
        <w:t>modalities employed at different times during the pandemic. This could have introduced instability into ADRGs which contained other infectious disease</w:t>
      </w:r>
      <w:r w:rsidR="005D3924">
        <w:t>s</w:t>
      </w:r>
      <w:r w:rsidRPr="00A51443">
        <w:t>.</w:t>
      </w:r>
    </w:p>
    <w:p w14:paraId="0C956EF7" w14:textId="0D0C0664" w:rsidR="0077155A" w:rsidRPr="00A51443" w:rsidRDefault="007476BF" w:rsidP="007476BF">
      <w:r w:rsidRPr="00A51443">
        <w:t xml:space="preserve">Alternative data preparation methods were explored to accommodate these risks. These included filtering data impacted by low-volume national activity and modifying the way in which the classification accounts for indexation. Applying these changes did not result in a material improvement in the </w:t>
      </w:r>
      <w:r w:rsidR="00FE2BCE" w:rsidRPr="00A51443">
        <w:t xml:space="preserve">AR-DRG </w:t>
      </w:r>
      <w:r w:rsidRPr="00A51443">
        <w:t xml:space="preserve">classification. Therefore, it was determined that no specific modification </w:t>
      </w:r>
      <w:r w:rsidR="00FE2BCE" w:rsidRPr="00A51443">
        <w:t xml:space="preserve">needed to </w:t>
      </w:r>
      <w:r w:rsidRPr="00A51443">
        <w:t>be applied to account for the impact of the COVID-19 pandemic.</w:t>
      </w:r>
    </w:p>
    <w:p w14:paraId="215DEC68" w14:textId="77777777" w:rsidR="0077155A" w:rsidRPr="00A51443" w:rsidRDefault="0077155A">
      <w:r w:rsidRPr="00A51443">
        <w:br w:type="page"/>
      </w:r>
    </w:p>
    <w:p w14:paraId="26913396" w14:textId="3D9609AF" w:rsidR="00F057B2" w:rsidRPr="00A51443" w:rsidRDefault="00F057B2" w:rsidP="00946677">
      <w:pPr>
        <w:pStyle w:val="Heading1"/>
        <w:numPr>
          <w:ilvl w:val="0"/>
          <w:numId w:val="9"/>
        </w:numPr>
        <w:ind w:left="0" w:firstLine="0"/>
        <w:rPr>
          <w:lang w:val="en-PH"/>
        </w:rPr>
      </w:pPr>
      <w:bookmarkStart w:id="1335" w:name="_Toc182491592"/>
      <w:bookmarkStart w:id="1336" w:name="_Toc182491880"/>
      <w:bookmarkStart w:id="1337" w:name="_Toc182492168"/>
      <w:bookmarkStart w:id="1338" w:name="_Toc182571945"/>
      <w:bookmarkStart w:id="1339" w:name="_Toc183434509"/>
      <w:bookmarkStart w:id="1340" w:name="_Toc183434764"/>
      <w:bookmarkStart w:id="1341" w:name="_Toc182491593"/>
      <w:bookmarkStart w:id="1342" w:name="_Toc182491881"/>
      <w:bookmarkStart w:id="1343" w:name="_Toc182492169"/>
      <w:bookmarkStart w:id="1344" w:name="_Toc182571946"/>
      <w:bookmarkStart w:id="1345" w:name="_Toc183434510"/>
      <w:bookmarkStart w:id="1346" w:name="_Toc183434765"/>
      <w:bookmarkStart w:id="1347" w:name="_Toc182491594"/>
      <w:bookmarkStart w:id="1348" w:name="_Toc182491882"/>
      <w:bookmarkStart w:id="1349" w:name="_Toc182492170"/>
      <w:bookmarkStart w:id="1350" w:name="_Toc182571947"/>
      <w:bookmarkStart w:id="1351" w:name="_Toc183434511"/>
      <w:bookmarkStart w:id="1352" w:name="_Toc183434766"/>
      <w:bookmarkStart w:id="1353" w:name="_Toc182491595"/>
      <w:bookmarkStart w:id="1354" w:name="_Toc182491883"/>
      <w:bookmarkStart w:id="1355" w:name="_Toc182492171"/>
      <w:bookmarkStart w:id="1356" w:name="_Toc182571948"/>
      <w:bookmarkStart w:id="1357" w:name="_Toc183434512"/>
      <w:bookmarkStart w:id="1358" w:name="_Toc183434767"/>
      <w:bookmarkStart w:id="1359" w:name="_Toc182491596"/>
      <w:bookmarkStart w:id="1360" w:name="_Toc182491884"/>
      <w:bookmarkStart w:id="1361" w:name="_Toc182492172"/>
      <w:bookmarkStart w:id="1362" w:name="_Toc182571949"/>
      <w:bookmarkStart w:id="1363" w:name="_Toc183434513"/>
      <w:bookmarkStart w:id="1364" w:name="_Toc183434768"/>
      <w:bookmarkStart w:id="1365" w:name="_Toc182491597"/>
      <w:bookmarkStart w:id="1366" w:name="_Toc182491885"/>
      <w:bookmarkStart w:id="1367" w:name="_Toc182492173"/>
      <w:bookmarkStart w:id="1368" w:name="_Toc182571950"/>
      <w:bookmarkStart w:id="1369" w:name="_Toc183434514"/>
      <w:bookmarkStart w:id="1370" w:name="_Toc183434769"/>
      <w:bookmarkStart w:id="1371" w:name="_Toc182491598"/>
      <w:bookmarkStart w:id="1372" w:name="_Toc182491886"/>
      <w:bookmarkStart w:id="1373" w:name="_Toc182492174"/>
      <w:bookmarkStart w:id="1374" w:name="_Toc182571951"/>
      <w:bookmarkStart w:id="1375" w:name="_Toc183434515"/>
      <w:bookmarkStart w:id="1376" w:name="_Toc183434770"/>
      <w:bookmarkStart w:id="1377" w:name="_Toc100328207"/>
      <w:bookmarkStart w:id="1378" w:name="_Toc188263132"/>
      <w:bookmarkStart w:id="1379" w:name="_Toc193462724"/>
      <w:bookmarkEnd w:id="315"/>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r w:rsidRPr="00A51443">
        <w:rPr>
          <w:lang w:val="en-PH"/>
        </w:rPr>
        <w:lastRenderedPageBreak/>
        <w:t>AR-DRG V</w:t>
      </w:r>
      <w:r w:rsidR="00756665" w:rsidRPr="00A51443">
        <w:rPr>
          <w:lang w:val="en-PH"/>
        </w:rPr>
        <w:t>12.0</w:t>
      </w:r>
      <w:r w:rsidRPr="00A51443">
        <w:rPr>
          <w:lang w:val="en-PH"/>
        </w:rPr>
        <w:t xml:space="preserve"> </w:t>
      </w:r>
      <w:r w:rsidR="00A254AB" w:rsidRPr="00A51443">
        <w:rPr>
          <w:lang w:val="en-PH"/>
        </w:rPr>
        <w:t>O</w:t>
      </w:r>
      <w:r w:rsidRPr="00A51443">
        <w:rPr>
          <w:lang w:val="en-PH"/>
        </w:rPr>
        <w:t>verview</w:t>
      </w:r>
      <w:bookmarkEnd w:id="1377"/>
      <w:bookmarkEnd w:id="1378"/>
      <w:bookmarkEnd w:id="1379"/>
    </w:p>
    <w:p w14:paraId="2B74BE30" w14:textId="27096992" w:rsidR="00F057B2" w:rsidRPr="00A51443" w:rsidRDefault="00C43F71" w:rsidP="00623EF7">
      <w:pPr>
        <w:pStyle w:val="Heading2"/>
        <w:numPr>
          <w:ilvl w:val="1"/>
          <w:numId w:val="8"/>
        </w:numPr>
        <w:ind w:left="720" w:hanging="720"/>
        <w:rPr>
          <w:lang w:val="en-PH"/>
        </w:rPr>
      </w:pPr>
      <w:bookmarkStart w:id="1380" w:name="_Toc534955816"/>
      <w:bookmarkStart w:id="1381" w:name="_Toc534955845"/>
      <w:bookmarkStart w:id="1382" w:name="_Toc534955937"/>
      <w:bookmarkStart w:id="1383" w:name="_Toc534965682"/>
      <w:bookmarkStart w:id="1384" w:name="_Toc534875816"/>
      <w:bookmarkStart w:id="1385" w:name="_Toc188263133"/>
      <w:bookmarkStart w:id="1386" w:name="_Toc100328208"/>
      <w:bookmarkStart w:id="1387" w:name="_Toc193462725"/>
      <w:bookmarkEnd w:id="1380"/>
      <w:bookmarkEnd w:id="1381"/>
      <w:bookmarkEnd w:id="1382"/>
      <w:bookmarkEnd w:id="1383"/>
      <w:bookmarkEnd w:id="1384"/>
      <w:r w:rsidRPr="00A51443">
        <w:rPr>
          <w:lang w:val="en-PH"/>
        </w:rPr>
        <w:t xml:space="preserve">Overall </w:t>
      </w:r>
      <w:bookmarkEnd w:id="1385"/>
      <w:r w:rsidR="00F057B2" w:rsidRPr="00A51443">
        <w:rPr>
          <w:lang w:val="en-PH"/>
        </w:rPr>
        <w:t>Summary</w:t>
      </w:r>
      <w:bookmarkEnd w:id="1386"/>
      <w:bookmarkEnd w:id="1387"/>
    </w:p>
    <w:p w14:paraId="38B0EFDC" w14:textId="06F5F2F3" w:rsidR="00F057B2" w:rsidRPr="00A51443" w:rsidRDefault="00F40A47" w:rsidP="00C006E1">
      <w:r w:rsidRPr="00A51443">
        <w:t xml:space="preserve">In </w:t>
      </w:r>
      <w:r w:rsidR="00F057B2" w:rsidRPr="00A51443">
        <w:t>AR-DRG V</w:t>
      </w:r>
      <w:r w:rsidR="00756665" w:rsidRPr="00A51443">
        <w:t>12.0</w:t>
      </w:r>
      <w:r w:rsidRPr="00A51443">
        <w:t>, there are a total of 405 ADRGs</w:t>
      </w:r>
      <w:r w:rsidR="00C43F71" w:rsidRPr="00A51443">
        <w:t xml:space="preserve"> and 811 DRGs</w:t>
      </w:r>
      <w:r w:rsidR="00F057B2" w:rsidRPr="00A51443">
        <w:t xml:space="preserve">. </w:t>
      </w:r>
      <w:r w:rsidR="00F6338B" w:rsidRPr="00A51443">
        <w:rPr>
          <w:b/>
          <w:bCs/>
        </w:rPr>
        <w:fldChar w:fldCharType="begin"/>
      </w:r>
      <w:r w:rsidR="00F6338B" w:rsidRPr="00A51443">
        <w:rPr>
          <w:b/>
          <w:bCs/>
        </w:rPr>
        <w:instrText xml:space="preserve"> REF _Ref184372246 \h </w:instrText>
      </w:r>
      <w:r w:rsidR="00A51443">
        <w:rPr>
          <w:b/>
          <w:bCs/>
        </w:rPr>
        <w:instrText xml:space="preserve"> \* MERGEFORMAT </w:instrText>
      </w:r>
      <w:r w:rsidR="00F6338B" w:rsidRPr="00A51443">
        <w:rPr>
          <w:b/>
          <w:bCs/>
        </w:rPr>
      </w:r>
      <w:r w:rsidR="00F6338B" w:rsidRPr="00A51443">
        <w:rPr>
          <w:b/>
          <w:bCs/>
        </w:rPr>
        <w:fldChar w:fldCharType="separate"/>
      </w:r>
      <w:r w:rsidR="009D07F9" w:rsidRPr="00A51443">
        <w:rPr>
          <w:b/>
          <w:color w:val="auto"/>
        </w:rPr>
        <w:t xml:space="preserve">Table </w:t>
      </w:r>
      <w:r w:rsidR="009D07F9">
        <w:rPr>
          <w:b/>
          <w:bCs/>
          <w:noProof/>
        </w:rPr>
        <w:t>4</w:t>
      </w:r>
      <w:r w:rsidR="00F6338B" w:rsidRPr="00A51443">
        <w:rPr>
          <w:b/>
          <w:bCs/>
        </w:rPr>
        <w:fldChar w:fldCharType="end"/>
      </w:r>
      <w:r w:rsidR="00F057B2" w:rsidRPr="00A51443">
        <w:t xml:space="preserve"> provides a breakdown of ADRGs</w:t>
      </w:r>
      <w:r w:rsidR="0069047F" w:rsidRPr="00A51443">
        <w:t xml:space="preserve"> </w:t>
      </w:r>
      <w:r w:rsidR="007C2147" w:rsidRPr="00A51443">
        <w:t>compared to</w:t>
      </w:r>
      <w:r w:rsidR="0069047F" w:rsidRPr="00A51443">
        <w:t xml:space="preserve"> ADRGs in AR-DRG V11.0</w:t>
      </w:r>
      <w:r w:rsidR="00F057B2" w:rsidRPr="00A51443">
        <w:t>.</w:t>
      </w:r>
    </w:p>
    <w:p w14:paraId="76EE9C24" w14:textId="6FC613CC" w:rsidR="00F057B2" w:rsidRPr="00A51443" w:rsidRDefault="00F057B2" w:rsidP="007032BC">
      <w:pPr>
        <w:spacing w:after="120"/>
        <w:rPr>
          <w:b/>
          <w:color w:val="auto"/>
        </w:rPr>
      </w:pPr>
      <w:bookmarkStart w:id="1388" w:name="_Ref184372246"/>
      <w:bookmarkStart w:id="1389" w:name="_Hlk181606321"/>
      <w:r w:rsidRPr="00A51443">
        <w:rPr>
          <w:b/>
          <w:color w:val="auto"/>
        </w:rPr>
        <w:t xml:space="preserve">Table </w:t>
      </w:r>
      <w:r w:rsidR="00906D60" w:rsidRPr="00A51443">
        <w:rPr>
          <w:b/>
          <w:bCs/>
        </w:rPr>
        <w:fldChar w:fldCharType="begin"/>
      </w:r>
      <w:r w:rsidR="00906D60" w:rsidRPr="00A51443">
        <w:rPr>
          <w:b/>
          <w:bCs/>
        </w:rPr>
        <w:instrText xml:space="preserve"> SEQ Table \* ARABIC </w:instrText>
      </w:r>
      <w:r w:rsidR="00906D60" w:rsidRPr="00A51443">
        <w:rPr>
          <w:b/>
          <w:bCs/>
        </w:rPr>
        <w:fldChar w:fldCharType="separate"/>
      </w:r>
      <w:r w:rsidR="009D07F9">
        <w:rPr>
          <w:b/>
          <w:bCs/>
          <w:noProof/>
        </w:rPr>
        <w:t>4</w:t>
      </w:r>
      <w:r w:rsidR="00906D60" w:rsidRPr="00A51443">
        <w:rPr>
          <w:b/>
          <w:bCs/>
        </w:rPr>
        <w:fldChar w:fldCharType="end"/>
      </w:r>
      <w:bookmarkEnd w:id="1388"/>
      <w:r w:rsidRPr="00A51443">
        <w:rPr>
          <w:b/>
          <w:color w:val="auto"/>
        </w:rPr>
        <w:t>: AR-DRG V</w:t>
      </w:r>
      <w:r w:rsidR="00756665" w:rsidRPr="00A51443">
        <w:rPr>
          <w:b/>
          <w:color w:val="auto"/>
        </w:rPr>
        <w:t>12.0</w:t>
      </w:r>
      <w:r w:rsidRPr="00A51443">
        <w:rPr>
          <w:b/>
          <w:color w:val="auto"/>
        </w:rPr>
        <w:t xml:space="preserve"> ADRG breakdown</w:t>
      </w:r>
    </w:p>
    <w:tbl>
      <w:tblPr>
        <w:tblW w:w="9634" w:type="dxa"/>
        <w:jc w:val="center"/>
        <w:tblLook w:val="04A0" w:firstRow="1" w:lastRow="0" w:firstColumn="1" w:lastColumn="0" w:noHBand="0" w:noVBand="1"/>
      </w:tblPr>
      <w:tblGrid>
        <w:gridCol w:w="278"/>
        <w:gridCol w:w="7088"/>
        <w:gridCol w:w="2268"/>
      </w:tblGrid>
      <w:tr w:rsidR="00167432" w:rsidRPr="00A51443" w14:paraId="0A61FA64" w14:textId="77777777" w:rsidTr="00000118">
        <w:trPr>
          <w:trHeight w:val="300"/>
          <w:tblHeader/>
          <w:jc w:val="center"/>
        </w:trPr>
        <w:tc>
          <w:tcPr>
            <w:tcW w:w="7366" w:type="dxa"/>
            <w:gridSpan w:val="2"/>
            <w:tcBorders>
              <w:top w:val="single" w:sz="4" w:space="0" w:color="auto"/>
              <w:left w:val="single" w:sz="4" w:space="0" w:color="auto"/>
              <w:right w:val="nil"/>
            </w:tcBorders>
            <w:shd w:val="clear" w:color="auto" w:fill="104F99" w:themeFill="accent2"/>
            <w:noWrap/>
            <w:vAlign w:val="center"/>
            <w:hideMark/>
          </w:tcPr>
          <w:p w14:paraId="5EB74787" w14:textId="77777777" w:rsidR="00167432" w:rsidRPr="00A51443" w:rsidRDefault="00167432" w:rsidP="00235023">
            <w:pPr>
              <w:spacing w:before="60" w:after="60" w:line="240" w:lineRule="auto"/>
              <w:rPr>
                <w:rFonts w:cs="Arial"/>
                <w:color w:val="FFFFFF" w:themeColor="accent6"/>
                <w:sz w:val="20"/>
                <w:szCs w:val="20"/>
              </w:rPr>
            </w:pPr>
            <w:r w:rsidRPr="00A51443">
              <w:rPr>
                <w:rFonts w:cs="Arial"/>
                <w:b/>
                <w:color w:val="FFFFFF" w:themeColor="accent6"/>
                <w:sz w:val="20"/>
                <w:szCs w:val="20"/>
              </w:rPr>
              <w:t>Categories</w:t>
            </w:r>
          </w:p>
        </w:tc>
        <w:tc>
          <w:tcPr>
            <w:tcW w:w="2268" w:type="dxa"/>
            <w:tcBorders>
              <w:top w:val="single" w:sz="4" w:space="0" w:color="auto"/>
              <w:left w:val="nil"/>
              <w:right w:val="single" w:sz="4" w:space="0" w:color="auto"/>
            </w:tcBorders>
            <w:shd w:val="clear" w:color="auto" w:fill="104F99" w:themeFill="accent2"/>
            <w:noWrap/>
            <w:vAlign w:val="center"/>
            <w:hideMark/>
          </w:tcPr>
          <w:p w14:paraId="3840008D" w14:textId="77777777" w:rsidR="00167432" w:rsidRPr="00A51443" w:rsidRDefault="00167432" w:rsidP="00235023">
            <w:pPr>
              <w:spacing w:before="60" w:after="60" w:line="240" w:lineRule="auto"/>
              <w:jc w:val="center"/>
              <w:rPr>
                <w:rFonts w:cs="Arial"/>
                <w:color w:val="FFFFFF" w:themeColor="accent6"/>
              </w:rPr>
            </w:pPr>
            <w:r w:rsidRPr="00A51443">
              <w:rPr>
                <w:rFonts w:cs="Arial"/>
                <w:b/>
                <w:color w:val="FFFFFF" w:themeColor="accent6"/>
              </w:rPr>
              <w:t>Number of ADRGs</w:t>
            </w:r>
          </w:p>
        </w:tc>
      </w:tr>
      <w:tr w:rsidR="00167432" w:rsidRPr="00A51443" w14:paraId="26F6CB6B" w14:textId="77777777" w:rsidTr="00000118">
        <w:trPr>
          <w:trHeight w:val="300"/>
          <w:jc w:val="center"/>
        </w:trPr>
        <w:tc>
          <w:tcPr>
            <w:tcW w:w="7366" w:type="dxa"/>
            <w:gridSpan w:val="2"/>
            <w:tcBorders>
              <w:top w:val="nil"/>
              <w:left w:val="single" w:sz="4" w:space="0" w:color="auto"/>
              <w:bottom w:val="single" w:sz="4" w:space="0" w:color="auto"/>
              <w:right w:val="nil"/>
            </w:tcBorders>
            <w:shd w:val="clear" w:color="auto" w:fill="auto"/>
            <w:noWrap/>
            <w:vAlign w:val="center"/>
            <w:hideMark/>
          </w:tcPr>
          <w:p w14:paraId="34AE2471" w14:textId="77777777" w:rsidR="00167432" w:rsidRPr="00A51443" w:rsidRDefault="00167432" w:rsidP="00235023">
            <w:pPr>
              <w:spacing w:before="60" w:after="60" w:line="240" w:lineRule="auto"/>
              <w:rPr>
                <w:rFonts w:cs="Arial"/>
                <w:b/>
                <w:bCs/>
                <w:sz w:val="20"/>
                <w:szCs w:val="20"/>
              </w:rPr>
            </w:pPr>
            <w:r w:rsidRPr="00A51443">
              <w:rPr>
                <w:rFonts w:cs="Arial"/>
                <w:b/>
                <w:bCs/>
                <w:sz w:val="20"/>
                <w:szCs w:val="20"/>
              </w:rPr>
              <w:t>New ADRGs</w:t>
            </w:r>
          </w:p>
        </w:tc>
        <w:tc>
          <w:tcPr>
            <w:tcW w:w="2268" w:type="dxa"/>
            <w:tcBorders>
              <w:top w:val="nil"/>
              <w:left w:val="nil"/>
              <w:bottom w:val="single" w:sz="4" w:space="0" w:color="auto"/>
              <w:right w:val="single" w:sz="4" w:space="0" w:color="auto"/>
            </w:tcBorders>
            <w:shd w:val="clear" w:color="auto" w:fill="auto"/>
            <w:noWrap/>
            <w:vAlign w:val="center"/>
            <w:hideMark/>
          </w:tcPr>
          <w:p w14:paraId="17B8C8A9" w14:textId="77777777" w:rsidR="00167432" w:rsidRPr="00A51443" w:rsidRDefault="00167432" w:rsidP="00235023">
            <w:pPr>
              <w:spacing w:before="60" w:after="60" w:line="240" w:lineRule="auto"/>
              <w:ind w:firstLine="28"/>
              <w:jc w:val="right"/>
              <w:rPr>
                <w:rFonts w:cs="Arial"/>
                <w:b/>
                <w:bCs/>
              </w:rPr>
            </w:pPr>
            <w:r w:rsidRPr="00A51443">
              <w:rPr>
                <w:rFonts w:cs="Arial"/>
                <w:b/>
                <w:bCs/>
              </w:rPr>
              <w:t>6</w:t>
            </w:r>
          </w:p>
        </w:tc>
      </w:tr>
      <w:tr w:rsidR="00167432" w:rsidRPr="00A51443" w14:paraId="4FFD3B35" w14:textId="77777777" w:rsidTr="00000118">
        <w:trPr>
          <w:trHeight w:val="300"/>
          <w:jc w:val="center"/>
        </w:trPr>
        <w:tc>
          <w:tcPr>
            <w:tcW w:w="7366" w:type="dxa"/>
            <w:gridSpan w:val="2"/>
            <w:tcBorders>
              <w:top w:val="single" w:sz="4" w:space="0" w:color="auto"/>
              <w:left w:val="single" w:sz="4" w:space="0" w:color="auto"/>
              <w:bottom w:val="dashed" w:sz="4" w:space="0" w:color="auto"/>
              <w:right w:val="nil"/>
            </w:tcBorders>
            <w:shd w:val="clear" w:color="auto" w:fill="auto"/>
            <w:noWrap/>
            <w:vAlign w:val="center"/>
            <w:hideMark/>
          </w:tcPr>
          <w:p w14:paraId="64E6A169" w14:textId="77777777" w:rsidR="00167432" w:rsidRPr="00A51443" w:rsidRDefault="00167432" w:rsidP="00235023">
            <w:pPr>
              <w:spacing w:before="60" w:after="60" w:line="240" w:lineRule="auto"/>
              <w:rPr>
                <w:rFonts w:cs="Arial"/>
                <w:b/>
                <w:bCs/>
                <w:sz w:val="20"/>
                <w:szCs w:val="20"/>
              </w:rPr>
            </w:pPr>
            <w:r w:rsidRPr="00A51443">
              <w:rPr>
                <w:rFonts w:cs="Arial"/>
                <w:b/>
                <w:bCs/>
                <w:sz w:val="20"/>
                <w:szCs w:val="20"/>
              </w:rPr>
              <w:t>Comparable ADRGs</w:t>
            </w:r>
          </w:p>
        </w:tc>
        <w:tc>
          <w:tcPr>
            <w:tcW w:w="2268" w:type="dxa"/>
            <w:tcBorders>
              <w:top w:val="single" w:sz="4" w:space="0" w:color="auto"/>
              <w:left w:val="nil"/>
              <w:bottom w:val="dashed" w:sz="4" w:space="0" w:color="auto"/>
              <w:right w:val="single" w:sz="4" w:space="0" w:color="auto"/>
            </w:tcBorders>
            <w:shd w:val="clear" w:color="auto" w:fill="auto"/>
            <w:noWrap/>
            <w:vAlign w:val="center"/>
            <w:hideMark/>
          </w:tcPr>
          <w:p w14:paraId="7ECB154E" w14:textId="763B8DB7" w:rsidR="00167432" w:rsidRPr="00A51443" w:rsidRDefault="002D4E42" w:rsidP="00235023">
            <w:pPr>
              <w:spacing w:before="60" w:after="60" w:line="240" w:lineRule="auto"/>
              <w:jc w:val="right"/>
              <w:rPr>
                <w:rFonts w:cs="Arial"/>
                <w:b/>
                <w:bCs/>
              </w:rPr>
            </w:pPr>
            <w:r w:rsidRPr="00A51443">
              <w:rPr>
                <w:rFonts w:cs="Arial"/>
                <w:b/>
                <w:bCs/>
              </w:rPr>
              <w:t>399</w:t>
            </w:r>
          </w:p>
        </w:tc>
      </w:tr>
      <w:tr w:rsidR="00167432" w:rsidRPr="00A51443" w14:paraId="0C44029B" w14:textId="77777777" w:rsidTr="00000118">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40D5536B" w14:textId="77777777" w:rsidR="00167432" w:rsidRPr="00A51443" w:rsidRDefault="00167432" w:rsidP="00235023">
            <w:pPr>
              <w:spacing w:before="60" w:after="60" w:line="240" w:lineRule="auto"/>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52EE10AD" w14:textId="263F17F0" w:rsidR="00167432" w:rsidRPr="00946677" w:rsidRDefault="00167432" w:rsidP="00235023">
            <w:pPr>
              <w:spacing w:before="60" w:after="60" w:line="240" w:lineRule="auto"/>
              <w:rPr>
                <w:b/>
                <w:i/>
                <w:sz w:val="20"/>
              </w:rPr>
            </w:pPr>
            <w:r w:rsidRPr="00A51443">
              <w:rPr>
                <w:rFonts w:cs="Arial"/>
                <w:i/>
                <w:iCs/>
                <w:sz w:val="20"/>
                <w:szCs w:val="20"/>
              </w:rPr>
              <w:t xml:space="preserve">ADRGs with same number of splits </w:t>
            </w:r>
            <w:r w:rsidR="006C79EB" w:rsidRPr="00A51443">
              <w:rPr>
                <w:rFonts w:cs="Arial"/>
                <w:i/>
                <w:iCs/>
                <w:sz w:val="20"/>
                <w:szCs w:val="20"/>
              </w:rPr>
              <w:t>as</w:t>
            </w:r>
            <w:r w:rsidRPr="00A51443">
              <w:rPr>
                <w:rFonts w:cs="Arial"/>
                <w:i/>
                <w:iCs/>
                <w:sz w:val="20"/>
                <w:szCs w:val="20"/>
              </w:rPr>
              <w:t xml:space="preserve"> V11</w:t>
            </w:r>
            <w:r w:rsidRPr="00A51443">
              <w:rPr>
                <w:rFonts w:cs="Arial"/>
                <w:b/>
                <w:bCs/>
                <w:i/>
                <w:iCs/>
                <w:sz w:val="20"/>
                <w:szCs w:val="20"/>
              </w:rPr>
              <w:t>.</w:t>
            </w:r>
            <w:r w:rsidRPr="00A51443">
              <w:rPr>
                <w:rFonts w:cs="Arial"/>
                <w:i/>
                <w:iCs/>
                <w:sz w:val="20"/>
                <w:szCs w:val="20"/>
              </w:rPr>
              <w:t>0</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1202B0C4" w14:textId="5758418F" w:rsidR="00167432" w:rsidRPr="00A51443" w:rsidRDefault="00152419" w:rsidP="00235023">
            <w:pPr>
              <w:spacing w:before="60" w:after="60" w:line="240" w:lineRule="auto"/>
              <w:jc w:val="right"/>
              <w:rPr>
                <w:rFonts w:cs="Arial"/>
              </w:rPr>
            </w:pPr>
            <w:r w:rsidRPr="00A51443">
              <w:rPr>
                <w:rFonts w:cs="Arial"/>
              </w:rPr>
              <w:t>397</w:t>
            </w:r>
          </w:p>
        </w:tc>
      </w:tr>
      <w:tr w:rsidR="00167432" w:rsidRPr="00A51443" w14:paraId="770DA961" w14:textId="77777777" w:rsidTr="00000118">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2824BF04" w14:textId="77777777" w:rsidR="00167432" w:rsidRPr="00A51443" w:rsidRDefault="00167432" w:rsidP="00235023">
            <w:pPr>
              <w:spacing w:before="60" w:after="60" w:line="240" w:lineRule="auto"/>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24C0B39A" w14:textId="77777777" w:rsidR="00167432" w:rsidRPr="00A51443" w:rsidRDefault="00167432" w:rsidP="00235023">
            <w:pPr>
              <w:spacing w:before="60" w:after="60" w:line="240" w:lineRule="auto"/>
              <w:ind w:left="461"/>
              <w:rPr>
                <w:rFonts w:cs="Arial"/>
                <w:sz w:val="20"/>
                <w:szCs w:val="20"/>
              </w:rPr>
            </w:pPr>
            <w:r w:rsidRPr="00A51443">
              <w:rPr>
                <w:rFonts w:cs="Arial"/>
                <w:sz w:val="20"/>
                <w:szCs w:val="20"/>
              </w:rPr>
              <w:t>Error ADRGs (960, 961 and 963)</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0FB6E8CD" w14:textId="77777777" w:rsidR="00167432" w:rsidRPr="00A51443" w:rsidRDefault="00167432" w:rsidP="00235023">
            <w:pPr>
              <w:spacing w:before="60" w:after="60" w:line="240" w:lineRule="auto"/>
              <w:jc w:val="right"/>
              <w:rPr>
                <w:rFonts w:cs="Arial"/>
              </w:rPr>
            </w:pPr>
            <w:r w:rsidRPr="00A51443">
              <w:rPr>
                <w:rFonts w:cs="Arial"/>
                <w:color w:val="000000"/>
              </w:rPr>
              <w:t>3</w:t>
            </w:r>
          </w:p>
        </w:tc>
      </w:tr>
      <w:tr w:rsidR="00167432" w:rsidRPr="00A51443" w14:paraId="5D7AC7F2" w14:textId="77777777" w:rsidTr="00000118">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6227F52F" w14:textId="77777777" w:rsidR="00167432" w:rsidRPr="00A51443" w:rsidRDefault="00167432" w:rsidP="00235023">
            <w:pPr>
              <w:spacing w:before="60" w:after="60" w:line="240" w:lineRule="auto"/>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31F5EB29" w14:textId="7382B77B" w:rsidR="00167432" w:rsidRPr="00A51443" w:rsidRDefault="00167432" w:rsidP="00235023">
            <w:pPr>
              <w:spacing w:before="60" w:after="60" w:line="240" w:lineRule="auto"/>
              <w:ind w:left="461"/>
              <w:rPr>
                <w:rFonts w:cs="Arial"/>
                <w:sz w:val="20"/>
                <w:szCs w:val="20"/>
              </w:rPr>
            </w:pPr>
            <w:r w:rsidRPr="00A51443">
              <w:rPr>
                <w:rFonts w:cs="Arial"/>
                <w:sz w:val="20"/>
                <w:szCs w:val="20"/>
              </w:rPr>
              <w:t>ADRG</w:t>
            </w:r>
            <w:r w:rsidR="00E761CF" w:rsidRPr="00A51443">
              <w:rPr>
                <w:rFonts w:cs="Arial"/>
                <w:sz w:val="20"/>
                <w:szCs w:val="20"/>
              </w:rPr>
              <w:t xml:space="preserve"> 801 </w:t>
            </w:r>
            <w:r w:rsidR="00E761CF" w:rsidRPr="00A51443">
              <w:rPr>
                <w:rFonts w:cs="Arial"/>
                <w:i/>
                <w:iCs/>
                <w:sz w:val="20"/>
                <w:szCs w:val="20"/>
              </w:rPr>
              <w:t>G</w:t>
            </w:r>
            <w:r w:rsidR="00BE22E3" w:rsidRPr="00A51443">
              <w:rPr>
                <w:rFonts w:cs="Arial"/>
                <w:i/>
                <w:iCs/>
                <w:sz w:val="20"/>
                <w:szCs w:val="20"/>
              </w:rPr>
              <w:t xml:space="preserve">eneral </w:t>
            </w:r>
            <w:r w:rsidR="00E761CF" w:rsidRPr="00A51443">
              <w:rPr>
                <w:rFonts w:cs="Arial"/>
                <w:i/>
                <w:iCs/>
                <w:sz w:val="20"/>
                <w:szCs w:val="20"/>
              </w:rPr>
              <w:t>I</w:t>
            </w:r>
            <w:r w:rsidR="00BE22E3" w:rsidRPr="00A51443">
              <w:rPr>
                <w:rFonts w:cs="Arial"/>
                <w:i/>
                <w:iCs/>
                <w:sz w:val="20"/>
                <w:szCs w:val="20"/>
              </w:rPr>
              <w:t>ntervention</w:t>
            </w:r>
            <w:r w:rsidR="00E761CF" w:rsidRPr="00A51443">
              <w:rPr>
                <w:rFonts w:cs="Arial"/>
                <w:i/>
                <w:iCs/>
                <w:sz w:val="20"/>
                <w:szCs w:val="20"/>
              </w:rPr>
              <w:t xml:space="preserve"> unrelated to principal diagnosis</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424B4AA1" w14:textId="77777777" w:rsidR="00167432" w:rsidRPr="00A51443" w:rsidRDefault="00167432" w:rsidP="00235023">
            <w:pPr>
              <w:spacing w:before="60" w:after="60" w:line="240" w:lineRule="auto"/>
              <w:jc w:val="right"/>
              <w:rPr>
                <w:rFonts w:cs="Arial"/>
              </w:rPr>
            </w:pPr>
            <w:r w:rsidRPr="00A51443">
              <w:rPr>
                <w:rFonts w:cs="Arial"/>
                <w:color w:val="000000"/>
              </w:rPr>
              <w:t>1</w:t>
            </w:r>
          </w:p>
        </w:tc>
      </w:tr>
      <w:tr w:rsidR="00167432" w:rsidRPr="00A51443" w14:paraId="69E326E8" w14:textId="77777777" w:rsidTr="00000118">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4A55775D" w14:textId="77777777" w:rsidR="00167432" w:rsidRPr="00A51443" w:rsidRDefault="00167432" w:rsidP="00235023">
            <w:pPr>
              <w:spacing w:before="60" w:after="60" w:line="240" w:lineRule="auto"/>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4BD10C91" w14:textId="42DCC3C5" w:rsidR="00167432" w:rsidRPr="00A51443" w:rsidRDefault="00167432" w:rsidP="00235023">
            <w:pPr>
              <w:spacing w:before="60" w:after="60" w:line="240" w:lineRule="auto"/>
              <w:ind w:left="461"/>
              <w:rPr>
                <w:rFonts w:cs="Arial"/>
                <w:sz w:val="20"/>
                <w:szCs w:val="20"/>
              </w:rPr>
            </w:pPr>
            <w:r w:rsidRPr="00A51443">
              <w:rPr>
                <w:rFonts w:cs="Arial"/>
                <w:sz w:val="20"/>
                <w:szCs w:val="20"/>
              </w:rPr>
              <w:t xml:space="preserve">ADRGs </w:t>
            </w:r>
            <w:r w:rsidR="0017582C" w:rsidRPr="00A51443">
              <w:rPr>
                <w:rFonts w:cs="Arial"/>
                <w:sz w:val="20"/>
                <w:szCs w:val="20"/>
              </w:rPr>
              <w:t xml:space="preserve">split </w:t>
            </w:r>
            <w:r w:rsidRPr="00A51443">
              <w:rPr>
                <w:rFonts w:cs="Arial"/>
                <w:sz w:val="20"/>
                <w:szCs w:val="20"/>
              </w:rPr>
              <w:t>using administrative variables</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2DDBF217" w14:textId="186C5958" w:rsidR="00167432" w:rsidRPr="00A51443" w:rsidRDefault="00BB428D" w:rsidP="00235023">
            <w:pPr>
              <w:spacing w:before="60" w:after="60" w:line="240" w:lineRule="auto"/>
              <w:jc w:val="right"/>
              <w:rPr>
                <w:rFonts w:cs="Arial"/>
              </w:rPr>
            </w:pPr>
            <w:r w:rsidRPr="00A51443">
              <w:rPr>
                <w:rFonts w:cs="Arial"/>
              </w:rPr>
              <w:t>6</w:t>
            </w:r>
          </w:p>
        </w:tc>
      </w:tr>
      <w:tr w:rsidR="00167432" w:rsidRPr="00A51443" w14:paraId="44B60C3E" w14:textId="77777777" w:rsidTr="00000118">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4A588838" w14:textId="77777777" w:rsidR="00167432" w:rsidRPr="00A51443" w:rsidRDefault="00167432" w:rsidP="00235023">
            <w:pPr>
              <w:spacing w:before="60" w:after="60" w:line="240" w:lineRule="auto"/>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416EA270" w14:textId="77777777" w:rsidR="00167432" w:rsidRPr="00A51443" w:rsidRDefault="00167432" w:rsidP="00235023">
            <w:pPr>
              <w:spacing w:before="60" w:after="60" w:line="240" w:lineRule="auto"/>
              <w:ind w:left="461"/>
              <w:rPr>
                <w:rFonts w:cs="Arial"/>
                <w:sz w:val="20"/>
                <w:szCs w:val="20"/>
              </w:rPr>
            </w:pPr>
            <w:r w:rsidRPr="00A51443">
              <w:rPr>
                <w:rFonts w:cs="Arial"/>
                <w:sz w:val="20"/>
                <w:szCs w:val="20"/>
              </w:rPr>
              <w:t>ADRGs with manual splits to support stability</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4C5A7136" w14:textId="0733E04B" w:rsidR="00167432" w:rsidRPr="00A51443" w:rsidRDefault="001E3ADA" w:rsidP="00235023">
            <w:pPr>
              <w:spacing w:before="60" w:after="60" w:line="240" w:lineRule="auto"/>
              <w:jc w:val="right"/>
              <w:rPr>
                <w:rFonts w:cs="Arial"/>
              </w:rPr>
            </w:pPr>
            <w:r w:rsidRPr="00A51443">
              <w:rPr>
                <w:rFonts w:cs="Arial"/>
              </w:rPr>
              <w:t>11</w:t>
            </w:r>
          </w:p>
        </w:tc>
      </w:tr>
      <w:tr w:rsidR="00167432" w:rsidRPr="00A51443" w14:paraId="3704EB1D" w14:textId="77777777" w:rsidTr="00000118">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17008862" w14:textId="77777777" w:rsidR="00167432" w:rsidRPr="00A51443" w:rsidRDefault="00167432" w:rsidP="00235023">
            <w:pPr>
              <w:spacing w:before="60" w:after="60" w:line="240" w:lineRule="auto"/>
              <w:rPr>
                <w:rFonts w:cs="Arial"/>
              </w:rPr>
            </w:pPr>
          </w:p>
        </w:tc>
        <w:tc>
          <w:tcPr>
            <w:tcW w:w="7088" w:type="dxa"/>
            <w:tcBorders>
              <w:top w:val="dashed" w:sz="4" w:space="0" w:color="auto"/>
              <w:left w:val="nil"/>
              <w:bottom w:val="dashed" w:sz="4" w:space="0" w:color="auto"/>
              <w:right w:val="nil"/>
            </w:tcBorders>
            <w:shd w:val="clear" w:color="auto" w:fill="auto"/>
            <w:noWrap/>
            <w:vAlign w:val="center"/>
          </w:tcPr>
          <w:p w14:paraId="0A7CD39F" w14:textId="61752867" w:rsidR="00167432" w:rsidRPr="00A51443" w:rsidRDefault="00167432" w:rsidP="00235023">
            <w:pPr>
              <w:spacing w:before="60" w:after="60" w:line="240" w:lineRule="auto"/>
              <w:ind w:left="461"/>
              <w:rPr>
                <w:rFonts w:cs="Arial"/>
                <w:sz w:val="20"/>
                <w:szCs w:val="20"/>
              </w:rPr>
            </w:pPr>
            <w:r w:rsidRPr="00A51443">
              <w:rPr>
                <w:rFonts w:cs="Arial"/>
                <w:sz w:val="20"/>
                <w:szCs w:val="20"/>
              </w:rPr>
              <w:t xml:space="preserve">ADRGs with manual splits due to failure to select </w:t>
            </w:r>
            <w:r w:rsidRPr="00AA3993">
              <w:rPr>
                <w:rFonts w:cs="Arial"/>
                <w:sz w:val="20"/>
                <w:szCs w:val="20"/>
              </w:rPr>
              <w:t>a</w:t>
            </w:r>
            <w:r w:rsidR="00B52C74">
              <w:rPr>
                <w:rFonts w:cs="Arial"/>
                <w:sz w:val="20"/>
                <w:szCs w:val="20"/>
              </w:rPr>
              <w:t xml:space="preserve"> </w:t>
            </w:r>
            <w:r w:rsidR="00D43A12" w:rsidRPr="00AA3993">
              <w:rPr>
                <w:rFonts w:cs="Arial"/>
                <w:sz w:val="20"/>
                <w:szCs w:val="20"/>
              </w:rPr>
              <w:t>candidate</w:t>
            </w:r>
            <w:r w:rsidRPr="00A51443">
              <w:rPr>
                <w:rFonts w:cs="Arial"/>
                <w:sz w:val="20"/>
                <w:szCs w:val="20"/>
              </w:rPr>
              <w:t xml:space="preserve"> threshold</w:t>
            </w:r>
          </w:p>
        </w:tc>
        <w:tc>
          <w:tcPr>
            <w:tcW w:w="2268" w:type="dxa"/>
            <w:tcBorders>
              <w:top w:val="dashed" w:sz="4" w:space="0" w:color="auto"/>
              <w:left w:val="nil"/>
              <w:bottom w:val="dashed" w:sz="4" w:space="0" w:color="auto"/>
              <w:right w:val="single" w:sz="4" w:space="0" w:color="auto"/>
            </w:tcBorders>
            <w:shd w:val="clear" w:color="auto" w:fill="auto"/>
            <w:noWrap/>
            <w:vAlign w:val="center"/>
          </w:tcPr>
          <w:p w14:paraId="71CF4131" w14:textId="5CEFDFBB" w:rsidR="00167432" w:rsidRPr="00A51443" w:rsidRDefault="0093723B" w:rsidP="00235023">
            <w:pPr>
              <w:spacing w:before="60" w:after="60" w:line="240" w:lineRule="auto"/>
              <w:jc w:val="right"/>
              <w:rPr>
                <w:rFonts w:cs="Arial"/>
              </w:rPr>
            </w:pPr>
            <w:r w:rsidRPr="00A51443">
              <w:rPr>
                <w:rFonts w:cs="Arial"/>
              </w:rPr>
              <w:t>1</w:t>
            </w:r>
            <w:r w:rsidR="00BB428D" w:rsidRPr="00A51443">
              <w:rPr>
                <w:rFonts w:cs="Arial"/>
              </w:rPr>
              <w:t>8</w:t>
            </w:r>
          </w:p>
        </w:tc>
      </w:tr>
      <w:tr w:rsidR="00167432" w:rsidRPr="00A51443" w14:paraId="5AF0FF02" w14:textId="77777777" w:rsidTr="00000118">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hideMark/>
          </w:tcPr>
          <w:p w14:paraId="52BC8A2E" w14:textId="77777777" w:rsidR="00167432" w:rsidRPr="00A51443" w:rsidRDefault="00167432" w:rsidP="00235023">
            <w:pPr>
              <w:spacing w:before="60" w:after="60" w:line="240" w:lineRule="auto"/>
              <w:rPr>
                <w:rFonts w:cs="Arial"/>
              </w:rPr>
            </w:pPr>
          </w:p>
        </w:tc>
        <w:tc>
          <w:tcPr>
            <w:tcW w:w="7088" w:type="dxa"/>
            <w:tcBorders>
              <w:top w:val="dashed" w:sz="4" w:space="0" w:color="auto"/>
              <w:left w:val="nil"/>
              <w:bottom w:val="dashed" w:sz="4" w:space="0" w:color="auto"/>
              <w:right w:val="nil"/>
            </w:tcBorders>
            <w:shd w:val="clear" w:color="auto" w:fill="auto"/>
            <w:noWrap/>
            <w:vAlign w:val="center"/>
            <w:hideMark/>
          </w:tcPr>
          <w:p w14:paraId="260DEDF7" w14:textId="77777777" w:rsidR="00167432" w:rsidRPr="00A51443" w:rsidRDefault="00167432" w:rsidP="00235023">
            <w:pPr>
              <w:spacing w:before="60" w:after="60" w:line="240" w:lineRule="auto"/>
              <w:ind w:left="461"/>
              <w:rPr>
                <w:rFonts w:cs="Arial"/>
                <w:sz w:val="20"/>
                <w:szCs w:val="20"/>
              </w:rPr>
            </w:pPr>
            <w:r w:rsidRPr="00A51443">
              <w:rPr>
                <w:rFonts w:cs="Arial"/>
                <w:sz w:val="20"/>
                <w:szCs w:val="20"/>
              </w:rPr>
              <w:t>Other ADRGs with same number of splits as V11.0</w:t>
            </w:r>
          </w:p>
        </w:tc>
        <w:tc>
          <w:tcPr>
            <w:tcW w:w="2268" w:type="dxa"/>
            <w:tcBorders>
              <w:top w:val="dashed" w:sz="4" w:space="0" w:color="auto"/>
              <w:left w:val="nil"/>
              <w:bottom w:val="dashed" w:sz="4" w:space="0" w:color="auto"/>
              <w:right w:val="single" w:sz="4" w:space="0" w:color="auto"/>
            </w:tcBorders>
            <w:shd w:val="clear" w:color="auto" w:fill="auto"/>
            <w:noWrap/>
            <w:vAlign w:val="center"/>
            <w:hideMark/>
          </w:tcPr>
          <w:p w14:paraId="7F6EDBBE" w14:textId="6EF7C727" w:rsidR="00167432" w:rsidRPr="00A51443" w:rsidRDefault="008922AD" w:rsidP="00235023">
            <w:pPr>
              <w:spacing w:before="60" w:after="60" w:line="240" w:lineRule="auto"/>
              <w:jc w:val="right"/>
              <w:rPr>
                <w:rFonts w:cs="Arial"/>
              </w:rPr>
            </w:pPr>
            <w:r w:rsidRPr="00A51443">
              <w:rPr>
                <w:rFonts w:cs="Arial"/>
              </w:rPr>
              <w:t>358</w:t>
            </w:r>
          </w:p>
        </w:tc>
      </w:tr>
      <w:tr w:rsidR="002D4E42" w:rsidRPr="00A51443" w14:paraId="3E63E1BD" w14:textId="77777777" w:rsidTr="00000118">
        <w:trPr>
          <w:trHeight w:val="300"/>
          <w:jc w:val="center"/>
        </w:trPr>
        <w:tc>
          <w:tcPr>
            <w:tcW w:w="278" w:type="dxa"/>
            <w:tcBorders>
              <w:top w:val="dashed" w:sz="4" w:space="0" w:color="auto"/>
              <w:left w:val="single" w:sz="4" w:space="0" w:color="auto"/>
              <w:bottom w:val="single" w:sz="4" w:space="0" w:color="auto"/>
              <w:right w:val="nil"/>
            </w:tcBorders>
            <w:shd w:val="clear" w:color="auto" w:fill="auto"/>
            <w:noWrap/>
            <w:vAlign w:val="center"/>
          </w:tcPr>
          <w:p w14:paraId="6A73DAA6" w14:textId="77777777" w:rsidR="002D4E42" w:rsidRPr="00A51443" w:rsidRDefault="002D4E42" w:rsidP="00235023">
            <w:pPr>
              <w:spacing w:before="60" w:after="60" w:line="240" w:lineRule="auto"/>
              <w:rPr>
                <w:rFonts w:cs="Arial"/>
              </w:rPr>
            </w:pPr>
          </w:p>
        </w:tc>
        <w:tc>
          <w:tcPr>
            <w:tcW w:w="7088" w:type="dxa"/>
            <w:tcBorders>
              <w:top w:val="dashed" w:sz="4" w:space="0" w:color="auto"/>
              <w:left w:val="nil"/>
              <w:bottom w:val="single" w:sz="4" w:space="0" w:color="auto"/>
              <w:right w:val="nil"/>
            </w:tcBorders>
            <w:shd w:val="clear" w:color="auto" w:fill="auto"/>
            <w:noWrap/>
            <w:vAlign w:val="center"/>
          </w:tcPr>
          <w:p w14:paraId="7997F3DC" w14:textId="56DBB03D" w:rsidR="002D4E42" w:rsidRPr="00A51443" w:rsidRDefault="002D4E42" w:rsidP="00235023">
            <w:pPr>
              <w:spacing w:before="60" w:after="60" w:line="240" w:lineRule="auto"/>
              <w:rPr>
                <w:rFonts w:cs="Arial"/>
                <w:sz w:val="20"/>
                <w:szCs w:val="20"/>
              </w:rPr>
            </w:pPr>
            <w:r w:rsidRPr="00A51443">
              <w:rPr>
                <w:rFonts w:cs="Arial"/>
                <w:i/>
                <w:iCs/>
                <w:sz w:val="20"/>
                <w:szCs w:val="20"/>
              </w:rPr>
              <w:t>ADRGs with different number of splits to V11.0</w:t>
            </w:r>
          </w:p>
        </w:tc>
        <w:tc>
          <w:tcPr>
            <w:tcW w:w="2268" w:type="dxa"/>
            <w:tcBorders>
              <w:top w:val="dashed" w:sz="4" w:space="0" w:color="auto"/>
              <w:left w:val="nil"/>
              <w:bottom w:val="single" w:sz="4" w:space="0" w:color="auto"/>
              <w:right w:val="single" w:sz="4" w:space="0" w:color="auto"/>
            </w:tcBorders>
            <w:shd w:val="clear" w:color="auto" w:fill="auto"/>
            <w:noWrap/>
            <w:vAlign w:val="center"/>
          </w:tcPr>
          <w:p w14:paraId="55732BCB" w14:textId="691CE851" w:rsidR="002D4E42" w:rsidRPr="00A51443" w:rsidRDefault="002D4E42" w:rsidP="00235023">
            <w:pPr>
              <w:spacing w:before="60" w:after="60" w:line="240" w:lineRule="auto"/>
              <w:jc w:val="right"/>
              <w:rPr>
                <w:rFonts w:cs="Arial"/>
                <w:color w:val="000000"/>
              </w:rPr>
            </w:pPr>
            <w:r w:rsidRPr="00A51443">
              <w:rPr>
                <w:rFonts w:cs="Arial"/>
                <w:color w:val="000000"/>
              </w:rPr>
              <w:t>2</w:t>
            </w:r>
          </w:p>
        </w:tc>
      </w:tr>
      <w:tr w:rsidR="002D4E42" w:rsidRPr="00A51443" w14:paraId="4396EBDB" w14:textId="77777777" w:rsidTr="00000118">
        <w:trPr>
          <w:trHeight w:val="300"/>
          <w:jc w:val="center"/>
        </w:trPr>
        <w:tc>
          <w:tcPr>
            <w:tcW w:w="7366" w:type="dxa"/>
            <w:gridSpan w:val="2"/>
            <w:tcBorders>
              <w:top w:val="single" w:sz="4" w:space="0" w:color="auto"/>
              <w:left w:val="single" w:sz="4" w:space="0" w:color="auto"/>
              <w:bottom w:val="single" w:sz="4" w:space="0" w:color="auto"/>
              <w:right w:val="nil"/>
            </w:tcBorders>
            <w:shd w:val="clear" w:color="auto" w:fill="auto"/>
            <w:noWrap/>
            <w:vAlign w:val="center"/>
          </w:tcPr>
          <w:p w14:paraId="7817FA97" w14:textId="1509596C" w:rsidR="002D4E42" w:rsidRPr="00A51443" w:rsidRDefault="002D4E42" w:rsidP="00235023">
            <w:pPr>
              <w:spacing w:before="60" w:after="60" w:line="240" w:lineRule="auto"/>
              <w:rPr>
                <w:rFonts w:cs="Arial"/>
                <w:b/>
                <w:bCs/>
                <w:sz w:val="20"/>
                <w:szCs w:val="20"/>
              </w:rPr>
            </w:pPr>
            <w:r w:rsidRPr="00A51443">
              <w:rPr>
                <w:rFonts w:cs="Arial"/>
                <w:b/>
                <w:bCs/>
                <w:sz w:val="20"/>
                <w:szCs w:val="20"/>
              </w:rPr>
              <w:t>Total</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F567AB" w14:textId="77777777" w:rsidR="002D4E42" w:rsidRPr="00A51443" w:rsidDel="00284D3C" w:rsidRDefault="002D4E42" w:rsidP="00235023">
            <w:pPr>
              <w:tabs>
                <w:tab w:val="left" w:pos="1830"/>
              </w:tabs>
              <w:spacing w:before="60" w:after="60" w:line="240" w:lineRule="auto"/>
              <w:jc w:val="right"/>
              <w:rPr>
                <w:rFonts w:cs="Arial"/>
                <w:b/>
                <w:bCs/>
              </w:rPr>
            </w:pPr>
            <w:r w:rsidRPr="00A51443">
              <w:rPr>
                <w:rFonts w:cs="Arial"/>
                <w:b/>
                <w:bCs/>
              </w:rPr>
              <w:t>405</w:t>
            </w:r>
          </w:p>
        </w:tc>
      </w:tr>
    </w:tbl>
    <w:p w14:paraId="249CDB38" w14:textId="00496E82" w:rsidR="00F057B2" w:rsidRPr="00A51443" w:rsidRDefault="00F057B2" w:rsidP="00C9526E">
      <w:pPr>
        <w:spacing w:before="160"/>
      </w:pPr>
      <w:r w:rsidRPr="00A51443">
        <w:t xml:space="preserve">The </w:t>
      </w:r>
      <w:r w:rsidR="00BB428D" w:rsidRPr="00A51443">
        <w:t>6</w:t>
      </w:r>
      <w:r w:rsidRPr="00A51443">
        <w:t xml:space="preserve"> new ADRGs are detailed in </w:t>
      </w:r>
      <w:r w:rsidR="00F6338B" w:rsidRPr="00A51443">
        <w:rPr>
          <w:b/>
          <w:bCs/>
        </w:rPr>
        <w:fldChar w:fldCharType="begin"/>
      </w:r>
      <w:r w:rsidR="00F6338B" w:rsidRPr="00A51443">
        <w:rPr>
          <w:b/>
          <w:bCs/>
        </w:rPr>
        <w:instrText xml:space="preserve"> REF _Ref184372263 \h  \* MERGEFORMAT </w:instrText>
      </w:r>
      <w:r w:rsidR="00F6338B" w:rsidRPr="00A51443">
        <w:rPr>
          <w:b/>
          <w:bCs/>
        </w:rPr>
      </w:r>
      <w:r w:rsidR="00F6338B" w:rsidRPr="00A51443">
        <w:rPr>
          <w:b/>
          <w:bCs/>
        </w:rPr>
        <w:fldChar w:fldCharType="separate"/>
      </w:r>
      <w:r w:rsidR="009D07F9" w:rsidRPr="009D07F9">
        <w:rPr>
          <w:b/>
          <w:bCs/>
        </w:rPr>
        <w:t xml:space="preserve">Table </w:t>
      </w:r>
      <w:r w:rsidR="009D07F9" w:rsidRPr="009D07F9">
        <w:rPr>
          <w:b/>
          <w:bCs/>
          <w:noProof/>
        </w:rPr>
        <w:t>5</w:t>
      </w:r>
      <w:r w:rsidR="00F6338B" w:rsidRPr="00A51443">
        <w:rPr>
          <w:b/>
          <w:bCs/>
        </w:rPr>
        <w:fldChar w:fldCharType="end"/>
      </w:r>
      <w:r w:rsidRPr="00A51443">
        <w:t>.</w:t>
      </w:r>
    </w:p>
    <w:p w14:paraId="3092C59E" w14:textId="083216FB" w:rsidR="00F057B2" w:rsidRPr="00A51443" w:rsidRDefault="00F057B2" w:rsidP="004E2BB8">
      <w:pPr>
        <w:pStyle w:val="Caption"/>
      </w:pPr>
      <w:bookmarkStart w:id="1390" w:name="_Ref344974"/>
      <w:bookmarkStart w:id="1391" w:name="_Ref184372263"/>
      <w:r w:rsidRPr="00A51443">
        <w:t xml:space="preserve">Table </w:t>
      </w:r>
      <w:bookmarkEnd w:id="1390"/>
      <w:r w:rsidR="00906D60" w:rsidRPr="00A51443">
        <w:fldChar w:fldCharType="begin"/>
      </w:r>
      <w:r w:rsidR="00906D60" w:rsidRPr="00A51443">
        <w:instrText xml:space="preserve"> SEQ Table \* ARABIC </w:instrText>
      </w:r>
      <w:r w:rsidR="00906D60" w:rsidRPr="00A51443">
        <w:fldChar w:fldCharType="separate"/>
      </w:r>
      <w:r w:rsidR="009D07F9">
        <w:rPr>
          <w:noProof/>
        </w:rPr>
        <w:t>5</w:t>
      </w:r>
      <w:r w:rsidR="00906D60" w:rsidRPr="00A51443">
        <w:fldChar w:fldCharType="end"/>
      </w:r>
      <w:bookmarkEnd w:id="1391"/>
      <w:r w:rsidRPr="00A51443">
        <w:t>: New ADRGs</w:t>
      </w:r>
      <w:r w:rsidR="008510EF" w:rsidRPr="00A51443">
        <w:t xml:space="preserve"> in AR-DRG V12.0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20"/>
        <w:gridCol w:w="6260"/>
      </w:tblGrid>
      <w:tr w:rsidR="00F057B2" w:rsidRPr="00A51443" w14:paraId="7DF95109" w14:textId="77777777" w:rsidTr="00560B47">
        <w:trPr>
          <w:tblHeader/>
          <w:jc w:val="center"/>
        </w:trPr>
        <w:tc>
          <w:tcPr>
            <w:tcW w:w="2220" w:type="dxa"/>
            <w:shd w:val="clear" w:color="auto" w:fill="104F99"/>
          </w:tcPr>
          <w:p w14:paraId="09B402D0" w14:textId="02676F47" w:rsidR="00F057B2" w:rsidRPr="00A51443" w:rsidRDefault="00F057B2" w:rsidP="00235023">
            <w:pPr>
              <w:spacing w:before="60" w:after="60" w:line="240" w:lineRule="auto"/>
              <w:rPr>
                <w:b/>
                <w:color w:val="FFFFFF" w:themeColor="accent6"/>
                <w:sz w:val="20"/>
                <w:szCs w:val="20"/>
              </w:rPr>
            </w:pPr>
            <w:r w:rsidRPr="00A51443">
              <w:rPr>
                <w:b/>
                <w:color w:val="FFFFFF" w:themeColor="accent6"/>
                <w:sz w:val="20"/>
                <w:szCs w:val="20"/>
              </w:rPr>
              <w:t>ADRG</w:t>
            </w:r>
          </w:p>
        </w:tc>
        <w:tc>
          <w:tcPr>
            <w:tcW w:w="6260" w:type="dxa"/>
            <w:shd w:val="clear" w:color="auto" w:fill="104F99"/>
          </w:tcPr>
          <w:p w14:paraId="59DC92D1" w14:textId="4CD0D425" w:rsidR="00F057B2" w:rsidRPr="00A51443" w:rsidRDefault="00F057B2" w:rsidP="00235023">
            <w:pPr>
              <w:spacing w:before="60" w:after="60" w:line="240" w:lineRule="auto"/>
              <w:rPr>
                <w:b/>
                <w:color w:val="FFFFFF" w:themeColor="accent6"/>
                <w:sz w:val="20"/>
                <w:szCs w:val="20"/>
              </w:rPr>
            </w:pPr>
            <w:r w:rsidRPr="00A51443">
              <w:rPr>
                <w:b/>
                <w:color w:val="FFFFFF" w:themeColor="accent6"/>
                <w:sz w:val="20"/>
                <w:szCs w:val="20"/>
              </w:rPr>
              <w:t>Description</w:t>
            </w:r>
          </w:p>
        </w:tc>
      </w:tr>
      <w:tr w:rsidR="007A0E7D" w:rsidRPr="00A51443" w14:paraId="6871B9C9" w14:textId="77777777" w:rsidTr="00560B47">
        <w:trPr>
          <w:jc w:val="center"/>
        </w:trPr>
        <w:tc>
          <w:tcPr>
            <w:tcW w:w="2220" w:type="dxa"/>
          </w:tcPr>
          <w:p w14:paraId="6BBDD981" w14:textId="6A32B42B" w:rsidR="007A0E7D" w:rsidRPr="00A51443" w:rsidRDefault="007A0E7D" w:rsidP="00235023">
            <w:pPr>
              <w:pStyle w:val="BodyText"/>
              <w:spacing w:before="60" w:after="60"/>
              <w:ind w:right="437"/>
              <w:rPr>
                <w:sz w:val="20"/>
                <w:szCs w:val="20"/>
              </w:rPr>
            </w:pPr>
            <w:r w:rsidRPr="00A51443">
              <w:rPr>
                <w:color w:val="14272E"/>
                <w:sz w:val="20"/>
                <w:szCs w:val="20"/>
              </w:rPr>
              <w:t>A16</w:t>
            </w:r>
          </w:p>
        </w:tc>
        <w:tc>
          <w:tcPr>
            <w:tcW w:w="6260" w:type="dxa"/>
          </w:tcPr>
          <w:p w14:paraId="6D4E1B14" w14:textId="1127FC89" w:rsidR="007A0E7D" w:rsidRPr="00A51443" w:rsidRDefault="008F4A17" w:rsidP="00235023">
            <w:pPr>
              <w:spacing w:before="60" w:after="60" w:line="240" w:lineRule="auto"/>
              <w:rPr>
                <w:sz w:val="20"/>
                <w:szCs w:val="20"/>
              </w:rPr>
            </w:pPr>
            <w:r w:rsidRPr="00A51443">
              <w:rPr>
                <w:i/>
                <w:iCs/>
                <w:color w:val="14272E"/>
                <w:sz w:val="20"/>
                <w:szCs w:val="20"/>
              </w:rPr>
              <w:t>Posthumous organ procurement</w:t>
            </w:r>
          </w:p>
        </w:tc>
      </w:tr>
      <w:tr w:rsidR="007A0E7D" w:rsidRPr="00A51443" w14:paraId="769BF605" w14:textId="77777777" w:rsidTr="00560B47">
        <w:trPr>
          <w:jc w:val="center"/>
        </w:trPr>
        <w:tc>
          <w:tcPr>
            <w:tcW w:w="2220" w:type="dxa"/>
          </w:tcPr>
          <w:p w14:paraId="6DF14708" w14:textId="77777777" w:rsidR="007A0E7D" w:rsidRPr="00A51443" w:rsidDel="008508F1" w:rsidRDefault="007A0E7D" w:rsidP="00235023">
            <w:pPr>
              <w:spacing w:before="60" w:after="60" w:line="240" w:lineRule="auto"/>
              <w:rPr>
                <w:sz w:val="20"/>
                <w:szCs w:val="20"/>
              </w:rPr>
            </w:pPr>
            <w:r w:rsidRPr="00A51443">
              <w:rPr>
                <w:color w:val="14272E"/>
                <w:sz w:val="20"/>
                <w:szCs w:val="20"/>
              </w:rPr>
              <w:t>O67</w:t>
            </w:r>
          </w:p>
        </w:tc>
        <w:tc>
          <w:tcPr>
            <w:tcW w:w="6260" w:type="dxa"/>
          </w:tcPr>
          <w:p w14:paraId="5C3EF724" w14:textId="5C7B960D" w:rsidR="007A0E7D" w:rsidRPr="00A51443" w:rsidRDefault="007A0E7D" w:rsidP="00235023">
            <w:pPr>
              <w:spacing w:before="60" w:after="60" w:line="240" w:lineRule="auto"/>
              <w:rPr>
                <w:sz w:val="20"/>
                <w:szCs w:val="20"/>
              </w:rPr>
            </w:pPr>
            <w:r w:rsidRPr="00A51443">
              <w:rPr>
                <w:i/>
                <w:iCs/>
                <w:color w:val="14272E"/>
                <w:sz w:val="20"/>
                <w:szCs w:val="20"/>
              </w:rPr>
              <w:t xml:space="preserve">Diabetes </w:t>
            </w:r>
            <w:r w:rsidR="008F4A17" w:rsidRPr="00A51443">
              <w:rPr>
                <w:i/>
                <w:iCs/>
                <w:color w:val="14272E"/>
                <w:sz w:val="20"/>
                <w:szCs w:val="20"/>
              </w:rPr>
              <w:t>m</w:t>
            </w:r>
            <w:r w:rsidRPr="00A51443">
              <w:rPr>
                <w:i/>
                <w:iCs/>
                <w:color w:val="14272E"/>
                <w:sz w:val="20"/>
                <w:szCs w:val="20"/>
              </w:rPr>
              <w:t xml:space="preserve">ellitus and </w:t>
            </w:r>
            <w:r w:rsidR="00793321" w:rsidRPr="00A51443">
              <w:rPr>
                <w:i/>
                <w:iCs/>
                <w:color w:val="14272E"/>
                <w:sz w:val="20"/>
                <w:szCs w:val="20"/>
              </w:rPr>
              <w:t>intermediate</w:t>
            </w:r>
            <w:r w:rsidRPr="00A51443">
              <w:rPr>
                <w:i/>
                <w:iCs/>
                <w:color w:val="14272E"/>
                <w:sz w:val="20"/>
                <w:szCs w:val="20"/>
              </w:rPr>
              <w:t xml:space="preserve"> </w:t>
            </w:r>
            <w:r w:rsidR="008F4A17" w:rsidRPr="00A51443">
              <w:rPr>
                <w:i/>
                <w:iCs/>
                <w:color w:val="14272E"/>
                <w:sz w:val="20"/>
                <w:szCs w:val="20"/>
              </w:rPr>
              <w:t>h</w:t>
            </w:r>
            <w:r w:rsidRPr="00A51443">
              <w:rPr>
                <w:i/>
                <w:iCs/>
                <w:color w:val="14272E"/>
                <w:sz w:val="20"/>
                <w:szCs w:val="20"/>
              </w:rPr>
              <w:t xml:space="preserve">yperglycaemia in </w:t>
            </w:r>
            <w:r w:rsidR="008F4A17" w:rsidRPr="00A51443">
              <w:rPr>
                <w:i/>
                <w:iCs/>
                <w:color w:val="14272E"/>
                <w:sz w:val="20"/>
                <w:szCs w:val="20"/>
              </w:rPr>
              <w:t>p</w:t>
            </w:r>
            <w:r w:rsidRPr="00A51443">
              <w:rPr>
                <w:i/>
                <w:iCs/>
                <w:color w:val="14272E"/>
                <w:sz w:val="20"/>
                <w:szCs w:val="20"/>
              </w:rPr>
              <w:t xml:space="preserve">regnancy and the </w:t>
            </w:r>
            <w:r w:rsidR="008F4A17" w:rsidRPr="00A51443">
              <w:rPr>
                <w:i/>
                <w:iCs/>
                <w:color w:val="14272E"/>
                <w:sz w:val="20"/>
                <w:szCs w:val="20"/>
              </w:rPr>
              <w:t>p</w:t>
            </w:r>
            <w:r w:rsidRPr="00A51443">
              <w:rPr>
                <w:i/>
                <w:iCs/>
                <w:color w:val="14272E"/>
                <w:sz w:val="20"/>
                <w:szCs w:val="20"/>
              </w:rPr>
              <w:t>uerperium</w:t>
            </w:r>
          </w:p>
        </w:tc>
      </w:tr>
      <w:tr w:rsidR="007A0E7D" w:rsidRPr="00A51443" w14:paraId="57AF2A63" w14:textId="77777777" w:rsidTr="00560B47">
        <w:trPr>
          <w:jc w:val="center"/>
        </w:trPr>
        <w:tc>
          <w:tcPr>
            <w:tcW w:w="2220" w:type="dxa"/>
          </w:tcPr>
          <w:p w14:paraId="583A04C4" w14:textId="77777777" w:rsidR="007A0E7D" w:rsidRPr="00A51443" w:rsidRDefault="007A0E7D" w:rsidP="00235023">
            <w:pPr>
              <w:spacing w:before="60" w:after="60" w:line="240" w:lineRule="auto"/>
              <w:rPr>
                <w:sz w:val="20"/>
                <w:szCs w:val="20"/>
              </w:rPr>
            </w:pPr>
            <w:r w:rsidRPr="00A51443">
              <w:rPr>
                <w:color w:val="14272E"/>
                <w:sz w:val="20"/>
                <w:szCs w:val="20"/>
              </w:rPr>
              <w:t>O68</w:t>
            </w:r>
          </w:p>
        </w:tc>
        <w:tc>
          <w:tcPr>
            <w:tcW w:w="6260" w:type="dxa"/>
          </w:tcPr>
          <w:p w14:paraId="44D5C339" w14:textId="640C0309" w:rsidR="007A0E7D" w:rsidRPr="00A51443" w:rsidRDefault="007A0E7D" w:rsidP="00235023">
            <w:pPr>
              <w:spacing w:before="60" w:after="60" w:line="240" w:lineRule="auto"/>
              <w:rPr>
                <w:sz w:val="20"/>
                <w:szCs w:val="20"/>
              </w:rPr>
            </w:pPr>
            <w:r w:rsidRPr="00A51443">
              <w:rPr>
                <w:i/>
                <w:iCs/>
                <w:color w:val="14272E"/>
                <w:sz w:val="20"/>
                <w:szCs w:val="20"/>
              </w:rPr>
              <w:t xml:space="preserve">Maternal </w:t>
            </w:r>
            <w:r w:rsidR="008F4A17" w:rsidRPr="00A51443">
              <w:rPr>
                <w:i/>
                <w:iCs/>
                <w:color w:val="14272E"/>
                <w:sz w:val="20"/>
                <w:szCs w:val="20"/>
              </w:rPr>
              <w:t>m</w:t>
            </w:r>
            <w:r w:rsidRPr="00A51443">
              <w:rPr>
                <w:i/>
                <w:iCs/>
                <w:color w:val="14272E"/>
                <w:sz w:val="20"/>
                <w:szCs w:val="20"/>
              </w:rPr>
              <w:t xml:space="preserve">edical </w:t>
            </w:r>
            <w:r w:rsidR="008F4A17" w:rsidRPr="00A51443">
              <w:rPr>
                <w:i/>
                <w:iCs/>
                <w:color w:val="14272E"/>
                <w:sz w:val="20"/>
                <w:szCs w:val="20"/>
              </w:rPr>
              <w:t>c</w:t>
            </w:r>
            <w:r w:rsidRPr="00A51443">
              <w:rPr>
                <w:i/>
                <w:iCs/>
                <w:color w:val="14272E"/>
                <w:sz w:val="20"/>
                <w:szCs w:val="20"/>
              </w:rPr>
              <w:t xml:space="preserve">onditions </w:t>
            </w:r>
            <w:r w:rsidR="008F4A17" w:rsidRPr="00A51443">
              <w:rPr>
                <w:i/>
                <w:iCs/>
                <w:color w:val="14272E"/>
                <w:sz w:val="20"/>
                <w:szCs w:val="20"/>
              </w:rPr>
              <w:t>c</w:t>
            </w:r>
            <w:r w:rsidRPr="00A51443">
              <w:rPr>
                <w:i/>
                <w:iCs/>
                <w:color w:val="14272E"/>
                <w:sz w:val="20"/>
                <w:szCs w:val="20"/>
              </w:rPr>
              <w:t xml:space="preserve">omplicating </w:t>
            </w:r>
            <w:r w:rsidR="008F4A17" w:rsidRPr="00A51443">
              <w:rPr>
                <w:i/>
                <w:iCs/>
                <w:color w:val="14272E"/>
                <w:sz w:val="20"/>
                <w:szCs w:val="20"/>
              </w:rPr>
              <w:t>p</w:t>
            </w:r>
            <w:r w:rsidRPr="00A51443">
              <w:rPr>
                <w:i/>
                <w:iCs/>
                <w:color w:val="14272E"/>
                <w:sz w:val="20"/>
                <w:szCs w:val="20"/>
              </w:rPr>
              <w:t xml:space="preserve">regnancy and the </w:t>
            </w:r>
            <w:r w:rsidR="008F4A17" w:rsidRPr="00A51443">
              <w:rPr>
                <w:i/>
                <w:iCs/>
                <w:color w:val="14272E"/>
                <w:sz w:val="20"/>
                <w:szCs w:val="20"/>
              </w:rPr>
              <w:t>p</w:t>
            </w:r>
            <w:r w:rsidRPr="00A51443">
              <w:rPr>
                <w:i/>
                <w:iCs/>
                <w:color w:val="14272E"/>
                <w:sz w:val="20"/>
                <w:szCs w:val="20"/>
              </w:rPr>
              <w:t>uerperium</w:t>
            </w:r>
          </w:p>
        </w:tc>
      </w:tr>
      <w:tr w:rsidR="008740DB" w:rsidRPr="00A51443" w14:paraId="4F56177F" w14:textId="77777777" w:rsidTr="00560B47">
        <w:trPr>
          <w:jc w:val="center"/>
        </w:trPr>
        <w:tc>
          <w:tcPr>
            <w:tcW w:w="2220" w:type="dxa"/>
            <w:shd w:val="clear" w:color="auto" w:fill="auto"/>
          </w:tcPr>
          <w:p w14:paraId="57B8D3D2" w14:textId="5479EB18" w:rsidR="008740DB" w:rsidRPr="00A51443" w:rsidRDefault="008740DB" w:rsidP="00235023">
            <w:pPr>
              <w:spacing w:before="60" w:after="60" w:line="240" w:lineRule="auto"/>
              <w:rPr>
                <w:color w:val="14272E"/>
                <w:sz w:val="20"/>
                <w:szCs w:val="20"/>
              </w:rPr>
            </w:pPr>
            <w:r w:rsidRPr="00A51443">
              <w:rPr>
                <w:color w:val="14272E"/>
                <w:sz w:val="20"/>
                <w:szCs w:val="20"/>
              </w:rPr>
              <w:t>O69</w:t>
            </w:r>
          </w:p>
        </w:tc>
        <w:tc>
          <w:tcPr>
            <w:tcW w:w="6260" w:type="dxa"/>
            <w:shd w:val="clear" w:color="auto" w:fill="auto"/>
          </w:tcPr>
          <w:p w14:paraId="68A2F9CD" w14:textId="14DD1A14" w:rsidR="008740DB" w:rsidRPr="00A51443" w:rsidRDefault="008740DB" w:rsidP="00235023">
            <w:pPr>
              <w:spacing w:before="60" w:after="60" w:line="240" w:lineRule="auto"/>
              <w:rPr>
                <w:i/>
                <w:iCs/>
                <w:color w:val="14272E"/>
                <w:sz w:val="20"/>
                <w:szCs w:val="20"/>
              </w:rPr>
            </w:pPr>
            <w:r w:rsidRPr="00A51443">
              <w:rPr>
                <w:i/>
                <w:iCs/>
                <w:color w:val="14272E"/>
                <w:sz w:val="20"/>
                <w:szCs w:val="20"/>
              </w:rPr>
              <w:t xml:space="preserve">Gestational </w:t>
            </w:r>
            <w:r w:rsidR="008F4A17" w:rsidRPr="00A51443">
              <w:rPr>
                <w:i/>
                <w:iCs/>
                <w:color w:val="14272E"/>
                <w:sz w:val="20"/>
                <w:szCs w:val="20"/>
              </w:rPr>
              <w:t>d</w:t>
            </w:r>
            <w:r w:rsidRPr="00A51443">
              <w:rPr>
                <w:i/>
                <w:iCs/>
                <w:color w:val="14272E"/>
                <w:sz w:val="20"/>
                <w:szCs w:val="20"/>
              </w:rPr>
              <w:t>isorders</w:t>
            </w:r>
            <w:r w:rsidR="008F4A17" w:rsidRPr="00A51443">
              <w:rPr>
                <w:i/>
                <w:iCs/>
                <w:color w:val="14272E"/>
                <w:sz w:val="20"/>
                <w:szCs w:val="20"/>
              </w:rPr>
              <w:t xml:space="preserve"> c</w:t>
            </w:r>
            <w:r w:rsidRPr="00A51443">
              <w:rPr>
                <w:i/>
                <w:iCs/>
                <w:color w:val="14272E"/>
                <w:sz w:val="20"/>
                <w:szCs w:val="20"/>
              </w:rPr>
              <w:t xml:space="preserve">omplicating </w:t>
            </w:r>
            <w:r w:rsidR="008F4A17" w:rsidRPr="00A51443">
              <w:rPr>
                <w:i/>
                <w:iCs/>
                <w:color w:val="14272E"/>
                <w:sz w:val="20"/>
                <w:szCs w:val="20"/>
              </w:rPr>
              <w:t>p</w:t>
            </w:r>
            <w:r w:rsidRPr="00A51443">
              <w:rPr>
                <w:i/>
                <w:iCs/>
                <w:color w:val="14272E"/>
                <w:sz w:val="20"/>
                <w:szCs w:val="20"/>
              </w:rPr>
              <w:t xml:space="preserve">regnancy and the </w:t>
            </w:r>
            <w:r w:rsidR="008F4A17" w:rsidRPr="00A51443">
              <w:rPr>
                <w:i/>
                <w:iCs/>
                <w:color w:val="14272E"/>
                <w:sz w:val="20"/>
                <w:szCs w:val="20"/>
              </w:rPr>
              <w:t>p</w:t>
            </w:r>
            <w:r w:rsidRPr="00A51443">
              <w:rPr>
                <w:i/>
                <w:iCs/>
                <w:color w:val="14272E"/>
                <w:sz w:val="20"/>
                <w:szCs w:val="20"/>
              </w:rPr>
              <w:t>uerperium</w:t>
            </w:r>
          </w:p>
        </w:tc>
      </w:tr>
      <w:tr w:rsidR="008740DB" w:rsidRPr="00A51443" w14:paraId="584DEEDA" w14:textId="77777777" w:rsidTr="00560B47">
        <w:trPr>
          <w:jc w:val="center"/>
        </w:trPr>
        <w:tc>
          <w:tcPr>
            <w:tcW w:w="2220" w:type="dxa"/>
            <w:shd w:val="clear" w:color="auto" w:fill="auto"/>
          </w:tcPr>
          <w:p w14:paraId="6F6A5852" w14:textId="37B2CF0F" w:rsidR="008740DB" w:rsidRPr="00A51443" w:rsidRDefault="008740DB" w:rsidP="00235023">
            <w:pPr>
              <w:spacing w:before="60" w:after="60" w:line="240" w:lineRule="auto"/>
              <w:rPr>
                <w:color w:val="14272E"/>
                <w:sz w:val="20"/>
                <w:szCs w:val="20"/>
              </w:rPr>
            </w:pPr>
            <w:r w:rsidRPr="00A51443">
              <w:rPr>
                <w:color w:val="14272E"/>
                <w:sz w:val="20"/>
                <w:szCs w:val="20"/>
              </w:rPr>
              <w:t>O70</w:t>
            </w:r>
          </w:p>
        </w:tc>
        <w:tc>
          <w:tcPr>
            <w:tcW w:w="6260" w:type="dxa"/>
            <w:shd w:val="clear" w:color="auto" w:fill="auto"/>
          </w:tcPr>
          <w:p w14:paraId="5DCB38C6" w14:textId="2494D277" w:rsidR="008740DB" w:rsidRPr="00A51443" w:rsidRDefault="008740DB" w:rsidP="00235023">
            <w:pPr>
              <w:spacing w:before="60" w:after="60" w:line="240" w:lineRule="auto"/>
              <w:rPr>
                <w:i/>
                <w:iCs/>
                <w:color w:val="14272E"/>
                <w:sz w:val="20"/>
                <w:szCs w:val="20"/>
              </w:rPr>
            </w:pPr>
            <w:r w:rsidRPr="00A51443">
              <w:rPr>
                <w:i/>
                <w:iCs/>
                <w:color w:val="14272E"/>
                <w:sz w:val="20"/>
                <w:szCs w:val="20"/>
              </w:rPr>
              <w:t xml:space="preserve">Care and </w:t>
            </w:r>
            <w:r w:rsidR="008F4A17" w:rsidRPr="00A51443">
              <w:rPr>
                <w:i/>
                <w:iCs/>
                <w:color w:val="14272E"/>
                <w:sz w:val="20"/>
                <w:szCs w:val="20"/>
              </w:rPr>
              <w:t>s</w:t>
            </w:r>
            <w:r w:rsidRPr="00A51443">
              <w:rPr>
                <w:i/>
                <w:iCs/>
                <w:color w:val="14272E"/>
                <w:sz w:val="20"/>
                <w:szCs w:val="20"/>
              </w:rPr>
              <w:t xml:space="preserve">creening for </w:t>
            </w:r>
            <w:r w:rsidR="008F4A17" w:rsidRPr="00A51443">
              <w:rPr>
                <w:i/>
                <w:iCs/>
                <w:color w:val="14272E"/>
                <w:sz w:val="20"/>
                <w:szCs w:val="20"/>
              </w:rPr>
              <w:t>o</w:t>
            </w:r>
            <w:r w:rsidRPr="00A51443">
              <w:rPr>
                <w:i/>
                <w:iCs/>
                <w:color w:val="14272E"/>
                <w:sz w:val="20"/>
                <w:szCs w:val="20"/>
              </w:rPr>
              <w:t xml:space="preserve">ther </w:t>
            </w:r>
            <w:r w:rsidR="008F4A17" w:rsidRPr="00A51443">
              <w:rPr>
                <w:i/>
                <w:iCs/>
                <w:color w:val="14272E"/>
                <w:sz w:val="20"/>
                <w:szCs w:val="20"/>
              </w:rPr>
              <w:t>a</w:t>
            </w:r>
            <w:r w:rsidRPr="00A51443">
              <w:rPr>
                <w:i/>
                <w:iCs/>
                <w:color w:val="14272E"/>
                <w:sz w:val="20"/>
                <w:szCs w:val="20"/>
              </w:rPr>
              <w:t xml:space="preserve">ntenatal </w:t>
            </w:r>
            <w:r w:rsidR="008F4A17" w:rsidRPr="00A51443">
              <w:rPr>
                <w:i/>
                <w:iCs/>
                <w:color w:val="14272E"/>
                <w:sz w:val="20"/>
                <w:szCs w:val="20"/>
              </w:rPr>
              <w:t>p</w:t>
            </w:r>
            <w:r w:rsidRPr="00A51443">
              <w:rPr>
                <w:i/>
                <w:iCs/>
                <w:color w:val="14272E"/>
                <w:sz w:val="20"/>
                <w:szCs w:val="20"/>
              </w:rPr>
              <w:t>resentations</w:t>
            </w:r>
          </w:p>
        </w:tc>
      </w:tr>
      <w:tr w:rsidR="008740DB" w:rsidRPr="00A51443" w14:paraId="07FEE3B8" w14:textId="77777777" w:rsidTr="00560B47">
        <w:trPr>
          <w:jc w:val="center"/>
        </w:trPr>
        <w:tc>
          <w:tcPr>
            <w:tcW w:w="2220" w:type="dxa"/>
            <w:shd w:val="clear" w:color="auto" w:fill="auto"/>
          </w:tcPr>
          <w:p w14:paraId="5DF493A4" w14:textId="68AABA58" w:rsidR="008740DB" w:rsidRPr="00A51443" w:rsidRDefault="008740DB" w:rsidP="00235023">
            <w:pPr>
              <w:spacing w:before="60" w:after="60" w:line="240" w:lineRule="auto"/>
              <w:rPr>
                <w:color w:val="14272E"/>
                <w:sz w:val="20"/>
                <w:szCs w:val="20"/>
              </w:rPr>
            </w:pPr>
            <w:r w:rsidRPr="00A51443">
              <w:rPr>
                <w:color w:val="14272E"/>
                <w:sz w:val="20"/>
                <w:szCs w:val="20"/>
              </w:rPr>
              <w:t>U69</w:t>
            </w:r>
          </w:p>
        </w:tc>
        <w:tc>
          <w:tcPr>
            <w:tcW w:w="6260" w:type="dxa"/>
            <w:shd w:val="clear" w:color="auto" w:fill="auto"/>
          </w:tcPr>
          <w:p w14:paraId="0AD0D16C" w14:textId="158AD586" w:rsidR="008740DB" w:rsidRPr="00A51443" w:rsidRDefault="008740DB" w:rsidP="00235023">
            <w:pPr>
              <w:spacing w:before="60" w:after="60" w:line="240" w:lineRule="auto"/>
              <w:rPr>
                <w:i/>
                <w:iCs/>
                <w:color w:val="14272E"/>
                <w:sz w:val="20"/>
                <w:szCs w:val="20"/>
              </w:rPr>
            </w:pPr>
            <w:r w:rsidRPr="00A51443">
              <w:rPr>
                <w:i/>
                <w:iCs/>
                <w:color w:val="14272E"/>
                <w:sz w:val="20"/>
                <w:szCs w:val="20"/>
              </w:rPr>
              <w:t xml:space="preserve">Mental </w:t>
            </w:r>
            <w:r w:rsidR="00C56410" w:rsidRPr="00A51443">
              <w:rPr>
                <w:i/>
                <w:iCs/>
                <w:color w:val="14272E"/>
                <w:sz w:val="20"/>
                <w:szCs w:val="20"/>
              </w:rPr>
              <w:t>h</w:t>
            </w:r>
            <w:r w:rsidR="00804956" w:rsidRPr="00A51443">
              <w:rPr>
                <w:i/>
                <w:iCs/>
                <w:color w:val="14272E"/>
                <w:sz w:val="20"/>
                <w:szCs w:val="20"/>
              </w:rPr>
              <w:t xml:space="preserve">ealth </w:t>
            </w:r>
            <w:r w:rsidRPr="00A51443">
              <w:rPr>
                <w:i/>
                <w:iCs/>
                <w:color w:val="14272E"/>
                <w:sz w:val="20"/>
                <w:szCs w:val="20"/>
              </w:rPr>
              <w:t xml:space="preserve">and </w:t>
            </w:r>
            <w:r w:rsidR="008F4A17" w:rsidRPr="00A51443">
              <w:rPr>
                <w:i/>
                <w:iCs/>
                <w:color w:val="14272E"/>
                <w:sz w:val="20"/>
                <w:szCs w:val="20"/>
              </w:rPr>
              <w:t>b</w:t>
            </w:r>
            <w:r w:rsidRPr="00A51443">
              <w:rPr>
                <w:i/>
                <w:iCs/>
                <w:color w:val="14272E"/>
                <w:sz w:val="20"/>
                <w:szCs w:val="20"/>
              </w:rPr>
              <w:t>ehavio</w:t>
            </w:r>
            <w:r w:rsidR="00A732F9" w:rsidRPr="00A51443">
              <w:rPr>
                <w:i/>
                <w:iCs/>
                <w:color w:val="14272E"/>
                <w:sz w:val="20"/>
                <w:szCs w:val="20"/>
              </w:rPr>
              <w:t>u</w:t>
            </w:r>
            <w:r w:rsidRPr="00A51443">
              <w:rPr>
                <w:i/>
                <w:iCs/>
                <w:color w:val="14272E"/>
                <w:sz w:val="20"/>
                <w:szCs w:val="20"/>
              </w:rPr>
              <w:t xml:space="preserve">ral </w:t>
            </w:r>
            <w:r w:rsidR="008F4A17" w:rsidRPr="00A51443">
              <w:rPr>
                <w:i/>
                <w:iCs/>
                <w:color w:val="14272E"/>
                <w:sz w:val="20"/>
                <w:szCs w:val="20"/>
              </w:rPr>
              <w:t>d</w:t>
            </w:r>
            <w:r w:rsidRPr="00A51443">
              <w:rPr>
                <w:i/>
                <w:iCs/>
                <w:color w:val="14272E"/>
                <w:sz w:val="20"/>
                <w:szCs w:val="20"/>
              </w:rPr>
              <w:t xml:space="preserve">isorders in the </w:t>
            </w:r>
            <w:r w:rsidR="008F4A17" w:rsidRPr="00A51443">
              <w:rPr>
                <w:i/>
                <w:iCs/>
                <w:color w:val="14272E"/>
                <w:sz w:val="20"/>
                <w:szCs w:val="20"/>
              </w:rPr>
              <w:t>p</w:t>
            </w:r>
            <w:r w:rsidRPr="00A51443">
              <w:rPr>
                <w:i/>
                <w:iCs/>
                <w:color w:val="14272E"/>
                <w:sz w:val="20"/>
                <w:szCs w:val="20"/>
              </w:rPr>
              <w:t xml:space="preserve">ostnatal </w:t>
            </w:r>
            <w:r w:rsidR="008F4A17" w:rsidRPr="00A51443">
              <w:rPr>
                <w:i/>
                <w:iCs/>
                <w:color w:val="14272E"/>
                <w:sz w:val="20"/>
                <w:szCs w:val="20"/>
              </w:rPr>
              <w:t>p</w:t>
            </w:r>
            <w:r w:rsidRPr="00A51443">
              <w:rPr>
                <w:i/>
                <w:iCs/>
                <w:color w:val="14272E"/>
                <w:sz w:val="20"/>
                <w:szCs w:val="20"/>
              </w:rPr>
              <w:t>eriod</w:t>
            </w:r>
          </w:p>
        </w:tc>
      </w:tr>
    </w:tbl>
    <w:p w14:paraId="49005411" w14:textId="7A7BA804" w:rsidR="00497034" w:rsidRPr="00A51443" w:rsidRDefault="008740DB" w:rsidP="00C9526E">
      <w:pPr>
        <w:spacing w:before="160" w:after="120"/>
      </w:pPr>
      <w:bookmarkStart w:id="1392" w:name="_Toc87865220"/>
      <w:bookmarkStart w:id="1393" w:name="_Toc87875747"/>
      <w:bookmarkStart w:id="1394" w:name="_Toc88827541"/>
      <w:bookmarkStart w:id="1395" w:name="_Toc100328209"/>
      <w:bookmarkStart w:id="1396" w:name="_Toc534624621"/>
      <w:bookmarkStart w:id="1397" w:name="_Toc534719079"/>
      <w:bookmarkStart w:id="1398" w:name="_Toc534875817"/>
      <w:bookmarkEnd w:id="1392"/>
      <w:bookmarkEnd w:id="1393"/>
      <w:bookmarkEnd w:id="1394"/>
      <w:r w:rsidRPr="00A51443">
        <w:t xml:space="preserve">ADRG </w:t>
      </w:r>
      <w:r w:rsidR="00FD4CDF" w:rsidRPr="00A51443">
        <w:t>O</w:t>
      </w:r>
      <w:r w:rsidRPr="00A51443">
        <w:t>6</w:t>
      </w:r>
      <w:r w:rsidR="00FD4CDF" w:rsidRPr="00A51443">
        <w:t>6</w:t>
      </w:r>
      <w:r w:rsidRPr="00A51443">
        <w:t xml:space="preserve"> </w:t>
      </w:r>
      <w:r w:rsidR="00C20535" w:rsidRPr="00A51443">
        <w:rPr>
          <w:i/>
          <w:iCs/>
        </w:rPr>
        <w:t xml:space="preserve">Antenatal and </w:t>
      </w:r>
      <w:r w:rsidR="00EA16B0" w:rsidRPr="00A51443">
        <w:rPr>
          <w:i/>
          <w:iCs/>
        </w:rPr>
        <w:t>o</w:t>
      </w:r>
      <w:r w:rsidR="00C20535" w:rsidRPr="00A51443">
        <w:rPr>
          <w:i/>
          <w:iCs/>
        </w:rPr>
        <w:t xml:space="preserve">ther </w:t>
      </w:r>
      <w:r w:rsidR="00EA16B0" w:rsidRPr="00A51443">
        <w:rPr>
          <w:i/>
          <w:iCs/>
        </w:rPr>
        <w:t>a</w:t>
      </w:r>
      <w:r w:rsidR="00C20535" w:rsidRPr="00A51443">
        <w:rPr>
          <w:i/>
          <w:iCs/>
        </w:rPr>
        <w:t xml:space="preserve">dmissions related to </w:t>
      </w:r>
      <w:r w:rsidR="00EA16B0" w:rsidRPr="00A51443">
        <w:rPr>
          <w:i/>
          <w:iCs/>
        </w:rPr>
        <w:t>p</w:t>
      </w:r>
      <w:r w:rsidR="00C20535" w:rsidRPr="00A51443">
        <w:rPr>
          <w:i/>
          <w:iCs/>
        </w:rPr>
        <w:t xml:space="preserve">regnancy, </w:t>
      </w:r>
      <w:r w:rsidR="008F4A17" w:rsidRPr="00A51443">
        <w:rPr>
          <w:i/>
          <w:iCs/>
        </w:rPr>
        <w:t>c</w:t>
      </w:r>
      <w:r w:rsidR="00C20535" w:rsidRPr="00A51443">
        <w:rPr>
          <w:i/>
          <w:iCs/>
        </w:rPr>
        <w:t xml:space="preserve">hildbirth and the </w:t>
      </w:r>
      <w:r w:rsidR="008F4A17" w:rsidRPr="00A51443">
        <w:rPr>
          <w:i/>
          <w:iCs/>
        </w:rPr>
        <w:t>p</w:t>
      </w:r>
      <w:r w:rsidR="00C20535" w:rsidRPr="00A51443">
        <w:rPr>
          <w:i/>
          <w:iCs/>
        </w:rPr>
        <w:t>uerperium</w:t>
      </w:r>
      <w:r w:rsidR="00C20535" w:rsidRPr="00A51443">
        <w:t xml:space="preserve"> </w:t>
      </w:r>
      <w:r w:rsidRPr="00A51443">
        <w:t xml:space="preserve">was </w:t>
      </w:r>
      <w:r w:rsidR="00F40A47" w:rsidRPr="00A51443">
        <w:t xml:space="preserve">removed </w:t>
      </w:r>
      <w:r w:rsidR="003361E7" w:rsidRPr="00A51443">
        <w:t>in AR-DRG V12.0</w:t>
      </w:r>
      <w:r w:rsidRPr="00A51443">
        <w:t>.</w:t>
      </w:r>
    </w:p>
    <w:p w14:paraId="437AB9BE" w14:textId="0F42B1E4" w:rsidR="00472B57" w:rsidRPr="00A51443" w:rsidRDefault="002C6EB9" w:rsidP="007032BC">
      <w:pPr>
        <w:spacing w:after="120"/>
      </w:pPr>
      <w:bookmarkStart w:id="1399" w:name="_Hlk181606523"/>
      <w:bookmarkEnd w:id="1389"/>
      <w:bookmarkEnd w:id="1395"/>
      <w:r w:rsidRPr="00B52C74">
        <w:t xml:space="preserve">Refer to the </w:t>
      </w:r>
      <w:r w:rsidRPr="00B52C74">
        <w:rPr>
          <w:iCs/>
        </w:rPr>
        <w:t xml:space="preserve">AR-DRG Version 12.0 Technical Specifications Table 12: </w:t>
      </w:r>
      <w:r w:rsidRPr="00B52C74">
        <w:rPr>
          <w:i/>
        </w:rPr>
        <w:t>ADRG splitting methodology steps</w:t>
      </w:r>
      <w:r w:rsidRPr="00B52C74">
        <w:t xml:space="preserve"> for further information regarding candidate threshold.</w:t>
      </w:r>
    </w:p>
    <w:p w14:paraId="26844ED4" w14:textId="6DBBA2AD" w:rsidR="00F057B2" w:rsidRPr="00A51443" w:rsidRDefault="00F057B2" w:rsidP="00623EF7">
      <w:pPr>
        <w:pStyle w:val="Heading2"/>
        <w:numPr>
          <w:ilvl w:val="1"/>
          <w:numId w:val="8"/>
        </w:numPr>
        <w:ind w:left="720" w:hanging="720"/>
        <w:rPr>
          <w:lang w:val="en-PH"/>
        </w:rPr>
      </w:pPr>
      <w:bookmarkStart w:id="1400" w:name="_Toc188263134"/>
      <w:bookmarkStart w:id="1401" w:name="_Toc100328210"/>
      <w:bookmarkStart w:id="1402" w:name="_Toc193462726"/>
      <w:bookmarkEnd w:id="1399"/>
      <w:r w:rsidRPr="00A51443">
        <w:rPr>
          <w:lang w:val="en-PH"/>
        </w:rPr>
        <w:lastRenderedPageBreak/>
        <w:t xml:space="preserve">Statistical </w:t>
      </w:r>
      <w:bookmarkEnd w:id="1400"/>
      <w:r w:rsidRPr="00A51443">
        <w:rPr>
          <w:lang w:val="en-PH"/>
        </w:rPr>
        <w:t>Performance</w:t>
      </w:r>
      <w:bookmarkEnd w:id="1396"/>
      <w:bookmarkEnd w:id="1397"/>
      <w:bookmarkEnd w:id="1398"/>
      <w:bookmarkEnd w:id="1401"/>
      <w:bookmarkEnd w:id="1402"/>
    </w:p>
    <w:p w14:paraId="1689C1E3" w14:textId="6FB4A584" w:rsidR="00D3279F" w:rsidRPr="00A51443" w:rsidRDefault="00F057B2" w:rsidP="00C006E1">
      <w:pPr>
        <w:spacing w:before="120" w:after="120"/>
      </w:pPr>
      <w:r w:rsidRPr="00A51443">
        <w:t xml:space="preserve">The </w:t>
      </w:r>
      <w:r w:rsidR="00442BF1" w:rsidRPr="00A51443">
        <w:t xml:space="preserve">statistical performance of the AR-DRG </w:t>
      </w:r>
      <w:r w:rsidR="001E5723" w:rsidRPr="00A51443">
        <w:t xml:space="preserve">V12.0 </w:t>
      </w:r>
      <w:r w:rsidR="00442BF1" w:rsidRPr="00A51443">
        <w:t xml:space="preserve">classification was assessed using a suite of measures </w:t>
      </w:r>
      <w:r w:rsidR="00D54FB2" w:rsidRPr="00A51443">
        <w:t>and compared to the AR-DRG V11.0 on admitted acute and posthumous organ procurement data submitted in the 2022</w:t>
      </w:r>
      <w:r w:rsidR="00592F94" w:rsidRPr="00A51443">
        <w:t>–</w:t>
      </w:r>
      <w:r w:rsidR="00D54FB2" w:rsidRPr="00A51443">
        <w:t xml:space="preserve">23 </w:t>
      </w:r>
      <w:r w:rsidR="000D35B4" w:rsidRPr="00A51443">
        <w:t xml:space="preserve">activity </w:t>
      </w:r>
      <w:r w:rsidR="00D12375" w:rsidRPr="00A51443">
        <w:t xml:space="preserve">and </w:t>
      </w:r>
      <w:r w:rsidR="000D35B4" w:rsidRPr="00A51443">
        <w:t xml:space="preserve">cost </w:t>
      </w:r>
      <w:r w:rsidR="00D12375" w:rsidRPr="00A51443">
        <w:t>submissions</w:t>
      </w:r>
      <w:r w:rsidR="00D54FB2" w:rsidRPr="00A51443">
        <w:t xml:space="preserve">. </w:t>
      </w:r>
      <w:r w:rsidR="00D3279F" w:rsidRPr="00A51443">
        <w:t>The measures</w:t>
      </w:r>
      <w:r w:rsidR="007C2147" w:rsidRPr="00A51443">
        <w:t xml:space="preserve"> used</w:t>
      </w:r>
      <w:r w:rsidR="00D3279F" w:rsidRPr="00A51443">
        <w:t xml:space="preserve"> were:</w:t>
      </w:r>
    </w:p>
    <w:p w14:paraId="13E1520C" w14:textId="49B72DF8" w:rsidR="00CD08D4" w:rsidRPr="00A51443" w:rsidRDefault="00D3279F" w:rsidP="00000118">
      <w:pPr>
        <w:pStyle w:val="ListParagraph"/>
        <w:numPr>
          <w:ilvl w:val="0"/>
          <w:numId w:val="25"/>
        </w:numPr>
        <w:ind w:left="714" w:hanging="357"/>
        <w:contextualSpacing w:val="0"/>
      </w:pPr>
      <w:r w:rsidRPr="00A51443">
        <w:t xml:space="preserve">Reduction in Deviance (RID): </w:t>
      </w:r>
      <w:r w:rsidR="00F057B2" w:rsidRPr="00A51443">
        <w:t xml:space="preserve">RID measures how much of the variability in cost is explained </w:t>
      </w:r>
      <w:r w:rsidR="005572AE" w:rsidRPr="00A51443">
        <w:t>dividing episodes into their DRGs.</w:t>
      </w:r>
      <w:r w:rsidR="006259C1" w:rsidRPr="00A51443">
        <w:t xml:space="preserve"> </w:t>
      </w:r>
      <w:r w:rsidR="00F057B2" w:rsidRPr="00A51443">
        <w:t xml:space="preserve">The higher the </w:t>
      </w:r>
      <w:r w:rsidR="00E62097" w:rsidRPr="00A51443">
        <w:t xml:space="preserve">RID </w:t>
      </w:r>
      <w:r w:rsidR="00F057B2" w:rsidRPr="00A51443">
        <w:t>value, the higher percentage of cost variation is explained by the classification</w:t>
      </w:r>
      <w:r w:rsidR="00E74279" w:rsidRPr="00A51443">
        <w:t>.</w:t>
      </w:r>
      <w:r w:rsidR="009007B7" w:rsidRPr="00A51443">
        <w:t xml:space="preserve"> RID does not measure the magnitude of cost variability remaining in the classified data.</w:t>
      </w:r>
    </w:p>
    <w:p w14:paraId="711A50A4" w14:textId="4794BF9C" w:rsidR="00D80C53" w:rsidRPr="00A51443" w:rsidRDefault="00DF31E2" w:rsidP="00000118">
      <w:pPr>
        <w:pStyle w:val="ListParagraph"/>
        <w:numPr>
          <w:ilvl w:val="0"/>
          <w:numId w:val="25"/>
        </w:numPr>
        <w:ind w:left="714" w:hanging="357"/>
        <w:contextualSpacing w:val="0"/>
      </w:pPr>
      <w:r w:rsidRPr="00A51443">
        <w:t xml:space="preserve">Weighted </w:t>
      </w:r>
      <w:r w:rsidR="00D80C53" w:rsidRPr="00A51443">
        <w:t xml:space="preserve">Area Under Gains (AUG) ratio: This figure assesses the degree to which the ECC </w:t>
      </w:r>
      <w:r w:rsidR="00695D30" w:rsidRPr="00A51443">
        <w:t>M</w:t>
      </w:r>
      <w:r w:rsidR="00D80C53" w:rsidRPr="00A51443">
        <w:t>odel</w:t>
      </w:r>
      <w:r w:rsidR="00C840E2" w:rsidRPr="00A51443">
        <w:t xml:space="preserve"> rank</w:t>
      </w:r>
      <w:r w:rsidR="00084A96" w:rsidRPr="00A51443">
        <w:t>s</w:t>
      </w:r>
      <w:r w:rsidR="00C840E2" w:rsidRPr="00A51443">
        <w:t xml:space="preserve"> episodes from least to most cost.</w:t>
      </w:r>
      <w:r w:rsidRPr="00A51443">
        <w:t xml:space="preserve"> The AUG rati</w:t>
      </w:r>
      <w:r w:rsidR="00084A96" w:rsidRPr="00A51443">
        <w:t xml:space="preserve">o is large for ADRGs </w:t>
      </w:r>
      <w:r w:rsidR="00201211" w:rsidRPr="00A51443">
        <w:t xml:space="preserve">in which the ECC </w:t>
      </w:r>
      <w:r w:rsidR="00695D30" w:rsidRPr="00A51443">
        <w:t>M</w:t>
      </w:r>
      <w:r w:rsidR="00201211" w:rsidRPr="00A51443">
        <w:t>odel effectively ranks episodes from least to most cost.</w:t>
      </w:r>
      <w:r w:rsidR="00131976" w:rsidRPr="00A51443">
        <w:t xml:space="preserve"> The weighted AUG ratio in </w:t>
      </w:r>
      <w:r w:rsidR="00F6338B" w:rsidRPr="00A51443">
        <w:fldChar w:fldCharType="begin"/>
      </w:r>
      <w:r w:rsidR="00F6338B" w:rsidRPr="00A51443">
        <w:instrText xml:space="preserve"> REF _Ref181196786 \h  \* MERGEFORMAT </w:instrText>
      </w:r>
      <w:r w:rsidR="00F6338B" w:rsidRPr="00A51443">
        <w:fldChar w:fldCharType="separate"/>
      </w:r>
      <w:r w:rsidR="009D07F9" w:rsidRPr="00A51443">
        <w:t xml:space="preserve">Table </w:t>
      </w:r>
      <w:r w:rsidR="009D07F9">
        <w:t>6</w:t>
      </w:r>
      <w:r w:rsidR="00F6338B" w:rsidRPr="00A51443">
        <w:fldChar w:fldCharType="end"/>
      </w:r>
      <w:r w:rsidR="00131976" w:rsidRPr="00A51443">
        <w:t xml:space="preserve"> is the average AUG ratio of each ADRG, weighted by the number of episodes in each ADRG.</w:t>
      </w:r>
    </w:p>
    <w:p w14:paraId="16A5851E" w14:textId="4D663865" w:rsidR="001E5723" w:rsidRPr="00A51443" w:rsidRDefault="001E5723" w:rsidP="00C006E1">
      <w:pPr>
        <w:spacing w:before="120" w:after="120"/>
      </w:pPr>
      <w:r w:rsidRPr="00A51443">
        <w:t xml:space="preserve">The performance of AR-DRG V12.0 </w:t>
      </w:r>
      <w:r w:rsidR="00BF07F3" w:rsidRPr="00A51443">
        <w:t xml:space="preserve">compared to </w:t>
      </w:r>
      <w:r w:rsidR="003E1FA2" w:rsidRPr="00A51443">
        <w:t xml:space="preserve">AR-DRG V11.0 </w:t>
      </w:r>
      <w:r w:rsidRPr="00A51443">
        <w:t xml:space="preserve">is </w:t>
      </w:r>
      <w:r w:rsidR="007C2147" w:rsidRPr="00A51443">
        <w:t xml:space="preserve">provided </w:t>
      </w:r>
      <w:r w:rsidRPr="00A51443">
        <w:t xml:space="preserve">in </w:t>
      </w:r>
      <w:r w:rsidR="00F6338B" w:rsidRPr="00A51443">
        <w:rPr>
          <w:b/>
          <w:bCs/>
        </w:rPr>
        <w:fldChar w:fldCharType="begin"/>
      </w:r>
      <w:r w:rsidR="00F6338B" w:rsidRPr="00A51443">
        <w:rPr>
          <w:b/>
          <w:bCs/>
        </w:rPr>
        <w:instrText xml:space="preserve"> REF _Ref181196786 \h  \* MERGEFORMAT </w:instrText>
      </w:r>
      <w:r w:rsidR="00F6338B" w:rsidRPr="00A51443">
        <w:rPr>
          <w:b/>
          <w:bCs/>
        </w:rPr>
      </w:r>
      <w:r w:rsidR="00F6338B" w:rsidRPr="00A51443">
        <w:rPr>
          <w:b/>
          <w:bCs/>
        </w:rPr>
        <w:fldChar w:fldCharType="separate"/>
      </w:r>
      <w:r w:rsidR="009D07F9" w:rsidRPr="009D07F9">
        <w:rPr>
          <w:b/>
          <w:bCs/>
        </w:rPr>
        <w:t xml:space="preserve">Table </w:t>
      </w:r>
      <w:r w:rsidR="009D07F9" w:rsidRPr="009D07F9">
        <w:rPr>
          <w:b/>
          <w:bCs/>
          <w:noProof/>
        </w:rPr>
        <w:t>6</w:t>
      </w:r>
      <w:r w:rsidR="00F6338B" w:rsidRPr="00A51443">
        <w:rPr>
          <w:b/>
          <w:bCs/>
        </w:rPr>
        <w:fldChar w:fldCharType="end"/>
      </w:r>
      <w:r w:rsidRPr="00A51443">
        <w:t>.</w:t>
      </w:r>
    </w:p>
    <w:p w14:paraId="48C53C8E" w14:textId="14C70155" w:rsidR="0085072C" w:rsidRPr="00A51443" w:rsidRDefault="0085072C" w:rsidP="004E2BB8">
      <w:pPr>
        <w:pStyle w:val="Caption"/>
      </w:pPr>
      <w:bookmarkStart w:id="1403" w:name="_Ref181196786"/>
      <w:r w:rsidRPr="00A51443">
        <w:t xml:space="preserve">Table </w:t>
      </w:r>
      <w:r w:rsidR="0041308B" w:rsidRPr="00A51443">
        <w:fldChar w:fldCharType="begin"/>
      </w:r>
      <w:r w:rsidR="0041308B" w:rsidRPr="00A51443">
        <w:instrText xml:space="preserve"> SEQ Table \* ARABIC </w:instrText>
      </w:r>
      <w:r w:rsidR="0041308B" w:rsidRPr="00A51443">
        <w:fldChar w:fldCharType="separate"/>
      </w:r>
      <w:r w:rsidR="009D07F9">
        <w:rPr>
          <w:noProof/>
        </w:rPr>
        <w:t>6</w:t>
      </w:r>
      <w:r w:rsidR="0041308B" w:rsidRPr="00A51443">
        <w:fldChar w:fldCharType="end"/>
      </w:r>
      <w:bookmarkEnd w:id="1403"/>
      <w:r w:rsidRPr="00A51443">
        <w:t>: Comparison of statistical performance between AR-DRG V1</w:t>
      </w:r>
      <w:r w:rsidR="001621F9" w:rsidRPr="00A51443">
        <w:t>1</w:t>
      </w:r>
      <w:r w:rsidRPr="00A51443">
        <w:t>.0</w:t>
      </w:r>
      <w:r w:rsidR="001621F9" w:rsidRPr="00A51443">
        <w:t xml:space="preserve"> and</w:t>
      </w:r>
      <w:r w:rsidRPr="00A51443">
        <w:t xml:space="preserve"> V1</w:t>
      </w:r>
      <w:r w:rsidR="001621F9" w:rsidRPr="00A51443">
        <w:t>2</w:t>
      </w:r>
      <w:r w:rsidRPr="00A51443">
        <w:t xml:space="preserve">.0 </w:t>
      </w:r>
      <w:r w:rsidR="001621F9" w:rsidRPr="00A51443">
        <w:t>o</w:t>
      </w:r>
      <w:r w:rsidRPr="00A51443">
        <w:t xml:space="preserve">n </w:t>
      </w:r>
      <w:r w:rsidR="00583566" w:rsidRPr="00A51443">
        <w:br/>
      </w:r>
      <w:r w:rsidRPr="00A51443">
        <w:t>2022</w:t>
      </w:r>
      <w:r w:rsidR="00C43F71" w:rsidRPr="00A51443">
        <w:t>–</w:t>
      </w:r>
      <w:r w:rsidRPr="00A51443">
        <w:t xml:space="preserve">23 admitted acute </w:t>
      </w:r>
      <w:r w:rsidR="000D35B4" w:rsidRPr="00A51443">
        <w:t xml:space="preserve">activity </w:t>
      </w:r>
      <w:r w:rsidRPr="00A51443">
        <w:t xml:space="preserve">and </w:t>
      </w:r>
      <w:r w:rsidR="000D35B4" w:rsidRPr="00A51443">
        <w:t xml:space="preserve">cost </w:t>
      </w:r>
      <w:r w:rsidRPr="00A51443">
        <w:t>data</w:t>
      </w:r>
    </w:p>
    <w:tbl>
      <w:tblPr>
        <w:tblStyle w:val="ListTable3-Accent11"/>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665"/>
        <w:gridCol w:w="1664"/>
        <w:gridCol w:w="1665"/>
      </w:tblGrid>
      <w:tr w:rsidR="001621F9" w:rsidRPr="00A51443" w14:paraId="4B0F6328" w14:textId="77777777" w:rsidTr="0058356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329" w:type="dxa"/>
            <w:gridSpan w:val="2"/>
            <w:shd w:val="clear" w:color="auto" w:fill="104F99"/>
          </w:tcPr>
          <w:p w14:paraId="7F263CE8" w14:textId="13AAFC7B" w:rsidR="001621F9" w:rsidRPr="00A51443" w:rsidRDefault="001621F9" w:rsidP="00C43F71">
            <w:pPr>
              <w:spacing w:before="60" w:after="60"/>
              <w:jc w:val="center"/>
              <w:rPr>
                <w:bCs w:val="0"/>
                <w:color w:val="FFFFFF" w:themeColor="accent6"/>
              </w:rPr>
            </w:pPr>
            <w:r w:rsidRPr="00A51443">
              <w:rPr>
                <w:bCs w:val="0"/>
                <w:color w:val="FFFFFF" w:themeColor="accent6"/>
              </w:rPr>
              <w:t>RID</w:t>
            </w:r>
          </w:p>
        </w:tc>
        <w:tc>
          <w:tcPr>
            <w:tcW w:w="3329" w:type="dxa"/>
            <w:gridSpan w:val="2"/>
            <w:shd w:val="clear" w:color="auto" w:fill="104F99"/>
          </w:tcPr>
          <w:p w14:paraId="1BC58F04" w14:textId="4940C3F5" w:rsidR="001621F9" w:rsidRPr="00A51443" w:rsidRDefault="001621F9" w:rsidP="00C43F71">
            <w:pPr>
              <w:spacing w:before="60" w:after="60"/>
              <w:jc w:val="center"/>
              <w:cnfStyle w:val="100000000000" w:firstRow="1" w:lastRow="0" w:firstColumn="0" w:lastColumn="0" w:oddVBand="0" w:evenVBand="0" w:oddHBand="0" w:evenHBand="0" w:firstRowFirstColumn="0" w:firstRowLastColumn="0" w:lastRowFirstColumn="0" w:lastRowLastColumn="0"/>
              <w:rPr>
                <w:bCs w:val="0"/>
                <w:color w:val="FFFFFF" w:themeColor="accent6"/>
              </w:rPr>
            </w:pPr>
            <w:r w:rsidRPr="00A51443">
              <w:rPr>
                <w:color w:val="FFFFFF" w:themeColor="accent6"/>
              </w:rPr>
              <w:t>Weighted AUG</w:t>
            </w:r>
          </w:p>
        </w:tc>
      </w:tr>
      <w:tr w:rsidR="001621F9" w:rsidRPr="00A51443" w14:paraId="7251D583" w14:textId="77777777" w:rsidTr="005835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dxa"/>
            <w:shd w:val="clear" w:color="auto" w:fill="104F99"/>
            <w:vAlign w:val="center"/>
          </w:tcPr>
          <w:p w14:paraId="29A7DF4A" w14:textId="0A7CE70B" w:rsidR="001621F9" w:rsidRPr="00A51443" w:rsidRDefault="001621F9" w:rsidP="00C43F71">
            <w:pPr>
              <w:spacing w:before="60" w:after="60"/>
              <w:jc w:val="center"/>
              <w:rPr>
                <w:color w:val="FFFFFF" w:themeColor="accent6"/>
              </w:rPr>
            </w:pPr>
            <w:r w:rsidRPr="00A51443">
              <w:rPr>
                <w:color w:val="FFFFFF" w:themeColor="accent6"/>
              </w:rPr>
              <w:t>AR-DRG V1</w:t>
            </w:r>
            <w:r w:rsidR="003E1FA2" w:rsidRPr="00A51443">
              <w:rPr>
                <w:color w:val="FFFFFF" w:themeColor="accent6"/>
              </w:rPr>
              <w:t>1</w:t>
            </w:r>
            <w:r w:rsidRPr="00A51443">
              <w:rPr>
                <w:color w:val="FFFFFF" w:themeColor="accent6"/>
              </w:rPr>
              <w:t>.0</w:t>
            </w:r>
          </w:p>
        </w:tc>
        <w:tc>
          <w:tcPr>
            <w:tcW w:w="1665" w:type="dxa"/>
            <w:shd w:val="clear" w:color="auto" w:fill="104F99"/>
            <w:vAlign w:val="center"/>
          </w:tcPr>
          <w:p w14:paraId="282DD5E7" w14:textId="3578968C" w:rsidR="001621F9" w:rsidRPr="00A51443" w:rsidRDefault="001621F9" w:rsidP="00C43F71">
            <w:pPr>
              <w:spacing w:before="60" w:after="60"/>
              <w:jc w:val="center"/>
              <w:cnfStyle w:val="000000100000" w:firstRow="0" w:lastRow="0" w:firstColumn="0" w:lastColumn="0" w:oddVBand="0" w:evenVBand="0" w:oddHBand="1" w:evenHBand="0" w:firstRowFirstColumn="0" w:firstRowLastColumn="0" w:lastRowFirstColumn="0" w:lastRowLastColumn="0"/>
              <w:rPr>
                <w:b/>
                <w:color w:val="FFFFFF" w:themeColor="accent6"/>
              </w:rPr>
            </w:pPr>
            <w:r w:rsidRPr="00A51443">
              <w:rPr>
                <w:b/>
                <w:color w:val="FFFFFF" w:themeColor="accent6"/>
              </w:rPr>
              <w:t>AR-DRG V1</w:t>
            </w:r>
            <w:r w:rsidR="003E1FA2" w:rsidRPr="00A51443">
              <w:rPr>
                <w:b/>
                <w:color w:val="FFFFFF" w:themeColor="accent6"/>
              </w:rPr>
              <w:t>2</w:t>
            </w:r>
            <w:r w:rsidRPr="00A51443">
              <w:rPr>
                <w:b/>
                <w:color w:val="FFFFFF" w:themeColor="accent6"/>
              </w:rPr>
              <w:t>.0</w:t>
            </w:r>
          </w:p>
        </w:tc>
        <w:tc>
          <w:tcPr>
            <w:tcW w:w="1664" w:type="dxa"/>
            <w:shd w:val="clear" w:color="auto" w:fill="104F99"/>
            <w:vAlign w:val="center"/>
          </w:tcPr>
          <w:p w14:paraId="0173C55B" w14:textId="770579BA" w:rsidR="001621F9" w:rsidRPr="00A51443" w:rsidRDefault="001621F9" w:rsidP="00C43F71">
            <w:pPr>
              <w:spacing w:before="60" w:after="60"/>
              <w:jc w:val="center"/>
              <w:cnfStyle w:val="000000100000" w:firstRow="0" w:lastRow="0" w:firstColumn="0" w:lastColumn="0" w:oddVBand="0" w:evenVBand="0" w:oddHBand="1" w:evenHBand="0" w:firstRowFirstColumn="0" w:firstRowLastColumn="0" w:lastRowFirstColumn="0" w:lastRowLastColumn="0"/>
              <w:rPr>
                <w:b/>
                <w:color w:val="FFFFFF" w:themeColor="accent6"/>
              </w:rPr>
            </w:pPr>
            <w:r w:rsidRPr="00A51443">
              <w:rPr>
                <w:b/>
                <w:color w:val="FFFFFF" w:themeColor="accent6"/>
              </w:rPr>
              <w:t>AR-DRG V1</w:t>
            </w:r>
            <w:r w:rsidR="003E1FA2" w:rsidRPr="00A51443">
              <w:rPr>
                <w:b/>
                <w:color w:val="FFFFFF" w:themeColor="accent6"/>
              </w:rPr>
              <w:t>1</w:t>
            </w:r>
            <w:r w:rsidRPr="00A51443">
              <w:rPr>
                <w:b/>
                <w:color w:val="FFFFFF" w:themeColor="accent6"/>
              </w:rPr>
              <w:t>.0</w:t>
            </w:r>
          </w:p>
        </w:tc>
        <w:tc>
          <w:tcPr>
            <w:tcW w:w="1665" w:type="dxa"/>
            <w:shd w:val="clear" w:color="auto" w:fill="104F99"/>
            <w:vAlign w:val="center"/>
          </w:tcPr>
          <w:p w14:paraId="5166DDA5" w14:textId="6CAF8E14" w:rsidR="001621F9" w:rsidRPr="00A51443" w:rsidRDefault="001621F9" w:rsidP="00C43F71">
            <w:pPr>
              <w:spacing w:before="60" w:after="60"/>
              <w:jc w:val="center"/>
              <w:cnfStyle w:val="000000100000" w:firstRow="0" w:lastRow="0" w:firstColumn="0" w:lastColumn="0" w:oddVBand="0" w:evenVBand="0" w:oddHBand="1" w:evenHBand="0" w:firstRowFirstColumn="0" w:firstRowLastColumn="0" w:lastRowFirstColumn="0" w:lastRowLastColumn="0"/>
              <w:rPr>
                <w:b/>
                <w:color w:val="FFFFFF" w:themeColor="accent6"/>
              </w:rPr>
            </w:pPr>
            <w:r w:rsidRPr="00A51443">
              <w:rPr>
                <w:b/>
                <w:color w:val="FFFFFF" w:themeColor="accent6"/>
              </w:rPr>
              <w:t>AR-DRG V1</w:t>
            </w:r>
            <w:r w:rsidR="003E1FA2" w:rsidRPr="00A51443">
              <w:rPr>
                <w:b/>
                <w:color w:val="FFFFFF" w:themeColor="accent6"/>
              </w:rPr>
              <w:t>2</w:t>
            </w:r>
            <w:r w:rsidRPr="00A51443">
              <w:rPr>
                <w:b/>
                <w:color w:val="FFFFFF" w:themeColor="accent6"/>
              </w:rPr>
              <w:t>.0</w:t>
            </w:r>
          </w:p>
        </w:tc>
      </w:tr>
      <w:tr w:rsidR="001621F9" w:rsidRPr="00B52C74" w14:paraId="4D3B838E" w14:textId="4F7352A4" w:rsidTr="00583566">
        <w:trPr>
          <w:jc w:val="center"/>
        </w:trPr>
        <w:tc>
          <w:tcPr>
            <w:cnfStyle w:val="001000000000" w:firstRow="0" w:lastRow="0" w:firstColumn="1" w:lastColumn="0" w:oddVBand="0" w:evenVBand="0" w:oddHBand="0" w:evenHBand="0" w:firstRowFirstColumn="0" w:firstRowLastColumn="0" w:lastRowFirstColumn="0" w:lastRowLastColumn="0"/>
            <w:tcW w:w="1664" w:type="dxa"/>
            <w:shd w:val="clear" w:color="auto" w:fill="auto"/>
            <w:vAlign w:val="center"/>
          </w:tcPr>
          <w:p w14:paraId="78A8506C" w14:textId="4FE742E6" w:rsidR="001621F9" w:rsidRPr="00B52C74" w:rsidRDefault="000D35B4" w:rsidP="00583566">
            <w:pPr>
              <w:spacing w:before="60" w:after="60"/>
              <w:jc w:val="right"/>
              <w:rPr>
                <w:b w:val="0"/>
              </w:rPr>
            </w:pPr>
            <w:r w:rsidRPr="00B52C74">
              <w:t>65.9</w:t>
            </w:r>
            <w:r w:rsidR="00F5491F" w:rsidRPr="00B52C74">
              <w:t>5</w:t>
            </w:r>
            <w:r w:rsidRPr="00B52C74">
              <w:t>%</w:t>
            </w:r>
          </w:p>
        </w:tc>
        <w:tc>
          <w:tcPr>
            <w:tcW w:w="1665" w:type="dxa"/>
            <w:vAlign w:val="center"/>
          </w:tcPr>
          <w:p w14:paraId="6C2225BC" w14:textId="75FE54E8" w:rsidR="001621F9" w:rsidRPr="00B52C74" w:rsidRDefault="000D35B4" w:rsidP="00583566">
            <w:pPr>
              <w:tabs>
                <w:tab w:val="left" w:pos="1815"/>
              </w:tabs>
              <w:spacing w:before="60" w:after="60"/>
              <w:jc w:val="right"/>
              <w:cnfStyle w:val="000000000000" w:firstRow="0" w:lastRow="0" w:firstColumn="0" w:lastColumn="0" w:oddVBand="0" w:evenVBand="0" w:oddHBand="0" w:evenHBand="0" w:firstRowFirstColumn="0" w:firstRowLastColumn="0" w:lastRowFirstColumn="0" w:lastRowLastColumn="0"/>
            </w:pPr>
            <w:r w:rsidRPr="00B52C74">
              <w:t>66.</w:t>
            </w:r>
            <w:r w:rsidR="00623EF7" w:rsidRPr="00B52C74">
              <w:t>0</w:t>
            </w:r>
            <w:r w:rsidR="00963DDF" w:rsidRPr="00B52C74">
              <w:t>9</w:t>
            </w:r>
            <w:r w:rsidRPr="00B52C74">
              <w:t>%</w:t>
            </w:r>
          </w:p>
        </w:tc>
        <w:tc>
          <w:tcPr>
            <w:tcW w:w="1664" w:type="dxa"/>
          </w:tcPr>
          <w:p w14:paraId="190D5AFE" w14:textId="2670D85E" w:rsidR="001621F9" w:rsidRPr="00B52C74" w:rsidDel="0085072C" w:rsidRDefault="004E4B64" w:rsidP="00583566">
            <w:pPr>
              <w:tabs>
                <w:tab w:val="left" w:pos="1815"/>
              </w:tabs>
              <w:spacing w:before="60" w:after="60"/>
              <w:jc w:val="right"/>
              <w:cnfStyle w:val="000000000000" w:firstRow="0" w:lastRow="0" w:firstColumn="0" w:lastColumn="0" w:oddVBand="0" w:evenVBand="0" w:oddHBand="0" w:evenHBand="0" w:firstRowFirstColumn="0" w:firstRowLastColumn="0" w:lastRowFirstColumn="0" w:lastRowLastColumn="0"/>
              <w:rPr>
                <w:iCs/>
              </w:rPr>
            </w:pPr>
            <w:r w:rsidRPr="00B52C74">
              <w:rPr>
                <w:iCs/>
              </w:rPr>
              <w:t>8</w:t>
            </w:r>
            <w:r w:rsidR="00B44F4F" w:rsidRPr="00B52C74">
              <w:rPr>
                <w:iCs/>
              </w:rPr>
              <w:t>6.</w:t>
            </w:r>
            <w:r w:rsidR="001B5780" w:rsidRPr="00B52C74">
              <w:rPr>
                <w:iCs/>
              </w:rPr>
              <w:t>08</w:t>
            </w:r>
            <w:r w:rsidRPr="00B52C74">
              <w:rPr>
                <w:iCs/>
              </w:rPr>
              <w:t>%</w:t>
            </w:r>
          </w:p>
        </w:tc>
        <w:tc>
          <w:tcPr>
            <w:tcW w:w="1665" w:type="dxa"/>
          </w:tcPr>
          <w:p w14:paraId="26619FEA" w14:textId="1476C0E9" w:rsidR="001621F9" w:rsidRPr="00B52C74" w:rsidDel="0085072C" w:rsidRDefault="004E4B64" w:rsidP="00583566">
            <w:pPr>
              <w:tabs>
                <w:tab w:val="left" w:pos="1815"/>
              </w:tabs>
              <w:spacing w:before="60" w:after="60"/>
              <w:jc w:val="right"/>
              <w:cnfStyle w:val="000000000000" w:firstRow="0" w:lastRow="0" w:firstColumn="0" w:lastColumn="0" w:oddVBand="0" w:evenVBand="0" w:oddHBand="0" w:evenHBand="0" w:firstRowFirstColumn="0" w:firstRowLastColumn="0" w:lastRowFirstColumn="0" w:lastRowLastColumn="0"/>
              <w:rPr>
                <w:iCs/>
              </w:rPr>
            </w:pPr>
            <w:r w:rsidRPr="00B52C74">
              <w:rPr>
                <w:iCs/>
              </w:rPr>
              <w:t>8</w:t>
            </w:r>
            <w:r w:rsidR="001B5780" w:rsidRPr="00B52C74">
              <w:rPr>
                <w:iCs/>
              </w:rPr>
              <w:t>6.17</w:t>
            </w:r>
            <w:r w:rsidRPr="00B52C74">
              <w:rPr>
                <w:iCs/>
              </w:rPr>
              <w:t>%</w:t>
            </w:r>
          </w:p>
        </w:tc>
      </w:tr>
    </w:tbl>
    <w:p w14:paraId="74FC9283" w14:textId="233E3A4B" w:rsidR="00C419C6" w:rsidRPr="00A51443" w:rsidRDefault="00C419C6" w:rsidP="00C9526E">
      <w:pPr>
        <w:spacing w:before="160"/>
      </w:pPr>
      <w:r w:rsidRPr="00B52C74">
        <w:t>The overall statistical performance of AR-DRG V12.0 is a RID of 66.0</w:t>
      </w:r>
      <w:r w:rsidR="00963DDF" w:rsidRPr="00B52C74">
        <w:t>9</w:t>
      </w:r>
      <w:r w:rsidRPr="00B52C74">
        <w:t>% and AUG ratio of 8</w:t>
      </w:r>
      <w:r w:rsidR="00866E26" w:rsidRPr="00B52C74">
        <w:t>6.17</w:t>
      </w:r>
      <w:r w:rsidRPr="00B52C74">
        <w:t>%, which is comparable to the AR-DRG V11.0 RID of 65.9</w:t>
      </w:r>
      <w:r w:rsidR="00963DDF" w:rsidRPr="00B52C74">
        <w:t>5</w:t>
      </w:r>
      <w:r w:rsidRPr="00B52C74">
        <w:t>% and AUG ratio of 8</w:t>
      </w:r>
      <w:r w:rsidR="00866E26" w:rsidRPr="00B52C74">
        <w:t>6.08</w:t>
      </w:r>
      <w:r w:rsidRPr="00B52C74">
        <w:t>%.</w:t>
      </w:r>
    </w:p>
    <w:p w14:paraId="07B83A5A" w14:textId="1BD6B0B9" w:rsidR="00CD08D4" w:rsidRPr="00A51443" w:rsidRDefault="00CD08D4">
      <w:pPr>
        <w:spacing w:line="259" w:lineRule="auto"/>
      </w:pPr>
      <w:r w:rsidRPr="00A51443">
        <w:br w:type="page"/>
      </w:r>
    </w:p>
    <w:p w14:paraId="23A355C0" w14:textId="1D0025CD" w:rsidR="00E05A00" w:rsidRPr="00A51443" w:rsidRDefault="00211C3C" w:rsidP="007032BC">
      <w:pPr>
        <w:pStyle w:val="Heading1"/>
        <w:spacing w:before="200" w:after="40"/>
        <w:rPr>
          <w:sz w:val="64"/>
          <w:szCs w:val="64"/>
        </w:rPr>
      </w:pPr>
      <w:bookmarkStart w:id="1404" w:name="_Toc188263135"/>
      <w:bookmarkStart w:id="1405" w:name="_Toc193462727"/>
      <w:bookmarkStart w:id="1406" w:name="_Ref182400340"/>
      <w:bookmarkStart w:id="1407" w:name="_Ref182400349"/>
      <w:bookmarkStart w:id="1408" w:name="_Ref182400359"/>
      <w:bookmarkStart w:id="1409" w:name="_Ref182400388"/>
      <w:bookmarkStart w:id="1410" w:name="_Ref182401035"/>
      <w:bookmarkStart w:id="1411" w:name="_Ref182475773"/>
      <w:r w:rsidRPr="00A51443">
        <w:rPr>
          <w:sz w:val="64"/>
          <w:szCs w:val="64"/>
        </w:rPr>
        <w:lastRenderedPageBreak/>
        <w:t>Appendix A: ICD-10-AM and ACHI code references</w:t>
      </w:r>
      <w:bookmarkEnd w:id="1404"/>
      <w:bookmarkEnd w:id="1405"/>
      <w:r w:rsidRPr="00A51443">
        <w:rPr>
          <w:sz w:val="64"/>
          <w:szCs w:val="64"/>
        </w:rPr>
        <w:t xml:space="preserve"> </w:t>
      </w:r>
      <w:bookmarkEnd w:id="1406"/>
      <w:bookmarkEnd w:id="1407"/>
      <w:bookmarkEnd w:id="1408"/>
      <w:bookmarkEnd w:id="1409"/>
      <w:bookmarkEnd w:id="1410"/>
      <w:bookmarkEnd w:id="1411"/>
    </w:p>
    <w:p w14:paraId="0B248E84" w14:textId="039A4C86" w:rsidR="00C91EA3" w:rsidRPr="00A51443" w:rsidRDefault="00C91EA3" w:rsidP="007032BC">
      <w:pPr>
        <w:pStyle w:val="Attachment"/>
        <w:numPr>
          <w:ilvl w:val="0"/>
          <w:numId w:val="0"/>
        </w:numPr>
        <w:spacing w:before="200" w:after="40"/>
        <w:ind w:left="357" w:hanging="357"/>
        <w:rPr>
          <w:rFonts w:eastAsia="Arial" w:cs="Arial"/>
        </w:rPr>
      </w:pPr>
      <w:r w:rsidRPr="00A51443">
        <w:rPr>
          <w:rFonts w:eastAsia="Arial" w:cs="Arial"/>
        </w:rPr>
        <w:t>Appendix A contains the following worksheets:</w:t>
      </w:r>
    </w:p>
    <w:p w14:paraId="1533AAB6" w14:textId="3FAE1257" w:rsidR="00531AE3" w:rsidRPr="00A51443" w:rsidRDefault="00531AE3" w:rsidP="007032BC">
      <w:pPr>
        <w:pStyle w:val="Attachment"/>
        <w:numPr>
          <w:ilvl w:val="0"/>
          <w:numId w:val="0"/>
        </w:numPr>
        <w:tabs>
          <w:tab w:val="left" w:pos="567"/>
        </w:tabs>
        <w:spacing w:before="200" w:after="40"/>
        <w:ind w:left="567" w:hanging="567"/>
        <w:rPr>
          <w:rFonts w:eastAsia="Arial" w:cs="Arial"/>
        </w:rPr>
      </w:pPr>
      <w:r w:rsidRPr="00A51443">
        <w:rPr>
          <w:rFonts w:eastAsia="Arial" w:cs="Arial"/>
        </w:rPr>
        <w:t xml:space="preserve">A1. </w:t>
      </w:r>
      <w:r w:rsidR="00E504DB" w:rsidRPr="00A51443">
        <w:rPr>
          <w:rFonts w:eastAsia="Arial" w:cs="Arial"/>
        </w:rPr>
        <w:tab/>
      </w:r>
      <w:r w:rsidRPr="00A51443">
        <w:rPr>
          <w:rFonts w:eastAsia="Arial" w:cs="Arial"/>
        </w:rPr>
        <w:t xml:space="preserve">ICD-10-AM code references for Section </w:t>
      </w:r>
      <w:r w:rsidR="00271AFB" w:rsidRPr="00A51443">
        <w:rPr>
          <w:rFonts w:eastAsia="Arial" w:cs="Arial"/>
        </w:rPr>
        <w:fldChar w:fldCharType="begin"/>
      </w:r>
      <w:r w:rsidR="00271AFB" w:rsidRPr="00A51443">
        <w:rPr>
          <w:rFonts w:eastAsia="Arial" w:cs="Arial"/>
        </w:rPr>
        <w:instrText xml:space="preserve"> REF _Ref187327876 \r \h </w:instrText>
      </w:r>
      <w:r w:rsidR="00A51443">
        <w:rPr>
          <w:rFonts w:eastAsia="Arial" w:cs="Arial"/>
        </w:rPr>
        <w:instrText xml:space="preserve"> \* MERGEFORMAT </w:instrText>
      </w:r>
      <w:r w:rsidR="00271AFB" w:rsidRPr="00A51443">
        <w:rPr>
          <w:rFonts w:eastAsia="Arial" w:cs="Arial"/>
        </w:rPr>
      </w:r>
      <w:r w:rsidR="00271AFB" w:rsidRPr="00A51443">
        <w:rPr>
          <w:rFonts w:eastAsia="Arial" w:cs="Arial"/>
        </w:rPr>
        <w:fldChar w:fldCharType="separate"/>
      </w:r>
      <w:r w:rsidR="009D07F9">
        <w:rPr>
          <w:rFonts w:eastAsia="Arial" w:cs="Arial"/>
        </w:rPr>
        <w:t>3.1.1</w:t>
      </w:r>
      <w:r w:rsidR="00271AFB" w:rsidRPr="00A51443">
        <w:rPr>
          <w:rFonts w:eastAsia="Arial" w:cs="Arial"/>
        </w:rPr>
        <w:fldChar w:fldCharType="end"/>
      </w:r>
      <w:r w:rsidRPr="00A51443">
        <w:rPr>
          <w:rFonts w:eastAsia="Arial" w:cs="Arial"/>
        </w:rPr>
        <w:t xml:space="preserve"> </w:t>
      </w:r>
      <w:r w:rsidR="00FA49D2" w:rsidRPr="00A51443">
        <w:rPr>
          <w:rFonts w:eastAsia="Arial" w:cs="Arial"/>
        </w:rPr>
        <w:t>N</w:t>
      </w:r>
      <w:r w:rsidRPr="00A51443">
        <w:rPr>
          <w:rFonts w:eastAsia="Arial" w:cs="Arial"/>
        </w:rPr>
        <w:t>ew ADRG to distinguish mental health and behavioural disorders in the postnatal period</w:t>
      </w:r>
    </w:p>
    <w:p w14:paraId="7A28D61D" w14:textId="3BEE42EF" w:rsidR="00531AE3" w:rsidRPr="00A51443" w:rsidRDefault="00531AE3" w:rsidP="007032BC">
      <w:pPr>
        <w:tabs>
          <w:tab w:val="left" w:pos="567"/>
        </w:tabs>
        <w:spacing w:before="200" w:after="40" w:line="240" w:lineRule="auto"/>
        <w:ind w:left="567" w:hanging="567"/>
        <w:rPr>
          <w:rFonts w:eastAsia="Arial" w:cs="Arial"/>
          <w:color w:val="auto"/>
        </w:rPr>
      </w:pPr>
      <w:r w:rsidRPr="00A51443">
        <w:rPr>
          <w:rFonts w:eastAsia="Arial" w:cs="Arial"/>
          <w:color w:val="auto"/>
        </w:rPr>
        <w:t xml:space="preserve">A2. </w:t>
      </w:r>
      <w:r w:rsidR="00E504DB" w:rsidRPr="00A51443">
        <w:rPr>
          <w:rFonts w:eastAsia="Arial" w:cs="Arial"/>
          <w:color w:val="auto"/>
        </w:rPr>
        <w:tab/>
      </w:r>
      <w:r w:rsidRPr="00A51443">
        <w:rPr>
          <w:rFonts w:eastAsia="Arial" w:cs="Arial"/>
          <w:color w:val="auto"/>
        </w:rPr>
        <w:t xml:space="preserve">ICD-10-AM code references for Section </w:t>
      </w:r>
      <w:r w:rsidR="00271AFB" w:rsidRPr="00A51443">
        <w:rPr>
          <w:rFonts w:eastAsia="Arial" w:cs="Arial"/>
          <w:color w:val="auto"/>
        </w:rPr>
        <w:fldChar w:fldCharType="begin"/>
      </w:r>
      <w:r w:rsidR="00271AFB" w:rsidRPr="00A51443">
        <w:rPr>
          <w:rFonts w:eastAsia="Arial" w:cs="Arial"/>
          <w:color w:val="auto"/>
        </w:rPr>
        <w:instrText xml:space="preserve"> REF _Ref187327894 \r \h </w:instrText>
      </w:r>
      <w:r w:rsidR="00A51443">
        <w:rPr>
          <w:rFonts w:eastAsia="Arial" w:cs="Arial"/>
          <w:color w:val="auto"/>
        </w:rPr>
        <w:instrText xml:space="preserve"> \* MERGEFORMAT </w:instrText>
      </w:r>
      <w:r w:rsidR="00271AFB" w:rsidRPr="00A51443">
        <w:rPr>
          <w:rFonts w:eastAsia="Arial" w:cs="Arial"/>
          <w:color w:val="auto"/>
        </w:rPr>
      </w:r>
      <w:r w:rsidR="00271AFB" w:rsidRPr="00A51443">
        <w:rPr>
          <w:rFonts w:eastAsia="Arial" w:cs="Arial"/>
          <w:color w:val="auto"/>
        </w:rPr>
        <w:fldChar w:fldCharType="separate"/>
      </w:r>
      <w:r w:rsidR="009D07F9">
        <w:rPr>
          <w:rFonts w:eastAsia="Arial" w:cs="Arial"/>
          <w:color w:val="auto"/>
        </w:rPr>
        <w:t>3.1.2</w:t>
      </w:r>
      <w:r w:rsidR="00271AFB" w:rsidRPr="00A51443">
        <w:rPr>
          <w:rFonts w:eastAsia="Arial" w:cs="Arial"/>
          <w:color w:val="auto"/>
        </w:rPr>
        <w:fldChar w:fldCharType="end"/>
      </w:r>
      <w:r w:rsidRPr="00A51443">
        <w:rPr>
          <w:rFonts w:eastAsia="Arial" w:cs="Arial"/>
          <w:color w:val="auto"/>
        </w:rPr>
        <w:t xml:space="preserve"> Disaggregation of ADRG O66</w:t>
      </w:r>
      <w:r w:rsidRPr="00A51443">
        <w:rPr>
          <w:rFonts w:eastAsia="Arial" w:cs="Arial"/>
          <w:i/>
          <w:iCs/>
          <w:color w:val="auto"/>
        </w:rPr>
        <w:t xml:space="preserve"> Antenatal and other admissions related to pregnancy, childbirth and the puerperium</w:t>
      </w:r>
    </w:p>
    <w:p w14:paraId="7F52DA57" w14:textId="64218A5D" w:rsidR="006D265A" w:rsidRPr="00A51443" w:rsidRDefault="006D265A" w:rsidP="006D265A">
      <w:pPr>
        <w:tabs>
          <w:tab w:val="left" w:pos="567"/>
        </w:tabs>
        <w:spacing w:before="200" w:after="40" w:line="240" w:lineRule="auto"/>
        <w:ind w:left="567" w:hanging="567"/>
        <w:rPr>
          <w:rFonts w:eastAsia="Arial" w:cs="Arial"/>
          <w:i/>
          <w:iCs/>
          <w:color w:val="auto"/>
        </w:rPr>
      </w:pPr>
      <w:r w:rsidRPr="00A51443">
        <w:rPr>
          <w:rFonts w:eastAsia="Arial" w:cs="Arial"/>
          <w:color w:val="auto"/>
        </w:rPr>
        <w:t xml:space="preserve">A3. </w:t>
      </w:r>
      <w:r w:rsidRPr="00A51443">
        <w:rPr>
          <w:rFonts w:eastAsia="Arial" w:cs="Arial"/>
          <w:color w:val="auto"/>
        </w:rPr>
        <w:tab/>
        <w:t xml:space="preserve">ACHI code references for Section </w:t>
      </w:r>
      <w:r w:rsidRPr="00A51443">
        <w:rPr>
          <w:rFonts w:eastAsia="Arial" w:cs="Arial"/>
          <w:color w:val="auto"/>
        </w:rPr>
        <w:fldChar w:fldCharType="begin"/>
      </w:r>
      <w:r w:rsidRPr="00A51443">
        <w:rPr>
          <w:rFonts w:eastAsia="Arial" w:cs="Arial"/>
          <w:color w:val="auto"/>
        </w:rPr>
        <w:instrText xml:space="preserve"> REF _Ref187327946 \r \h </w:instrText>
      </w:r>
      <w:r w:rsidR="00A51443">
        <w:rPr>
          <w:rFonts w:eastAsia="Arial" w:cs="Arial"/>
          <w:color w:val="auto"/>
        </w:rPr>
        <w:instrText xml:space="preserve"> \* MERGEFORMAT </w:instrText>
      </w:r>
      <w:r w:rsidRPr="00A51443">
        <w:rPr>
          <w:rFonts w:eastAsia="Arial" w:cs="Arial"/>
          <w:color w:val="auto"/>
        </w:rPr>
      </w:r>
      <w:r w:rsidRPr="00A51443">
        <w:rPr>
          <w:rFonts w:eastAsia="Arial" w:cs="Arial"/>
          <w:color w:val="auto"/>
        </w:rPr>
        <w:fldChar w:fldCharType="separate"/>
      </w:r>
      <w:r w:rsidR="009D07F9">
        <w:rPr>
          <w:rFonts w:eastAsia="Arial" w:cs="Arial"/>
          <w:color w:val="auto"/>
        </w:rPr>
        <w:t>3.2</w:t>
      </w:r>
      <w:r w:rsidRPr="00A51443">
        <w:rPr>
          <w:rFonts w:eastAsia="Arial" w:cs="Arial"/>
          <w:color w:val="auto"/>
        </w:rPr>
        <w:fldChar w:fldCharType="end"/>
      </w:r>
      <w:r w:rsidRPr="00A51443">
        <w:rPr>
          <w:rFonts w:eastAsia="Arial" w:cs="Arial"/>
          <w:color w:val="auto"/>
        </w:rPr>
        <w:t xml:space="preserve"> General Interventions review - Guiding principles that inform grouping to the intervention partition</w:t>
      </w:r>
    </w:p>
    <w:p w14:paraId="0BAB1A1D" w14:textId="5DAA13E0" w:rsidR="00531AE3" w:rsidRPr="00A51443" w:rsidRDefault="00531AE3" w:rsidP="007032BC">
      <w:pPr>
        <w:tabs>
          <w:tab w:val="left" w:pos="567"/>
        </w:tabs>
        <w:spacing w:before="200" w:after="40" w:line="240" w:lineRule="auto"/>
        <w:ind w:left="567" w:hanging="567"/>
        <w:rPr>
          <w:rFonts w:eastAsia="Arial" w:cs="Arial"/>
          <w:color w:val="auto"/>
        </w:rPr>
      </w:pPr>
      <w:r w:rsidRPr="00A51443">
        <w:rPr>
          <w:rFonts w:eastAsia="Arial" w:cs="Arial"/>
          <w:color w:val="auto"/>
        </w:rPr>
        <w:t>A</w:t>
      </w:r>
      <w:r w:rsidR="006D265A" w:rsidRPr="00A51443">
        <w:rPr>
          <w:rFonts w:eastAsia="Arial" w:cs="Arial"/>
          <w:color w:val="auto"/>
        </w:rPr>
        <w:t>4</w:t>
      </w:r>
      <w:r w:rsidRPr="00A51443">
        <w:rPr>
          <w:rFonts w:eastAsia="Arial" w:cs="Arial"/>
          <w:color w:val="auto"/>
        </w:rPr>
        <w:t xml:space="preserve">. </w:t>
      </w:r>
      <w:r w:rsidR="00E504DB" w:rsidRPr="00A51443">
        <w:rPr>
          <w:rFonts w:eastAsia="Arial" w:cs="Arial"/>
          <w:color w:val="auto"/>
        </w:rPr>
        <w:tab/>
      </w:r>
      <w:r w:rsidRPr="00A51443">
        <w:rPr>
          <w:rFonts w:eastAsia="Arial" w:cs="Arial"/>
          <w:color w:val="auto"/>
        </w:rPr>
        <w:t xml:space="preserve">ICD-10-AM code references for Section </w:t>
      </w:r>
      <w:r w:rsidR="0082602E" w:rsidRPr="00A51443">
        <w:rPr>
          <w:rFonts w:eastAsia="Arial" w:cs="Arial"/>
          <w:color w:val="auto"/>
        </w:rPr>
        <w:t>3.3</w:t>
      </w:r>
      <w:r w:rsidRPr="00A51443">
        <w:rPr>
          <w:rFonts w:eastAsia="Arial" w:cs="Arial"/>
          <w:color w:val="auto"/>
        </w:rPr>
        <w:t xml:space="preserve"> Enhancement of Diagnosis Complexity Level (DCL) precision for diabetes mellitus</w:t>
      </w:r>
    </w:p>
    <w:p w14:paraId="59568D59" w14:textId="48AD3F9A" w:rsidR="00531AE3" w:rsidRPr="00A51443" w:rsidRDefault="00531AE3" w:rsidP="007032BC">
      <w:pPr>
        <w:tabs>
          <w:tab w:val="left" w:pos="567"/>
        </w:tabs>
        <w:spacing w:before="200" w:after="40" w:line="240" w:lineRule="auto"/>
        <w:ind w:left="567" w:hanging="567"/>
        <w:rPr>
          <w:rFonts w:eastAsia="Arial" w:cs="Arial"/>
          <w:color w:val="auto"/>
        </w:rPr>
      </w:pPr>
      <w:r w:rsidRPr="00A51443">
        <w:rPr>
          <w:rFonts w:eastAsia="Arial" w:cs="Arial"/>
          <w:color w:val="auto"/>
        </w:rPr>
        <w:t>A5</w:t>
      </w:r>
      <w:r w:rsidRPr="00A51443">
        <w:rPr>
          <w:rFonts w:eastAsia="Arial" w:cs="Arial"/>
          <w:i/>
          <w:iCs/>
          <w:color w:val="auto"/>
        </w:rPr>
        <w:t>.</w:t>
      </w:r>
      <w:r w:rsidRPr="00A51443">
        <w:rPr>
          <w:rFonts w:eastAsia="Arial" w:cs="Arial"/>
          <w:color w:val="auto"/>
        </w:rPr>
        <w:t xml:space="preserve"> </w:t>
      </w:r>
      <w:r w:rsidR="00E504DB" w:rsidRPr="00A51443">
        <w:rPr>
          <w:rFonts w:eastAsia="Arial" w:cs="Arial"/>
          <w:color w:val="auto"/>
        </w:rPr>
        <w:tab/>
      </w:r>
      <w:r w:rsidRPr="00A51443">
        <w:rPr>
          <w:rFonts w:eastAsia="Arial" w:cs="Arial"/>
          <w:color w:val="auto"/>
        </w:rPr>
        <w:t xml:space="preserve">ICD-10-AM and ACHI code references for Section </w:t>
      </w:r>
      <w:r w:rsidR="006D265A" w:rsidRPr="00A51443">
        <w:rPr>
          <w:rFonts w:eastAsia="Arial" w:cs="Arial"/>
          <w:color w:val="auto"/>
        </w:rPr>
        <w:fldChar w:fldCharType="begin"/>
      </w:r>
      <w:r w:rsidR="006D265A" w:rsidRPr="00A51443">
        <w:rPr>
          <w:rFonts w:eastAsia="Arial" w:cs="Arial"/>
          <w:color w:val="auto"/>
        </w:rPr>
        <w:instrText xml:space="preserve"> REF _Ref187328056 \r \h </w:instrText>
      </w:r>
      <w:r w:rsidR="00A51443">
        <w:rPr>
          <w:rFonts w:eastAsia="Arial" w:cs="Arial"/>
          <w:color w:val="auto"/>
        </w:rPr>
        <w:instrText xml:space="preserve"> \* MERGEFORMAT </w:instrText>
      </w:r>
      <w:r w:rsidR="006D265A" w:rsidRPr="00A51443">
        <w:rPr>
          <w:rFonts w:eastAsia="Arial" w:cs="Arial"/>
          <w:color w:val="auto"/>
        </w:rPr>
      </w:r>
      <w:r w:rsidR="006D265A" w:rsidRPr="00A51443">
        <w:rPr>
          <w:rFonts w:eastAsia="Arial" w:cs="Arial"/>
          <w:color w:val="auto"/>
        </w:rPr>
        <w:fldChar w:fldCharType="separate"/>
      </w:r>
      <w:r w:rsidR="009D07F9">
        <w:rPr>
          <w:rFonts w:eastAsia="Arial" w:cs="Arial"/>
          <w:color w:val="auto"/>
        </w:rPr>
        <w:t>3.4</w:t>
      </w:r>
      <w:r w:rsidR="006D265A" w:rsidRPr="00A51443">
        <w:rPr>
          <w:rFonts w:eastAsia="Arial" w:cs="Arial"/>
          <w:color w:val="auto"/>
        </w:rPr>
        <w:fldChar w:fldCharType="end"/>
      </w:r>
      <w:r w:rsidRPr="00A51443">
        <w:rPr>
          <w:rFonts w:eastAsia="Arial" w:cs="Arial"/>
          <w:color w:val="auto"/>
        </w:rPr>
        <w:t xml:space="preserve"> Posthumous organ procurement</w:t>
      </w:r>
    </w:p>
    <w:p w14:paraId="68796E6A" w14:textId="45907973" w:rsidR="00531AE3" w:rsidRPr="00A51443" w:rsidRDefault="00531AE3" w:rsidP="007032BC">
      <w:pPr>
        <w:tabs>
          <w:tab w:val="left" w:pos="567"/>
        </w:tabs>
        <w:spacing w:before="200" w:after="40" w:line="240" w:lineRule="auto"/>
        <w:ind w:left="567" w:hanging="567"/>
        <w:rPr>
          <w:i/>
          <w:iCs/>
        </w:rPr>
      </w:pPr>
      <w:r w:rsidRPr="00A51443">
        <w:t xml:space="preserve">A6. </w:t>
      </w:r>
      <w:r w:rsidR="00E504DB" w:rsidRPr="00A51443">
        <w:tab/>
      </w:r>
      <w:r w:rsidRPr="00A51443">
        <w:t xml:space="preserve">ACHI code references for Section </w:t>
      </w:r>
      <w:r w:rsidR="006D265A" w:rsidRPr="00A51443">
        <w:fldChar w:fldCharType="begin"/>
      </w:r>
      <w:r w:rsidR="006D265A" w:rsidRPr="00A51443">
        <w:instrText xml:space="preserve"> REF _Ref187328078 \r \h </w:instrText>
      </w:r>
      <w:r w:rsidR="00A51443">
        <w:instrText xml:space="preserve"> \* MERGEFORMAT </w:instrText>
      </w:r>
      <w:r w:rsidR="006D265A" w:rsidRPr="00A51443">
        <w:fldChar w:fldCharType="separate"/>
      </w:r>
      <w:r w:rsidR="009D07F9">
        <w:t>3.5.2</w:t>
      </w:r>
      <w:r w:rsidR="006D265A" w:rsidRPr="00A51443">
        <w:fldChar w:fldCharType="end"/>
      </w:r>
      <w:r w:rsidRPr="00A51443">
        <w:t xml:space="preserve"> Review of ADRG 801</w:t>
      </w:r>
      <w:r w:rsidRPr="00A51443">
        <w:rPr>
          <w:i/>
          <w:iCs/>
        </w:rPr>
        <w:t xml:space="preserve"> G</w:t>
      </w:r>
      <w:r w:rsidR="00BE22E3" w:rsidRPr="00A51443">
        <w:rPr>
          <w:i/>
          <w:iCs/>
        </w:rPr>
        <w:t xml:space="preserve">eneral </w:t>
      </w:r>
      <w:r w:rsidRPr="00A51443">
        <w:rPr>
          <w:i/>
          <w:iCs/>
        </w:rPr>
        <w:t>I</w:t>
      </w:r>
      <w:r w:rsidR="00BE22E3" w:rsidRPr="00A51443">
        <w:rPr>
          <w:i/>
          <w:iCs/>
        </w:rPr>
        <w:t>ntervention</w:t>
      </w:r>
      <w:r w:rsidRPr="00A51443">
        <w:rPr>
          <w:i/>
          <w:iCs/>
        </w:rPr>
        <w:t xml:space="preserve"> unrelated to principal diagnosis</w:t>
      </w:r>
    </w:p>
    <w:p w14:paraId="158DC59B" w14:textId="7ACBE2E1" w:rsidR="00531AE3" w:rsidRPr="00A51443" w:rsidRDefault="00531AE3" w:rsidP="007032BC">
      <w:pPr>
        <w:tabs>
          <w:tab w:val="left" w:pos="567"/>
        </w:tabs>
        <w:spacing w:before="200" w:after="40" w:line="240" w:lineRule="auto"/>
        <w:ind w:left="567" w:hanging="567"/>
      </w:pPr>
      <w:r w:rsidRPr="00A51443">
        <w:t xml:space="preserve">A7. </w:t>
      </w:r>
      <w:r w:rsidR="00E504DB" w:rsidRPr="00A51443">
        <w:tab/>
      </w:r>
      <w:r w:rsidRPr="00A51443">
        <w:t xml:space="preserve">ICD-10-AM code references for Section </w:t>
      </w:r>
      <w:r w:rsidR="006D265A" w:rsidRPr="00A51443">
        <w:fldChar w:fldCharType="begin"/>
      </w:r>
      <w:r w:rsidR="006D265A" w:rsidRPr="00A51443">
        <w:instrText xml:space="preserve"> REF _Ref187328094 \r \h </w:instrText>
      </w:r>
      <w:r w:rsidR="00A51443">
        <w:instrText xml:space="preserve"> \* MERGEFORMAT </w:instrText>
      </w:r>
      <w:r w:rsidR="006D265A" w:rsidRPr="00A51443">
        <w:fldChar w:fldCharType="separate"/>
      </w:r>
      <w:r w:rsidR="009D07F9">
        <w:t>3.5.3</w:t>
      </w:r>
      <w:r w:rsidR="006D265A" w:rsidRPr="00A51443">
        <w:fldChar w:fldCharType="end"/>
      </w:r>
      <w:r w:rsidRPr="00A51443">
        <w:t xml:space="preserve"> ICD-10-AM codes in-scope for receiving a Diagnosis Complexity Level</w:t>
      </w:r>
    </w:p>
    <w:p w14:paraId="0A1C351A" w14:textId="77777777" w:rsidR="00531AE3" w:rsidRPr="00A51443" w:rsidRDefault="00531AE3" w:rsidP="00531AE3">
      <w:pPr>
        <w:spacing w:before="200" w:after="40"/>
      </w:pPr>
    </w:p>
    <w:p w14:paraId="33DB6222" w14:textId="6E83CB51" w:rsidR="00211C3C" w:rsidRPr="00A51443" w:rsidRDefault="00211C3C"/>
    <w:p w14:paraId="5D95AD79" w14:textId="77777777" w:rsidR="003657C7" w:rsidRPr="00A51443" w:rsidRDefault="003657C7" w:rsidP="00F03F85">
      <w:pPr>
        <w:pStyle w:val="Heading1"/>
        <w:sectPr w:rsidR="003657C7" w:rsidRPr="00A51443" w:rsidSect="009519E0">
          <w:pgSz w:w="11906" w:h="16838" w:code="9"/>
          <w:pgMar w:top="1440" w:right="1080" w:bottom="1440" w:left="1080" w:header="708" w:footer="708" w:gutter="0"/>
          <w:cols w:space="708"/>
          <w:docGrid w:linePitch="360"/>
        </w:sectPr>
      </w:pPr>
    </w:p>
    <w:p w14:paraId="16A454E9" w14:textId="361F07FB" w:rsidR="00502A09" w:rsidRPr="00A51443" w:rsidRDefault="00502A09" w:rsidP="00502A09">
      <w:pPr>
        <w:spacing w:after="360"/>
        <w:rPr>
          <w:color w:val="FFFFFF" w:themeColor="background2"/>
        </w:rPr>
      </w:pPr>
      <w:r w:rsidRPr="00A51443">
        <w:rPr>
          <w:noProof/>
          <w:color w:val="FFFFFF" w:themeColor="background2"/>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A51443" w:rsidRDefault="00502A09" w:rsidP="00502A09">
      <w:pPr>
        <w:spacing w:after="360"/>
        <w:rPr>
          <w:color w:val="FFFFFF" w:themeColor="background2"/>
        </w:rPr>
      </w:pPr>
      <w:r w:rsidRPr="00A51443">
        <w:rPr>
          <w:color w:val="FFFFFF" w:themeColor="background2"/>
        </w:rPr>
        <w:t>Independent Health and Aged Care Pricing Authority</w:t>
      </w:r>
    </w:p>
    <w:p w14:paraId="6E4B7912" w14:textId="793805FD" w:rsidR="00502A09" w:rsidRPr="00A51443" w:rsidRDefault="00183129" w:rsidP="007032BC">
      <w:pPr>
        <w:spacing w:after="360"/>
        <w:rPr>
          <w:color w:val="54C1AF" w:themeColor="background1"/>
        </w:rPr>
      </w:pPr>
      <w:r w:rsidRPr="00A51443">
        <w:rPr>
          <w:color w:val="54C1AF" w:themeColor="background1"/>
        </w:rPr>
        <w:t xml:space="preserve">Eora Nation, </w:t>
      </w:r>
      <w:r w:rsidR="00502A09" w:rsidRPr="00A51443">
        <w:rPr>
          <w:color w:val="54C1AF" w:themeColor="background1"/>
        </w:rPr>
        <w:t xml:space="preserve">Level </w:t>
      </w:r>
      <w:r w:rsidR="007403BC" w:rsidRPr="00A51443">
        <w:rPr>
          <w:color w:val="54C1AF" w:themeColor="background1"/>
        </w:rPr>
        <w:t>12</w:t>
      </w:r>
      <w:r w:rsidR="00502A09" w:rsidRPr="00A51443">
        <w:rPr>
          <w:color w:val="54C1AF" w:themeColor="background1"/>
        </w:rPr>
        <w:t>, 1 Oxford Street</w:t>
      </w:r>
      <w:r w:rsidR="00502A09" w:rsidRPr="00A51443">
        <w:rPr>
          <w:color w:val="54C1AF" w:themeColor="background1"/>
        </w:rPr>
        <w:br/>
        <w:t>Sydney NSW 2000</w:t>
      </w:r>
    </w:p>
    <w:p w14:paraId="422F9348" w14:textId="375BEE0E" w:rsidR="00502A09" w:rsidRPr="00A51443" w:rsidRDefault="00502A09" w:rsidP="007032BC">
      <w:pPr>
        <w:spacing w:after="360"/>
        <w:rPr>
          <w:color w:val="54C1AF" w:themeColor="accent5"/>
        </w:rPr>
      </w:pPr>
      <w:r w:rsidRPr="00A51443">
        <w:rPr>
          <w:color w:val="FFFFFF" w:themeColor="background2"/>
        </w:rPr>
        <w:t xml:space="preserve">Phone </w:t>
      </w:r>
      <w:r w:rsidRPr="00A51443">
        <w:rPr>
          <w:color w:val="54C1AF" w:themeColor="background1"/>
        </w:rPr>
        <w:t>02 8215 1100</w:t>
      </w:r>
      <w:r w:rsidRPr="00A51443">
        <w:rPr>
          <w:color w:val="FFFFFF" w:themeColor="background2"/>
        </w:rPr>
        <w:br/>
        <w:t xml:space="preserve">Email </w:t>
      </w:r>
      <w:hyperlink r:id="rId23" w:history="1">
        <w:r w:rsidR="00276510" w:rsidRPr="00A51443">
          <w:rPr>
            <w:rStyle w:val="Hyperlink"/>
            <w:color w:val="54C1AF" w:themeColor="accent5"/>
          </w:rPr>
          <w:t>enquiries.ihacpa@ihacpa.gov.au</w:t>
        </w:r>
      </w:hyperlink>
    </w:p>
    <w:p w14:paraId="55FBC7ED" w14:textId="2FF2C616" w:rsidR="00502A09" w:rsidRPr="007032BC" w:rsidRDefault="00502A09" w:rsidP="007032BC">
      <w:pPr>
        <w:spacing w:after="360"/>
        <w:rPr>
          <w:color w:val="54C1AF" w:themeColor="accent5"/>
        </w:rPr>
      </w:pPr>
      <w:hyperlink r:id="rId24" w:history="1">
        <w:r w:rsidRPr="00A51443">
          <w:rPr>
            <w:rStyle w:val="Hyperlink"/>
            <w:color w:val="54C1AF" w:themeColor="accent5"/>
          </w:rPr>
          <w:t>www.ih</w:t>
        </w:r>
        <w:r w:rsidR="007403BC" w:rsidRPr="00A51443">
          <w:rPr>
            <w:rStyle w:val="Hyperlink"/>
            <w:color w:val="54C1AF" w:themeColor="accent5"/>
          </w:rPr>
          <w:t>ac</w:t>
        </w:r>
        <w:r w:rsidRPr="00A51443">
          <w:rPr>
            <w:rStyle w:val="Hyperlink"/>
            <w:color w:val="54C1AF" w:themeColor="accent5"/>
          </w:rPr>
          <w:t>pa.gov.au</w:t>
        </w:r>
      </w:hyperlink>
    </w:p>
    <w:sectPr w:rsidR="00502A09" w:rsidRPr="007032BC" w:rsidSect="009519E0">
      <w:headerReference w:type="default" r:id="rId25"/>
      <w:footerReference w:type="default" r:id="rId2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587EB" w14:textId="77777777" w:rsidR="002E78AF" w:rsidRDefault="002E78AF" w:rsidP="00DC0458">
      <w:pPr>
        <w:spacing w:after="0" w:line="240" w:lineRule="auto"/>
      </w:pPr>
      <w:r>
        <w:separator/>
      </w:r>
    </w:p>
  </w:endnote>
  <w:endnote w:type="continuationSeparator" w:id="0">
    <w:p w14:paraId="0376BE29" w14:textId="77777777" w:rsidR="002E78AF" w:rsidRDefault="002E78AF" w:rsidP="00DC0458">
      <w:pPr>
        <w:spacing w:after="0" w:line="240" w:lineRule="auto"/>
      </w:pPr>
      <w:r>
        <w:continuationSeparator/>
      </w:r>
    </w:p>
  </w:endnote>
  <w:endnote w:type="continuationNotice" w:id="1">
    <w:p w14:paraId="6122F894" w14:textId="77777777" w:rsidR="002E78AF" w:rsidRDefault="002E7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ra Sans regular">
    <w:altName w:val="Cambria"/>
    <w:panose1 w:val="020B05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Josefin Sans Bold">
    <w:panose1 w:val="00000000000000000000"/>
    <w:charset w:val="00"/>
    <w:family w:val="auto"/>
    <w:pitch w:val="variable"/>
    <w:sig w:usb0="A00000FF" w:usb1="4000204B" w:usb2="00000000" w:usb3="00000000" w:csb0="00000193" w:csb1="00000000"/>
  </w:font>
  <w:font w:name="Fira Sans">
    <w:panose1 w:val="020B0503050000020004"/>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2F9B" w14:textId="14631ABC" w:rsidR="006373CB" w:rsidRDefault="000F25AD" w:rsidP="00580BBF">
    <w:pPr>
      <w:pStyle w:val="Footer"/>
    </w:pPr>
    <w:r>
      <w:rPr>
        <w:color w:val="FFFFFF" w:themeColor="background2"/>
      </w:rPr>
      <w:br/>
    </w:r>
    <w:r w:rsidR="005832AF">
      <w:rPr>
        <w:color w:val="FFFFFF" w:themeColor="background2"/>
      </w:rPr>
      <w:t>April</w:t>
    </w:r>
    <w:r w:rsidR="00580BBF" w:rsidRPr="00580BBF">
      <w:rPr>
        <w:color w:val="FFFFFF" w:themeColor="background2"/>
      </w:rPr>
      <w:t xml:space="preserve">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27FA" w14:textId="060FE547" w:rsidR="00493FE8" w:rsidRDefault="00493FE8" w:rsidP="00E24D0E">
    <w:pPr>
      <w:pStyle w:val="Footer"/>
      <w:tabs>
        <w:tab w:val="clear" w:pos="4680"/>
        <w:tab w:val="clear" w:pos="9360"/>
        <w:tab w:val="center" w:pos="9498"/>
        <w:tab w:val="right" w:pos="9746"/>
      </w:tabs>
    </w:pPr>
    <w:r w:rsidRPr="00D20B03">
      <w:rPr>
        <w:b/>
        <w:bCs/>
      </w:rPr>
      <w:t>IHACPA</w:t>
    </w:r>
    <w:r>
      <w:t xml:space="preserve"> </w:t>
    </w:r>
    <w:r w:rsidR="00367B5A">
      <w:t xml:space="preserve">Australian Refined Diagnosis Related Groups Version </w:t>
    </w:r>
    <w:r w:rsidR="00756665">
      <w:t>12.0</w:t>
    </w:r>
    <w:r w:rsidR="00367B5A">
      <w:t xml:space="preserve"> Final Report</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0096" w14:textId="0AB44A7B" w:rsidR="00D62E94" w:rsidRDefault="00D62E94" w:rsidP="00E24D0E">
    <w:pPr>
      <w:pStyle w:val="Footer"/>
      <w:tabs>
        <w:tab w:val="clear" w:pos="4680"/>
        <w:tab w:val="clear" w:pos="9360"/>
        <w:tab w:val="center" w:pos="9498"/>
        <w:tab w:val="right" w:pos="9746"/>
      </w:tabs>
    </w:pPr>
    <w:r>
      <w:rPr>
        <w:b/>
        <w:bCs/>
      </w:rPr>
      <w:t xml:space="preserve"> </w:t>
    </w:r>
    <w:r>
      <w:t>.0 Final Report</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E57B" w14:textId="77777777" w:rsidR="002E78AF" w:rsidRDefault="002E78AF" w:rsidP="00DC0458">
      <w:pPr>
        <w:spacing w:after="0" w:line="240" w:lineRule="auto"/>
      </w:pPr>
      <w:r>
        <w:separator/>
      </w:r>
    </w:p>
  </w:footnote>
  <w:footnote w:type="continuationSeparator" w:id="0">
    <w:p w14:paraId="2E5C5272" w14:textId="77777777" w:rsidR="002E78AF" w:rsidRDefault="002E78AF" w:rsidP="00DC0458">
      <w:pPr>
        <w:spacing w:after="0" w:line="240" w:lineRule="auto"/>
      </w:pPr>
      <w:r>
        <w:continuationSeparator/>
      </w:r>
    </w:p>
  </w:footnote>
  <w:footnote w:type="continuationNotice" w:id="1">
    <w:p w14:paraId="2206D4D7" w14:textId="77777777" w:rsidR="002E78AF" w:rsidRDefault="002E78AF">
      <w:pPr>
        <w:spacing w:after="0" w:line="240" w:lineRule="auto"/>
      </w:pPr>
    </w:p>
  </w:footnote>
  <w:footnote w:id="2">
    <w:p w14:paraId="02EE5983" w14:textId="3716539C" w:rsidR="00F40485" w:rsidRDefault="00F40485" w:rsidP="00C76E24">
      <w:pPr>
        <w:pStyle w:val="FootnoteText"/>
      </w:pPr>
      <w:r>
        <w:rPr>
          <w:rStyle w:val="FootnoteReference"/>
        </w:rPr>
        <w:footnoteRef/>
      </w:r>
      <w:r>
        <w:t xml:space="preserve"> The ADRG assignment criteria for ADRGs O04 and O61 are informed by an identical list of ICD-10-AM codes, with the exception that ADRG O04 requires the presence of a </w:t>
      </w:r>
      <w:r w:rsidR="0081291C">
        <w:t>G</w:t>
      </w:r>
      <w:r>
        <w:t xml:space="preserve">eneral </w:t>
      </w:r>
      <w:r w:rsidR="0081291C">
        <w:t>I</w:t>
      </w:r>
      <w:r>
        <w:t>ntervention and ADRG O61 does not.</w:t>
      </w:r>
    </w:p>
  </w:footnote>
  <w:footnote w:id="3">
    <w:p w14:paraId="6603EE71" w14:textId="77777777" w:rsidR="00672EF3" w:rsidRDefault="00672EF3" w:rsidP="00672EF3">
      <w:pPr>
        <w:pStyle w:val="FootnoteText"/>
      </w:pPr>
      <w:r>
        <w:rPr>
          <w:rStyle w:val="FootnoteReference"/>
        </w:rPr>
        <w:footnoteRef/>
      </w:r>
      <w:r>
        <w:t xml:space="preserve"> ACHI codes in blocks </w:t>
      </w:r>
      <w:r w:rsidRPr="007B0A4E">
        <w:rPr>
          <w:b/>
          <w:bCs/>
        </w:rPr>
        <w:t>[8888]</w:t>
      </w:r>
      <w:r>
        <w:t xml:space="preserve"> – </w:t>
      </w:r>
      <w:r w:rsidRPr="007B0A4E">
        <w:rPr>
          <w:b/>
          <w:bCs/>
        </w:rPr>
        <w:t>[8889]</w:t>
      </w:r>
      <w:r>
        <w:t xml:space="preserve"> are reserved as ‘placeholders’ to identify specific new or emerging health technologies or specific interventions requiring immediate collection to be used immediately upon instruction via National Coding Advice.</w:t>
      </w:r>
    </w:p>
  </w:footnote>
  <w:footnote w:id="4">
    <w:p w14:paraId="3FDF5C7D" w14:textId="77777777" w:rsidR="00672EF3" w:rsidRPr="00D74C69" w:rsidRDefault="00672EF3" w:rsidP="00672EF3">
      <w:pPr>
        <w:pStyle w:val="FootnoteText"/>
      </w:pPr>
      <w:r w:rsidRPr="00D74C69">
        <w:rPr>
          <w:rStyle w:val="FootnoteReference"/>
        </w:rPr>
        <w:footnoteRef/>
      </w:r>
      <w:r w:rsidRPr="00D74C69">
        <w:t xml:space="preserve"> Independent Health and Aged Care Pricing Authority (2023). Australian Hospital Patient Costing Standards Version 4.2. </w:t>
      </w:r>
    </w:p>
  </w:footnote>
  <w:footnote w:id="5">
    <w:p w14:paraId="76EBEF6A" w14:textId="77777777" w:rsidR="00672EF3" w:rsidRPr="00034421" w:rsidRDefault="00672EF3" w:rsidP="00672EF3">
      <w:pPr>
        <w:pStyle w:val="FootnoteText"/>
      </w:pPr>
      <w:r>
        <w:rPr>
          <w:rStyle w:val="FootnoteReference"/>
        </w:rPr>
        <w:footnoteRef/>
      </w:r>
      <w:r>
        <w:t xml:space="preserve"> In the public consultation paper on the Development of ICD</w:t>
      </w:r>
      <w:r>
        <w:noBreakHyphen/>
        <w:t>10</w:t>
      </w:r>
      <w:r>
        <w:noBreakHyphen/>
        <w:t xml:space="preserve">AM/ACHI/ACS Thirteenth Edition and </w:t>
      </w:r>
      <w:r>
        <w:br/>
        <w:t xml:space="preserve">AR-DRG Version 12.0, IHACPA proposed to amend the intervention type of 42 ACHI Twelfth Edition codes in the first stage of implementation. After applying mapping from Twelfth Edition codes to Thirteenth Edition codes, IHACPA amended intervention type of 41 ACHI Thirteenth Edition codes as ACHI Twelfth Edition codes 47726-00 </w:t>
      </w:r>
      <w:r w:rsidRPr="00D74C69">
        <w:rPr>
          <w:i/>
          <w:iCs/>
        </w:rPr>
        <w:t>Procurement of bone for graft via separate incision</w:t>
      </w:r>
      <w:r>
        <w:t xml:space="preserve"> and 47732-00 </w:t>
      </w:r>
      <w:r w:rsidRPr="00D74C69">
        <w:rPr>
          <w:i/>
          <w:iCs/>
        </w:rPr>
        <w:t>Procurement of vascularised pedicle of bone for graft</w:t>
      </w:r>
      <w:r>
        <w:rPr>
          <w:i/>
          <w:iCs/>
        </w:rPr>
        <w:t xml:space="preserve"> </w:t>
      </w:r>
      <w:r>
        <w:t xml:space="preserve">are mapped to the same ACHI Thirteenth Edition code 96275-17 </w:t>
      </w:r>
      <w:r w:rsidRPr="00034421">
        <w:rPr>
          <w:i/>
          <w:iCs/>
        </w:rPr>
        <w:t>Procurement</w:t>
      </w:r>
      <w:r w:rsidRPr="00D74C69">
        <w:rPr>
          <w:i/>
          <w:iCs/>
        </w:rPr>
        <w:t xml:space="preserve"> of bone for transplantation, living donor</w:t>
      </w:r>
      <w:r>
        <w:t>.</w:t>
      </w:r>
    </w:p>
  </w:footnote>
  <w:footnote w:id="6">
    <w:p w14:paraId="5D54686A" w14:textId="11F8EDCE" w:rsidR="00571C1C" w:rsidRDefault="00571C1C" w:rsidP="00C76E24">
      <w:pPr>
        <w:pStyle w:val="FootnoteText"/>
      </w:pPr>
      <w:r w:rsidRPr="00C76E24">
        <w:rPr>
          <w:rStyle w:val="FootnoteReference"/>
        </w:rPr>
        <w:footnoteRef/>
      </w:r>
      <w:r w:rsidRPr="00C76E24">
        <w:t xml:space="preserve"> </w:t>
      </w:r>
      <w:r w:rsidRPr="00D74C69">
        <w:t xml:space="preserve">Each CDC contains the diagnosis codes that inform grouping to a unique medical ADRG, </w:t>
      </w:r>
      <w:r w:rsidR="00465E31" w:rsidRPr="00C76E24">
        <w:t xml:space="preserve">with the possible </w:t>
      </w:r>
      <w:r w:rsidRPr="00D74C69">
        <w:t xml:space="preserve">addition </w:t>
      </w:r>
      <w:r w:rsidR="00103987" w:rsidRPr="00C76E24">
        <w:t>of</w:t>
      </w:r>
      <w:r w:rsidRPr="00D74C69">
        <w:t xml:space="preserve"> some diagnosis codes which are not valid </w:t>
      </w:r>
      <w:r w:rsidR="002B488E">
        <w:t xml:space="preserve">as a </w:t>
      </w:r>
      <w:r w:rsidRPr="00D74C69">
        <w:t>principal diagnos</w:t>
      </w:r>
      <w:r w:rsidR="005A5DBF">
        <w:t>i</w:t>
      </w:r>
      <w:r w:rsidRPr="00D74C69">
        <w:t>s but are used in the complexity model.</w:t>
      </w:r>
    </w:p>
  </w:footnote>
  <w:footnote w:id="7">
    <w:p w14:paraId="319DB85C" w14:textId="2420D2B0" w:rsidR="00F057B2" w:rsidRPr="009D68AE" w:rsidRDefault="00F057B2" w:rsidP="00C76E24">
      <w:pPr>
        <w:pStyle w:val="FootnoteText"/>
        <w:rPr>
          <w:lang w:val="en-US"/>
        </w:rPr>
      </w:pPr>
      <w:r w:rsidRPr="009D68AE">
        <w:rPr>
          <w:rStyle w:val="FootnoteReference"/>
          <w:rFonts w:eastAsiaTheme="majorEastAsia"/>
          <w:sz w:val="18"/>
          <w:szCs w:val="18"/>
        </w:rPr>
        <w:footnoteRef/>
      </w:r>
      <w:r w:rsidRPr="009D68AE">
        <w:t xml:space="preserve"> Unconditional exclusion codes are diagnosis codes that have been excluded from consideration in the ECC Model. Conditional exclusion codes are diagnosis codes that are excluded conditionally, depending on other diagnoses assigned in the episode.</w:t>
      </w:r>
    </w:p>
  </w:footnote>
  <w:footnote w:id="8">
    <w:p w14:paraId="40D9ED3D" w14:textId="34759A12" w:rsidR="009D1EE0" w:rsidRDefault="009D1EE0" w:rsidP="00C76E24">
      <w:pPr>
        <w:pStyle w:val="FootnoteText"/>
      </w:pPr>
      <w:r>
        <w:rPr>
          <w:rStyle w:val="FootnoteReference"/>
        </w:rPr>
        <w:footnoteRef/>
      </w:r>
      <w:r>
        <w:t xml:space="preserve"> </w:t>
      </w:r>
      <w:r w:rsidRPr="00763C18">
        <w:t xml:space="preserve">AIHW Metadata Online Registry (METEOR), ‘Episode of admitted patient care–duration of continuous ventilatory support, total hours NNNNN’, METEOR identifier </w:t>
      </w:r>
      <w:r w:rsidRPr="00D74C69">
        <w:t>746676</w:t>
      </w:r>
      <w:r w:rsidR="007879E9">
        <w:t>, accessed 11 December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50E66" w14:textId="73F75FF6" w:rsidR="00257DF2" w:rsidRDefault="00493FE8">
    <w:pPr>
      <w:pStyle w:val="Header"/>
    </w:pPr>
    <w:r>
      <w:rPr>
        <w:noProof/>
      </w:rPr>
      <w:drawing>
        <wp:anchor distT="0" distB="0" distL="114300" distR="114300" simplePos="0" relativeHeight="251658241" behindDoc="1" locked="0" layoutInCell="1" allowOverlap="1" wp14:anchorId="74294811" wp14:editId="20A109B8">
          <wp:simplePos x="0" y="0"/>
          <wp:positionH relativeFrom="margin">
            <wp:posOffset>-685800</wp:posOffset>
          </wp:positionH>
          <wp:positionV relativeFrom="paragraph">
            <wp:posOffset>-449580</wp:posOffset>
          </wp:positionV>
          <wp:extent cx="7573925" cy="10712174"/>
          <wp:effectExtent l="0" t="0" r="8255" b="0"/>
          <wp:wrapNone/>
          <wp:docPr id="1967320267" name="Picture 196732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4CCC0" w14:textId="77777777" w:rsidR="003526B8" w:rsidRDefault="003526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59371" w14:textId="7C9D18A5" w:rsidR="00493FE8" w:rsidRDefault="00780F7E" w:rsidP="000F25AD">
    <w:pPr>
      <w:pStyle w:val="Header"/>
      <w:tabs>
        <w:tab w:val="clear" w:pos="4680"/>
        <w:tab w:val="clear" w:pos="9360"/>
        <w:tab w:val="left" w:pos="2590"/>
      </w:tabs>
    </w:pPr>
    <w:sdt>
      <w:sdtPr>
        <w:id w:val="-1534259652"/>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58B2" w14:textId="24107EA2" w:rsidR="00502A09" w:rsidRDefault="00502A09">
    <w:pPr>
      <w:pStyle w:val="Header"/>
    </w:pPr>
    <w:r>
      <w:rPr>
        <w:noProof/>
      </w:rPr>
      <w:drawing>
        <wp:anchor distT="0" distB="0" distL="114300" distR="114300" simplePos="0" relativeHeight="251658240" behindDoc="1" locked="0" layoutInCell="1" allowOverlap="1" wp14:anchorId="1C3073B7" wp14:editId="01F1E5D9">
          <wp:simplePos x="0" y="0"/>
          <wp:positionH relativeFrom="column">
            <wp:posOffset>-677810</wp:posOffset>
          </wp:positionH>
          <wp:positionV relativeFrom="paragraph">
            <wp:posOffset>-449580</wp:posOffset>
          </wp:positionV>
          <wp:extent cx="7566497" cy="10699668"/>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497"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AF74A2"/>
    <w:multiLevelType w:val="hybridMultilevel"/>
    <w:tmpl w:val="94E8090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 w15:restartNumberingAfterBreak="0">
    <w:nsid w:val="019724AC"/>
    <w:multiLevelType w:val="hybridMultilevel"/>
    <w:tmpl w:val="9F5AA8DE"/>
    <w:lvl w:ilvl="0" w:tplc="886AF492">
      <w:start w:val="2"/>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2103BEA"/>
    <w:multiLevelType w:val="hybridMultilevel"/>
    <w:tmpl w:val="D33EAD3A"/>
    <w:lvl w:ilvl="0" w:tplc="886AF492">
      <w:start w:val="2"/>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24C4AFB"/>
    <w:multiLevelType w:val="hybridMultilevel"/>
    <w:tmpl w:val="CBA2BC9A"/>
    <w:lvl w:ilvl="0" w:tplc="0C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 w15:restartNumberingAfterBreak="0">
    <w:nsid w:val="03B262EC"/>
    <w:multiLevelType w:val="hybridMultilevel"/>
    <w:tmpl w:val="9F367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E45124"/>
    <w:multiLevelType w:val="hybridMultilevel"/>
    <w:tmpl w:val="2B50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E046BB"/>
    <w:multiLevelType w:val="hybridMultilevel"/>
    <w:tmpl w:val="194001AE"/>
    <w:lvl w:ilvl="0" w:tplc="FFFFFFFF">
      <w:start w:val="1"/>
      <w:numFmt w:val="bullet"/>
      <w:lvlText w:val=""/>
      <w:lvlJc w:val="left"/>
      <w:pPr>
        <w:ind w:left="1074" w:hanging="360"/>
      </w:pPr>
      <w:rPr>
        <w:rFonts w:ascii="Symbol" w:hAnsi="Symbol" w:hint="default"/>
      </w:rPr>
    </w:lvl>
    <w:lvl w:ilvl="1" w:tplc="886AF492">
      <w:start w:val="2"/>
      <w:numFmt w:val="bullet"/>
      <w:lvlText w:val="-"/>
      <w:lvlJc w:val="left"/>
      <w:pPr>
        <w:ind w:left="2874" w:hanging="360"/>
      </w:pPr>
      <w:rPr>
        <w:rFonts w:ascii="Arial" w:eastAsiaTheme="minorHAnsi" w:hAnsi="Arial" w:cs="Arial" w:hint="default"/>
      </w:rPr>
    </w:lvl>
    <w:lvl w:ilvl="2" w:tplc="FFFFFFFF">
      <w:start w:val="1"/>
      <w:numFmt w:val="bullet"/>
      <w:lvlText w:val=""/>
      <w:lvlJc w:val="left"/>
      <w:pPr>
        <w:ind w:left="2514" w:hanging="360"/>
      </w:pPr>
      <w:rPr>
        <w:rFonts w:ascii="Wingdings" w:hAnsi="Wingdings" w:hint="default"/>
      </w:rPr>
    </w:lvl>
    <w:lvl w:ilvl="3" w:tplc="FFFFFFFF">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8" w15:restartNumberingAfterBreak="0">
    <w:nsid w:val="0C390FAE"/>
    <w:multiLevelType w:val="hybridMultilevel"/>
    <w:tmpl w:val="70145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52632"/>
    <w:multiLevelType w:val="hybridMultilevel"/>
    <w:tmpl w:val="2FD0BAA4"/>
    <w:lvl w:ilvl="0" w:tplc="886AF492">
      <w:start w:val="2"/>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1BA4C05"/>
    <w:multiLevelType w:val="hybridMultilevel"/>
    <w:tmpl w:val="018A4B90"/>
    <w:lvl w:ilvl="0" w:tplc="886AF492">
      <w:start w:val="2"/>
      <w:numFmt w:val="bullet"/>
      <w:lvlText w:val="-"/>
      <w:lvlJc w:val="left"/>
      <w:pPr>
        <w:ind w:left="1440" w:hanging="360"/>
      </w:pPr>
      <w:rPr>
        <w:rFonts w:ascii="Arial" w:eastAsiaTheme="minorHAnsi" w:hAnsi="Arial" w:cs="Arial" w:hint="default"/>
        <w:b w:val="0"/>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2C95B49"/>
    <w:multiLevelType w:val="multilevel"/>
    <w:tmpl w:val="206424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color w:val="104F99" w:themeColor="accent2"/>
        <w:sz w:val="28"/>
        <w:szCs w:val="28"/>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5981706"/>
    <w:multiLevelType w:val="hybridMultilevel"/>
    <w:tmpl w:val="1FAC49B0"/>
    <w:lvl w:ilvl="0" w:tplc="0C090015">
      <w:start w:val="1"/>
      <w:numFmt w:val="upperLetter"/>
      <w:pStyle w:val="Attachment"/>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737B0C"/>
    <w:multiLevelType w:val="hybridMultilevel"/>
    <w:tmpl w:val="EC481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2D3B77"/>
    <w:multiLevelType w:val="hybridMultilevel"/>
    <w:tmpl w:val="341206AC"/>
    <w:lvl w:ilvl="0" w:tplc="886AF492">
      <w:start w:val="2"/>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8A77599"/>
    <w:multiLevelType w:val="hybridMultilevel"/>
    <w:tmpl w:val="A0508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515CF"/>
    <w:multiLevelType w:val="hybridMultilevel"/>
    <w:tmpl w:val="C8D88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6D151F"/>
    <w:multiLevelType w:val="hybridMultilevel"/>
    <w:tmpl w:val="FD5445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1B122C96"/>
    <w:multiLevelType w:val="hybridMultilevel"/>
    <w:tmpl w:val="40A42FD2"/>
    <w:lvl w:ilvl="0" w:tplc="91F4DA36">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BB81EB0"/>
    <w:multiLevelType w:val="hybridMultilevel"/>
    <w:tmpl w:val="071E7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A1737E"/>
    <w:multiLevelType w:val="hybridMultilevel"/>
    <w:tmpl w:val="3C2CCDD6"/>
    <w:lvl w:ilvl="0" w:tplc="FFFFFFFF">
      <w:start w:val="1"/>
      <w:numFmt w:val="bullet"/>
      <w:lvlText w:val=""/>
      <w:lvlJc w:val="left"/>
      <w:pPr>
        <w:ind w:left="1080" w:hanging="360"/>
      </w:pPr>
      <w:rPr>
        <w:rFonts w:ascii="Symbol" w:hAnsi="Symbol" w:hint="default"/>
      </w:rPr>
    </w:lvl>
    <w:lvl w:ilvl="1" w:tplc="91F4DA36">
      <w:numFmt w:val="bullet"/>
      <w:lvlText w:val="•"/>
      <w:lvlJc w:val="left"/>
      <w:pPr>
        <w:ind w:left="1080" w:hanging="360"/>
      </w:pPr>
      <w:rPr>
        <w:rFonts w:ascii="Arial" w:eastAsiaTheme="minorHAnsi" w:hAnsi="Arial" w:cs="Aria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93D4A6D"/>
    <w:multiLevelType w:val="hybridMultilevel"/>
    <w:tmpl w:val="E0F2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CB65AA"/>
    <w:multiLevelType w:val="hybridMultilevel"/>
    <w:tmpl w:val="C90E9756"/>
    <w:lvl w:ilvl="0" w:tplc="886AF492">
      <w:start w:val="2"/>
      <w:numFmt w:val="bullet"/>
      <w:lvlText w:val="-"/>
      <w:lvlJc w:val="left"/>
      <w:pPr>
        <w:ind w:left="1077" w:hanging="360"/>
      </w:pPr>
      <w:rPr>
        <w:rFonts w:ascii="Arial" w:eastAsiaTheme="minorHAnsi"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2C683C11"/>
    <w:multiLevelType w:val="hybridMultilevel"/>
    <w:tmpl w:val="D38C3250"/>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886AF492">
      <w:start w:val="2"/>
      <w:numFmt w:val="bullet"/>
      <w:lvlText w:val="-"/>
      <w:lvlJc w:val="left"/>
      <w:pPr>
        <w:ind w:left="2520" w:hanging="360"/>
      </w:pPr>
      <w:rPr>
        <w:rFonts w:ascii="Arial" w:eastAsiaTheme="minorHAnsi" w:hAnsi="Arial" w:cs="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D9C07B5"/>
    <w:multiLevelType w:val="hybridMultilevel"/>
    <w:tmpl w:val="54A6EDCA"/>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0044499"/>
    <w:multiLevelType w:val="hybridMultilevel"/>
    <w:tmpl w:val="547EB5BA"/>
    <w:lvl w:ilvl="0" w:tplc="3C88B072">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6" w15:restartNumberingAfterBreak="0">
    <w:nsid w:val="304C04C0"/>
    <w:multiLevelType w:val="hybridMultilevel"/>
    <w:tmpl w:val="D8002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A912D8"/>
    <w:multiLevelType w:val="hybridMultilevel"/>
    <w:tmpl w:val="DB328EEE"/>
    <w:lvl w:ilvl="0" w:tplc="FFFFFFFF">
      <w:start w:val="1"/>
      <w:numFmt w:val="bullet"/>
      <w:lvlText w:val=""/>
      <w:lvlJc w:val="left"/>
      <w:pPr>
        <w:ind w:left="720" w:hanging="360"/>
      </w:pPr>
      <w:rPr>
        <w:rFonts w:ascii="Symbol" w:hAnsi="Symbol" w:hint="default"/>
      </w:rPr>
    </w:lvl>
    <w:lvl w:ilvl="1" w:tplc="886AF492">
      <w:start w:val="2"/>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1A549A0"/>
    <w:multiLevelType w:val="hybridMultilevel"/>
    <w:tmpl w:val="71FAE172"/>
    <w:lvl w:ilvl="0" w:tplc="0C090001">
      <w:start w:val="1"/>
      <w:numFmt w:val="bullet"/>
      <w:lvlText w:val=""/>
      <w:lvlJc w:val="left"/>
      <w:pPr>
        <w:ind w:left="720" w:hanging="360"/>
      </w:pPr>
      <w:rPr>
        <w:rFonts w:ascii="Symbol" w:hAnsi="Symbol" w:hint="default"/>
      </w:rPr>
    </w:lvl>
    <w:lvl w:ilvl="1" w:tplc="91F4DA3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BD1E76"/>
    <w:multiLevelType w:val="hybridMultilevel"/>
    <w:tmpl w:val="AE8A8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8B291D"/>
    <w:multiLevelType w:val="hybridMultilevel"/>
    <w:tmpl w:val="05BE9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344ED4"/>
    <w:multiLevelType w:val="hybridMultilevel"/>
    <w:tmpl w:val="00D2DCF2"/>
    <w:lvl w:ilvl="0" w:tplc="886AF492">
      <w:start w:val="2"/>
      <w:numFmt w:val="bullet"/>
      <w:lvlText w:val="-"/>
      <w:lvlJc w:val="left"/>
      <w:pPr>
        <w:ind w:left="1080" w:hanging="360"/>
      </w:pPr>
      <w:rPr>
        <w:rFonts w:ascii="Arial" w:eastAsiaTheme="minorHAnsi"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3AD00DA9"/>
    <w:multiLevelType w:val="hybridMultilevel"/>
    <w:tmpl w:val="08F61226"/>
    <w:lvl w:ilvl="0" w:tplc="BCACC498">
      <w:start w:val="1"/>
      <w:numFmt w:val="bullet"/>
      <w:lvlText w:val=""/>
      <w:lvlJc w:val="left"/>
      <w:pPr>
        <w:ind w:left="720" w:hanging="360"/>
      </w:pPr>
      <w:rPr>
        <w:rFonts w:ascii="Symbol" w:hAnsi="Symbol" w:hint="default"/>
      </w:rPr>
    </w:lvl>
    <w:lvl w:ilvl="1" w:tplc="F7505858">
      <w:start w:val="1"/>
      <w:numFmt w:val="bullet"/>
      <w:lvlText w:val="o"/>
      <w:lvlJc w:val="left"/>
      <w:pPr>
        <w:ind w:left="1440" w:hanging="360"/>
      </w:pPr>
      <w:rPr>
        <w:rFonts w:ascii="Courier New" w:hAnsi="Courier New" w:cs="Courier New" w:hint="default"/>
      </w:rPr>
    </w:lvl>
    <w:lvl w:ilvl="2" w:tplc="00C4C51A">
      <w:start w:val="1"/>
      <w:numFmt w:val="bullet"/>
      <w:lvlText w:val=""/>
      <w:lvlJc w:val="left"/>
      <w:pPr>
        <w:ind w:left="2160" w:hanging="360"/>
      </w:pPr>
      <w:rPr>
        <w:rFonts w:ascii="Wingdings" w:hAnsi="Wingdings" w:hint="default"/>
      </w:rPr>
    </w:lvl>
    <w:lvl w:ilvl="3" w:tplc="4B580848">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244690"/>
    <w:multiLevelType w:val="hybridMultilevel"/>
    <w:tmpl w:val="ADE015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3DEB1C4F"/>
    <w:multiLevelType w:val="hybridMultilevel"/>
    <w:tmpl w:val="5F969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42B5BA1"/>
    <w:multiLevelType w:val="hybridMultilevel"/>
    <w:tmpl w:val="8BD84C94"/>
    <w:lvl w:ilvl="0" w:tplc="FFFFFFFF">
      <w:start w:val="1"/>
      <w:numFmt w:val="bullet"/>
      <w:lvlText w:val=""/>
      <w:lvlJc w:val="left"/>
      <w:pPr>
        <w:ind w:left="1080" w:hanging="360"/>
      </w:pPr>
      <w:rPr>
        <w:rFonts w:ascii="Symbol" w:hAnsi="Symbol" w:hint="default"/>
      </w:rPr>
    </w:lvl>
    <w:lvl w:ilvl="1" w:tplc="886AF492">
      <w:start w:val="2"/>
      <w:numFmt w:val="bullet"/>
      <w:lvlText w:val="-"/>
      <w:lvlJc w:val="left"/>
      <w:pPr>
        <w:ind w:left="1080" w:hanging="360"/>
      </w:pPr>
      <w:rPr>
        <w:rFonts w:ascii="Arial" w:eastAsiaTheme="minorHAnsi" w:hAnsi="Arial" w:cs="Aria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A3C286E"/>
    <w:multiLevelType w:val="hybridMultilevel"/>
    <w:tmpl w:val="6CC68184"/>
    <w:lvl w:ilvl="0" w:tplc="886AF492">
      <w:start w:val="2"/>
      <w:numFmt w:val="bullet"/>
      <w:lvlText w:val="-"/>
      <w:lvlJc w:val="left"/>
      <w:pPr>
        <w:ind w:left="1077" w:hanging="360"/>
      </w:pPr>
      <w:rPr>
        <w:rFonts w:ascii="Arial" w:eastAsiaTheme="minorHAnsi"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4B5242E2"/>
    <w:multiLevelType w:val="hybridMultilevel"/>
    <w:tmpl w:val="8A72DDD6"/>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4C022CE5"/>
    <w:multiLevelType w:val="hybridMultilevel"/>
    <w:tmpl w:val="C8226188"/>
    <w:lvl w:ilvl="0" w:tplc="886AF492">
      <w:start w:val="2"/>
      <w:numFmt w:val="bullet"/>
      <w:lvlText w:val="-"/>
      <w:lvlJc w:val="left"/>
      <w:pPr>
        <w:ind w:left="1440" w:hanging="360"/>
      </w:pPr>
      <w:rPr>
        <w:rFonts w:ascii="Arial" w:eastAsiaTheme="minorHAnsi" w:hAnsi="Arial" w:cs="Arial" w:hint="default"/>
        <w:b w:val="0"/>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C8C6795"/>
    <w:multiLevelType w:val="hybridMultilevel"/>
    <w:tmpl w:val="AADC682C"/>
    <w:lvl w:ilvl="0" w:tplc="FFFFFFFF">
      <w:start w:val="1"/>
      <w:numFmt w:val="bullet"/>
      <w:lvlText w:val=""/>
      <w:lvlJc w:val="left"/>
      <w:pPr>
        <w:ind w:left="720" w:hanging="360"/>
      </w:pPr>
      <w:rPr>
        <w:rFonts w:ascii="Symbol" w:hAnsi="Symbol" w:hint="default"/>
      </w:rPr>
    </w:lvl>
    <w:lvl w:ilvl="1" w:tplc="886AF492">
      <w:start w:val="2"/>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D011DA"/>
    <w:multiLevelType w:val="hybridMultilevel"/>
    <w:tmpl w:val="F76E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446091"/>
    <w:multiLevelType w:val="hybridMultilevel"/>
    <w:tmpl w:val="E1EE05F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2" w15:restartNumberingAfterBreak="0">
    <w:nsid w:val="4E6A0683"/>
    <w:multiLevelType w:val="hybridMultilevel"/>
    <w:tmpl w:val="DF92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256D7A"/>
    <w:multiLevelType w:val="hybridMultilevel"/>
    <w:tmpl w:val="AB6A911A"/>
    <w:lvl w:ilvl="0" w:tplc="0C090001">
      <w:start w:val="1"/>
      <w:numFmt w:val="bullet"/>
      <w:lvlText w:val=""/>
      <w:lvlJc w:val="left"/>
      <w:pPr>
        <w:ind w:left="1440" w:hanging="360"/>
      </w:pPr>
      <w:rPr>
        <w:rFonts w:ascii="Symbol" w:hAnsi="Symbol" w:hint="default"/>
        <w:b w:val="0"/>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5" w15:restartNumberingAfterBreak="0">
    <w:nsid w:val="553049E3"/>
    <w:multiLevelType w:val="hybridMultilevel"/>
    <w:tmpl w:val="FFB08C56"/>
    <w:lvl w:ilvl="0" w:tplc="91F4DA36">
      <w:numFmt w:val="bullet"/>
      <w:lvlText w:val="•"/>
      <w:lvlJc w:val="left"/>
      <w:pPr>
        <w:ind w:left="1440" w:hanging="360"/>
      </w:pPr>
      <w:rPr>
        <w:rFonts w:ascii="Arial" w:eastAsiaTheme="minorHAns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590C7A34"/>
    <w:multiLevelType w:val="hybridMultilevel"/>
    <w:tmpl w:val="ED00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A5E13C6"/>
    <w:multiLevelType w:val="hybridMultilevel"/>
    <w:tmpl w:val="775C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E310D2"/>
    <w:multiLevelType w:val="hybridMultilevel"/>
    <w:tmpl w:val="6D224F2C"/>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Letter"/>
      <w:lvlText w:val="%3)"/>
      <w:lvlJc w:val="left"/>
      <w:pPr>
        <w:ind w:left="2340" w:hanging="360"/>
      </w:pPr>
      <w:rPr>
        <w:rFonts w:hint="default"/>
        <w: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FD66D8B"/>
    <w:multiLevelType w:val="hybridMultilevel"/>
    <w:tmpl w:val="9BB866B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FDB28E6"/>
    <w:multiLevelType w:val="hybridMultilevel"/>
    <w:tmpl w:val="8496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CD5CC6"/>
    <w:multiLevelType w:val="hybridMultilevel"/>
    <w:tmpl w:val="D0A6013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B381E40"/>
    <w:multiLevelType w:val="hybridMultilevel"/>
    <w:tmpl w:val="52642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843FD0"/>
    <w:multiLevelType w:val="hybridMultilevel"/>
    <w:tmpl w:val="9A80BCC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DC74A15"/>
    <w:multiLevelType w:val="hybridMultilevel"/>
    <w:tmpl w:val="B978C24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28E754D"/>
    <w:multiLevelType w:val="hybridMultilevel"/>
    <w:tmpl w:val="FEE8B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4B608A"/>
    <w:multiLevelType w:val="hybridMultilevel"/>
    <w:tmpl w:val="BDC85444"/>
    <w:lvl w:ilvl="0" w:tplc="19040BC0">
      <w:start w:val="1"/>
      <w:numFmt w:val="bullet"/>
      <w:lvlText w:val=""/>
      <w:lvlJc w:val="left"/>
      <w:pPr>
        <w:ind w:left="1020" w:hanging="360"/>
      </w:pPr>
      <w:rPr>
        <w:rFonts w:ascii="Symbol" w:hAnsi="Symbol"/>
      </w:rPr>
    </w:lvl>
    <w:lvl w:ilvl="1" w:tplc="31FE5AA2">
      <w:start w:val="1"/>
      <w:numFmt w:val="bullet"/>
      <w:lvlText w:val=""/>
      <w:lvlJc w:val="left"/>
      <w:pPr>
        <w:ind w:left="1020" w:hanging="360"/>
      </w:pPr>
      <w:rPr>
        <w:rFonts w:ascii="Symbol" w:hAnsi="Symbol"/>
      </w:rPr>
    </w:lvl>
    <w:lvl w:ilvl="2" w:tplc="76AC1996">
      <w:start w:val="1"/>
      <w:numFmt w:val="bullet"/>
      <w:lvlText w:val=""/>
      <w:lvlJc w:val="left"/>
      <w:pPr>
        <w:ind w:left="1020" w:hanging="360"/>
      </w:pPr>
      <w:rPr>
        <w:rFonts w:ascii="Symbol" w:hAnsi="Symbol"/>
      </w:rPr>
    </w:lvl>
    <w:lvl w:ilvl="3" w:tplc="DD44FEBE">
      <w:start w:val="1"/>
      <w:numFmt w:val="bullet"/>
      <w:lvlText w:val=""/>
      <w:lvlJc w:val="left"/>
      <w:pPr>
        <w:ind w:left="1020" w:hanging="360"/>
      </w:pPr>
      <w:rPr>
        <w:rFonts w:ascii="Symbol" w:hAnsi="Symbol"/>
      </w:rPr>
    </w:lvl>
    <w:lvl w:ilvl="4" w:tplc="6DAA7498">
      <w:start w:val="1"/>
      <w:numFmt w:val="bullet"/>
      <w:lvlText w:val=""/>
      <w:lvlJc w:val="left"/>
      <w:pPr>
        <w:ind w:left="1020" w:hanging="360"/>
      </w:pPr>
      <w:rPr>
        <w:rFonts w:ascii="Symbol" w:hAnsi="Symbol"/>
      </w:rPr>
    </w:lvl>
    <w:lvl w:ilvl="5" w:tplc="81063994">
      <w:start w:val="1"/>
      <w:numFmt w:val="bullet"/>
      <w:lvlText w:val=""/>
      <w:lvlJc w:val="left"/>
      <w:pPr>
        <w:ind w:left="1020" w:hanging="360"/>
      </w:pPr>
      <w:rPr>
        <w:rFonts w:ascii="Symbol" w:hAnsi="Symbol"/>
      </w:rPr>
    </w:lvl>
    <w:lvl w:ilvl="6" w:tplc="59FC71AC">
      <w:start w:val="1"/>
      <w:numFmt w:val="bullet"/>
      <w:lvlText w:val=""/>
      <w:lvlJc w:val="left"/>
      <w:pPr>
        <w:ind w:left="1020" w:hanging="360"/>
      </w:pPr>
      <w:rPr>
        <w:rFonts w:ascii="Symbol" w:hAnsi="Symbol"/>
      </w:rPr>
    </w:lvl>
    <w:lvl w:ilvl="7" w:tplc="322AFCE6">
      <w:start w:val="1"/>
      <w:numFmt w:val="bullet"/>
      <w:lvlText w:val=""/>
      <w:lvlJc w:val="left"/>
      <w:pPr>
        <w:ind w:left="1020" w:hanging="360"/>
      </w:pPr>
      <w:rPr>
        <w:rFonts w:ascii="Symbol" w:hAnsi="Symbol"/>
      </w:rPr>
    </w:lvl>
    <w:lvl w:ilvl="8" w:tplc="B328A84C">
      <w:start w:val="1"/>
      <w:numFmt w:val="bullet"/>
      <w:lvlText w:val=""/>
      <w:lvlJc w:val="left"/>
      <w:pPr>
        <w:ind w:left="1020" w:hanging="360"/>
      </w:pPr>
      <w:rPr>
        <w:rFonts w:ascii="Symbol" w:hAnsi="Symbol"/>
      </w:rPr>
    </w:lvl>
  </w:abstractNum>
  <w:abstractNum w:abstractNumId="57" w15:restartNumberingAfterBreak="0">
    <w:nsid w:val="74AE01E8"/>
    <w:multiLevelType w:val="hybridMultilevel"/>
    <w:tmpl w:val="B62AE580"/>
    <w:lvl w:ilvl="0" w:tplc="FFFFFFFF">
      <w:start w:val="1"/>
      <w:numFmt w:val="bullet"/>
      <w:lvlText w:val=""/>
      <w:lvlJc w:val="left"/>
      <w:pPr>
        <w:ind w:left="108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75312616"/>
    <w:multiLevelType w:val="hybridMultilevel"/>
    <w:tmpl w:val="B576F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D250A7"/>
    <w:multiLevelType w:val="hybridMultilevel"/>
    <w:tmpl w:val="22B2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851786">
    <w:abstractNumId w:val="44"/>
  </w:num>
  <w:num w:numId="2" w16cid:durableId="1211452249">
    <w:abstractNumId w:val="0"/>
  </w:num>
  <w:num w:numId="3" w16cid:durableId="47385775">
    <w:abstractNumId w:val="43"/>
  </w:num>
  <w:num w:numId="4" w16cid:durableId="1558861489">
    <w:abstractNumId w:val="32"/>
  </w:num>
  <w:num w:numId="5" w16cid:durableId="761337796">
    <w:abstractNumId w:val="59"/>
  </w:num>
  <w:num w:numId="6" w16cid:durableId="1575161702">
    <w:abstractNumId w:val="15"/>
  </w:num>
  <w:num w:numId="7" w16cid:durableId="1586105307">
    <w:abstractNumId w:val="8"/>
  </w:num>
  <w:num w:numId="8" w16cid:durableId="363293383">
    <w:abstractNumId w:val="11"/>
  </w:num>
  <w:num w:numId="9" w16cid:durableId="884685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394407">
    <w:abstractNumId w:val="47"/>
  </w:num>
  <w:num w:numId="11" w16cid:durableId="211893238">
    <w:abstractNumId w:val="6"/>
  </w:num>
  <w:num w:numId="12" w16cid:durableId="696665033">
    <w:abstractNumId w:val="29"/>
  </w:num>
  <w:num w:numId="13" w16cid:durableId="1975483954">
    <w:abstractNumId w:val="19"/>
  </w:num>
  <w:num w:numId="14" w16cid:durableId="595678252">
    <w:abstractNumId w:val="58"/>
  </w:num>
  <w:num w:numId="15" w16cid:durableId="549463815">
    <w:abstractNumId w:val="52"/>
  </w:num>
  <w:num w:numId="16" w16cid:durableId="364136507">
    <w:abstractNumId w:val="28"/>
  </w:num>
  <w:num w:numId="17" w16cid:durableId="844713214">
    <w:abstractNumId w:val="50"/>
  </w:num>
  <w:num w:numId="18" w16cid:durableId="33773530">
    <w:abstractNumId w:val="5"/>
  </w:num>
  <w:num w:numId="19" w16cid:durableId="122970993">
    <w:abstractNumId w:val="48"/>
  </w:num>
  <w:num w:numId="20" w16cid:durableId="1092507869">
    <w:abstractNumId w:val="54"/>
  </w:num>
  <w:num w:numId="21" w16cid:durableId="290401166">
    <w:abstractNumId w:val="26"/>
  </w:num>
  <w:num w:numId="22" w16cid:durableId="1775708370">
    <w:abstractNumId w:val="33"/>
  </w:num>
  <w:num w:numId="23" w16cid:durableId="1982037268">
    <w:abstractNumId w:val="41"/>
  </w:num>
  <w:num w:numId="24" w16cid:durableId="67388340">
    <w:abstractNumId w:val="17"/>
  </w:num>
  <w:num w:numId="25" w16cid:durableId="1487673602">
    <w:abstractNumId w:val="16"/>
  </w:num>
  <w:num w:numId="26" w16cid:durableId="1520972135">
    <w:abstractNumId w:val="51"/>
  </w:num>
  <w:num w:numId="27" w16cid:durableId="695229164">
    <w:abstractNumId w:val="49"/>
  </w:num>
  <w:num w:numId="28" w16cid:durableId="1637758078">
    <w:abstractNumId w:val="12"/>
  </w:num>
  <w:num w:numId="29" w16cid:durableId="75831631">
    <w:abstractNumId w:val="25"/>
  </w:num>
  <w:num w:numId="30" w16cid:durableId="929854627">
    <w:abstractNumId w:val="55"/>
  </w:num>
  <w:num w:numId="31" w16cid:durableId="1153718399">
    <w:abstractNumId w:val="30"/>
  </w:num>
  <w:num w:numId="32" w16cid:durableId="178852833">
    <w:abstractNumId w:val="2"/>
  </w:num>
  <w:num w:numId="33" w16cid:durableId="349989605">
    <w:abstractNumId w:val="9"/>
  </w:num>
  <w:num w:numId="34" w16cid:durableId="144013610">
    <w:abstractNumId w:val="14"/>
  </w:num>
  <w:num w:numId="35" w16cid:durableId="188102110">
    <w:abstractNumId w:val="35"/>
  </w:num>
  <w:num w:numId="36" w16cid:durableId="1455444475">
    <w:abstractNumId w:val="57"/>
  </w:num>
  <w:num w:numId="37" w16cid:durableId="2020112472">
    <w:abstractNumId w:val="20"/>
  </w:num>
  <w:num w:numId="38" w16cid:durableId="1633250885">
    <w:abstractNumId w:val="18"/>
  </w:num>
  <w:num w:numId="39" w16cid:durableId="990519607">
    <w:abstractNumId w:val="45"/>
  </w:num>
  <w:num w:numId="40" w16cid:durableId="1216116437">
    <w:abstractNumId w:val="24"/>
  </w:num>
  <w:num w:numId="41" w16cid:durableId="117648111">
    <w:abstractNumId w:val="34"/>
  </w:num>
  <w:num w:numId="42" w16cid:durableId="313147097">
    <w:abstractNumId w:val="37"/>
  </w:num>
  <w:num w:numId="43" w16cid:durableId="662051713">
    <w:abstractNumId w:val="23"/>
  </w:num>
  <w:num w:numId="44" w16cid:durableId="676930170">
    <w:abstractNumId w:val="36"/>
  </w:num>
  <w:num w:numId="45" w16cid:durableId="1344161665">
    <w:abstractNumId w:val="4"/>
  </w:num>
  <w:num w:numId="46" w16cid:durableId="1310553031">
    <w:abstractNumId w:val="46"/>
  </w:num>
  <w:num w:numId="47" w16cid:durableId="1177185897">
    <w:abstractNumId w:val="7"/>
  </w:num>
  <w:num w:numId="48" w16cid:durableId="1527593968">
    <w:abstractNumId w:val="22"/>
  </w:num>
  <w:num w:numId="49" w16cid:durableId="1797989873">
    <w:abstractNumId w:val="40"/>
  </w:num>
  <w:num w:numId="50" w16cid:durableId="600916488">
    <w:abstractNumId w:val="27"/>
  </w:num>
  <w:num w:numId="51" w16cid:durableId="270744292">
    <w:abstractNumId w:val="10"/>
  </w:num>
  <w:num w:numId="52" w16cid:durableId="1912621128">
    <w:abstractNumId w:val="56"/>
  </w:num>
  <w:num w:numId="53" w16cid:durableId="231815631">
    <w:abstractNumId w:val="53"/>
  </w:num>
  <w:num w:numId="54" w16cid:durableId="591210131">
    <w:abstractNumId w:val="1"/>
  </w:num>
  <w:num w:numId="55" w16cid:durableId="1896236547">
    <w:abstractNumId w:val="21"/>
  </w:num>
  <w:num w:numId="56" w16cid:durableId="1103918735">
    <w:abstractNumId w:val="13"/>
  </w:num>
  <w:num w:numId="57" w16cid:durableId="2047681920">
    <w:abstractNumId w:val="42"/>
  </w:num>
  <w:num w:numId="58" w16cid:durableId="175659716">
    <w:abstractNumId w:val="39"/>
  </w:num>
  <w:num w:numId="59" w16cid:durableId="2125075812">
    <w:abstractNumId w:val="38"/>
  </w:num>
  <w:num w:numId="60" w16cid:durableId="1330016313">
    <w:abstractNumId w:val="31"/>
  </w:num>
  <w:num w:numId="61" w16cid:durableId="1187711976">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118"/>
    <w:rsid w:val="000009F1"/>
    <w:rsid w:val="00000C47"/>
    <w:rsid w:val="00001C43"/>
    <w:rsid w:val="00001EAF"/>
    <w:rsid w:val="00001F68"/>
    <w:rsid w:val="00002F99"/>
    <w:rsid w:val="00004231"/>
    <w:rsid w:val="000049BD"/>
    <w:rsid w:val="00005D76"/>
    <w:rsid w:val="00006557"/>
    <w:rsid w:val="0000658F"/>
    <w:rsid w:val="0000680E"/>
    <w:rsid w:val="00007653"/>
    <w:rsid w:val="000077C8"/>
    <w:rsid w:val="00007BBC"/>
    <w:rsid w:val="0001039F"/>
    <w:rsid w:val="000104A0"/>
    <w:rsid w:val="00010DBE"/>
    <w:rsid w:val="00010F4E"/>
    <w:rsid w:val="00011F71"/>
    <w:rsid w:val="000123D0"/>
    <w:rsid w:val="0001246D"/>
    <w:rsid w:val="000126B3"/>
    <w:rsid w:val="00012EEC"/>
    <w:rsid w:val="00012FA0"/>
    <w:rsid w:val="0001438E"/>
    <w:rsid w:val="0001473D"/>
    <w:rsid w:val="00020A8B"/>
    <w:rsid w:val="00021E52"/>
    <w:rsid w:val="000223BC"/>
    <w:rsid w:val="0002249F"/>
    <w:rsid w:val="0002539A"/>
    <w:rsid w:val="00026037"/>
    <w:rsid w:val="000260C0"/>
    <w:rsid w:val="00026D18"/>
    <w:rsid w:val="00026FC7"/>
    <w:rsid w:val="00027C3E"/>
    <w:rsid w:val="00027E66"/>
    <w:rsid w:val="00031024"/>
    <w:rsid w:val="000320B8"/>
    <w:rsid w:val="00032316"/>
    <w:rsid w:val="0003278B"/>
    <w:rsid w:val="00032909"/>
    <w:rsid w:val="00032A98"/>
    <w:rsid w:val="00032B64"/>
    <w:rsid w:val="00034421"/>
    <w:rsid w:val="000347F0"/>
    <w:rsid w:val="00035043"/>
    <w:rsid w:val="00035A2F"/>
    <w:rsid w:val="000371CC"/>
    <w:rsid w:val="00037549"/>
    <w:rsid w:val="00040255"/>
    <w:rsid w:val="00040667"/>
    <w:rsid w:val="000415B2"/>
    <w:rsid w:val="000421E7"/>
    <w:rsid w:val="00042856"/>
    <w:rsid w:val="00044C41"/>
    <w:rsid w:val="0004538A"/>
    <w:rsid w:val="000462E1"/>
    <w:rsid w:val="0004734E"/>
    <w:rsid w:val="00047DD8"/>
    <w:rsid w:val="000507BE"/>
    <w:rsid w:val="000508A0"/>
    <w:rsid w:val="00050B7D"/>
    <w:rsid w:val="00050C99"/>
    <w:rsid w:val="000528FF"/>
    <w:rsid w:val="00052C7D"/>
    <w:rsid w:val="000531C5"/>
    <w:rsid w:val="00054016"/>
    <w:rsid w:val="00054628"/>
    <w:rsid w:val="00054633"/>
    <w:rsid w:val="000547A6"/>
    <w:rsid w:val="00054E6B"/>
    <w:rsid w:val="00055497"/>
    <w:rsid w:val="00056D03"/>
    <w:rsid w:val="00057032"/>
    <w:rsid w:val="00057DF8"/>
    <w:rsid w:val="0006053A"/>
    <w:rsid w:val="000605E5"/>
    <w:rsid w:val="00060D2D"/>
    <w:rsid w:val="00060E81"/>
    <w:rsid w:val="000614BF"/>
    <w:rsid w:val="00063595"/>
    <w:rsid w:val="000637F6"/>
    <w:rsid w:val="00063AC8"/>
    <w:rsid w:val="00064560"/>
    <w:rsid w:val="00064F0D"/>
    <w:rsid w:val="000657B0"/>
    <w:rsid w:val="000659A5"/>
    <w:rsid w:val="00065A51"/>
    <w:rsid w:val="000660D9"/>
    <w:rsid w:val="00066226"/>
    <w:rsid w:val="000664F7"/>
    <w:rsid w:val="00071A47"/>
    <w:rsid w:val="0007275D"/>
    <w:rsid w:val="00073220"/>
    <w:rsid w:val="00073CB0"/>
    <w:rsid w:val="000744AE"/>
    <w:rsid w:val="00077590"/>
    <w:rsid w:val="00077CF5"/>
    <w:rsid w:val="000800CD"/>
    <w:rsid w:val="0008174A"/>
    <w:rsid w:val="000819FB"/>
    <w:rsid w:val="00083471"/>
    <w:rsid w:val="00083D7E"/>
    <w:rsid w:val="00084A46"/>
    <w:rsid w:val="00084A96"/>
    <w:rsid w:val="00084B64"/>
    <w:rsid w:val="00086399"/>
    <w:rsid w:val="00086591"/>
    <w:rsid w:val="00086821"/>
    <w:rsid w:val="00086B3E"/>
    <w:rsid w:val="00091132"/>
    <w:rsid w:val="00091BB7"/>
    <w:rsid w:val="00091E71"/>
    <w:rsid w:val="00092200"/>
    <w:rsid w:val="00092277"/>
    <w:rsid w:val="00092431"/>
    <w:rsid w:val="000924E2"/>
    <w:rsid w:val="00093E58"/>
    <w:rsid w:val="000945C8"/>
    <w:rsid w:val="00094D4F"/>
    <w:rsid w:val="000965C5"/>
    <w:rsid w:val="000969E5"/>
    <w:rsid w:val="000972BE"/>
    <w:rsid w:val="000A09A3"/>
    <w:rsid w:val="000A1964"/>
    <w:rsid w:val="000A2ECF"/>
    <w:rsid w:val="000A3339"/>
    <w:rsid w:val="000A3892"/>
    <w:rsid w:val="000A389D"/>
    <w:rsid w:val="000A3D9A"/>
    <w:rsid w:val="000A4E50"/>
    <w:rsid w:val="000A5281"/>
    <w:rsid w:val="000A6047"/>
    <w:rsid w:val="000A68F6"/>
    <w:rsid w:val="000A7280"/>
    <w:rsid w:val="000B03B6"/>
    <w:rsid w:val="000B08F3"/>
    <w:rsid w:val="000B16D5"/>
    <w:rsid w:val="000B2512"/>
    <w:rsid w:val="000B3312"/>
    <w:rsid w:val="000B37DC"/>
    <w:rsid w:val="000B49F4"/>
    <w:rsid w:val="000B4F65"/>
    <w:rsid w:val="000B55B3"/>
    <w:rsid w:val="000B5951"/>
    <w:rsid w:val="000B5BC9"/>
    <w:rsid w:val="000B619E"/>
    <w:rsid w:val="000B6418"/>
    <w:rsid w:val="000B69DB"/>
    <w:rsid w:val="000B7116"/>
    <w:rsid w:val="000B7C57"/>
    <w:rsid w:val="000C02AE"/>
    <w:rsid w:val="000C07FB"/>
    <w:rsid w:val="000C09CD"/>
    <w:rsid w:val="000C11B0"/>
    <w:rsid w:val="000C131A"/>
    <w:rsid w:val="000C1DA4"/>
    <w:rsid w:val="000C2B17"/>
    <w:rsid w:val="000C3688"/>
    <w:rsid w:val="000C39D8"/>
    <w:rsid w:val="000C53AF"/>
    <w:rsid w:val="000C5577"/>
    <w:rsid w:val="000C62D9"/>
    <w:rsid w:val="000C63C9"/>
    <w:rsid w:val="000C64EF"/>
    <w:rsid w:val="000C69F8"/>
    <w:rsid w:val="000C7E7B"/>
    <w:rsid w:val="000D0F46"/>
    <w:rsid w:val="000D29A6"/>
    <w:rsid w:val="000D2A0D"/>
    <w:rsid w:val="000D35B4"/>
    <w:rsid w:val="000D3C77"/>
    <w:rsid w:val="000D41C1"/>
    <w:rsid w:val="000D4288"/>
    <w:rsid w:val="000D4C7B"/>
    <w:rsid w:val="000D5B1C"/>
    <w:rsid w:val="000D619C"/>
    <w:rsid w:val="000D7B84"/>
    <w:rsid w:val="000E0381"/>
    <w:rsid w:val="000E05FC"/>
    <w:rsid w:val="000E1406"/>
    <w:rsid w:val="000E2094"/>
    <w:rsid w:val="000E26BB"/>
    <w:rsid w:val="000E2745"/>
    <w:rsid w:val="000E5ADC"/>
    <w:rsid w:val="000E5C56"/>
    <w:rsid w:val="000E7176"/>
    <w:rsid w:val="000E7312"/>
    <w:rsid w:val="000E7331"/>
    <w:rsid w:val="000E7ED5"/>
    <w:rsid w:val="000F0885"/>
    <w:rsid w:val="000F0CFD"/>
    <w:rsid w:val="000F1C1F"/>
    <w:rsid w:val="000F25AD"/>
    <w:rsid w:val="000F27B8"/>
    <w:rsid w:val="000F291C"/>
    <w:rsid w:val="000F2D4A"/>
    <w:rsid w:val="000F2EA7"/>
    <w:rsid w:val="000F3A2E"/>
    <w:rsid w:val="000F447C"/>
    <w:rsid w:val="000F44A2"/>
    <w:rsid w:val="000F5784"/>
    <w:rsid w:val="000F5FBA"/>
    <w:rsid w:val="000F7534"/>
    <w:rsid w:val="000F797D"/>
    <w:rsid w:val="000F7AE8"/>
    <w:rsid w:val="001006DC"/>
    <w:rsid w:val="0010075F"/>
    <w:rsid w:val="001010F5"/>
    <w:rsid w:val="0010112C"/>
    <w:rsid w:val="001035A0"/>
    <w:rsid w:val="00103987"/>
    <w:rsid w:val="001041FC"/>
    <w:rsid w:val="001045D2"/>
    <w:rsid w:val="001059B5"/>
    <w:rsid w:val="00110B80"/>
    <w:rsid w:val="00110C88"/>
    <w:rsid w:val="00110E55"/>
    <w:rsid w:val="001115A5"/>
    <w:rsid w:val="00111EEC"/>
    <w:rsid w:val="001122DC"/>
    <w:rsid w:val="00113D8D"/>
    <w:rsid w:val="00113F23"/>
    <w:rsid w:val="0011428C"/>
    <w:rsid w:val="00115614"/>
    <w:rsid w:val="0011616D"/>
    <w:rsid w:val="00116786"/>
    <w:rsid w:val="00120085"/>
    <w:rsid w:val="00120C0D"/>
    <w:rsid w:val="00121B5E"/>
    <w:rsid w:val="00121F28"/>
    <w:rsid w:val="00121FE7"/>
    <w:rsid w:val="00122404"/>
    <w:rsid w:val="00122F77"/>
    <w:rsid w:val="00123BB8"/>
    <w:rsid w:val="00123DC8"/>
    <w:rsid w:val="00124551"/>
    <w:rsid w:val="001249BD"/>
    <w:rsid w:val="00124C2A"/>
    <w:rsid w:val="00126194"/>
    <w:rsid w:val="0012662B"/>
    <w:rsid w:val="0012678B"/>
    <w:rsid w:val="00127B67"/>
    <w:rsid w:val="00127EBB"/>
    <w:rsid w:val="00127F76"/>
    <w:rsid w:val="00130DA2"/>
    <w:rsid w:val="00130F81"/>
    <w:rsid w:val="00131976"/>
    <w:rsid w:val="00131EDE"/>
    <w:rsid w:val="0013225F"/>
    <w:rsid w:val="001329D3"/>
    <w:rsid w:val="00132A75"/>
    <w:rsid w:val="0013452E"/>
    <w:rsid w:val="00135762"/>
    <w:rsid w:val="00135837"/>
    <w:rsid w:val="0013772C"/>
    <w:rsid w:val="00137CFA"/>
    <w:rsid w:val="00140765"/>
    <w:rsid w:val="00140A9E"/>
    <w:rsid w:val="00141A76"/>
    <w:rsid w:val="00141B90"/>
    <w:rsid w:val="00141E33"/>
    <w:rsid w:val="00142161"/>
    <w:rsid w:val="001441CB"/>
    <w:rsid w:val="001447F5"/>
    <w:rsid w:val="00146B92"/>
    <w:rsid w:val="0014758D"/>
    <w:rsid w:val="00152419"/>
    <w:rsid w:val="00152C47"/>
    <w:rsid w:val="00152F2B"/>
    <w:rsid w:val="001533B7"/>
    <w:rsid w:val="00154772"/>
    <w:rsid w:val="001549CD"/>
    <w:rsid w:val="0015760C"/>
    <w:rsid w:val="0016142B"/>
    <w:rsid w:val="0016161D"/>
    <w:rsid w:val="001621F9"/>
    <w:rsid w:val="00162464"/>
    <w:rsid w:val="00163205"/>
    <w:rsid w:val="00163953"/>
    <w:rsid w:val="00163BC4"/>
    <w:rsid w:val="00163F6F"/>
    <w:rsid w:val="00164603"/>
    <w:rsid w:val="00164AC2"/>
    <w:rsid w:val="001650A8"/>
    <w:rsid w:val="0016521F"/>
    <w:rsid w:val="00165AE4"/>
    <w:rsid w:val="00165B0E"/>
    <w:rsid w:val="00165D3D"/>
    <w:rsid w:val="00167432"/>
    <w:rsid w:val="001674CD"/>
    <w:rsid w:val="0016795C"/>
    <w:rsid w:val="0017023B"/>
    <w:rsid w:val="0017088E"/>
    <w:rsid w:val="0017111C"/>
    <w:rsid w:val="001716E2"/>
    <w:rsid w:val="00173D80"/>
    <w:rsid w:val="00173FEF"/>
    <w:rsid w:val="00174600"/>
    <w:rsid w:val="00174C32"/>
    <w:rsid w:val="0017582C"/>
    <w:rsid w:val="00175C79"/>
    <w:rsid w:val="00180146"/>
    <w:rsid w:val="001802C7"/>
    <w:rsid w:val="00180B61"/>
    <w:rsid w:val="001819CB"/>
    <w:rsid w:val="00181EFC"/>
    <w:rsid w:val="00182054"/>
    <w:rsid w:val="00182277"/>
    <w:rsid w:val="001829AA"/>
    <w:rsid w:val="00182DEB"/>
    <w:rsid w:val="00183129"/>
    <w:rsid w:val="00184E37"/>
    <w:rsid w:val="001850D4"/>
    <w:rsid w:val="00186425"/>
    <w:rsid w:val="00186A16"/>
    <w:rsid w:val="00186A57"/>
    <w:rsid w:val="00186A71"/>
    <w:rsid w:val="00186B0B"/>
    <w:rsid w:val="00186FB1"/>
    <w:rsid w:val="00187227"/>
    <w:rsid w:val="00187F05"/>
    <w:rsid w:val="001901B4"/>
    <w:rsid w:val="001904BF"/>
    <w:rsid w:val="0019227D"/>
    <w:rsid w:val="0019298F"/>
    <w:rsid w:val="00192EAF"/>
    <w:rsid w:val="00194713"/>
    <w:rsid w:val="0019552A"/>
    <w:rsid w:val="00195DAD"/>
    <w:rsid w:val="0019674C"/>
    <w:rsid w:val="00197C9E"/>
    <w:rsid w:val="001A080A"/>
    <w:rsid w:val="001A0CE0"/>
    <w:rsid w:val="001A1330"/>
    <w:rsid w:val="001A1FDD"/>
    <w:rsid w:val="001A22AF"/>
    <w:rsid w:val="001A3484"/>
    <w:rsid w:val="001A452D"/>
    <w:rsid w:val="001A4B6C"/>
    <w:rsid w:val="001A4E30"/>
    <w:rsid w:val="001A5C96"/>
    <w:rsid w:val="001A61BA"/>
    <w:rsid w:val="001A6FEC"/>
    <w:rsid w:val="001A73A8"/>
    <w:rsid w:val="001A7519"/>
    <w:rsid w:val="001A75B4"/>
    <w:rsid w:val="001B0892"/>
    <w:rsid w:val="001B1108"/>
    <w:rsid w:val="001B25D6"/>
    <w:rsid w:val="001B29EE"/>
    <w:rsid w:val="001B2EA5"/>
    <w:rsid w:val="001B365F"/>
    <w:rsid w:val="001B4CA0"/>
    <w:rsid w:val="001B4D4D"/>
    <w:rsid w:val="001B4E24"/>
    <w:rsid w:val="001B5780"/>
    <w:rsid w:val="001B5CB3"/>
    <w:rsid w:val="001B60E6"/>
    <w:rsid w:val="001B7831"/>
    <w:rsid w:val="001B78A4"/>
    <w:rsid w:val="001B7E28"/>
    <w:rsid w:val="001C14A3"/>
    <w:rsid w:val="001C2E6A"/>
    <w:rsid w:val="001C374B"/>
    <w:rsid w:val="001C37E7"/>
    <w:rsid w:val="001C3E3E"/>
    <w:rsid w:val="001C4040"/>
    <w:rsid w:val="001C49EC"/>
    <w:rsid w:val="001C513C"/>
    <w:rsid w:val="001C5447"/>
    <w:rsid w:val="001C572F"/>
    <w:rsid w:val="001C5FC7"/>
    <w:rsid w:val="001C68A1"/>
    <w:rsid w:val="001C6A0E"/>
    <w:rsid w:val="001C7673"/>
    <w:rsid w:val="001D004F"/>
    <w:rsid w:val="001D007E"/>
    <w:rsid w:val="001D021A"/>
    <w:rsid w:val="001D0A47"/>
    <w:rsid w:val="001D1194"/>
    <w:rsid w:val="001D1B43"/>
    <w:rsid w:val="001D27BC"/>
    <w:rsid w:val="001D45D9"/>
    <w:rsid w:val="001D47B3"/>
    <w:rsid w:val="001D494F"/>
    <w:rsid w:val="001D5BBA"/>
    <w:rsid w:val="001D5CC1"/>
    <w:rsid w:val="001D6CE9"/>
    <w:rsid w:val="001D71BE"/>
    <w:rsid w:val="001D75AD"/>
    <w:rsid w:val="001D77DA"/>
    <w:rsid w:val="001D78CB"/>
    <w:rsid w:val="001D7EE8"/>
    <w:rsid w:val="001E0626"/>
    <w:rsid w:val="001E09A7"/>
    <w:rsid w:val="001E0C31"/>
    <w:rsid w:val="001E2B0D"/>
    <w:rsid w:val="001E3ADA"/>
    <w:rsid w:val="001E41D7"/>
    <w:rsid w:val="001E42AC"/>
    <w:rsid w:val="001E4394"/>
    <w:rsid w:val="001E4517"/>
    <w:rsid w:val="001E4886"/>
    <w:rsid w:val="001E495D"/>
    <w:rsid w:val="001E49AE"/>
    <w:rsid w:val="001E5509"/>
    <w:rsid w:val="001E5723"/>
    <w:rsid w:val="001E6F28"/>
    <w:rsid w:val="001E71AD"/>
    <w:rsid w:val="001F0791"/>
    <w:rsid w:val="001F1446"/>
    <w:rsid w:val="001F147F"/>
    <w:rsid w:val="001F238A"/>
    <w:rsid w:val="001F34B0"/>
    <w:rsid w:val="001F367C"/>
    <w:rsid w:val="001F3ADF"/>
    <w:rsid w:val="001F4298"/>
    <w:rsid w:val="001F46FC"/>
    <w:rsid w:val="001F7008"/>
    <w:rsid w:val="001F7030"/>
    <w:rsid w:val="001F7BC5"/>
    <w:rsid w:val="0020066B"/>
    <w:rsid w:val="00201211"/>
    <w:rsid w:val="00201CC4"/>
    <w:rsid w:val="002020BE"/>
    <w:rsid w:val="0020221A"/>
    <w:rsid w:val="00202938"/>
    <w:rsid w:val="00203ECA"/>
    <w:rsid w:val="00204CAA"/>
    <w:rsid w:val="00204CF9"/>
    <w:rsid w:val="002074EA"/>
    <w:rsid w:val="00210067"/>
    <w:rsid w:val="00210620"/>
    <w:rsid w:val="00210BB1"/>
    <w:rsid w:val="0021116B"/>
    <w:rsid w:val="0021127D"/>
    <w:rsid w:val="0021186A"/>
    <w:rsid w:val="00211C3C"/>
    <w:rsid w:val="00214390"/>
    <w:rsid w:val="0021487D"/>
    <w:rsid w:val="00215657"/>
    <w:rsid w:val="00216E6B"/>
    <w:rsid w:val="0021747E"/>
    <w:rsid w:val="002175EF"/>
    <w:rsid w:val="00217FDA"/>
    <w:rsid w:val="002211E4"/>
    <w:rsid w:val="002213D1"/>
    <w:rsid w:val="00221D1D"/>
    <w:rsid w:val="00222D56"/>
    <w:rsid w:val="002238A7"/>
    <w:rsid w:val="00225CB5"/>
    <w:rsid w:val="00226182"/>
    <w:rsid w:val="00226327"/>
    <w:rsid w:val="002266AF"/>
    <w:rsid w:val="00226E6B"/>
    <w:rsid w:val="002312CB"/>
    <w:rsid w:val="00231694"/>
    <w:rsid w:val="00231A35"/>
    <w:rsid w:val="002321BA"/>
    <w:rsid w:val="00232733"/>
    <w:rsid w:val="002328F3"/>
    <w:rsid w:val="0023390C"/>
    <w:rsid w:val="00233D00"/>
    <w:rsid w:val="0023451B"/>
    <w:rsid w:val="00235023"/>
    <w:rsid w:val="002357B9"/>
    <w:rsid w:val="0023638F"/>
    <w:rsid w:val="00236427"/>
    <w:rsid w:val="002366DE"/>
    <w:rsid w:val="00236F79"/>
    <w:rsid w:val="00237898"/>
    <w:rsid w:val="00237F22"/>
    <w:rsid w:val="00240342"/>
    <w:rsid w:val="00240E9E"/>
    <w:rsid w:val="0024172B"/>
    <w:rsid w:val="00241943"/>
    <w:rsid w:val="00241CE2"/>
    <w:rsid w:val="00242006"/>
    <w:rsid w:val="002420EE"/>
    <w:rsid w:val="00242AE7"/>
    <w:rsid w:val="00243208"/>
    <w:rsid w:val="002432A3"/>
    <w:rsid w:val="002439BB"/>
    <w:rsid w:val="00244AAE"/>
    <w:rsid w:val="0024515C"/>
    <w:rsid w:val="00245527"/>
    <w:rsid w:val="00245548"/>
    <w:rsid w:val="00245AC9"/>
    <w:rsid w:val="00245AEF"/>
    <w:rsid w:val="00245FDB"/>
    <w:rsid w:val="00247FB1"/>
    <w:rsid w:val="00251746"/>
    <w:rsid w:val="00251FF9"/>
    <w:rsid w:val="00252B43"/>
    <w:rsid w:val="00252D06"/>
    <w:rsid w:val="00253022"/>
    <w:rsid w:val="00253F6B"/>
    <w:rsid w:val="00254685"/>
    <w:rsid w:val="00255307"/>
    <w:rsid w:val="00255C1A"/>
    <w:rsid w:val="0025620D"/>
    <w:rsid w:val="00256D3F"/>
    <w:rsid w:val="00257856"/>
    <w:rsid w:val="00257C74"/>
    <w:rsid w:val="00257DF2"/>
    <w:rsid w:val="002629E1"/>
    <w:rsid w:val="00263163"/>
    <w:rsid w:val="00264D19"/>
    <w:rsid w:val="002651F7"/>
    <w:rsid w:val="002659CF"/>
    <w:rsid w:val="002661D0"/>
    <w:rsid w:val="00266625"/>
    <w:rsid w:val="00266667"/>
    <w:rsid w:val="00266B11"/>
    <w:rsid w:val="00267225"/>
    <w:rsid w:val="0026790B"/>
    <w:rsid w:val="002709C4"/>
    <w:rsid w:val="00270AED"/>
    <w:rsid w:val="00270BB5"/>
    <w:rsid w:val="00271331"/>
    <w:rsid w:val="00271AFB"/>
    <w:rsid w:val="00272597"/>
    <w:rsid w:val="00272DD6"/>
    <w:rsid w:val="0027359F"/>
    <w:rsid w:val="00273934"/>
    <w:rsid w:val="00273A87"/>
    <w:rsid w:val="00273EF4"/>
    <w:rsid w:val="002741E4"/>
    <w:rsid w:val="002742FB"/>
    <w:rsid w:val="0027559E"/>
    <w:rsid w:val="002757F8"/>
    <w:rsid w:val="00275E76"/>
    <w:rsid w:val="00276510"/>
    <w:rsid w:val="002769A3"/>
    <w:rsid w:val="00276DD1"/>
    <w:rsid w:val="00282714"/>
    <w:rsid w:val="00283CBF"/>
    <w:rsid w:val="002845BE"/>
    <w:rsid w:val="0028475A"/>
    <w:rsid w:val="0028517D"/>
    <w:rsid w:val="00285379"/>
    <w:rsid w:val="0028691F"/>
    <w:rsid w:val="002870AF"/>
    <w:rsid w:val="002878B8"/>
    <w:rsid w:val="002916E4"/>
    <w:rsid w:val="0029237A"/>
    <w:rsid w:val="00292E62"/>
    <w:rsid w:val="0029396E"/>
    <w:rsid w:val="0029465C"/>
    <w:rsid w:val="00295369"/>
    <w:rsid w:val="00296162"/>
    <w:rsid w:val="002964CD"/>
    <w:rsid w:val="00296ED0"/>
    <w:rsid w:val="00296F77"/>
    <w:rsid w:val="002972EF"/>
    <w:rsid w:val="002977E2"/>
    <w:rsid w:val="002A0664"/>
    <w:rsid w:val="002A305C"/>
    <w:rsid w:val="002A39B6"/>
    <w:rsid w:val="002A43F0"/>
    <w:rsid w:val="002A4755"/>
    <w:rsid w:val="002A4DB8"/>
    <w:rsid w:val="002A53AA"/>
    <w:rsid w:val="002A54AD"/>
    <w:rsid w:val="002A5A4F"/>
    <w:rsid w:val="002A5EA9"/>
    <w:rsid w:val="002A61AE"/>
    <w:rsid w:val="002A68B6"/>
    <w:rsid w:val="002A6F00"/>
    <w:rsid w:val="002A7116"/>
    <w:rsid w:val="002B0829"/>
    <w:rsid w:val="002B1071"/>
    <w:rsid w:val="002B1F26"/>
    <w:rsid w:val="002B2000"/>
    <w:rsid w:val="002B2AC0"/>
    <w:rsid w:val="002B2B58"/>
    <w:rsid w:val="002B488E"/>
    <w:rsid w:val="002B6E9F"/>
    <w:rsid w:val="002B6F89"/>
    <w:rsid w:val="002B72F2"/>
    <w:rsid w:val="002B798F"/>
    <w:rsid w:val="002C0338"/>
    <w:rsid w:val="002C0485"/>
    <w:rsid w:val="002C10B6"/>
    <w:rsid w:val="002C10FB"/>
    <w:rsid w:val="002C1910"/>
    <w:rsid w:val="002C20FA"/>
    <w:rsid w:val="002C2160"/>
    <w:rsid w:val="002C29C8"/>
    <w:rsid w:val="002C2DC9"/>
    <w:rsid w:val="002C3C8A"/>
    <w:rsid w:val="002C494B"/>
    <w:rsid w:val="002C67DC"/>
    <w:rsid w:val="002C6CA6"/>
    <w:rsid w:val="002C6EB9"/>
    <w:rsid w:val="002C7A5B"/>
    <w:rsid w:val="002C7AEC"/>
    <w:rsid w:val="002D00EF"/>
    <w:rsid w:val="002D121E"/>
    <w:rsid w:val="002D2353"/>
    <w:rsid w:val="002D31B4"/>
    <w:rsid w:val="002D44A8"/>
    <w:rsid w:val="002D4E42"/>
    <w:rsid w:val="002D6152"/>
    <w:rsid w:val="002D6E1F"/>
    <w:rsid w:val="002D7BFF"/>
    <w:rsid w:val="002E11E0"/>
    <w:rsid w:val="002E1D6B"/>
    <w:rsid w:val="002E420D"/>
    <w:rsid w:val="002E544A"/>
    <w:rsid w:val="002E5AF8"/>
    <w:rsid w:val="002E5EEA"/>
    <w:rsid w:val="002E6C26"/>
    <w:rsid w:val="002E6F14"/>
    <w:rsid w:val="002E78AF"/>
    <w:rsid w:val="002E7B35"/>
    <w:rsid w:val="002F174B"/>
    <w:rsid w:val="002F1A2E"/>
    <w:rsid w:val="002F1F24"/>
    <w:rsid w:val="002F275D"/>
    <w:rsid w:val="002F2A14"/>
    <w:rsid w:val="002F3618"/>
    <w:rsid w:val="002F3832"/>
    <w:rsid w:val="002F38C6"/>
    <w:rsid w:val="002F425E"/>
    <w:rsid w:val="002F51FA"/>
    <w:rsid w:val="002F56BD"/>
    <w:rsid w:val="002F710B"/>
    <w:rsid w:val="0030013F"/>
    <w:rsid w:val="00301040"/>
    <w:rsid w:val="003019E3"/>
    <w:rsid w:val="0030250F"/>
    <w:rsid w:val="0030315D"/>
    <w:rsid w:val="0030382A"/>
    <w:rsid w:val="00303ADB"/>
    <w:rsid w:val="00303E89"/>
    <w:rsid w:val="0030492A"/>
    <w:rsid w:val="00305173"/>
    <w:rsid w:val="0030551D"/>
    <w:rsid w:val="00306163"/>
    <w:rsid w:val="00306807"/>
    <w:rsid w:val="003070F9"/>
    <w:rsid w:val="00307D0C"/>
    <w:rsid w:val="00311774"/>
    <w:rsid w:val="00311C2C"/>
    <w:rsid w:val="00313058"/>
    <w:rsid w:val="003130AA"/>
    <w:rsid w:val="00313510"/>
    <w:rsid w:val="0031446F"/>
    <w:rsid w:val="00315522"/>
    <w:rsid w:val="0031775B"/>
    <w:rsid w:val="003177FB"/>
    <w:rsid w:val="00320396"/>
    <w:rsid w:val="00320840"/>
    <w:rsid w:val="003217E1"/>
    <w:rsid w:val="00322D3F"/>
    <w:rsid w:val="0032324B"/>
    <w:rsid w:val="0032358C"/>
    <w:rsid w:val="0032407D"/>
    <w:rsid w:val="003241A2"/>
    <w:rsid w:val="003245B1"/>
    <w:rsid w:val="00324AB6"/>
    <w:rsid w:val="00325008"/>
    <w:rsid w:val="00325E4F"/>
    <w:rsid w:val="00326578"/>
    <w:rsid w:val="0032736C"/>
    <w:rsid w:val="00327FA9"/>
    <w:rsid w:val="00330B98"/>
    <w:rsid w:val="003322E5"/>
    <w:rsid w:val="0033341E"/>
    <w:rsid w:val="003337FF"/>
    <w:rsid w:val="0033425F"/>
    <w:rsid w:val="00334CDD"/>
    <w:rsid w:val="0033533D"/>
    <w:rsid w:val="003361E7"/>
    <w:rsid w:val="00337D35"/>
    <w:rsid w:val="00340263"/>
    <w:rsid w:val="00341645"/>
    <w:rsid w:val="00341A1B"/>
    <w:rsid w:val="00342C58"/>
    <w:rsid w:val="0034492F"/>
    <w:rsid w:val="00344CAF"/>
    <w:rsid w:val="003450CB"/>
    <w:rsid w:val="003453BC"/>
    <w:rsid w:val="003455D1"/>
    <w:rsid w:val="003463DA"/>
    <w:rsid w:val="003465D0"/>
    <w:rsid w:val="00346646"/>
    <w:rsid w:val="00347EA4"/>
    <w:rsid w:val="003501F2"/>
    <w:rsid w:val="003520B7"/>
    <w:rsid w:val="00352414"/>
    <w:rsid w:val="003526B8"/>
    <w:rsid w:val="00353505"/>
    <w:rsid w:val="00354E12"/>
    <w:rsid w:val="00355C53"/>
    <w:rsid w:val="00356B71"/>
    <w:rsid w:val="00357111"/>
    <w:rsid w:val="00357560"/>
    <w:rsid w:val="00360B5F"/>
    <w:rsid w:val="00362FF2"/>
    <w:rsid w:val="003657C7"/>
    <w:rsid w:val="003659C8"/>
    <w:rsid w:val="00367617"/>
    <w:rsid w:val="00367B5A"/>
    <w:rsid w:val="003706CA"/>
    <w:rsid w:val="00370BF1"/>
    <w:rsid w:val="00371EAC"/>
    <w:rsid w:val="00372657"/>
    <w:rsid w:val="0037336C"/>
    <w:rsid w:val="0037457C"/>
    <w:rsid w:val="00374EB9"/>
    <w:rsid w:val="003750BB"/>
    <w:rsid w:val="003751F1"/>
    <w:rsid w:val="003761A7"/>
    <w:rsid w:val="003765FC"/>
    <w:rsid w:val="00376835"/>
    <w:rsid w:val="003771A2"/>
    <w:rsid w:val="003772EC"/>
    <w:rsid w:val="003773A8"/>
    <w:rsid w:val="00377BB0"/>
    <w:rsid w:val="00377CC1"/>
    <w:rsid w:val="00377EA2"/>
    <w:rsid w:val="00380120"/>
    <w:rsid w:val="0038085A"/>
    <w:rsid w:val="0038103B"/>
    <w:rsid w:val="003814B6"/>
    <w:rsid w:val="0038159C"/>
    <w:rsid w:val="003827CD"/>
    <w:rsid w:val="0038297D"/>
    <w:rsid w:val="00383324"/>
    <w:rsid w:val="0038399C"/>
    <w:rsid w:val="00383D1F"/>
    <w:rsid w:val="00383D83"/>
    <w:rsid w:val="00383D98"/>
    <w:rsid w:val="00384F0C"/>
    <w:rsid w:val="0038544E"/>
    <w:rsid w:val="00385FA7"/>
    <w:rsid w:val="00387F86"/>
    <w:rsid w:val="00390240"/>
    <w:rsid w:val="0039118A"/>
    <w:rsid w:val="00391825"/>
    <w:rsid w:val="0039440A"/>
    <w:rsid w:val="00395162"/>
    <w:rsid w:val="003952FC"/>
    <w:rsid w:val="00395496"/>
    <w:rsid w:val="00397131"/>
    <w:rsid w:val="003A0C2C"/>
    <w:rsid w:val="003A0E96"/>
    <w:rsid w:val="003A304E"/>
    <w:rsid w:val="003A34FC"/>
    <w:rsid w:val="003A5C57"/>
    <w:rsid w:val="003A6285"/>
    <w:rsid w:val="003A65E4"/>
    <w:rsid w:val="003B0D9A"/>
    <w:rsid w:val="003B13DB"/>
    <w:rsid w:val="003B1877"/>
    <w:rsid w:val="003B1E1E"/>
    <w:rsid w:val="003B24B2"/>
    <w:rsid w:val="003B3289"/>
    <w:rsid w:val="003B3757"/>
    <w:rsid w:val="003B43E7"/>
    <w:rsid w:val="003B44B7"/>
    <w:rsid w:val="003B4728"/>
    <w:rsid w:val="003B59D4"/>
    <w:rsid w:val="003B5A70"/>
    <w:rsid w:val="003B691B"/>
    <w:rsid w:val="003B6A19"/>
    <w:rsid w:val="003B6F5D"/>
    <w:rsid w:val="003B7C41"/>
    <w:rsid w:val="003C077A"/>
    <w:rsid w:val="003C10A8"/>
    <w:rsid w:val="003C2444"/>
    <w:rsid w:val="003C2757"/>
    <w:rsid w:val="003C360C"/>
    <w:rsid w:val="003C3E7C"/>
    <w:rsid w:val="003C453F"/>
    <w:rsid w:val="003C47E7"/>
    <w:rsid w:val="003C4D50"/>
    <w:rsid w:val="003C682C"/>
    <w:rsid w:val="003C76F2"/>
    <w:rsid w:val="003D1040"/>
    <w:rsid w:val="003D152B"/>
    <w:rsid w:val="003D1FAC"/>
    <w:rsid w:val="003D26CC"/>
    <w:rsid w:val="003D26E6"/>
    <w:rsid w:val="003D3EC5"/>
    <w:rsid w:val="003D51F7"/>
    <w:rsid w:val="003D5745"/>
    <w:rsid w:val="003D5AB3"/>
    <w:rsid w:val="003D5F51"/>
    <w:rsid w:val="003D74AE"/>
    <w:rsid w:val="003D778A"/>
    <w:rsid w:val="003D7DAE"/>
    <w:rsid w:val="003D7DB2"/>
    <w:rsid w:val="003E04B2"/>
    <w:rsid w:val="003E1595"/>
    <w:rsid w:val="003E1FA2"/>
    <w:rsid w:val="003E2364"/>
    <w:rsid w:val="003E24E3"/>
    <w:rsid w:val="003E30B3"/>
    <w:rsid w:val="003E3697"/>
    <w:rsid w:val="003E37D5"/>
    <w:rsid w:val="003E4467"/>
    <w:rsid w:val="003E454C"/>
    <w:rsid w:val="003E49B4"/>
    <w:rsid w:val="003E4A43"/>
    <w:rsid w:val="003F0804"/>
    <w:rsid w:val="003F09F6"/>
    <w:rsid w:val="003F21CB"/>
    <w:rsid w:val="003F2732"/>
    <w:rsid w:val="003F3006"/>
    <w:rsid w:val="003F4DA7"/>
    <w:rsid w:val="003F576E"/>
    <w:rsid w:val="003F6C7C"/>
    <w:rsid w:val="003F7C24"/>
    <w:rsid w:val="00400273"/>
    <w:rsid w:val="0040106F"/>
    <w:rsid w:val="00401152"/>
    <w:rsid w:val="00401256"/>
    <w:rsid w:val="00403646"/>
    <w:rsid w:val="0040520C"/>
    <w:rsid w:val="00405FBD"/>
    <w:rsid w:val="0040780A"/>
    <w:rsid w:val="00412683"/>
    <w:rsid w:val="00412E26"/>
    <w:rsid w:val="0041308B"/>
    <w:rsid w:val="00413EAC"/>
    <w:rsid w:val="00413F9F"/>
    <w:rsid w:val="00414818"/>
    <w:rsid w:val="00414D11"/>
    <w:rsid w:val="004157A8"/>
    <w:rsid w:val="004163DD"/>
    <w:rsid w:val="004174B3"/>
    <w:rsid w:val="004201EC"/>
    <w:rsid w:val="0042417F"/>
    <w:rsid w:val="0042506D"/>
    <w:rsid w:val="004257AA"/>
    <w:rsid w:val="00425AD1"/>
    <w:rsid w:val="00426996"/>
    <w:rsid w:val="00427246"/>
    <w:rsid w:val="00430676"/>
    <w:rsid w:val="0043130C"/>
    <w:rsid w:val="004314EA"/>
    <w:rsid w:val="00431755"/>
    <w:rsid w:val="00431D64"/>
    <w:rsid w:val="004323BD"/>
    <w:rsid w:val="00432540"/>
    <w:rsid w:val="00432828"/>
    <w:rsid w:val="00433118"/>
    <w:rsid w:val="0043356C"/>
    <w:rsid w:val="00433882"/>
    <w:rsid w:val="00433EA2"/>
    <w:rsid w:val="004340B5"/>
    <w:rsid w:val="00434A92"/>
    <w:rsid w:val="004352AB"/>
    <w:rsid w:val="00436F51"/>
    <w:rsid w:val="00440461"/>
    <w:rsid w:val="00440B69"/>
    <w:rsid w:val="00440F38"/>
    <w:rsid w:val="00441CFF"/>
    <w:rsid w:val="00442578"/>
    <w:rsid w:val="004429E5"/>
    <w:rsid w:val="00442BF1"/>
    <w:rsid w:val="00442EB4"/>
    <w:rsid w:val="0044338A"/>
    <w:rsid w:val="004439B4"/>
    <w:rsid w:val="00444C0F"/>
    <w:rsid w:val="004468A0"/>
    <w:rsid w:val="004474C8"/>
    <w:rsid w:val="00447DA4"/>
    <w:rsid w:val="00447E32"/>
    <w:rsid w:val="00447EE5"/>
    <w:rsid w:val="00450557"/>
    <w:rsid w:val="004507D1"/>
    <w:rsid w:val="00451341"/>
    <w:rsid w:val="004515F8"/>
    <w:rsid w:val="00451FD1"/>
    <w:rsid w:val="00452BD9"/>
    <w:rsid w:val="00453042"/>
    <w:rsid w:val="00453ED3"/>
    <w:rsid w:val="00454586"/>
    <w:rsid w:val="004553BC"/>
    <w:rsid w:val="00456BDF"/>
    <w:rsid w:val="00457265"/>
    <w:rsid w:val="00457828"/>
    <w:rsid w:val="004609D2"/>
    <w:rsid w:val="004621A6"/>
    <w:rsid w:val="004625BF"/>
    <w:rsid w:val="00462710"/>
    <w:rsid w:val="004648A8"/>
    <w:rsid w:val="004650CF"/>
    <w:rsid w:val="00465259"/>
    <w:rsid w:val="00465E2E"/>
    <w:rsid w:val="00465E31"/>
    <w:rsid w:val="00466760"/>
    <w:rsid w:val="00467B6B"/>
    <w:rsid w:val="00467FC3"/>
    <w:rsid w:val="004703F0"/>
    <w:rsid w:val="0047085A"/>
    <w:rsid w:val="00472B57"/>
    <w:rsid w:val="00473656"/>
    <w:rsid w:val="0047625C"/>
    <w:rsid w:val="00476F1F"/>
    <w:rsid w:val="00477494"/>
    <w:rsid w:val="00477D6C"/>
    <w:rsid w:val="00481CEB"/>
    <w:rsid w:val="0048254D"/>
    <w:rsid w:val="00482E34"/>
    <w:rsid w:val="00484576"/>
    <w:rsid w:val="00484914"/>
    <w:rsid w:val="00485ABD"/>
    <w:rsid w:val="00485D1A"/>
    <w:rsid w:val="00486A83"/>
    <w:rsid w:val="00486CBA"/>
    <w:rsid w:val="00486DF9"/>
    <w:rsid w:val="0049002F"/>
    <w:rsid w:val="00491867"/>
    <w:rsid w:val="00491894"/>
    <w:rsid w:val="004930EE"/>
    <w:rsid w:val="00493A7B"/>
    <w:rsid w:val="00493F7B"/>
    <w:rsid w:val="00493FE8"/>
    <w:rsid w:val="00494B0E"/>
    <w:rsid w:val="00494DF3"/>
    <w:rsid w:val="0049520A"/>
    <w:rsid w:val="00495527"/>
    <w:rsid w:val="00495CD4"/>
    <w:rsid w:val="0049677D"/>
    <w:rsid w:val="00497034"/>
    <w:rsid w:val="00497748"/>
    <w:rsid w:val="004A0322"/>
    <w:rsid w:val="004A1010"/>
    <w:rsid w:val="004A11F6"/>
    <w:rsid w:val="004A1A72"/>
    <w:rsid w:val="004A1C95"/>
    <w:rsid w:val="004A2703"/>
    <w:rsid w:val="004A3676"/>
    <w:rsid w:val="004A542A"/>
    <w:rsid w:val="004A7139"/>
    <w:rsid w:val="004A72E6"/>
    <w:rsid w:val="004A73F6"/>
    <w:rsid w:val="004B0843"/>
    <w:rsid w:val="004B0C50"/>
    <w:rsid w:val="004B15EE"/>
    <w:rsid w:val="004B2BAE"/>
    <w:rsid w:val="004B2E2B"/>
    <w:rsid w:val="004B30F6"/>
    <w:rsid w:val="004B5E63"/>
    <w:rsid w:val="004B64FE"/>
    <w:rsid w:val="004B7102"/>
    <w:rsid w:val="004B7882"/>
    <w:rsid w:val="004C0554"/>
    <w:rsid w:val="004C0B51"/>
    <w:rsid w:val="004C1236"/>
    <w:rsid w:val="004C16E1"/>
    <w:rsid w:val="004C2864"/>
    <w:rsid w:val="004C2EEB"/>
    <w:rsid w:val="004C4806"/>
    <w:rsid w:val="004C4B37"/>
    <w:rsid w:val="004C5104"/>
    <w:rsid w:val="004C5415"/>
    <w:rsid w:val="004D1EDB"/>
    <w:rsid w:val="004D1EE1"/>
    <w:rsid w:val="004D21A8"/>
    <w:rsid w:val="004D2ECD"/>
    <w:rsid w:val="004D42A9"/>
    <w:rsid w:val="004D5A1A"/>
    <w:rsid w:val="004D5F65"/>
    <w:rsid w:val="004D6392"/>
    <w:rsid w:val="004D7DD4"/>
    <w:rsid w:val="004E0250"/>
    <w:rsid w:val="004E11B1"/>
    <w:rsid w:val="004E1851"/>
    <w:rsid w:val="004E2053"/>
    <w:rsid w:val="004E2BB8"/>
    <w:rsid w:val="004E3213"/>
    <w:rsid w:val="004E32AB"/>
    <w:rsid w:val="004E3CD4"/>
    <w:rsid w:val="004E3FBF"/>
    <w:rsid w:val="004E4B64"/>
    <w:rsid w:val="004E5C00"/>
    <w:rsid w:val="004E6085"/>
    <w:rsid w:val="004E6681"/>
    <w:rsid w:val="004E6CD4"/>
    <w:rsid w:val="004E7039"/>
    <w:rsid w:val="004F07D3"/>
    <w:rsid w:val="004F0AAA"/>
    <w:rsid w:val="004F2418"/>
    <w:rsid w:val="004F30FB"/>
    <w:rsid w:val="004F360A"/>
    <w:rsid w:val="004F5D1D"/>
    <w:rsid w:val="004F6D69"/>
    <w:rsid w:val="004F71F4"/>
    <w:rsid w:val="004F7261"/>
    <w:rsid w:val="004F7283"/>
    <w:rsid w:val="004F79B3"/>
    <w:rsid w:val="00500743"/>
    <w:rsid w:val="0050128F"/>
    <w:rsid w:val="00501496"/>
    <w:rsid w:val="00501B62"/>
    <w:rsid w:val="0050296D"/>
    <w:rsid w:val="00502A09"/>
    <w:rsid w:val="005030D4"/>
    <w:rsid w:val="00503494"/>
    <w:rsid w:val="00504BA2"/>
    <w:rsid w:val="00505179"/>
    <w:rsid w:val="0050537F"/>
    <w:rsid w:val="00505BAD"/>
    <w:rsid w:val="00507063"/>
    <w:rsid w:val="0050718C"/>
    <w:rsid w:val="00507DCC"/>
    <w:rsid w:val="00510614"/>
    <w:rsid w:val="00512560"/>
    <w:rsid w:val="00512884"/>
    <w:rsid w:val="00513857"/>
    <w:rsid w:val="00514492"/>
    <w:rsid w:val="00514794"/>
    <w:rsid w:val="00515156"/>
    <w:rsid w:val="0051748F"/>
    <w:rsid w:val="00520042"/>
    <w:rsid w:val="00520401"/>
    <w:rsid w:val="00520EB1"/>
    <w:rsid w:val="00521396"/>
    <w:rsid w:val="0052213B"/>
    <w:rsid w:val="00523178"/>
    <w:rsid w:val="00523B20"/>
    <w:rsid w:val="00524ED0"/>
    <w:rsid w:val="00525249"/>
    <w:rsid w:val="00525596"/>
    <w:rsid w:val="00525F25"/>
    <w:rsid w:val="0052603C"/>
    <w:rsid w:val="005266C4"/>
    <w:rsid w:val="00527169"/>
    <w:rsid w:val="00530510"/>
    <w:rsid w:val="0053061A"/>
    <w:rsid w:val="005309C7"/>
    <w:rsid w:val="00530D2C"/>
    <w:rsid w:val="005316A5"/>
    <w:rsid w:val="00531AE3"/>
    <w:rsid w:val="00531F6C"/>
    <w:rsid w:val="005326E7"/>
    <w:rsid w:val="005327DC"/>
    <w:rsid w:val="00533885"/>
    <w:rsid w:val="00533FB7"/>
    <w:rsid w:val="00534068"/>
    <w:rsid w:val="005367CA"/>
    <w:rsid w:val="00536DF6"/>
    <w:rsid w:val="0054102C"/>
    <w:rsid w:val="0054194B"/>
    <w:rsid w:val="00541CAE"/>
    <w:rsid w:val="005422FD"/>
    <w:rsid w:val="0054325B"/>
    <w:rsid w:val="00543703"/>
    <w:rsid w:val="00543853"/>
    <w:rsid w:val="00544D4A"/>
    <w:rsid w:val="00545BD1"/>
    <w:rsid w:val="0054640A"/>
    <w:rsid w:val="0054738C"/>
    <w:rsid w:val="005477FF"/>
    <w:rsid w:val="00550625"/>
    <w:rsid w:val="005507A7"/>
    <w:rsid w:val="00550945"/>
    <w:rsid w:val="00551992"/>
    <w:rsid w:val="00552215"/>
    <w:rsid w:val="00553C9D"/>
    <w:rsid w:val="005546AE"/>
    <w:rsid w:val="00554F61"/>
    <w:rsid w:val="00555514"/>
    <w:rsid w:val="0055555B"/>
    <w:rsid w:val="00555BCE"/>
    <w:rsid w:val="0055687C"/>
    <w:rsid w:val="005572AE"/>
    <w:rsid w:val="00557E84"/>
    <w:rsid w:val="005603C4"/>
    <w:rsid w:val="005603E1"/>
    <w:rsid w:val="00560B47"/>
    <w:rsid w:val="00561521"/>
    <w:rsid w:val="00561AFF"/>
    <w:rsid w:val="00563827"/>
    <w:rsid w:val="00564648"/>
    <w:rsid w:val="005646AB"/>
    <w:rsid w:val="00564ECB"/>
    <w:rsid w:val="005654BD"/>
    <w:rsid w:val="00565769"/>
    <w:rsid w:val="00565985"/>
    <w:rsid w:val="00565AEB"/>
    <w:rsid w:val="00565E43"/>
    <w:rsid w:val="00565F83"/>
    <w:rsid w:val="00566DB8"/>
    <w:rsid w:val="005677FE"/>
    <w:rsid w:val="005700BF"/>
    <w:rsid w:val="00570337"/>
    <w:rsid w:val="005707EF"/>
    <w:rsid w:val="00570B4E"/>
    <w:rsid w:val="0057178E"/>
    <w:rsid w:val="00571C1C"/>
    <w:rsid w:val="00572318"/>
    <w:rsid w:val="00572F7F"/>
    <w:rsid w:val="005733D1"/>
    <w:rsid w:val="00573FDA"/>
    <w:rsid w:val="005747D2"/>
    <w:rsid w:val="00575788"/>
    <w:rsid w:val="00576FE2"/>
    <w:rsid w:val="005777CC"/>
    <w:rsid w:val="00580561"/>
    <w:rsid w:val="0058067F"/>
    <w:rsid w:val="00580BBF"/>
    <w:rsid w:val="00581196"/>
    <w:rsid w:val="00581D4F"/>
    <w:rsid w:val="00582DE2"/>
    <w:rsid w:val="005832AF"/>
    <w:rsid w:val="00583566"/>
    <w:rsid w:val="005837B6"/>
    <w:rsid w:val="0058387B"/>
    <w:rsid w:val="00584884"/>
    <w:rsid w:val="00585A1C"/>
    <w:rsid w:val="00586476"/>
    <w:rsid w:val="00586624"/>
    <w:rsid w:val="00586E84"/>
    <w:rsid w:val="00587419"/>
    <w:rsid w:val="00587F48"/>
    <w:rsid w:val="00590A05"/>
    <w:rsid w:val="005910A4"/>
    <w:rsid w:val="00591C45"/>
    <w:rsid w:val="00592F94"/>
    <w:rsid w:val="005932C1"/>
    <w:rsid w:val="00593830"/>
    <w:rsid w:val="005959BD"/>
    <w:rsid w:val="00595CF5"/>
    <w:rsid w:val="00595DE6"/>
    <w:rsid w:val="00596298"/>
    <w:rsid w:val="005962C0"/>
    <w:rsid w:val="005972D0"/>
    <w:rsid w:val="00597FAE"/>
    <w:rsid w:val="005A231D"/>
    <w:rsid w:val="005A3AAA"/>
    <w:rsid w:val="005A4076"/>
    <w:rsid w:val="005A43A7"/>
    <w:rsid w:val="005A4E0D"/>
    <w:rsid w:val="005A50B1"/>
    <w:rsid w:val="005A5663"/>
    <w:rsid w:val="005A5DBF"/>
    <w:rsid w:val="005A5FDF"/>
    <w:rsid w:val="005A61D2"/>
    <w:rsid w:val="005A7861"/>
    <w:rsid w:val="005B0388"/>
    <w:rsid w:val="005B0B7B"/>
    <w:rsid w:val="005B1138"/>
    <w:rsid w:val="005B246A"/>
    <w:rsid w:val="005B302A"/>
    <w:rsid w:val="005B3421"/>
    <w:rsid w:val="005B37D5"/>
    <w:rsid w:val="005B3A54"/>
    <w:rsid w:val="005B45D7"/>
    <w:rsid w:val="005B5672"/>
    <w:rsid w:val="005B62BC"/>
    <w:rsid w:val="005B679D"/>
    <w:rsid w:val="005B7FF6"/>
    <w:rsid w:val="005C0303"/>
    <w:rsid w:val="005C0756"/>
    <w:rsid w:val="005C0DF1"/>
    <w:rsid w:val="005C12B1"/>
    <w:rsid w:val="005C1B62"/>
    <w:rsid w:val="005C28A3"/>
    <w:rsid w:val="005C43FE"/>
    <w:rsid w:val="005C4946"/>
    <w:rsid w:val="005C4AED"/>
    <w:rsid w:val="005C58A4"/>
    <w:rsid w:val="005C666F"/>
    <w:rsid w:val="005C797A"/>
    <w:rsid w:val="005C7FD0"/>
    <w:rsid w:val="005D02C2"/>
    <w:rsid w:val="005D05C5"/>
    <w:rsid w:val="005D079A"/>
    <w:rsid w:val="005D1304"/>
    <w:rsid w:val="005D1661"/>
    <w:rsid w:val="005D1AF6"/>
    <w:rsid w:val="005D2420"/>
    <w:rsid w:val="005D2949"/>
    <w:rsid w:val="005D2ABE"/>
    <w:rsid w:val="005D2BE5"/>
    <w:rsid w:val="005D32D1"/>
    <w:rsid w:val="005D3924"/>
    <w:rsid w:val="005D4834"/>
    <w:rsid w:val="005D4964"/>
    <w:rsid w:val="005D4E1E"/>
    <w:rsid w:val="005D52C1"/>
    <w:rsid w:val="005D5358"/>
    <w:rsid w:val="005D63FF"/>
    <w:rsid w:val="005D767E"/>
    <w:rsid w:val="005D7984"/>
    <w:rsid w:val="005E0140"/>
    <w:rsid w:val="005E051C"/>
    <w:rsid w:val="005E09E8"/>
    <w:rsid w:val="005E0DE4"/>
    <w:rsid w:val="005E0DF3"/>
    <w:rsid w:val="005E28FC"/>
    <w:rsid w:val="005E3D09"/>
    <w:rsid w:val="005E3EFE"/>
    <w:rsid w:val="005E42F3"/>
    <w:rsid w:val="005E71D6"/>
    <w:rsid w:val="005E75AC"/>
    <w:rsid w:val="005E7E4D"/>
    <w:rsid w:val="005F0019"/>
    <w:rsid w:val="005F0ED2"/>
    <w:rsid w:val="005F10A1"/>
    <w:rsid w:val="005F11FD"/>
    <w:rsid w:val="005F1A7A"/>
    <w:rsid w:val="005F21DF"/>
    <w:rsid w:val="005F23DC"/>
    <w:rsid w:val="005F2839"/>
    <w:rsid w:val="005F351F"/>
    <w:rsid w:val="005F364E"/>
    <w:rsid w:val="005F3E8E"/>
    <w:rsid w:val="005F45C6"/>
    <w:rsid w:val="005F4987"/>
    <w:rsid w:val="005F4B36"/>
    <w:rsid w:val="005F5094"/>
    <w:rsid w:val="005F6694"/>
    <w:rsid w:val="005F7854"/>
    <w:rsid w:val="00600449"/>
    <w:rsid w:val="00601747"/>
    <w:rsid w:val="00602276"/>
    <w:rsid w:val="00603091"/>
    <w:rsid w:val="006031E9"/>
    <w:rsid w:val="0060377B"/>
    <w:rsid w:val="00603FBD"/>
    <w:rsid w:val="00604A83"/>
    <w:rsid w:val="00604DCE"/>
    <w:rsid w:val="006054BC"/>
    <w:rsid w:val="006058CF"/>
    <w:rsid w:val="0060741A"/>
    <w:rsid w:val="00610F98"/>
    <w:rsid w:val="00611170"/>
    <w:rsid w:val="006127D7"/>
    <w:rsid w:val="00613BC5"/>
    <w:rsid w:val="00614EBB"/>
    <w:rsid w:val="00615603"/>
    <w:rsid w:val="0061578C"/>
    <w:rsid w:val="006165A0"/>
    <w:rsid w:val="006177C1"/>
    <w:rsid w:val="00621DF3"/>
    <w:rsid w:val="006221FB"/>
    <w:rsid w:val="006224D0"/>
    <w:rsid w:val="006224E4"/>
    <w:rsid w:val="00622B5F"/>
    <w:rsid w:val="00623EF7"/>
    <w:rsid w:val="006259C1"/>
    <w:rsid w:val="006259F8"/>
    <w:rsid w:val="00626053"/>
    <w:rsid w:val="006260EA"/>
    <w:rsid w:val="006261AC"/>
    <w:rsid w:val="00626C6B"/>
    <w:rsid w:val="00631B37"/>
    <w:rsid w:val="00631F04"/>
    <w:rsid w:val="006328F5"/>
    <w:rsid w:val="006331D6"/>
    <w:rsid w:val="00633371"/>
    <w:rsid w:val="00633A1F"/>
    <w:rsid w:val="006340A3"/>
    <w:rsid w:val="00634172"/>
    <w:rsid w:val="00634FD7"/>
    <w:rsid w:val="0063580D"/>
    <w:rsid w:val="00636178"/>
    <w:rsid w:val="0063679A"/>
    <w:rsid w:val="00636846"/>
    <w:rsid w:val="00636B84"/>
    <w:rsid w:val="006373CB"/>
    <w:rsid w:val="00637E61"/>
    <w:rsid w:val="006400F1"/>
    <w:rsid w:val="00640CA3"/>
    <w:rsid w:val="0064168F"/>
    <w:rsid w:val="00641B06"/>
    <w:rsid w:val="00643011"/>
    <w:rsid w:val="00643F88"/>
    <w:rsid w:val="00644F3E"/>
    <w:rsid w:val="00645853"/>
    <w:rsid w:val="00646C7E"/>
    <w:rsid w:val="00647E66"/>
    <w:rsid w:val="006505FA"/>
    <w:rsid w:val="00650F32"/>
    <w:rsid w:val="00651936"/>
    <w:rsid w:val="00651BE7"/>
    <w:rsid w:val="0065255A"/>
    <w:rsid w:val="00652CA7"/>
    <w:rsid w:val="00653D7D"/>
    <w:rsid w:val="00653E62"/>
    <w:rsid w:val="00654B3D"/>
    <w:rsid w:val="00654F00"/>
    <w:rsid w:val="0065559B"/>
    <w:rsid w:val="0065704B"/>
    <w:rsid w:val="006605AA"/>
    <w:rsid w:val="006606A4"/>
    <w:rsid w:val="00660735"/>
    <w:rsid w:val="00660894"/>
    <w:rsid w:val="006610DD"/>
    <w:rsid w:val="00661687"/>
    <w:rsid w:val="00662CC0"/>
    <w:rsid w:val="00663368"/>
    <w:rsid w:val="006654E2"/>
    <w:rsid w:val="006657F7"/>
    <w:rsid w:val="006667C8"/>
    <w:rsid w:val="00667A20"/>
    <w:rsid w:val="00670AF4"/>
    <w:rsid w:val="00671442"/>
    <w:rsid w:val="00671C27"/>
    <w:rsid w:val="00672998"/>
    <w:rsid w:val="00672EF3"/>
    <w:rsid w:val="00672F84"/>
    <w:rsid w:val="006734CB"/>
    <w:rsid w:val="006735E4"/>
    <w:rsid w:val="00673EB1"/>
    <w:rsid w:val="00673F9B"/>
    <w:rsid w:val="006741DE"/>
    <w:rsid w:val="006759B2"/>
    <w:rsid w:val="00675D17"/>
    <w:rsid w:val="00676B14"/>
    <w:rsid w:val="0067752D"/>
    <w:rsid w:val="00677779"/>
    <w:rsid w:val="0068126E"/>
    <w:rsid w:val="00682C0B"/>
    <w:rsid w:val="00682C3B"/>
    <w:rsid w:val="00683027"/>
    <w:rsid w:val="00684003"/>
    <w:rsid w:val="00684623"/>
    <w:rsid w:val="00685382"/>
    <w:rsid w:val="0068584D"/>
    <w:rsid w:val="00685D5B"/>
    <w:rsid w:val="00685E48"/>
    <w:rsid w:val="00685E62"/>
    <w:rsid w:val="00685EFC"/>
    <w:rsid w:val="00686B09"/>
    <w:rsid w:val="00686F17"/>
    <w:rsid w:val="0069047F"/>
    <w:rsid w:val="00691484"/>
    <w:rsid w:val="0069195A"/>
    <w:rsid w:val="00692124"/>
    <w:rsid w:val="0069253A"/>
    <w:rsid w:val="00692F8E"/>
    <w:rsid w:val="0069334A"/>
    <w:rsid w:val="00695A8B"/>
    <w:rsid w:val="00695D30"/>
    <w:rsid w:val="0069718E"/>
    <w:rsid w:val="00697467"/>
    <w:rsid w:val="00697551"/>
    <w:rsid w:val="00697CFB"/>
    <w:rsid w:val="006A10B0"/>
    <w:rsid w:val="006A1A4C"/>
    <w:rsid w:val="006A2059"/>
    <w:rsid w:val="006A2238"/>
    <w:rsid w:val="006A23EF"/>
    <w:rsid w:val="006A3447"/>
    <w:rsid w:val="006A3F7F"/>
    <w:rsid w:val="006A406B"/>
    <w:rsid w:val="006A4E51"/>
    <w:rsid w:val="006A5F03"/>
    <w:rsid w:val="006A65AB"/>
    <w:rsid w:val="006A65AD"/>
    <w:rsid w:val="006A7F9F"/>
    <w:rsid w:val="006B08B6"/>
    <w:rsid w:val="006B10A1"/>
    <w:rsid w:val="006B1AAD"/>
    <w:rsid w:val="006B2AAA"/>
    <w:rsid w:val="006B2BCE"/>
    <w:rsid w:val="006B4375"/>
    <w:rsid w:val="006B4A20"/>
    <w:rsid w:val="006B53D6"/>
    <w:rsid w:val="006B6C56"/>
    <w:rsid w:val="006C096C"/>
    <w:rsid w:val="006C13CE"/>
    <w:rsid w:val="006C1761"/>
    <w:rsid w:val="006C1E26"/>
    <w:rsid w:val="006C2274"/>
    <w:rsid w:val="006C3ACB"/>
    <w:rsid w:val="006C5EB3"/>
    <w:rsid w:val="006C6F1F"/>
    <w:rsid w:val="006C70FE"/>
    <w:rsid w:val="006C7637"/>
    <w:rsid w:val="006C79EB"/>
    <w:rsid w:val="006C7C0E"/>
    <w:rsid w:val="006D06E2"/>
    <w:rsid w:val="006D11A6"/>
    <w:rsid w:val="006D12D7"/>
    <w:rsid w:val="006D17F8"/>
    <w:rsid w:val="006D1F31"/>
    <w:rsid w:val="006D265A"/>
    <w:rsid w:val="006D4E02"/>
    <w:rsid w:val="006D623E"/>
    <w:rsid w:val="006D6887"/>
    <w:rsid w:val="006D7227"/>
    <w:rsid w:val="006D7FC3"/>
    <w:rsid w:val="006E1415"/>
    <w:rsid w:val="006E1625"/>
    <w:rsid w:val="006E1E17"/>
    <w:rsid w:val="006E25E9"/>
    <w:rsid w:val="006E265B"/>
    <w:rsid w:val="006E2E0D"/>
    <w:rsid w:val="006E351D"/>
    <w:rsid w:val="006E479D"/>
    <w:rsid w:val="006E5291"/>
    <w:rsid w:val="006E7F0B"/>
    <w:rsid w:val="006F0B42"/>
    <w:rsid w:val="006F1EA2"/>
    <w:rsid w:val="006F2272"/>
    <w:rsid w:val="006F2EFC"/>
    <w:rsid w:val="006F2F5C"/>
    <w:rsid w:val="006F5F03"/>
    <w:rsid w:val="006F619C"/>
    <w:rsid w:val="006F635F"/>
    <w:rsid w:val="006F7A07"/>
    <w:rsid w:val="00700119"/>
    <w:rsid w:val="007011CA"/>
    <w:rsid w:val="0070177A"/>
    <w:rsid w:val="00701C37"/>
    <w:rsid w:val="00702A2D"/>
    <w:rsid w:val="007032BC"/>
    <w:rsid w:val="0070402C"/>
    <w:rsid w:val="007055AA"/>
    <w:rsid w:val="00705D68"/>
    <w:rsid w:val="00705D88"/>
    <w:rsid w:val="00706F60"/>
    <w:rsid w:val="00707A91"/>
    <w:rsid w:val="007106AC"/>
    <w:rsid w:val="00710A61"/>
    <w:rsid w:val="00710BB2"/>
    <w:rsid w:val="007110B9"/>
    <w:rsid w:val="007114EC"/>
    <w:rsid w:val="007118E7"/>
    <w:rsid w:val="007127EE"/>
    <w:rsid w:val="007151A8"/>
    <w:rsid w:val="00715484"/>
    <w:rsid w:val="00715AFD"/>
    <w:rsid w:val="00715D89"/>
    <w:rsid w:val="007169D0"/>
    <w:rsid w:val="00716DD7"/>
    <w:rsid w:val="00717484"/>
    <w:rsid w:val="007177D3"/>
    <w:rsid w:val="00720114"/>
    <w:rsid w:val="00720245"/>
    <w:rsid w:val="007204C2"/>
    <w:rsid w:val="007225C5"/>
    <w:rsid w:val="00722A28"/>
    <w:rsid w:val="00722DAA"/>
    <w:rsid w:val="007230FC"/>
    <w:rsid w:val="007234A5"/>
    <w:rsid w:val="0072385B"/>
    <w:rsid w:val="007241B2"/>
    <w:rsid w:val="00724A0B"/>
    <w:rsid w:val="00724CF0"/>
    <w:rsid w:val="007252D8"/>
    <w:rsid w:val="0072692F"/>
    <w:rsid w:val="00726935"/>
    <w:rsid w:val="00726A2A"/>
    <w:rsid w:val="00726A2D"/>
    <w:rsid w:val="007278EB"/>
    <w:rsid w:val="00732289"/>
    <w:rsid w:val="00733606"/>
    <w:rsid w:val="00734CBE"/>
    <w:rsid w:val="00735460"/>
    <w:rsid w:val="007355F5"/>
    <w:rsid w:val="007358B6"/>
    <w:rsid w:val="00735FCD"/>
    <w:rsid w:val="007360DA"/>
    <w:rsid w:val="00736B26"/>
    <w:rsid w:val="00737B2A"/>
    <w:rsid w:val="00737BC9"/>
    <w:rsid w:val="007400D0"/>
    <w:rsid w:val="007400D3"/>
    <w:rsid w:val="007403BC"/>
    <w:rsid w:val="00741C84"/>
    <w:rsid w:val="00741F84"/>
    <w:rsid w:val="007427AF"/>
    <w:rsid w:val="00742B6C"/>
    <w:rsid w:val="00743472"/>
    <w:rsid w:val="0074365C"/>
    <w:rsid w:val="00743E10"/>
    <w:rsid w:val="00745FE8"/>
    <w:rsid w:val="00746D0C"/>
    <w:rsid w:val="007476BF"/>
    <w:rsid w:val="00747EE9"/>
    <w:rsid w:val="0075114A"/>
    <w:rsid w:val="00751830"/>
    <w:rsid w:val="0075194F"/>
    <w:rsid w:val="00753F67"/>
    <w:rsid w:val="00755B69"/>
    <w:rsid w:val="00756665"/>
    <w:rsid w:val="00760986"/>
    <w:rsid w:val="00760B74"/>
    <w:rsid w:val="00761902"/>
    <w:rsid w:val="0076216B"/>
    <w:rsid w:val="007629E6"/>
    <w:rsid w:val="00762A24"/>
    <w:rsid w:val="007635E2"/>
    <w:rsid w:val="00763C18"/>
    <w:rsid w:val="00764775"/>
    <w:rsid w:val="007648D4"/>
    <w:rsid w:val="007654AD"/>
    <w:rsid w:val="007669AB"/>
    <w:rsid w:val="0076780C"/>
    <w:rsid w:val="00767A39"/>
    <w:rsid w:val="00767C55"/>
    <w:rsid w:val="00770B7C"/>
    <w:rsid w:val="0077155A"/>
    <w:rsid w:val="00771BCD"/>
    <w:rsid w:val="0077245A"/>
    <w:rsid w:val="00772F83"/>
    <w:rsid w:val="00773328"/>
    <w:rsid w:val="00773A04"/>
    <w:rsid w:val="00773A5D"/>
    <w:rsid w:val="00773DB9"/>
    <w:rsid w:val="00774631"/>
    <w:rsid w:val="00775D68"/>
    <w:rsid w:val="00775E50"/>
    <w:rsid w:val="00775F7E"/>
    <w:rsid w:val="007764C1"/>
    <w:rsid w:val="007772DD"/>
    <w:rsid w:val="00780E0F"/>
    <w:rsid w:val="00780F7E"/>
    <w:rsid w:val="0078119E"/>
    <w:rsid w:val="0078370D"/>
    <w:rsid w:val="0078441A"/>
    <w:rsid w:val="00784C17"/>
    <w:rsid w:val="00785460"/>
    <w:rsid w:val="007859A7"/>
    <w:rsid w:val="007866CB"/>
    <w:rsid w:val="007866DB"/>
    <w:rsid w:val="007869E1"/>
    <w:rsid w:val="007875E4"/>
    <w:rsid w:val="007879E9"/>
    <w:rsid w:val="00790263"/>
    <w:rsid w:val="007908AB"/>
    <w:rsid w:val="00790C87"/>
    <w:rsid w:val="00791332"/>
    <w:rsid w:val="007922BD"/>
    <w:rsid w:val="00792579"/>
    <w:rsid w:val="007926BE"/>
    <w:rsid w:val="00792D47"/>
    <w:rsid w:val="00793321"/>
    <w:rsid w:val="007941E2"/>
    <w:rsid w:val="007942DE"/>
    <w:rsid w:val="00794D6B"/>
    <w:rsid w:val="00796346"/>
    <w:rsid w:val="00797927"/>
    <w:rsid w:val="00797E82"/>
    <w:rsid w:val="007A0BFD"/>
    <w:rsid w:val="007A0D83"/>
    <w:rsid w:val="007A0E7D"/>
    <w:rsid w:val="007A2BC4"/>
    <w:rsid w:val="007A3F34"/>
    <w:rsid w:val="007A54A0"/>
    <w:rsid w:val="007A54CF"/>
    <w:rsid w:val="007A5B36"/>
    <w:rsid w:val="007A6AAF"/>
    <w:rsid w:val="007A6F56"/>
    <w:rsid w:val="007A7634"/>
    <w:rsid w:val="007A7F00"/>
    <w:rsid w:val="007B01A6"/>
    <w:rsid w:val="007B0A4E"/>
    <w:rsid w:val="007B0D25"/>
    <w:rsid w:val="007B1429"/>
    <w:rsid w:val="007B16B8"/>
    <w:rsid w:val="007B16C0"/>
    <w:rsid w:val="007B196E"/>
    <w:rsid w:val="007B2015"/>
    <w:rsid w:val="007B2B21"/>
    <w:rsid w:val="007B4059"/>
    <w:rsid w:val="007B48A0"/>
    <w:rsid w:val="007B5404"/>
    <w:rsid w:val="007B7A5E"/>
    <w:rsid w:val="007B7A7B"/>
    <w:rsid w:val="007C0722"/>
    <w:rsid w:val="007C0B6D"/>
    <w:rsid w:val="007C1B8D"/>
    <w:rsid w:val="007C1BF1"/>
    <w:rsid w:val="007C2147"/>
    <w:rsid w:val="007C22BF"/>
    <w:rsid w:val="007C23E0"/>
    <w:rsid w:val="007C2B7A"/>
    <w:rsid w:val="007C2F43"/>
    <w:rsid w:val="007C30C1"/>
    <w:rsid w:val="007C35D2"/>
    <w:rsid w:val="007C423F"/>
    <w:rsid w:val="007C4470"/>
    <w:rsid w:val="007C589B"/>
    <w:rsid w:val="007C5BA3"/>
    <w:rsid w:val="007C68BC"/>
    <w:rsid w:val="007C767C"/>
    <w:rsid w:val="007C7707"/>
    <w:rsid w:val="007C7896"/>
    <w:rsid w:val="007C79FC"/>
    <w:rsid w:val="007C7AB9"/>
    <w:rsid w:val="007C7D6A"/>
    <w:rsid w:val="007D0886"/>
    <w:rsid w:val="007D18B1"/>
    <w:rsid w:val="007D1CE9"/>
    <w:rsid w:val="007D3412"/>
    <w:rsid w:val="007D361F"/>
    <w:rsid w:val="007D3620"/>
    <w:rsid w:val="007D3846"/>
    <w:rsid w:val="007D3C15"/>
    <w:rsid w:val="007D3D30"/>
    <w:rsid w:val="007D46D5"/>
    <w:rsid w:val="007D4B10"/>
    <w:rsid w:val="007D4ED8"/>
    <w:rsid w:val="007D4F6F"/>
    <w:rsid w:val="007D5645"/>
    <w:rsid w:val="007D5B8F"/>
    <w:rsid w:val="007D5EDF"/>
    <w:rsid w:val="007D6709"/>
    <w:rsid w:val="007D6EF5"/>
    <w:rsid w:val="007D76F7"/>
    <w:rsid w:val="007D7B33"/>
    <w:rsid w:val="007D7F43"/>
    <w:rsid w:val="007E03C0"/>
    <w:rsid w:val="007E0FA9"/>
    <w:rsid w:val="007E18D2"/>
    <w:rsid w:val="007E219A"/>
    <w:rsid w:val="007E25C2"/>
    <w:rsid w:val="007E2802"/>
    <w:rsid w:val="007E2862"/>
    <w:rsid w:val="007E2DD6"/>
    <w:rsid w:val="007E6015"/>
    <w:rsid w:val="007E659B"/>
    <w:rsid w:val="007E683B"/>
    <w:rsid w:val="007E70B6"/>
    <w:rsid w:val="007E76B8"/>
    <w:rsid w:val="007E7C37"/>
    <w:rsid w:val="007F229E"/>
    <w:rsid w:val="007F2579"/>
    <w:rsid w:val="007F2693"/>
    <w:rsid w:val="007F3660"/>
    <w:rsid w:val="007F383D"/>
    <w:rsid w:val="007F4015"/>
    <w:rsid w:val="007F58C8"/>
    <w:rsid w:val="007F663F"/>
    <w:rsid w:val="007F687D"/>
    <w:rsid w:val="0080126B"/>
    <w:rsid w:val="008017AA"/>
    <w:rsid w:val="00801B78"/>
    <w:rsid w:val="00801FC6"/>
    <w:rsid w:val="0080221E"/>
    <w:rsid w:val="00802428"/>
    <w:rsid w:val="008026E9"/>
    <w:rsid w:val="00803371"/>
    <w:rsid w:val="00804956"/>
    <w:rsid w:val="00804F38"/>
    <w:rsid w:val="00805170"/>
    <w:rsid w:val="0080594B"/>
    <w:rsid w:val="00806D94"/>
    <w:rsid w:val="00807240"/>
    <w:rsid w:val="0080765B"/>
    <w:rsid w:val="00807920"/>
    <w:rsid w:val="008106B1"/>
    <w:rsid w:val="00810750"/>
    <w:rsid w:val="00810B53"/>
    <w:rsid w:val="0081163A"/>
    <w:rsid w:val="00811E6B"/>
    <w:rsid w:val="0081237A"/>
    <w:rsid w:val="0081291C"/>
    <w:rsid w:val="00812D6F"/>
    <w:rsid w:val="008165E3"/>
    <w:rsid w:val="008169FE"/>
    <w:rsid w:val="00817331"/>
    <w:rsid w:val="0081794A"/>
    <w:rsid w:val="008204BC"/>
    <w:rsid w:val="0082053A"/>
    <w:rsid w:val="00820D64"/>
    <w:rsid w:val="0082333C"/>
    <w:rsid w:val="00824462"/>
    <w:rsid w:val="0082521C"/>
    <w:rsid w:val="0082602E"/>
    <w:rsid w:val="008261EC"/>
    <w:rsid w:val="0082706D"/>
    <w:rsid w:val="00831184"/>
    <w:rsid w:val="008318EE"/>
    <w:rsid w:val="00833985"/>
    <w:rsid w:val="0083476F"/>
    <w:rsid w:val="0083519C"/>
    <w:rsid w:val="00836797"/>
    <w:rsid w:val="008369C5"/>
    <w:rsid w:val="00836F61"/>
    <w:rsid w:val="00840C90"/>
    <w:rsid w:val="00841B56"/>
    <w:rsid w:val="00842DC7"/>
    <w:rsid w:val="00844467"/>
    <w:rsid w:val="00844B57"/>
    <w:rsid w:val="00845241"/>
    <w:rsid w:val="008452F1"/>
    <w:rsid w:val="00845B7C"/>
    <w:rsid w:val="008465D5"/>
    <w:rsid w:val="008471A1"/>
    <w:rsid w:val="008474EF"/>
    <w:rsid w:val="008479C4"/>
    <w:rsid w:val="00847F5F"/>
    <w:rsid w:val="0085072C"/>
    <w:rsid w:val="008510EF"/>
    <w:rsid w:val="008517C8"/>
    <w:rsid w:val="008517E8"/>
    <w:rsid w:val="00851ED8"/>
    <w:rsid w:val="00853637"/>
    <w:rsid w:val="00854A7B"/>
    <w:rsid w:val="00854B89"/>
    <w:rsid w:val="00855FD4"/>
    <w:rsid w:val="00856DD0"/>
    <w:rsid w:val="00857466"/>
    <w:rsid w:val="00857745"/>
    <w:rsid w:val="008602A9"/>
    <w:rsid w:val="00860954"/>
    <w:rsid w:val="00860D4A"/>
    <w:rsid w:val="008628A5"/>
    <w:rsid w:val="00862AA8"/>
    <w:rsid w:val="00863BE3"/>
    <w:rsid w:val="00864156"/>
    <w:rsid w:val="00865A2D"/>
    <w:rsid w:val="00865EB3"/>
    <w:rsid w:val="00865F82"/>
    <w:rsid w:val="008667B6"/>
    <w:rsid w:val="008668D0"/>
    <w:rsid w:val="00866A7E"/>
    <w:rsid w:val="00866E26"/>
    <w:rsid w:val="008701C7"/>
    <w:rsid w:val="0087060A"/>
    <w:rsid w:val="008706DF"/>
    <w:rsid w:val="00870766"/>
    <w:rsid w:val="00870AFA"/>
    <w:rsid w:val="008721B7"/>
    <w:rsid w:val="00872F7B"/>
    <w:rsid w:val="00873634"/>
    <w:rsid w:val="00873715"/>
    <w:rsid w:val="00873A62"/>
    <w:rsid w:val="008740DB"/>
    <w:rsid w:val="00874838"/>
    <w:rsid w:val="00874880"/>
    <w:rsid w:val="00874C43"/>
    <w:rsid w:val="00877314"/>
    <w:rsid w:val="008774CA"/>
    <w:rsid w:val="008778A0"/>
    <w:rsid w:val="00880CE0"/>
    <w:rsid w:val="00881206"/>
    <w:rsid w:val="008812BD"/>
    <w:rsid w:val="00881A75"/>
    <w:rsid w:val="00881EB6"/>
    <w:rsid w:val="00882F47"/>
    <w:rsid w:val="00883084"/>
    <w:rsid w:val="00884E38"/>
    <w:rsid w:val="008858F6"/>
    <w:rsid w:val="00887EFD"/>
    <w:rsid w:val="0089205D"/>
    <w:rsid w:val="00892174"/>
    <w:rsid w:val="008922AD"/>
    <w:rsid w:val="008926C5"/>
    <w:rsid w:val="00892A7D"/>
    <w:rsid w:val="008937B6"/>
    <w:rsid w:val="008943FF"/>
    <w:rsid w:val="00894552"/>
    <w:rsid w:val="00894A4F"/>
    <w:rsid w:val="00894FE2"/>
    <w:rsid w:val="00895235"/>
    <w:rsid w:val="00895ADA"/>
    <w:rsid w:val="00896873"/>
    <w:rsid w:val="008A0E86"/>
    <w:rsid w:val="008A1EEE"/>
    <w:rsid w:val="008A31F4"/>
    <w:rsid w:val="008A3540"/>
    <w:rsid w:val="008A4679"/>
    <w:rsid w:val="008A50C1"/>
    <w:rsid w:val="008A6228"/>
    <w:rsid w:val="008A6439"/>
    <w:rsid w:val="008A6658"/>
    <w:rsid w:val="008A74C6"/>
    <w:rsid w:val="008A7D51"/>
    <w:rsid w:val="008B0C25"/>
    <w:rsid w:val="008B20EA"/>
    <w:rsid w:val="008B325A"/>
    <w:rsid w:val="008B3300"/>
    <w:rsid w:val="008B358B"/>
    <w:rsid w:val="008B3BE1"/>
    <w:rsid w:val="008B3DFC"/>
    <w:rsid w:val="008B4BAF"/>
    <w:rsid w:val="008B4C7B"/>
    <w:rsid w:val="008B4FE0"/>
    <w:rsid w:val="008B5AA6"/>
    <w:rsid w:val="008B608D"/>
    <w:rsid w:val="008B7072"/>
    <w:rsid w:val="008C006A"/>
    <w:rsid w:val="008C03EA"/>
    <w:rsid w:val="008C0B59"/>
    <w:rsid w:val="008C1749"/>
    <w:rsid w:val="008C4248"/>
    <w:rsid w:val="008C5174"/>
    <w:rsid w:val="008C5D9F"/>
    <w:rsid w:val="008C6256"/>
    <w:rsid w:val="008C68A0"/>
    <w:rsid w:val="008C7B67"/>
    <w:rsid w:val="008D07D1"/>
    <w:rsid w:val="008D0C1F"/>
    <w:rsid w:val="008D1714"/>
    <w:rsid w:val="008D229A"/>
    <w:rsid w:val="008D3054"/>
    <w:rsid w:val="008D3AAF"/>
    <w:rsid w:val="008D3F11"/>
    <w:rsid w:val="008D5307"/>
    <w:rsid w:val="008D62A2"/>
    <w:rsid w:val="008D675A"/>
    <w:rsid w:val="008D6B87"/>
    <w:rsid w:val="008E0971"/>
    <w:rsid w:val="008E0F5A"/>
    <w:rsid w:val="008E11C4"/>
    <w:rsid w:val="008E15D1"/>
    <w:rsid w:val="008E2938"/>
    <w:rsid w:val="008E2D3E"/>
    <w:rsid w:val="008E340F"/>
    <w:rsid w:val="008E3E53"/>
    <w:rsid w:val="008E498C"/>
    <w:rsid w:val="008E4EDF"/>
    <w:rsid w:val="008E583F"/>
    <w:rsid w:val="008E6E3A"/>
    <w:rsid w:val="008E73C5"/>
    <w:rsid w:val="008E772C"/>
    <w:rsid w:val="008E7EEB"/>
    <w:rsid w:val="008E7F3D"/>
    <w:rsid w:val="008F007F"/>
    <w:rsid w:val="008F0325"/>
    <w:rsid w:val="008F1F6F"/>
    <w:rsid w:val="008F26C8"/>
    <w:rsid w:val="008F36BA"/>
    <w:rsid w:val="008F4499"/>
    <w:rsid w:val="008F484D"/>
    <w:rsid w:val="008F4964"/>
    <w:rsid w:val="008F4A17"/>
    <w:rsid w:val="008F4B97"/>
    <w:rsid w:val="008F59E8"/>
    <w:rsid w:val="008F5E93"/>
    <w:rsid w:val="008F72A1"/>
    <w:rsid w:val="008F7D51"/>
    <w:rsid w:val="00900041"/>
    <w:rsid w:val="009007B7"/>
    <w:rsid w:val="00900CDB"/>
    <w:rsid w:val="0090125C"/>
    <w:rsid w:val="00901EA4"/>
    <w:rsid w:val="009026F4"/>
    <w:rsid w:val="00902715"/>
    <w:rsid w:val="00903098"/>
    <w:rsid w:val="009044CC"/>
    <w:rsid w:val="009044E3"/>
    <w:rsid w:val="00906A91"/>
    <w:rsid w:val="00906B04"/>
    <w:rsid w:val="00906D60"/>
    <w:rsid w:val="00907B37"/>
    <w:rsid w:val="0091014F"/>
    <w:rsid w:val="00910312"/>
    <w:rsid w:val="00911976"/>
    <w:rsid w:val="00911DEB"/>
    <w:rsid w:val="0091206A"/>
    <w:rsid w:val="009122C2"/>
    <w:rsid w:val="009128C1"/>
    <w:rsid w:val="009133EC"/>
    <w:rsid w:val="0091364F"/>
    <w:rsid w:val="00913B92"/>
    <w:rsid w:val="0091458F"/>
    <w:rsid w:val="0091478A"/>
    <w:rsid w:val="00914BEC"/>
    <w:rsid w:val="009152CA"/>
    <w:rsid w:val="00915616"/>
    <w:rsid w:val="009163E9"/>
    <w:rsid w:val="0091685F"/>
    <w:rsid w:val="0091794B"/>
    <w:rsid w:val="0092107C"/>
    <w:rsid w:val="009216CE"/>
    <w:rsid w:val="00922B08"/>
    <w:rsid w:val="009230B4"/>
    <w:rsid w:val="009232C9"/>
    <w:rsid w:val="0092426A"/>
    <w:rsid w:val="00924919"/>
    <w:rsid w:val="0092512B"/>
    <w:rsid w:val="009258E2"/>
    <w:rsid w:val="00925C5C"/>
    <w:rsid w:val="00925E3C"/>
    <w:rsid w:val="00926278"/>
    <w:rsid w:val="00927556"/>
    <w:rsid w:val="00927E2A"/>
    <w:rsid w:val="009300E7"/>
    <w:rsid w:val="009309C1"/>
    <w:rsid w:val="00931F68"/>
    <w:rsid w:val="0093223B"/>
    <w:rsid w:val="009324A7"/>
    <w:rsid w:val="0093292E"/>
    <w:rsid w:val="00933F2A"/>
    <w:rsid w:val="0093424D"/>
    <w:rsid w:val="00934A3C"/>
    <w:rsid w:val="00934FAD"/>
    <w:rsid w:val="0093534E"/>
    <w:rsid w:val="00936B4F"/>
    <w:rsid w:val="00936F8B"/>
    <w:rsid w:val="0093723B"/>
    <w:rsid w:val="00937ACF"/>
    <w:rsid w:val="009412E0"/>
    <w:rsid w:val="00942821"/>
    <w:rsid w:val="00942CFB"/>
    <w:rsid w:val="00943851"/>
    <w:rsid w:val="00945BE4"/>
    <w:rsid w:val="00946319"/>
    <w:rsid w:val="00946615"/>
    <w:rsid w:val="00946677"/>
    <w:rsid w:val="00946B20"/>
    <w:rsid w:val="00946E13"/>
    <w:rsid w:val="009503F6"/>
    <w:rsid w:val="00951246"/>
    <w:rsid w:val="0095173F"/>
    <w:rsid w:val="009519E0"/>
    <w:rsid w:val="00951D50"/>
    <w:rsid w:val="00951D86"/>
    <w:rsid w:val="00954809"/>
    <w:rsid w:val="00954F9F"/>
    <w:rsid w:val="0095566B"/>
    <w:rsid w:val="00955724"/>
    <w:rsid w:val="00960F02"/>
    <w:rsid w:val="00960F08"/>
    <w:rsid w:val="009612BC"/>
    <w:rsid w:val="0096373E"/>
    <w:rsid w:val="00963909"/>
    <w:rsid w:val="00963B54"/>
    <w:rsid w:val="00963DDF"/>
    <w:rsid w:val="00965880"/>
    <w:rsid w:val="00966092"/>
    <w:rsid w:val="009676A4"/>
    <w:rsid w:val="00970318"/>
    <w:rsid w:val="009705A6"/>
    <w:rsid w:val="00970C7F"/>
    <w:rsid w:val="00971606"/>
    <w:rsid w:val="009721F9"/>
    <w:rsid w:val="009727FC"/>
    <w:rsid w:val="00972839"/>
    <w:rsid w:val="009745F3"/>
    <w:rsid w:val="0097476A"/>
    <w:rsid w:val="00976EB8"/>
    <w:rsid w:val="0097703B"/>
    <w:rsid w:val="00977C90"/>
    <w:rsid w:val="009818CA"/>
    <w:rsid w:val="00982329"/>
    <w:rsid w:val="00982DDD"/>
    <w:rsid w:val="0098306C"/>
    <w:rsid w:val="00984914"/>
    <w:rsid w:val="00984C9D"/>
    <w:rsid w:val="00985853"/>
    <w:rsid w:val="00985D21"/>
    <w:rsid w:val="00986069"/>
    <w:rsid w:val="009868A6"/>
    <w:rsid w:val="00987C45"/>
    <w:rsid w:val="00987F88"/>
    <w:rsid w:val="009912F1"/>
    <w:rsid w:val="00991401"/>
    <w:rsid w:val="009918F3"/>
    <w:rsid w:val="009926D3"/>
    <w:rsid w:val="00992BA3"/>
    <w:rsid w:val="0099315E"/>
    <w:rsid w:val="00993169"/>
    <w:rsid w:val="00993F4F"/>
    <w:rsid w:val="009941E3"/>
    <w:rsid w:val="0099479E"/>
    <w:rsid w:val="00994977"/>
    <w:rsid w:val="0099610D"/>
    <w:rsid w:val="009965DD"/>
    <w:rsid w:val="009974E8"/>
    <w:rsid w:val="009A062A"/>
    <w:rsid w:val="009A067C"/>
    <w:rsid w:val="009A0D4B"/>
    <w:rsid w:val="009A1431"/>
    <w:rsid w:val="009A2170"/>
    <w:rsid w:val="009A2C07"/>
    <w:rsid w:val="009A2CDC"/>
    <w:rsid w:val="009A40D4"/>
    <w:rsid w:val="009A52D7"/>
    <w:rsid w:val="009A5F1A"/>
    <w:rsid w:val="009A6462"/>
    <w:rsid w:val="009A6818"/>
    <w:rsid w:val="009B1659"/>
    <w:rsid w:val="009B22D9"/>
    <w:rsid w:val="009B396C"/>
    <w:rsid w:val="009B3AB7"/>
    <w:rsid w:val="009B5D89"/>
    <w:rsid w:val="009B663F"/>
    <w:rsid w:val="009B6D02"/>
    <w:rsid w:val="009B7ACB"/>
    <w:rsid w:val="009C0398"/>
    <w:rsid w:val="009C105E"/>
    <w:rsid w:val="009C11E8"/>
    <w:rsid w:val="009C158F"/>
    <w:rsid w:val="009C3004"/>
    <w:rsid w:val="009C32F7"/>
    <w:rsid w:val="009C42C2"/>
    <w:rsid w:val="009C4DE9"/>
    <w:rsid w:val="009C6E4F"/>
    <w:rsid w:val="009C736C"/>
    <w:rsid w:val="009C7B9F"/>
    <w:rsid w:val="009D022A"/>
    <w:rsid w:val="009D0484"/>
    <w:rsid w:val="009D07F9"/>
    <w:rsid w:val="009D1EE0"/>
    <w:rsid w:val="009D26C3"/>
    <w:rsid w:val="009D2754"/>
    <w:rsid w:val="009D37C4"/>
    <w:rsid w:val="009D3A28"/>
    <w:rsid w:val="009D3DFD"/>
    <w:rsid w:val="009D46AD"/>
    <w:rsid w:val="009D4F87"/>
    <w:rsid w:val="009D68AE"/>
    <w:rsid w:val="009D7586"/>
    <w:rsid w:val="009D7B25"/>
    <w:rsid w:val="009E0443"/>
    <w:rsid w:val="009E2056"/>
    <w:rsid w:val="009E2B38"/>
    <w:rsid w:val="009E3558"/>
    <w:rsid w:val="009E386D"/>
    <w:rsid w:val="009E40C1"/>
    <w:rsid w:val="009E432F"/>
    <w:rsid w:val="009E460B"/>
    <w:rsid w:val="009E47C0"/>
    <w:rsid w:val="009E490E"/>
    <w:rsid w:val="009E4C03"/>
    <w:rsid w:val="009E51A4"/>
    <w:rsid w:val="009E5410"/>
    <w:rsid w:val="009E54D1"/>
    <w:rsid w:val="009E54EC"/>
    <w:rsid w:val="009E5C37"/>
    <w:rsid w:val="009E5FB4"/>
    <w:rsid w:val="009E763B"/>
    <w:rsid w:val="009E7C22"/>
    <w:rsid w:val="009F00D7"/>
    <w:rsid w:val="009F01A5"/>
    <w:rsid w:val="009F072D"/>
    <w:rsid w:val="009F1E2E"/>
    <w:rsid w:val="009F333C"/>
    <w:rsid w:val="009F34E7"/>
    <w:rsid w:val="009F3CC7"/>
    <w:rsid w:val="009F3EB0"/>
    <w:rsid w:val="009F44B4"/>
    <w:rsid w:val="009F4846"/>
    <w:rsid w:val="009F5AAA"/>
    <w:rsid w:val="009F5C54"/>
    <w:rsid w:val="009F6E74"/>
    <w:rsid w:val="009F78C3"/>
    <w:rsid w:val="009F79B3"/>
    <w:rsid w:val="00A00CC3"/>
    <w:rsid w:val="00A01CB8"/>
    <w:rsid w:val="00A0200E"/>
    <w:rsid w:val="00A0290B"/>
    <w:rsid w:val="00A02F2B"/>
    <w:rsid w:val="00A02F5A"/>
    <w:rsid w:val="00A044C6"/>
    <w:rsid w:val="00A04923"/>
    <w:rsid w:val="00A050BF"/>
    <w:rsid w:val="00A0549D"/>
    <w:rsid w:val="00A0765C"/>
    <w:rsid w:val="00A07800"/>
    <w:rsid w:val="00A10019"/>
    <w:rsid w:val="00A1098E"/>
    <w:rsid w:val="00A10FF0"/>
    <w:rsid w:val="00A116F4"/>
    <w:rsid w:val="00A119C1"/>
    <w:rsid w:val="00A124DE"/>
    <w:rsid w:val="00A12EAC"/>
    <w:rsid w:val="00A134B6"/>
    <w:rsid w:val="00A136C1"/>
    <w:rsid w:val="00A1379F"/>
    <w:rsid w:val="00A155F3"/>
    <w:rsid w:val="00A16814"/>
    <w:rsid w:val="00A176FA"/>
    <w:rsid w:val="00A206E0"/>
    <w:rsid w:val="00A2071E"/>
    <w:rsid w:val="00A20B54"/>
    <w:rsid w:val="00A20EA4"/>
    <w:rsid w:val="00A2197D"/>
    <w:rsid w:val="00A24412"/>
    <w:rsid w:val="00A254AB"/>
    <w:rsid w:val="00A2657D"/>
    <w:rsid w:val="00A26BAF"/>
    <w:rsid w:val="00A270FD"/>
    <w:rsid w:val="00A27E38"/>
    <w:rsid w:val="00A30770"/>
    <w:rsid w:val="00A30F2B"/>
    <w:rsid w:val="00A310A6"/>
    <w:rsid w:val="00A3141F"/>
    <w:rsid w:val="00A35939"/>
    <w:rsid w:val="00A36935"/>
    <w:rsid w:val="00A36A90"/>
    <w:rsid w:val="00A4078E"/>
    <w:rsid w:val="00A40CB6"/>
    <w:rsid w:val="00A40DAA"/>
    <w:rsid w:val="00A418BE"/>
    <w:rsid w:val="00A424D8"/>
    <w:rsid w:val="00A44750"/>
    <w:rsid w:val="00A463AA"/>
    <w:rsid w:val="00A470BF"/>
    <w:rsid w:val="00A47BBB"/>
    <w:rsid w:val="00A512C8"/>
    <w:rsid w:val="00A51425"/>
    <w:rsid w:val="00A51443"/>
    <w:rsid w:val="00A51DCF"/>
    <w:rsid w:val="00A527AB"/>
    <w:rsid w:val="00A52F87"/>
    <w:rsid w:val="00A54297"/>
    <w:rsid w:val="00A55494"/>
    <w:rsid w:val="00A5601F"/>
    <w:rsid w:val="00A5626C"/>
    <w:rsid w:val="00A573C3"/>
    <w:rsid w:val="00A5757E"/>
    <w:rsid w:val="00A57783"/>
    <w:rsid w:val="00A57B1D"/>
    <w:rsid w:val="00A61803"/>
    <w:rsid w:val="00A6249A"/>
    <w:rsid w:val="00A62501"/>
    <w:rsid w:val="00A62713"/>
    <w:rsid w:val="00A63688"/>
    <w:rsid w:val="00A64627"/>
    <w:rsid w:val="00A651AD"/>
    <w:rsid w:val="00A6590A"/>
    <w:rsid w:val="00A6726E"/>
    <w:rsid w:val="00A675DA"/>
    <w:rsid w:val="00A6777A"/>
    <w:rsid w:val="00A72546"/>
    <w:rsid w:val="00A725D0"/>
    <w:rsid w:val="00A7260E"/>
    <w:rsid w:val="00A732F9"/>
    <w:rsid w:val="00A7337B"/>
    <w:rsid w:val="00A73DFA"/>
    <w:rsid w:val="00A75562"/>
    <w:rsid w:val="00A7586F"/>
    <w:rsid w:val="00A775E6"/>
    <w:rsid w:val="00A77B94"/>
    <w:rsid w:val="00A8222B"/>
    <w:rsid w:val="00A828ED"/>
    <w:rsid w:val="00A82AA4"/>
    <w:rsid w:val="00A8324F"/>
    <w:rsid w:val="00A836BC"/>
    <w:rsid w:val="00A842F5"/>
    <w:rsid w:val="00A84C8A"/>
    <w:rsid w:val="00A86625"/>
    <w:rsid w:val="00A86E40"/>
    <w:rsid w:val="00A9173E"/>
    <w:rsid w:val="00A918F3"/>
    <w:rsid w:val="00A91E07"/>
    <w:rsid w:val="00A92478"/>
    <w:rsid w:val="00A92484"/>
    <w:rsid w:val="00A925D6"/>
    <w:rsid w:val="00A92689"/>
    <w:rsid w:val="00A935DA"/>
    <w:rsid w:val="00A93C4B"/>
    <w:rsid w:val="00A942E6"/>
    <w:rsid w:val="00A94554"/>
    <w:rsid w:val="00A94A77"/>
    <w:rsid w:val="00A95273"/>
    <w:rsid w:val="00A9536C"/>
    <w:rsid w:val="00A961BD"/>
    <w:rsid w:val="00A96D03"/>
    <w:rsid w:val="00A97BC3"/>
    <w:rsid w:val="00AA2C6D"/>
    <w:rsid w:val="00AA3418"/>
    <w:rsid w:val="00AA3799"/>
    <w:rsid w:val="00AA3993"/>
    <w:rsid w:val="00AA3AB0"/>
    <w:rsid w:val="00AA474F"/>
    <w:rsid w:val="00AA59EA"/>
    <w:rsid w:val="00AA622F"/>
    <w:rsid w:val="00AB1D1A"/>
    <w:rsid w:val="00AB2EE4"/>
    <w:rsid w:val="00AB326F"/>
    <w:rsid w:val="00AB417B"/>
    <w:rsid w:val="00AB48A6"/>
    <w:rsid w:val="00AB4C47"/>
    <w:rsid w:val="00AB5030"/>
    <w:rsid w:val="00AB53D6"/>
    <w:rsid w:val="00AB6579"/>
    <w:rsid w:val="00AB65F7"/>
    <w:rsid w:val="00AB6642"/>
    <w:rsid w:val="00AB679C"/>
    <w:rsid w:val="00AB7200"/>
    <w:rsid w:val="00AB72F1"/>
    <w:rsid w:val="00AB790C"/>
    <w:rsid w:val="00AC2367"/>
    <w:rsid w:val="00AC2449"/>
    <w:rsid w:val="00AC3DF7"/>
    <w:rsid w:val="00AC416C"/>
    <w:rsid w:val="00AC4C32"/>
    <w:rsid w:val="00AC766B"/>
    <w:rsid w:val="00AD00C3"/>
    <w:rsid w:val="00AD1310"/>
    <w:rsid w:val="00AD22E1"/>
    <w:rsid w:val="00AD25B5"/>
    <w:rsid w:val="00AD25C1"/>
    <w:rsid w:val="00AD3894"/>
    <w:rsid w:val="00AD447A"/>
    <w:rsid w:val="00AD44AB"/>
    <w:rsid w:val="00AD48B3"/>
    <w:rsid w:val="00AD4C4B"/>
    <w:rsid w:val="00AD552A"/>
    <w:rsid w:val="00AD60A2"/>
    <w:rsid w:val="00AD6FE9"/>
    <w:rsid w:val="00AD7736"/>
    <w:rsid w:val="00AD798D"/>
    <w:rsid w:val="00AD7D77"/>
    <w:rsid w:val="00AE0461"/>
    <w:rsid w:val="00AE12C2"/>
    <w:rsid w:val="00AE1399"/>
    <w:rsid w:val="00AE159D"/>
    <w:rsid w:val="00AE162C"/>
    <w:rsid w:val="00AE1D90"/>
    <w:rsid w:val="00AE1DD2"/>
    <w:rsid w:val="00AE231D"/>
    <w:rsid w:val="00AE2CCA"/>
    <w:rsid w:val="00AE3CB8"/>
    <w:rsid w:val="00AE5857"/>
    <w:rsid w:val="00AE6AA2"/>
    <w:rsid w:val="00AE6F20"/>
    <w:rsid w:val="00AF0712"/>
    <w:rsid w:val="00AF1EF6"/>
    <w:rsid w:val="00AF1FBC"/>
    <w:rsid w:val="00AF24A6"/>
    <w:rsid w:val="00AF37DD"/>
    <w:rsid w:val="00AF46BF"/>
    <w:rsid w:val="00AF4EA7"/>
    <w:rsid w:val="00AF561F"/>
    <w:rsid w:val="00AF6386"/>
    <w:rsid w:val="00AF79BB"/>
    <w:rsid w:val="00AF7A6D"/>
    <w:rsid w:val="00AF7D21"/>
    <w:rsid w:val="00B010A4"/>
    <w:rsid w:val="00B01FAA"/>
    <w:rsid w:val="00B02275"/>
    <w:rsid w:val="00B031F2"/>
    <w:rsid w:val="00B03D06"/>
    <w:rsid w:val="00B03EF7"/>
    <w:rsid w:val="00B043DE"/>
    <w:rsid w:val="00B07AB0"/>
    <w:rsid w:val="00B07FCD"/>
    <w:rsid w:val="00B104BF"/>
    <w:rsid w:val="00B10A57"/>
    <w:rsid w:val="00B11BFF"/>
    <w:rsid w:val="00B11E69"/>
    <w:rsid w:val="00B12A3A"/>
    <w:rsid w:val="00B12ACB"/>
    <w:rsid w:val="00B13163"/>
    <w:rsid w:val="00B13F95"/>
    <w:rsid w:val="00B14068"/>
    <w:rsid w:val="00B14682"/>
    <w:rsid w:val="00B14D9A"/>
    <w:rsid w:val="00B14F5F"/>
    <w:rsid w:val="00B16803"/>
    <w:rsid w:val="00B16EFB"/>
    <w:rsid w:val="00B17211"/>
    <w:rsid w:val="00B174E4"/>
    <w:rsid w:val="00B209C6"/>
    <w:rsid w:val="00B20F57"/>
    <w:rsid w:val="00B21764"/>
    <w:rsid w:val="00B21EE1"/>
    <w:rsid w:val="00B2543D"/>
    <w:rsid w:val="00B25B22"/>
    <w:rsid w:val="00B26D20"/>
    <w:rsid w:val="00B27E18"/>
    <w:rsid w:val="00B30737"/>
    <w:rsid w:val="00B310B6"/>
    <w:rsid w:val="00B311B0"/>
    <w:rsid w:val="00B31F88"/>
    <w:rsid w:val="00B32036"/>
    <w:rsid w:val="00B32092"/>
    <w:rsid w:val="00B33C88"/>
    <w:rsid w:val="00B34141"/>
    <w:rsid w:val="00B36CC9"/>
    <w:rsid w:val="00B36FF2"/>
    <w:rsid w:val="00B4055C"/>
    <w:rsid w:val="00B40DE0"/>
    <w:rsid w:val="00B41634"/>
    <w:rsid w:val="00B42D52"/>
    <w:rsid w:val="00B43484"/>
    <w:rsid w:val="00B44DE9"/>
    <w:rsid w:val="00B44F4F"/>
    <w:rsid w:val="00B45EC0"/>
    <w:rsid w:val="00B467B4"/>
    <w:rsid w:val="00B475AD"/>
    <w:rsid w:val="00B5081A"/>
    <w:rsid w:val="00B51596"/>
    <w:rsid w:val="00B5189A"/>
    <w:rsid w:val="00B52304"/>
    <w:rsid w:val="00B528D5"/>
    <w:rsid w:val="00B52C14"/>
    <w:rsid w:val="00B52C74"/>
    <w:rsid w:val="00B53FEE"/>
    <w:rsid w:val="00B5405C"/>
    <w:rsid w:val="00B56D6D"/>
    <w:rsid w:val="00B60B21"/>
    <w:rsid w:val="00B61332"/>
    <w:rsid w:val="00B614BA"/>
    <w:rsid w:val="00B615B9"/>
    <w:rsid w:val="00B61ECD"/>
    <w:rsid w:val="00B62E94"/>
    <w:rsid w:val="00B6382A"/>
    <w:rsid w:val="00B63AE0"/>
    <w:rsid w:val="00B64303"/>
    <w:rsid w:val="00B64364"/>
    <w:rsid w:val="00B655F5"/>
    <w:rsid w:val="00B65AB9"/>
    <w:rsid w:val="00B6600F"/>
    <w:rsid w:val="00B67376"/>
    <w:rsid w:val="00B67A58"/>
    <w:rsid w:val="00B67B4F"/>
    <w:rsid w:val="00B70128"/>
    <w:rsid w:val="00B706B3"/>
    <w:rsid w:val="00B717F9"/>
    <w:rsid w:val="00B71C2C"/>
    <w:rsid w:val="00B72AF7"/>
    <w:rsid w:val="00B7413F"/>
    <w:rsid w:val="00B742BD"/>
    <w:rsid w:val="00B7485A"/>
    <w:rsid w:val="00B75106"/>
    <w:rsid w:val="00B776F9"/>
    <w:rsid w:val="00B777D9"/>
    <w:rsid w:val="00B77A75"/>
    <w:rsid w:val="00B826D3"/>
    <w:rsid w:val="00B82B52"/>
    <w:rsid w:val="00B84781"/>
    <w:rsid w:val="00B84C31"/>
    <w:rsid w:val="00B861D9"/>
    <w:rsid w:val="00B921C9"/>
    <w:rsid w:val="00B92877"/>
    <w:rsid w:val="00B93A4E"/>
    <w:rsid w:val="00B94226"/>
    <w:rsid w:val="00B943C3"/>
    <w:rsid w:val="00B94E24"/>
    <w:rsid w:val="00B94FC4"/>
    <w:rsid w:val="00B9524B"/>
    <w:rsid w:val="00B95A9B"/>
    <w:rsid w:val="00B95AA6"/>
    <w:rsid w:val="00B9643F"/>
    <w:rsid w:val="00B96AD3"/>
    <w:rsid w:val="00B96EC3"/>
    <w:rsid w:val="00B96F58"/>
    <w:rsid w:val="00B97CEB"/>
    <w:rsid w:val="00B97D59"/>
    <w:rsid w:val="00BA05C9"/>
    <w:rsid w:val="00BA0D4F"/>
    <w:rsid w:val="00BA11FB"/>
    <w:rsid w:val="00BA17B9"/>
    <w:rsid w:val="00BA231E"/>
    <w:rsid w:val="00BA2891"/>
    <w:rsid w:val="00BA3FC6"/>
    <w:rsid w:val="00BA4B6B"/>
    <w:rsid w:val="00BA5D56"/>
    <w:rsid w:val="00BA67B6"/>
    <w:rsid w:val="00BA7E24"/>
    <w:rsid w:val="00BB0011"/>
    <w:rsid w:val="00BB04F8"/>
    <w:rsid w:val="00BB1099"/>
    <w:rsid w:val="00BB119D"/>
    <w:rsid w:val="00BB12DA"/>
    <w:rsid w:val="00BB25B7"/>
    <w:rsid w:val="00BB2736"/>
    <w:rsid w:val="00BB2803"/>
    <w:rsid w:val="00BB316C"/>
    <w:rsid w:val="00BB330E"/>
    <w:rsid w:val="00BB35EB"/>
    <w:rsid w:val="00BB36F0"/>
    <w:rsid w:val="00BB428D"/>
    <w:rsid w:val="00BB4F2C"/>
    <w:rsid w:val="00BB5D23"/>
    <w:rsid w:val="00BB5DE8"/>
    <w:rsid w:val="00BB62FE"/>
    <w:rsid w:val="00BB6B42"/>
    <w:rsid w:val="00BB718B"/>
    <w:rsid w:val="00BB75C0"/>
    <w:rsid w:val="00BB784C"/>
    <w:rsid w:val="00BB79D7"/>
    <w:rsid w:val="00BC01D2"/>
    <w:rsid w:val="00BC023C"/>
    <w:rsid w:val="00BC04AE"/>
    <w:rsid w:val="00BC0721"/>
    <w:rsid w:val="00BC0969"/>
    <w:rsid w:val="00BC1619"/>
    <w:rsid w:val="00BC1B79"/>
    <w:rsid w:val="00BC1C41"/>
    <w:rsid w:val="00BC267D"/>
    <w:rsid w:val="00BC2E5F"/>
    <w:rsid w:val="00BC3325"/>
    <w:rsid w:val="00BC3ED3"/>
    <w:rsid w:val="00BC4887"/>
    <w:rsid w:val="00BC5C86"/>
    <w:rsid w:val="00BC6213"/>
    <w:rsid w:val="00BC674A"/>
    <w:rsid w:val="00BC6A0C"/>
    <w:rsid w:val="00BC7125"/>
    <w:rsid w:val="00BC7F0B"/>
    <w:rsid w:val="00BD06D4"/>
    <w:rsid w:val="00BD148B"/>
    <w:rsid w:val="00BD16BF"/>
    <w:rsid w:val="00BD1840"/>
    <w:rsid w:val="00BD25FC"/>
    <w:rsid w:val="00BD31D3"/>
    <w:rsid w:val="00BD4D94"/>
    <w:rsid w:val="00BD5B13"/>
    <w:rsid w:val="00BD60B0"/>
    <w:rsid w:val="00BD79F3"/>
    <w:rsid w:val="00BD7C1B"/>
    <w:rsid w:val="00BD7D79"/>
    <w:rsid w:val="00BD7FA2"/>
    <w:rsid w:val="00BE0CA5"/>
    <w:rsid w:val="00BE1582"/>
    <w:rsid w:val="00BE22E3"/>
    <w:rsid w:val="00BE3734"/>
    <w:rsid w:val="00BE4550"/>
    <w:rsid w:val="00BE6D1C"/>
    <w:rsid w:val="00BF07F3"/>
    <w:rsid w:val="00BF0E08"/>
    <w:rsid w:val="00BF0ED9"/>
    <w:rsid w:val="00BF159B"/>
    <w:rsid w:val="00BF1BAD"/>
    <w:rsid w:val="00BF1D8E"/>
    <w:rsid w:val="00BF3056"/>
    <w:rsid w:val="00BF3F29"/>
    <w:rsid w:val="00BF41DA"/>
    <w:rsid w:val="00BF4B49"/>
    <w:rsid w:val="00BF4C95"/>
    <w:rsid w:val="00BF6BA7"/>
    <w:rsid w:val="00BF6E09"/>
    <w:rsid w:val="00BF78F9"/>
    <w:rsid w:val="00C0063C"/>
    <w:rsid w:val="00C006E1"/>
    <w:rsid w:val="00C011A0"/>
    <w:rsid w:val="00C02C42"/>
    <w:rsid w:val="00C02DED"/>
    <w:rsid w:val="00C03966"/>
    <w:rsid w:val="00C04106"/>
    <w:rsid w:val="00C0472E"/>
    <w:rsid w:val="00C04FC5"/>
    <w:rsid w:val="00C055BB"/>
    <w:rsid w:val="00C0582B"/>
    <w:rsid w:val="00C05DBC"/>
    <w:rsid w:val="00C064BD"/>
    <w:rsid w:val="00C067C4"/>
    <w:rsid w:val="00C0688F"/>
    <w:rsid w:val="00C0717C"/>
    <w:rsid w:val="00C078B4"/>
    <w:rsid w:val="00C1182A"/>
    <w:rsid w:val="00C11B20"/>
    <w:rsid w:val="00C13015"/>
    <w:rsid w:val="00C13AE9"/>
    <w:rsid w:val="00C13FC1"/>
    <w:rsid w:val="00C14002"/>
    <w:rsid w:val="00C14469"/>
    <w:rsid w:val="00C150DB"/>
    <w:rsid w:val="00C1545D"/>
    <w:rsid w:val="00C15DB7"/>
    <w:rsid w:val="00C166CA"/>
    <w:rsid w:val="00C166EE"/>
    <w:rsid w:val="00C16D89"/>
    <w:rsid w:val="00C17528"/>
    <w:rsid w:val="00C17686"/>
    <w:rsid w:val="00C176E4"/>
    <w:rsid w:val="00C1776D"/>
    <w:rsid w:val="00C20535"/>
    <w:rsid w:val="00C21DAD"/>
    <w:rsid w:val="00C22643"/>
    <w:rsid w:val="00C232F1"/>
    <w:rsid w:val="00C237BC"/>
    <w:rsid w:val="00C23AFD"/>
    <w:rsid w:val="00C23CCC"/>
    <w:rsid w:val="00C23D8B"/>
    <w:rsid w:val="00C25B77"/>
    <w:rsid w:val="00C2707B"/>
    <w:rsid w:val="00C27258"/>
    <w:rsid w:val="00C279A9"/>
    <w:rsid w:val="00C300EF"/>
    <w:rsid w:val="00C306A3"/>
    <w:rsid w:val="00C309A2"/>
    <w:rsid w:val="00C311FB"/>
    <w:rsid w:val="00C31286"/>
    <w:rsid w:val="00C31486"/>
    <w:rsid w:val="00C31E93"/>
    <w:rsid w:val="00C321E7"/>
    <w:rsid w:val="00C3224A"/>
    <w:rsid w:val="00C32D15"/>
    <w:rsid w:val="00C3322F"/>
    <w:rsid w:val="00C333C4"/>
    <w:rsid w:val="00C3398F"/>
    <w:rsid w:val="00C351A6"/>
    <w:rsid w:val="00C35506"/>
    <w:rsid w:val="00C37C4C"/>
    <w:rsid w:val="00C4127F"/>
    <w:rsid w:val="00C419C6"/>
    <w:rsid w:val="00C41C3E"/>
    <w:rsid w:val="00C41CA0"/>
    <w:rsid w:val="00C4335D"/>
    <w:rsid w:val="00C43F71"/>
    <w:rsid w:val="00C455BA"/>
    <w:rsid w:val="00C462CD"/>
    <w:rsid w:val="00C466ED"/>
    <w:rsid w:val="00C4675D"/>
    <w:rsid w:val="00C46A27"/>
    <w:rsid w:val="00C471F6"/>
    <w:rsid w:val="00C476AF"/>
    <w:rsid w:val="00C508A3"/>
    <w:rsid w:val="00C50CAA"/>
    <w:rsid w:val="00C5297A"/>
    <w:rsid w:val="00C52A91"/>
    <w:rsid w:val="00C539E9"/>
    <w:rsid w:val="00C54DE4"/>
    <w:rsid w:val="00C5503B"/>
    <w:rsid w:val="00C56410"/>
    <w:rsid w:val="00C57C07"/>
    <w:rsid w:val="00C60422"/>
    <w:rsid w:val="00C61A87"/>
    <w:rsid w:val="00C62721"/>
    <w:rsid w:val="00C63561"/>
    <w:rsid w:val="00C637F1"/>
    <w:rsid w:val="00C64547"/>
    <w:rsid w:val="00C668F9"/>
    <w:rsid w:val="00C67AAB"/>
    <w:rsid w:val="00C67D06"/>
    <w:rsid w:val="00C67D77"/>
    <w:rsid w:val="00C70125"/>
    <w:rsid w:val="00C70361"/>
    <w:rsid w:val="00C707D0"/>
    <w:rsid w:val="00C710E5"/>
    <w:rsid w:val="00C73A10"/>
    <w:rsid w:val="00C747B9"/>
    <w:rsid w:val="00C7484F"/>
    <w:rsid w:val="00C75795"/>
    <w:rsid w:val="00C75D42"/>
    <w:rsid w:val="00C76091"/>
    <w:rsid w:val="00C7655D"/>
    <w:rsid w:val="00C76E24"/>
    <w:rsid w:val="00C77E59"/>
    <w:rsid w:val="00C80445"/>
    <w:rsid w:val="00C80555"/>
    <w:rsid w:val="00C80E31"/>
    <w:rsid w:val="00C8139A"/>
    <w:rsid w:val="00C81C2E"/>
    <w:rsid w:val="00C82324"/>
    <w:rsid w:val="00C83846"/>
    <w:rsid w:val="00C83F0F"/>
    <w:rsid w:val="00C840E2"/>
    <w:rsid w:val="00C85C1F"/>
    <w:rsid w:val="00C85DCD"/>
    <w:rsid w:val="00C864A7"/>
    <w:rsid w:val="00C86A65"/>
    <w:rsid w:val="00C86BFF"/>
    <w:rsid w:val="00C874CD"/>
    <w:rsid w:val="00C9049F"/>
    <w:rsid w:val="00C90CF4"/>
    <w:rsid w:val="00C91637"/>
    <w:rsid w:val="00C91EA3"/>
    <w:rsid w:val="00C926A4"/>
    <w:rsid w:val="00C92E02"/>
    <w:rsid w:val="00C93420"/>
    <w:rsid w:val="00C93CE9"/>
    <w:rsid w:val="00C93F77"/>
    <w:rsid w:val="00C94C00"/>
    <w:rsid w:val="00C9519B"/>
    <w:rsid w:val="00C9526E"/>
    <w:rsid w:val="00C95613"/>
    <w:rsid w:val="00C96322"/>
    <w:rsid w:val="00C9634B"/>
    <w:rsid w:val="00C9670E"/>
    <w:rsid w:val="00C96713"/>
    <w:rsid w:val="00CA03DC"/>
    <w:rsid w:val="00CA0DFE"/>
    <w:rsid w:val="00CA123D"/>
    <w:rsid w:val="00CA1A28"/>
    <w:rsid w:val="00CA2204"/>
    <w:rsid w:val="00CA480E"/>
    <w:rsid w:val="00CA5B2C"/>
    <w:rsid w:val="00CA5D47"/>
    <w:rsid w:val="00CA785A"/>
    <w:rsid w:val="00CA7E9D"/>
    <w:rsid w:val="00CB2184"/>
    <w:rsid w:val="00CB3591"/>
    <w:rsid w:val="00CB45FA"/>
    <w:rsid w:val="00CB4D04"/>
    <w:rsid w:val="00CB6ABB"/>
    <w:rsid w:val="00CC005F"/>
    <w:rsid w:val="00CC012D"/>
    <w:rsid w:val="00CC0250"/>
    <w:rsid w:val="00CC0A91"/>
    <w:rsid w:val="00CC0BE4"/>
    <w:rsid w:val="00CC12A1"/>
    <w:rsid w:val="00CC1BF8"/>
    <w:rsid w:val="00CC2901"/>
    <w:rsid w:val="00CC31F7"/>
    <w:rsid w:val="00CC31F8"/>
    <w:rsid w:val="00CC36DA"/>
    <w:rsid w:val="00CC3782"/>
    <w:rsid w:val="00CC3E56"/>
    <w:rsid w:val="00CC4ADA"/>
    <w:rsid w:val="00CC55CE"/>
    <w:rsid w:val="00CC67E3"/>
    <w:rsid w:val="00CC6FBD"/>
    <w:rsid w:val="00CC6FC4"/>
    <w:rsid w:val="00CC7938"/>
    <w:rsid w:val="00CC7B40"/>
    <w:rsid w:val="00CC7E6F"/>
    <w:rsid w:val="00CD0051"/>
    <w:rsid w:val="00CD061C"/>
    <w:rsid w:val="00CD08D4"/>
    <w:rsid w:val="00CD1C24"/>
    <w:rsid w:val="00CD333A"/>
    <w:rsid w:val="00CD517F"/>
    <w:rsid w:val="00CD5859"/>
    <w:rsid w:val="00CD6B33"/>
    <w:rsid w:val="00CE10F0"/>
    <w:rsid w:val="00CE136D"/>
    <w:rsid w:val="00CE26E4"/>
    <w:rsid w:val="00CE2BBE"/>
    <w:rsid w:val="00CE41D4"/>
    <w:rsid w:val="00CE53E3"/>
    <w:rsid w:val="00CE5FC0"/>
    <w:rsid w:val="00CE6675"/>
    <w:rsid w:val="00CE6995"/>
    <w:rsid w:val="00CE6E98"/>
    <w:rsid w:val="00CE72AD"/>
    <w:rsid w:val="00CE768B"/>
    <w:rsid w:val="00CF0142"/>
    <w:rsid w:val="00CF0292"/>
    <w:rsid w:val="00CF07C9"/>
    <w:rsid w:val="00CF1A9C"/>
    <w:rsid w:val="00CF26A0"/>
    <w:rsid w:val="00CF26C0"/>
    <w:rsid w:val="00CF2D19"/>
    <w:rsid w:val="00CF30AD"/>
    <w:rsid w:val="00CF451C"/>
    <w:rsid w:val="00CF4C74"/>
    <w:rsid w:val="00CF51D8"/>
    <w:rsid w:val="00CF57CE"/>
    <w:rsid w:val="00CF62C0"/>
    <w:rsid w:val="00CF64CB"/>
    <w:rsid w:val="00CF6547"/>
    <w:rsid w:val="00CF7213"/>
    <w:rsid w:val="00CF73EC"/>
    <w:rsid w:val="00CF7402"/>
    <w:rsid w:val="00CF7968"/>
    <w:rsid w:val="00CF7DCF"/>
    <w:rsid w:val="00D000B2"/>
    <w:rsid w:val="00D00749"/>
    <w:rsid w:val="00D0131F"/>
    <w:rsid w:val="00D01C3D"/>
    <w:rsid w:val="00D01F24"/>
    <w:rsid w:val="00D025F8"/>
    <w:rsid w:val="00D02A17"/>
    <w:rsid w:val="00D03E63"/>
    <w:rsid w:val="00D052F2"/>
    <w:rsid w:val="00D059D9"/>
    <w:rsid w:val="00D05E39"/>
    <w:rsid w:val="00D06BFA"/>
    <w:rsid w:val="00D07424"/>
    <w:rsid w:val="00D07644"/>
    <w:rsid w:val="00D0796F"/>
    <w:rsid w:val="00D07C0F"/>
    <w:rsid w:val="00D07F47"/>
    <w:rsid w:val="00D117EF"/>
    <w:rsid w:val="00D11C01"/>
    <w:rsid w:val="00D12136"/>
    <w:rsid w:val="00D1219F"/>
    <w:rsid w:val="00D12375"/>
    <w:rsid w:val="00D12F43"/>
    <w:rsid w:val="00D133A1"/>
    <w:rsid w:val="00D134E9"/>
    <w:rsid w:val="00D142D1"/>
    <w:rsid w:val="00D1515A"/>
    <w:rsid w:val="00D1627E"/>
    <w:rsid w:val="00D16389"/>
    <w:rsid w:val="00D1705E"/>
    <w:rsid w:val="00D17CC8"/>
    <w:rsid w:val="00D20835"/>
    <w:rsid w:val="00D20B03"/>
    <w:rsid w:val="00D20C38"/>
    <w:rsid w:val="00D214AE"/>
    <w:rsid w:val="00D21D34"/>
    <w:rsid w:val="00D22003"/>
    <w:rsid w:val="00D233AB"/>
    <w:rsid w:val="00D2377A"/>
    <w:rsid w:val="00D23839"/>
    <w:rsid w:val="00D239F2"/>
    <w:rsid w:val="00D248D0"/>
    <w:rsid w:val="00D25C01"/>
    <w:rsid w:val="00D300A1"/>
    <w:rsid w:val="00D323A6"/>
    <w:rsid w:val="00D3279F"/>
    <w:rsid w:val="00D32879"/>
    <w:rsid w:val="00D32D48"/>
    <w:rsid w:val="00D3336B"/>
    <w:rsid w:val="00D33CB6"/>
    <w:rsid w:val="00D342D9"/>
    <w:rsid w:val="00D342F6"/>
    <w:rsid w:val="00D351C3"/>
    <w:rsid w:val="00D3572C"/>
    <w:rsid w:val="00D35AF5"/>
    <w:rsid w:val="00D35F2F"/>
    <w:rsid w:val="00D36353"/>
    <w:rsid w:val="00D36369"/>
    <w:rsid w:val="00D36DD8"/>
    <w:rsid w:val="00D37121"/>
    <w:rsid w:val="00D37A6F"/>
    <w:rsid w:val="00D401FC"/>
    <w:rsid w:val="00D40215"/>
    <w:rsid w:val="00D40453"/>
    <w:rsid w:val="00D41074"/>
    <w:rsid w:val="00D41B30"/>
    <w:rsid w:val="00D41CC6"/>
    <w:rsid w:val="00D41D35"/>
    <w:rsid w:val="00D41DD1"/>
    <w:rsid w:val="00D43042"/>
    <w:rsid w:val="00D431AF"/>
    <w:rsid w:val="00D43A12"/>
    <w:rsid w:val="00D44B60"/>
    <w:rsid w:val="00D44F35"/>
    <w:rsid w:val="00D46F51"/>
    <w:rsid w:val="00D474B4"/>
    <w:rsid w:val="00D50072"/>
    <w:rsid w:val="00D50EE1"/>
    <w:rsid w:val="00D5147E"/>
    <w:rsid w:val="00D52331"/>
    <w:rsid w:val="00D527F7"/>
    <w:rsid w:val="00D53148"/>
    <w:rsid w:val="00D544AA"/>
    <w:rsid w:val="00D54FB2"/>
    <w:rsid w:val="00D56364"/>
    <w:rsid w:val="00D60916"/>
    <w:rsid w:val="00D610C8"/>
    <w:rsid w:val="00D6115D"/>
    <w:rsid w:val="00D620BA"/>
    <w:rsid w:val="00D62370"/>
    <w:rsid w:val="00D623BC"/>
    <w:rsid w:val="00D62E94"/>
    <w:rsid w:val="00D63AA5"/>
    <w:rsid w:val="00D63D05"/>
    <w:rsid w:val="00D64470"/>
    <w:rsid w:val="00D6478B"/>
    <w:rsid w:val="00D6494C"/>
    <w:rsid w:val="00D64D5D"/>
    <w:rsid w:val="00D65F7D"/>
    <w:rsid w:val="00D66B0B"/>
    <w:rsid w:val="00D66D75"/>
    <w:rsid w:val="00D66DE8"/>
    <w:rsid w:val="00D66F42"/>
    <w:rsid w:val="00D714E2"/>
    <w:rsid w:val="00D72431"/>
    <w:rsid w:val="00D72B73"/>
    <w:rsid w:val="00D73584"/>
    <w:rsid w:val="00D739BE"/>
    <w:rsid w:val="00D73E37"/>
    <w:rsid w:val="00D74A5A"/>
    <w:rsid w:val="00D74C69"/>
    <w:rsid w:val="00D75459"/>
    <w:rsid w:val="00D76A64"/>
    <w:rsid w:val="00D77D38"/>
    <w:rsid w:val="00D80987"/>
    <w:rsid w:val="00D80C53"/>
    <w:rsid w:val="00D80CC2"/>
    <w:rsid w:val="00D81B27"/>
    <w:rsid w:val="00D83739"/>
    <w:rsid w:val="00D8514A"/>
    <w:rsid w:val="00D85BAC"/>
    <w:rsid w:val="00D860F4"/>
    <w:rsid w:val="00D86678"/>
    <w:rsid w:val="00D8680B"/>
    <w:rsid w:val="00D86D3B"/>
    <w:rsid w:val="00D86F60"/>
    <w:rsid w:val="00D90DBA"/>
    <w:rsid w:val="00D9124B"/>
    <w:rsid w:val="00D91CD1"/>
    <w:rsid w:val="00D92203"/>
    <w:rsid w:val="00D92A36"/>
    <w:rsid w:val="00D92AD9"/>
    <w:rsid w:val="00D92DD5"/>
    <w:rsid w:val="00D95017"/>
    <w:rsid w:val="00D95908"/>
    <w:rsid w:val="00D95B48"/>
    <w:rsid w:val="00D96975"/>
    <w:rsid w:val="00D96CD4"/>
    <w:rsid w:val="00D97A8E"/>
    <w:rsid w:val="00DA1178"/>
    <w:rsid w:val="00DA12C4"/>
    <w:rsid w:val="00DA16D5"/>
    <w:rsid w:val="00DA19AF"/>
    <w:rsid w:val="00DA20FE"/>
    <w:rsid w:val="00DA2408"/>
    <w:rsid w:val="00DA33B9"/>
    <w:rsid w:val="00DA3EA6"/>
    <w:rsid w:val="00DA41D9"/>
    <w:rsid w:val="00DA46DD"/>
    <w:rsid w:val="00DA4F9B"/>
    <w:rsid w:val="00DA583E"/>
    <w:rsid w:val="00DA58F5"/>
    <w:rsid w:val="00DA60ED"/>
    <w:rsid w:val="00DA732C"/>
    <w:rsid w:val="00DB01E1"/>
    <w:rsid w:val="00DB161C"/>
    <w:rsid w:val="00DB2295"/>
    <w:rsid w:val="00DB2A60"/>
    <w:rsid w:val="00DB4899"/>
    <w:rsid w:val="00DB4AFD"/>
    <w:rsid w:val="00DB585E"/>
    <w:rsid w:val="00DB7103"/>
    <w:rsid w:val="00DC00FF"/>
    <w:rsid w:val="00DC0458"/>
    <w:rsid w:val="00DC08FC"/>
    <w:rsid w:val="00DC11EE"/>
    <w:rsid w:val="00DC14C8"/>
    <w:rsid w:val="00DC3316"/>
    <w:rsid w:val="00DC3BCC"/>
    <w:rsid w:val="00DC4E2C"/>
    <w:rsid w:val="00DC5375"/>
    <w:rsid w:val="00DC6947"/>
    <w:rsid w:val="00DC6A1A"/>
    <w:rsid w:val="00DC6C86"/>
    <w:rsid w:val="00DC6FA9"/>
    <w:rsid w:val="00DC7EB5"/>
    <w:rsid w:val="00DD02D7"/>
    <w:rsid w:val="00DD08D3"/>
    <w:rsid w:val="00DD09DA"/>
    <w:rsid w:val="00DD10CB"/>
    <w:rsid w:val="00DD1697"/>
    <w:rsid w:val="00DD17BE"/>
    <w:rsid w:val="00DD17CA"/>
    <w:rsid w:val="00DD2564"/>
    <w:rsid w:val="00DD2D08"/>
    <w:rsid w:val="00DD2EB9"/>
    <w:rsid w:val="00DD2F23"/>
    <w:rsid w:val="00DD52AA"/>
    <w:rsid w:val="00DD5C3B"/>
    <w:rsid w:val="00DD666B"/>
    <w:rsid w:val="00DD66C6"/>
    <w:rsid w:val="00DD71BD"/>
    <w:rsid w:val="00DE01D0"/>
    <w:rsid w:val="00DE042D"/>
    <w:rsid w:val="00DE0946"/>
    <w:rsid w:val="00DE224F"/>
    <w:rsid w:val="00DE2C97"/>
    <w:rsid w:val="00DE34CA"/>
    <w:rsid w:val="00DE4AE0"/>
    <w:rsid w:val="00DE5B18"/>
    <w:rsid w:val="00DF0462"/>
    <w:rsid w:val="00DF1711"/>
    <w:rsid w:val="00DF2632"/>
    <w:rsid w:val="00DF2F95"/>
    <w:rsid w:val="00DF30A0"/>
    <w:rsid w:val="00DF31E2"/>
    <w:rsid w:val="00DF5160"/>
    <w:rsid w:val="00DF5B96"/>
    <w:rsid w:val="00E00329"/>
    <w:rsid w:val="00E02DA9"/>
    <w:rsid w:val="00E03F0E"/>
    <w:rsid w:val="00E04010"/>
    <w:rsid w:val="00E04525"/>
    <w:rsid w:val="00E04963"/>
    <w:rsid w:val="00E04B9F"/>
    <w:rsid w:val="00E05083"/>
    <w:rsid w:val="00E0596C"/>
    <w:rsid w:val="00E05A00"/>
    <w:rsid w:val="00E05A93"/>
    <w:rsid w:val="00E05BB3"/>
    <w:rsid w:val="00E06233"/>
    <w:rsid w:val="00E06AF4"/>
    <w:rsid w:val="00E076C5"/>
    <w:rsid w:val="00E07D86"/>
    <w:rsid w:val="00E10A23"/>
    <w:rsid w:val="00E10A37"/>
    <w:rsid w:val="00E10AE5"/>
    <w:rsid w:val="00E10C4F"/>
    <w:rsid w:val="00E11498"/>
    <w:rsid w:val="00E1151B"/>
    <w:rsid w:val="00E120C6"/>
    <w:rsid w:val="00E124DB"/>
    <w:rsid w:val="00E126A7"/>
    <w:rsid w:val="00E12D17"/>
    <w:rsid w:val="00E14D3D"/>
    <w:rsid w:val="00E16012"/>
    <w:rsid w:val="00E166B6"/>
    <w:rsid w:val="00E16C11"/>
    <w:rsid w:val="00E17D14"/>
    <w:rsid w:val="00E17F19"/>
    <w:rsid w:val="00E20D77"/>
    <w:rsid w:val="00E2147A"/>
    <w:rsid w:val="00E22DD3"/>
    <w:rsid w:val="00E23664"/>
    <w:rsid w:val="00E23987"/>
    <w:rsid w:val="00E241F0"/>
    <w:rsid w:val="00E24C1C"/>
    <w:rsid w:val="00E24D0E"/>
    <w:rsid w:val="00E256F9"/>
    <w:rsid w:val="00E26437"/>
    <w:rsid w:val="00E26B1B"/>
    <w:rsid w:val="00E27EDC"/>
    <w:rsid w:val="00E30B7C"/>
    <w:rsid w:val="00E31475"/>
    <w:rsid w:val="00E315BC"/>
    <w:rsid w:val="00E320C5"/>
    <w:rsid w:val="00E32C85"/>
    <w:rsid w:val="00E3363A"/>
    <w:rsid w:val="00E336EF"/>
    <w:rsid w:val="00E34DD7"/>
    <w:rsid w:val="00E353BC"/>
    <w:rsid w:val="00E36CBB"/>
    <w:rsid w:val="00E37B8C"/>
    <w:rsid w:val="00E40CCE"/>
    <w:rsid w:val="00E40EE7"/>
    <w:rsid w:val="00E410B0"/>
    <w:rsid w:val="00E42026"/>
    <w:rsid w:val="00E426C6"/>
    <w:rsid w:val="00E43A90"/>
    <w:rsid w:val="00E46152"/>
    <w:rsid w:val="00E46BFC"/>
    <w:rsid w:val="00E504DB"/>
    <w:rsid w:val="00E507C9"/>
    <w:rsid w:val="00E50F56"/>
    <w:rsid w:val="00E516BF"/>
    <w:rsid w:val="00E5195A"/>
    <w:rsid w:val="00E51F26"/>
    <w:rsid w:val="00E52087"/>
    <w:rsid w:val="00E523AC"/>
    <w:rsid w:val="00E5379E"/>
    <w:rsid w:val="00E540D3"/>
    <w:rsid w:val="00E5451C"/>
    <w:rsid w:val="00E54BF4"/>
    <w:rsid w:val="00E55267"/>
    <w:rsid w:val="00E55531"/>
    <w:rsid w:val="00E557EA"/>
    <w:rsid w:val="00E60140"/>
    <w:rsid w:val="00E601CB"/>
    <w:rsid w:val="00E6044B"/>
    <w:rsid w:val="00E6121E"/>
    <w:rsid w:val="00E62097"/>
    <w:rsid w:val="00E62F30"/>
    <w:rsid w:val="00E63E21"/>
    <w:rsid w:val="00E63EEE"/>
    <w:rsid w:val="00E6454F"/>
    <w:rsid w:val="00E64557"/>
    <w:rsid w:val="00E652FD"/>
    <w:rsid w:val="00E65672"/>
    <w:rsid w:val="00E659E1"/>
    <w:rsid w:val="00E65F23"/>
    <w:rsid w:val="00E66298"/>
    <w:rsid w:val="00E667B1"/>
    <w:rsid w:val="00E66BF7"/>
    <w:rsid w:val="00E6708B"/>
    <w:rsid w:val="00E67486"/>
    <w:rsid w:val="00E71E61"/>
    <w:rsid w:val="00E71EEF"/>
    <w:rsid w:val="00E722D9"/>
    <w:rsid w:val="00E72457"/>
    <w:rsid w:val="00E727DC"/>
    <w:rsid w:val="00E72ACB"/>
    <w:rsid w:val="00E72CCD"/>
    <w:rsid w:val="00E74279"/>
    <w:rsid w:val="00E761CF"/>
    <w:rsid w:val="00E767A5"/>
    <w:rsid w:val="00E76A69"/>
    <w:rsid w:val="00E7749D"/>
    <w:rsid w:val="00E7796C"/>
    <w:rsid w:val="00E77DC5"/>
    <w:rsid w:val="00E810B3"/>
    <w:rsid w:val="00E81161"/>
    <w:rsid w:val="00E8142E"/>
    <w:rsid w:val="00E827D4"/>
    <w:rsid w:val="00E829E4"/>
    <w:rsid w:val="00E82A8E"/>
    <w:rsid w:val="00E82BCD"/>
    <w:rsid w:val="00E8434E"/>
    <w:rsid w:val="00E85E7C"/>
    <w:rsid w:val="00E85EAD"/>
    <w:rsid w:val="00E86011"/>
    <w:rsid w:val="00E86710"/>
    <w:rsid w:val="00E8703F"/>
    <w:rsid w:val="00E87805"/>
    <w:rsid w:val="00E87C6D"/>
    <w:rsid w:val="00E9145E"/>
    <w:rsid w:val="00E91812"/>
    <w:rsid w:val="00E92591"/>
    <w:rsid w:val="00E92715"/>
    <w:rsid w:val="00E967FE"/>
    <w:rsid w:val="00E97415"/>
    <w:rsid w:val="00E97FE7"/>
    <w:rsid w:val="00EA0160"/>
    <w:rsid w:val="00EA070A"/>
    <w:rsid w:val="00EA0B0D"/>
    <w:rsid w:val="00EA10D7"/>
    <w:rsid w:val="00EA1462"/>
    <w:rsid w:val="00EA16B0"/>
    <w:rsid w:val="00EA1CCA"/>
    <w:rsid w:val="00EA2B10"/>
    <w:rsid w:val="00EA2B3D"/>
    <w:rsid w:val="00EA4613"/>
    <w:rsid w:val="00EA48D2"/>
    <w:rsid w:val="00EA4A16"/>
    <w:rsid w:val="00EA4BD2"/>
    <w:rsid w:val="00EA4C61"/>
    <w:rsid w:val="00EA4C72"/>
    <w:rsid w:val="00EA553A"/>
    <w:rsid w:val="00EA5ED5"/>
    <w:rsid w:val="00EA7192"/>
    <w:rsid w:val="00EB0E82"/>
    <w:rsid w:val="00EB1971"/>
    <w:rsid w:val="00EB1CBC"/>
    <w:rsid w:val="00EB2476"/>
    <w:rsid w:val="00EB29BC"/>
    <w:rsid w:val="00EB321A"/>
    <w:rsid w:val="00EB386F"/>
    <w:rsid w:val="00EB40B0"/>
    <w:rsid w:val="00EB4141"/>
    <w:rsid w:val="00EB4CFE"/>
    <w:rsid w:val="00EB513E"/>
    <w:rsid w:val="00EB5201"/>
    <w:rsid w:val="00EB5EBF"/>
    <w:rsid w:val="00EB61F6"/>
    <w:rsid w:val="00EB7C36"/>
    <w:rsid w:val="00EC0372"/>
    <w:rsid w:val="00EC0849"/>
    <w:rsid w:val="00EC160C"/>
    <w:rsid w:val="00EC16C3"/>
    <w:rsid w:val="00EC16E8"/>
    <w:rsid w:val="00EC1BA4"/>
    <w:rsid w:val="00EC2806"/>
    <w:rsid w:val="00EC3C17"/>
    <w:rsid w:val="00EC4087"/>
    <w:rsid w:val="00EC413E"/>
    <w:rsid w:val="00EC4346"/>
    <w:rsid w:val="00EC4537"/>
    <w:rsid w:val="00EC4676"/>
    <w:rsid w:val="00EC48CC"/>
    <w:rsid w:val="00EC48CF"/>
    <w:rsid w:val="00EC4DC3"/>
    <w:rsid w:val="00EC66A7"/>
    <w:rsid w:val="00EC6EE5"/>
    <w:rsid w:val="00EC7133"/>
    <w:rsid w:val="00EC7A78"/>
    <w:rsid w:val="00ED00C2"/>
    <w:rsid w:val="00ED0ABE"/>
    <w:rsid w:val="00ED19F6"/>
    <w:rsid w:val="00ED1AC2"/>
    <w:rsid w:val="00ED1B84"/>
    <w:rsid w:val="00ED32EF"/>
    <w:rsid w:val="00ED37DC"/>
    <w:rsid w:val="00ED3AD9"/>
    <w:rsid w:val="00ED3B82"/>
    <w:rsid w:val="00ED4949"/>
    <w:rsid w:val="00ED6F0A"/>
    <w:rsid w:val="00EE00E6"/>
    <w:rsid w:val="00EE1C6F"/>
    <w:rsid w:val="00EE2DC7"/>
    <w:rsid w:val="00EE31A0"/>
    <w:rsid w:val="00EE3956"/>
    <w:rsid w:val="00EE4132"/>
    <w:rsid w:val="00EE4954"/>
    <w:rsid w:val="00EE53F8"/>
    <w:rsid w:val="00EE5B1E"/>
    <w:rsid w:val="00EE72DF"/>
    <w:rsid w:val="00EF01AD"/>
    <w:rsid w:val="00EF098F"/>
    <w:rsid w:val="00EF0B1B"/>
    <w:rsid w:val="00EF0B63"/>
    <w:rsid w:val="00EF11B0"/>
    <w:rsid w:val="00EF12B7"/>
    <w:rsid w:val="00EF1773"/>
    <w:rsid w:val="00EF25C1"/>
    <w:rsid w:val="00EF3702"/>
    <w:rsid w:val="00EF37F6"/>
    <w:rsid w:val="00EF3B21"/>
    <w:rsid w:val="00EF47D4"/>
    <w:rsid w:val="00EF4A71"/>
    <w:rsid w:val="00EF4BED"/>
    <w:rsid w:val="00EF567D"/>
    <w:rsid w:val="00EF5AA6"/>
    <w:rsid w:val="00EF6634"/>
    <w:rsid w:val="00F0070A"/>
    <w:rsid w:val="00F007E3"/>
    <w:rsid w:val="00F00BC7"/>
    <w:rsid w:val="00F016EC"/>
    <w:rsid w:val="00F018D0"/>
    <w:rsid w:val="00F01AFC"/>
    <w:rsid w:val="00F01FB6"/>
    <w:rsid w:val="00F0335E"/>
    <w:rsid w:val="00F03F85"/>
    <w:rsid w:val="00F057B2"/>
    <w:rsid w:val="00F06CBD"/>
    <w:rsid w:val="00F06F14"/>
    <w:rsid w:val="00F070CE"/>
    <w:rsid w:val="00F0732A"/>
    <w:rsid w:val="00F07413"/>
    <w:rsid w:val="00F07441"/>
    <w:rsid w:val="00F07872"/>
    <w:rsid w:val="00F07D2D"/>
    <w:rsid w:val="00F07E87"/>
    <w:rsid w:val="00F10A90"/>
    <w:rsid w:val="00F146CA"/>
    <w:rsid w:val="00F14932"/>
    <w:rsid w:val="00F15706"/>
    <w:rsid w:val="00F15DDB"/>
    <w:rsid w:val="00F1616A"/>
    <w:rsid w:val="00F16B74"/>
    <w:rsid w:val="00F16D0E"/>
    <w:rsid w:val="00F171C5"/>
    <w:rsid w:val="00F17273"/>
    <w:rsid w:val="00F17B3B"/>
    <w:rsid w:val="00F20FDB"/>
    <w:rsid w:val="00F22BFC"/>
    <w:rsid w:val="00F25287"/>
    <w:rsid w:val="00F2666F"/>
    <w:rsid w:val="00F266FF"/>
    <w:rsid w:val="00F26D82"/>
    <w:rsid w:val="00F277B8"/>
    <w:rsid w:val="00F27830"/>
    <w:rsid w:val="00F278BD"/>
    <w:rsid w:val="00F27B1A"/>
    <w:rsid w:val="00F31DB2"/>
    <w:rsid w:val="00F324C9"/>
    <w:rsid w:val="00F32FBB"/>
    <w:rsid w:val="00F33552"/>
    <w:rsid w:val="00F338A6"/>
    <w:rsid w:val="00F341F7"/>
    <w:rsid w:val="00F3483C"/>
    <w:rsid w:val="00F34A6B"/>
    <w:rsid w:val="00F350A6"/>
    <w:rsid w:val="00F3528E"/>
    <w:rsid w:val="00F3531F"/>
    <w:rsid w:val="00F355BC"/>
    <w:rsid w:val="00F35CD0"/>
    <w:rsid w:val="00F36310"/>
    <w:rsid w:val="00F36A72"/>
    <w:rsid w:val="00F36DAD"/>
    <w:rsid w:val="00F40485"/>
    <w:rsid w:val="00F40A47"/>
    <w:rsid w:val="00F40D8C"/>
    <w:rsid w:val="00F410FE"/>
    <w:rsid w:val="00F41FDB"/>
    <w:rsid w:val="00F43101"/>
    <w:rsid w:val="00F431AF"/>
    <w:rsid w:val="00F44C23"/>
    <w:rsid w:val="00F45EE2"/>
    <w:rsid w:val="00F474EE"/>
    <w:rsid w:val="00F50ECE"/>
    <w:rsid w:val="00F51131"/>
    <w:rsid w:val="00F51659"/>
    <w:rsid w:val="00F53C89"/>
    <w:rsid w:val="00F54606"/>
    <w:rsid w:val="00F5491F"/>
    <w:rsid w:val="00F555F9"/>
    <w:rsid w:val="00F56C60"/>
    <w:rsid w:val="00F5751D"/>
    <w:rsid w:val="00F621BB"/>
    <w:rsid w:val="00F6338B"/>
    <w:rsid w:val="00F638B7"/>
    <w:rsid w:val="00F6414D"/>
    <w:rsid w:val="00F642B7"/>
    <w:rsid w:val="00F64399"/>
    <w:rsid w:val="00F64C5D"/>
    <w:rsid w:val="00F65F34"/>
    <w:rsid w:val="00F663E4"/>
    <w:rsid w:val="00F669C4"/>
    <w:rsid w:val="00F6765A"/>
    <w:rsid w:val="00F67821"/>
    <w:rsid w:val="00F67C18"/>
    <w:rsid w:val="00F704FE"/>
    <w:rsid w:val="00F70B25"/>
    <w:rsid w:val="00F70B54"/>
    <w:rsid w:val="00F71231"/>
    <w:rsid w:val="00F7129F"/>
    <w:rsid w:val="00F7145F"/>
    <w:rsid w:val="00F72C9E"/>
    <w:rsid w:val="00F74E6B"/>
    <w:rsid w:val="00F75216"/>
    <w:rsid w:val="00F76AB5"/>
    <w:rsid w:val="00F7721F"/>
    <w:rsid w:val="00F81DA3"/>
    <w:rsid w:val="00F8229A"/>
    <w:rsid w:val="00F82675"/>
    <w:rsid w:val="00F82997"/>
    <w:rsid w:val="00F83AE3"/>
    <w:rsid w:val="00F8446C"/>
    <w:rsid w:val="00F84A93"/>
    <w:rsid w:val="00F84C59"/>
    <w:rsid w:val="00F85F1C"/>
    <w:rsid w:val="00F8770E"/>
    <w:rsid w:val="00F87F2B"/>
    <w:rsid w:val="00F905D3"/>
    <w:rsid w:val="00F907FF"/>
    <w:rsid w:val="00F90A15"/>
    <w:rsid w:val="00F91240"/>
    <w:rsid w:val="00F91BED"/>
    <w:rsid w:val="00F92465"/>
    <w:rsid w:val="00F93281"/>
    <w:rsid w:val="00F9333F"/>
    <w:rsid w:val="00F9351E"/>
    <w:rsid w:val="00F93B65"/>
    <w:rsid w:val="00F94595"/>
    <w:rsid w:val="00F9470D"/>
    <w:rsid w:val="00F95700"/>
    <w:rsid w:val="00F97B39"/>
    <w:rsid w:val="00FA0B55"/>
    <w:rsid w:val="00FA0FD9"/>
    <w:rsid w:val="00FA1335"/>
    <w:rsid w:val="00FA13DA"/>
    <w:rsid w:val="00FA1B47"/>
    <w:rsid w:val="00FA370F"/>
    <w:rsid w:val="00FA42C5"/>
    <w:rsid w:val="00FA48A8"/>
    <w:rsid w:val="00FA49D2"/>
    <w:rsid w:val="00FA6BED"/>
    <w:rsid w:val="00FA7700"/>
    <w:rsid w:val="00FA7DD7"/>
    <w:rsid w:val="00FA7DE3"/>
    <w:rsid w:val="00FB006B"/>
    <w:rsid w:val="00FB0C4B"/>
    <w:rsid w:val="00FB180F"/>
    <w:rsid w:val="00FB2A9A"/>
    <w:rsid w:val="00FB3F3C"/>
    <w:rsid w:val="00FB42E3"/>
    <w:rsid w:val="00FB586C"/>
    <w:rsid w:val="00FB6A9E"/>
    <w:rsid w:val="00FB79ED"/>
    <w:rsid w:val="00FC094A"/>
    <w:rsid w:val="00FC1747"/>
    <w:rsid w:val="00FC1944"/>
    <w:rsid w:val="00FC29BB"/>
    <w:rsid w:val="00FC3161"/>
    <w:rsid w:val="00FC3951"/>
    <w:rsid w:val="00FC3EE8"/>
    <w:rsid w:val="00FC41D3"/>
    <w:rsid w:val="00FC4B2D"/>
    <w:rsid w:val="00FC4BE1"/>
    <w:rsid w:val="00FC545E"/>
    <w:rsid w:val="00FC56A6"/>
    <w:rsid w:val="00FC5C58"/>
    <w:rsid w:val="00FC78E2"/>
    <w:rsid w:val="00FD2F4E"/>
    <w:rsid w:val="00FD31F6"/>
    <w:rsid w:val="00FD48DB"/>
    <w:rsid w:val="00FD4CDF"/>
    <w:rsid w:val="00FD4D89"/>
    <w:rsid w:val="00FD6411"/>
    <w:rsid w:val="00FD6881"/>
    <w:rsid w:val="00FD68AC"/>
    <w:rsid w:val="00FD6A7F"/>
    <w:rsid w:val="00FD785E"/>
    <w:rsid w:val="00FD78D4"/>
    <w:rsid w:val="00FD7BD2"/>
    <w:rsid w:val="00FD7F3A"/>
    <w:rsid w:val="00FE16D4"/>
    <w:rsid w:val="00FE1C11"/>
    <w:rsid w:val="00FE1F04"/>
    <w:rsid w:val="00FE279D"/>
    <w:rsid w:val="00FE2BCE"/>
    <w:rsid w:val="00FE5942"/>
    <w:rsid w:val="00FE5D4C"/>
    <w:rsid w:val="00FE5DDA"/>
    <w:rsid w:val="00FE6701"/>
    <w:rsid w:val="00FE69F7"/>
    <w:rsid w:val="00FE6A82"/>
    <w:rsid w:val="00FE794A"/>
    <w:rsid w:val="00FE7B73"/>
    <w:rsid w:val="00FE7BA2"/>
    <w:rsid w:val="00FE7F88"/>
    <w:rsid w:val="00FF015C"/>
    <w:rsid w:val="00FF016E"/>
    <w:rsid w:val="00FF08BA"/>
    <w:rsid w:val="00FF10EE"/>
    <w:rsid w:val="00FF2D7D"/>
    <w:rsid w:val="00FF2E36"/>
    <w:rsid w:val="00FF3182"/>
    <w:rsid w:val="00FF45E8"/>
    <w:rsid w:val="00FF4F15"/>
    <w:rsid w:val="00FF5413"/>
    <w:rsid w:val="00FF65A7"/>
    <w:rsid w:val="00FF6914"/>
    <w:rsid w:val="00FF6A30"/>
    <w:rsid w:val="0275C9EE"/>
    <w:rsid w:val="03D4ECC6"/>
    <w:rsid w:val="2506B968"/>
    <w:rsid w:val="36C09B19"/>
    <w:rsid w:val="3E24BE47"/>
    <w:rsid w:val="51583BB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2FCDA"/>
  <w15:chartTrackingRefBased/>
  <w15:docId w15:val="{777DE627-A757-4AE7-889A-14D52FCF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23839"/>
    <w:rPr>
      <w:rFonts w:ascii="Arial" w:hAnsi="Arial"/>
      <w:color w:val="15272F" w:themeColor="text1"/>
      <w:lang w:val="en-AU"/>
    </w:rPr>
  </w:style>
  <w:style w:type="paragraph" w:styleId="Heading1">
    <w:name w:val="heading 1"/>
    <w:basedOn w:val="Normal"/>
    <w:next w:val="Normal"/>
    <w:link w:val="Heading1Char"/>
    <w:uiPriority w:val="9"/>
    <w:qFormat/>
    <w:rsid w:val="0049520A"/>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49520A"/>
    <w:pPr>
      <w:keepNext/>
      <w:keepLines/>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F36DAD"/>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7F3660"/>
    <w:pPr>
      <w:keepNext/>
      <w:keepLines/>
      <w:numPr>
        <w:ilvl w:val="3"/>
        <w:numId w:val="8"/>
      </w:numPr>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numPr>
        <w:ilvl w:val="4"/>
        <w:numId w:val="8"/>
      </w:numPr>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uiPriority w:val="9"/>
    <w:semiHidden/>
    <w:unhideWhenUsed/>
    <w:qFormat/>
    <w:rsid w:val="005C1B62"/>
    <w:pPr>
      <w:keepNext/>
      <w:keepLines/>
      <w:numPr>
        <w:ilvl w:val="5"/>
        <w:numId w:val="8"/>
      </w:numPr>
      <w:spacing w:before="40" w:after="0"/>
      <w:outlineLvl w:val="5"/>
    </w:pPr>
    <w:rPr>
      <w:rFonts w:asciiTheme="majorHAnsi" w:eastAsiaTheme="majorEastAsia" w:hAnsiTheme="majorHAnsi" w:cstheme="majorBidi"/>
      <w:color w:val="0A1317" w:themeColor="accent1" w:themeShade="7F"/>
    </w:rPr>
  </w:style>
  <w:style w:type="paragraph" w:styleId="Heading7">
    <w:name w:val="heading 7"/>
    <w:basedOn w:val="Normal"/>
    <w:next w:val="Normal"/>
    <w:link w:val="Heading7Char"/>
    <w:uiPriority w:val="9"/>
    <w:semiHidden/>
    <w:unhideWhenUsed/>
    <w:qFormat/>
    <w:rsid w:val="005C1B62"/>
    <w:pPr>
      <w:keepNext/>
      <w:keepLines/>
      <w:numPr>
        <w:ilvl w:val="6"/>
        <w:numId w:val="8"/>
      </w:numPr>
      <w:spacing w:before="40" w:after="0"/>
      <w:outlineLvl w:val="6"/>
    </w:pPr>
    <w:rPr>
      <w:rFonts w:asciiTheme="majorHAnsi" w:eastAsiaTheme="majorEastAsia" w:hAnsiTheme="majorHAnsi" w:cstheme="majorBidi"/>
      <w:i/>
      <w:iCs/>
      <w:color w:val="0A1317" w:themeColor="accent1" w:themeShade="7F"/>
    </w:rPr>
  </w:style>
  <w:style w:type="paragraph" w:styleId="Heading8">
    <w:name w:val="heading 8"/>
    <w:basedOn w:val="Normal"/>
    <w:next w:val="Normal"/>
    <w:link w:val="Heading8Char"/>
    <w:uiPriority w:val="9"/>
    <w:semiHidden/>
    <w:unhideWhenUsed/>
    <w:qFormat/>
    <w:rsid w:val="005C1B62"/>
    <w:pPr>
      <w:keepNext/>
      <w:keepLines/>
      <w:numPr>
        <w:ilvl w:val="7"/>
        <w:numId w:val="8"/>
      </w:numPr>
      <w:spacing w:before="40" w:after="0"/>
      <w:outlineLvl w:val="7"/>
    </w:pPr>
    <w:rPr>
      <w:rFonts w:asciiTheme="majorHAnsi" w:eastAsiaTheme="majorEastAsia" w:hAnsiTheme="majorHAnsi" w:cstheme="majorBidi"/>
      <w:color w:val="294D5D" w:themeColor="text1" w:themeTint="D8"/>
      <w:sz w:val="21"/>
      <w:szCs w:val="21"/>
    </w:rPr>
  </w:style>
  <w:style w:type="paragraph" w:styleId="Heading9">
    <w:name w:val="heading 9"/>
    <w:basedOn w:val="Normal"/>
    <w:next w:val="Normal"/>
    <w:link w:val="Heading9Char"/>
    <w:uiPriority w:val="9"/>
    <w:semiHidden/>
    <w:unhideWhenUsed/>
    <w:qFormat/>
    <w:rsid w:val="005C1B62"/>
    <w:pPr>
      <w:keepNext/>
      <w:keepLines/>
      <w:numPr>
        <w:ilvl w:val="8"/>
        <w:numId w:val="8"/>
      </w:numPr>
      <w:spacing w:before="40" w:after="0"/>
      <w:outlineLvl w:val="8"/>
    </w:pPr>
    <w:rPr>
      <w:rFonts w:asciiTheme="majorHAnsi" w:eastAsiaTheme="majorEastAsia" w:hAnsiTheme="majorHAnsi" w:cstheme="majorBidi"/>
      <w:i/>
      <w:iCs/>
      <w:color w:val="294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20A"/>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49520A"/>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F36DAD"/>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7F3660"/>
    <w:rPr>
      <w:rFonts w:ascii="Arial" w:eastAsiaTheme="majorEastAsia" w:hAnsi="Arial" w:cstheme="majorBidi"/>
      <w:b/>
      <w:iCs/>
      <w:color w:val="15272F" w:themeColor="text1"/>
      <w:lang w:val="en-AU"/>
    </w:rPr>
  </w:style>
  <w:style w:type="paragraph" w:customStyle="1" w:styleId="ListLevel1">
    <w:name w:val="List Level 1"/>
    <w:basedOn w:val="ListLevel2"/>
    <w:link w:val="ListLevel1Char"/>
    <w:qFormat/>
    <w:rsid w:val="0049520A"/>
    <w:pPr>
      <w:numPr>
        <w:numId w:val="2"/>
      </w:numPr>
    </w:pPr>
  </w:style>
  <w:style w:type="paragraph" w:customStyle="1" w:styleId="ListLevel2">
    <w:name w:val="List Level 2"/>
    <w:basedOn w:val="Normal"/>
    <w:link w:val="ListLevel2Char"/>
    <w:qFormat/>
    <w:rsid w:val="0049520A"/>
    <w:pPr>
      <w:numPr>
        <w:ilvl w:val="1"/>
        <w:numId w:val="1"/>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49520A"/>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lang w:val="en-AU"/>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Recommendation,List Paragraph1,Bullet table,Bullet L1,List Paragraph11,Bullet point,Figure_name,Numbered Indented Text,Bullet- First level,List NUmber,Listenabsatz1,lp1,Body text,NAST Quote,standard lewis,List Number1,Body Text1"/>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Arial" w:eastAsiaTheme="majorEastAsia" w:hAnsi="Arial" w:cstheme="majorBidi"/>
      <w:b w:val="0"/>
      <w:iCs/>
      <w:color w:val="008F55" w:themeColor="accent4"/>
      <w:lang w:val="en-AU"/>
    </w:rPr>
  </w:style>
  <w:style w:type="table" w:styleId="TableGrid">
    <w:name w:val="Table Grid"/>
    <w:basedOn w:val="TableNormal"/>
    <w:uiPriority w:val="59"/>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6373CB"/>
    <w:pPr>
      <w:tabs>
        <w:tab w:val="left" w:pos="442"/>
        <w:tab w:val="right" w:leader="dot" w:pos="9736"/>
      </w:tabs>
      <w:spacing w:after="120"/>
    </w:pPr>
    <w:rPr>
      <w:b/>
      <w:sz w:val="28"/>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Arial" w:eastAsiaTheme="majorEastAsia" w:hAnsi="Arial" w:cstheme="majorBidi"/>
      <w:b/>
      <w:color w:val="0F1D23" w:themeColor="accent1" w:themeShade="BF"/>
      <w:lang w:val="en-AU"/>
    </w:rPr>
  </w:style>
  <w:style w:type="paragraph" w:styleId="NoSpacing">
    <w:name w:val="No Spacing"/>
    <w:link w:val="NoSpacingChar"/>
    <w:uiPriority w:val="1"/>
    <w:qFormat/>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paragraph" w:styleId="TOC2">
    <w:name w:val="toc 2"/>
    <w:basedOn w:val="Normal"/>
    <w:next w:val="Normal"/>
    <w:autoRedefine/>
    <w:uiPriority w:val="39"/>
    <w:unhideWhenUsed/>
    <w:rsid w:val="000A6047"/>
    <w:pPr>
      <w:spacing w:after="100"/>
      <w:ind w:left="220"/>
    </w:pPr>
  </w:style>
  <w:style w:type="paragraph" w:styleId="TOCHeading">
    <w:name w:val="TOC Heading"/>
    <w:basedOn w:val="Heading1"/>
    <w:next w:val="Normal"/>
    <w:uiPriority w:val="39"/>
    <w:unhideWhenUsed/>
    <w:qFormat/>
    <w:rsid w:val="00367B5A"/>
    <w:pPr>
      <w:spacing w:before="240" w:after="0" w:line="259" w:lineRule="auto"/>
      <w:outlineLvl w:val="9"/>
    </w:pPr>
    <w:rPr>
      <w:rFonts w:asciiTheme="majorHAnsi" w:hAnsiTheme="majorHAnsi"/>
      <w:b w:val="0"/>
      <w:color w:val="0F1D23" w:themeColor="accent1" w:themeShade="BF"/>
      <w:sz w:val="32"/>
      <w:lang w:val="en-US"/>
    </w:rPr>
  </w:style>
  <w:style w:type="paragraph" w:styleId="TOC3">
    <w:name w:val="toc 3"/>
    <w:basedOn w:val="Normal"/>
    <w:next w:val="Normal"/>
    <w:autoRedefine/>
    <w:uiPriority w:val="39"/>
    <w:unhideWhenUsed/>
    <w:rsid w:val="001A6FEC"/>
    <w:pPr>
      <w:tabs>
        <w:tab w:val="left" w:pos="993"/>
        <w:tab w:val="right" w:leader="dot" w:pos="9736"/>
      </w:tabs>
      <w:spacing w:after="120" w:line="240" w:lineRule="auto"/>
      <w:ind w:left="442"/>
    </w:pPr>
  </w:style>
  <w:style w:type="character" w:customStyle="1" w:styleId="ListParagraphChar">
    <w:name w:val="List Paragraph Char"/>
    <w:aliases w:val="Recommendation Char,List Paragraph1 Char,Bullet table Char,Bullet L1 Char,List Paragraph11 Char,Bullet point Char,Figure_name Char,Numbered Indented Text Char,Bullet- First level Char,List NUmber Char,Listenabsatz1 Char,lp1 Char"/>
    <w:link w:val="ListParagraph"/>
    <w:uiPriority w:val="34"/>
    <w:locked/>
    <w:rsid w:val="00AF6386"/>
    <w:rPr>
      <w:rFonts w:ascii="Arial" w:hAnsi="Arial"/>
      <w:color w:val="15272F" w:themeColor="text1"/>
    </w:rPr>
  </w:style>
  <w:style w:type="character" w:customStyle="1" w:styleId="NoSpacingChar">
    <w:name w:val="No Spacing Char"/>
    <w:basedOn w:val="DefaultParagraphFont"/>
    <w:link w:val="NoSpacing"/>
    <w:uiPriority w:val="1"/>
    <w:rsid w:val="00AF6386"/>
    <w:rPr>
      <w:rFonts w:ascii="Arial" w:hAnsi="Arial"/>
      <w:color w:val="15272F" w:themeColor="text1"/>
    </w:rPr>
  </w:style>
  <w:style w:type="paragraph" w:customStyle="1" w:styleId="Default">
    <w:name w:val="Default"/>
    <w:rsid w:val="00AF6386"/>
    <w:pPr>
      <w:autoSpaceDE w:val="0"/>
      <w:autoSpaceDN w:val="0"/>
      <w:adjustRightInd w:val="0"/>
      <w:spacing w:after="0" w:line="240" w:lineRule="auto"/>
    </w:pPr>
    <w:rPr>
      <w:rFonts w:ascii="Arial" w:eastAsia="Times New Roman" w:hAnsi="Arial" w:cs="Arial"/>
      <w:color w:val="000000"/>
      <w:sz w:val="24"/>
      <w:szCs w:val="24"/>
      <w:lang w:val="en-US" w:eastAsia="en-AU"/>
    </w:rPr>
  </w:style>
  <w:style w:type="paragraph" w:styleId="ListBullet">
    <w:name w:val="List Bullet"/>
    <w:basedOn w:val="Normal"/>
    <w:autoRedefine/>
    <w:uiPriority w:val="3"/>
    <w:rsid w:val="007204C2"/>
    <w:pPr>
      <w:keepLines/>
    </w:pPr>
    <w:rPr>
      <w:rFonts w:eastAsia="Times New Roman" w:cs="Times New Roman"/>
      <w:szCs w:val="24"/>
      <w:lang w:eastAsia="en-AU"/>
    </w:rPr>
  </w:style>
  <w:style w:type="paragraph" w:styleId="Caption">
    <w:name w:val="caption"/>
    <w:basedOn w:val="Normal"/>
    <w:next w:val="Normal"/>
    <w:autoRedefine/>
    <w:unhideWhenUsed/>
    <w:rsid w:val="004E2BB8"/>
    <w:pPr>
      <w:keepNext/>
    </w:pPr>
    <w:rPr>
      <w:rFonts w:eastAsia="Times New Roman" w:cs="Times New Roman"/>
      <w:b/>
      <w:color w:val="auto"/>
      <w:lang w:eastAsia="en-AU"/>
    </w:rPr>
  </w:style>
  <w:style w:type="character" w:styleId="IntenseReference">
    <w:name w:val="Intense Reference"/>
    <w:basedOn w:val="DefaultParagraphFont"/>
    <w:uiPriority w:val="32"/>
    <w:qFormat/>
    <w:rsid w:val="005C1B62"/>
    <w:rPr>
      <w:b/>
      <w:bCs/>
      <w:smallCaps/>
      <w:color w:val="104F99" w:themeColor="accent2"/>
      <w:spacing w:val="5"/>
      <w:u w:val="single"/>
    </w:rPr>
  </w:style>
  <w:style w:type="character" w:customStyle="1" w:styleId="Heading6Char">
    <w:name w:val="Heading 6 Char"/>
    <w:basedOn w:val="DefaultParagraphFont"/>
    <w:link w:val="Heading6"/>
    <w:uiPriority w:val="9"/>
    <w:semiHidden/>
    <w:rsid w:val="005C1B62"/>
    <w:rPr>
      <w:rFonts w:asciiTheme="majorHAnsi" w:eastAsiaTheme="majorEastAsia" w:hAnsiTheme="majorHAnsi" w:cstheme="majorBidi"/>
      <w:color w:val="0A1317" w:themeColor="accent1" w:themeShade="7F"/>
      <w:lang w:val="en-AU"/>
    </w:rPr>
  </w:style>
  <w:style w:type="character" w:customStyle="1" w:styleId="Heading7Char">
    <w:name w:val="Heading 7 Char"/>
    <w:basedOn w:val="DefaultParagraphFont"/>
    <w:link w:val="Heading7"/>
    <w:uiPriority w:val="9"/>
    <w:semiHidden/>
    <w:rsid w:val="005C1B62"/>
    <w:rPr>
      <w:rFonts w:asciiTheme="majorHAnsi" w:eastAsiaTheme="majorEastAsia" w:hAnsiTheme="majorHAnsi" w:cstheme="majorBidi"/>
      <w:i/>
      <w:iCs/>
      <w:color w:val="0A1317" w:themeColor="accent1" w:themeShade="7F"/>
      <w:lang w:val="en-AU"/>
    </w:rPr>
  </w:style>
  <w:style w:type="character" w:customStyle="1" w:styleId="Heading8Char">
    <w:name w:val="Heading 8 Char"/>
    <w:basedOn w:val="DefaultParagraphFont"/>
    <w:link w:val="Heading8"/>
    <w:uiPriority w:val="9"/>
    <w:semiHidden/>
    <w:rsid w:val="005C1B62"/>
    <w:rPr>
      <w:rFonts w:asciiTheme="majorHAnsi" w:eastAsiaTheme="majorEastAsia" w:hAnsiTheme="majorHAnsi" w:cstheme="majorBidi"/>
      <w:color w:val="294D5D" w:themeColor="text1" w:themeTint="D8"/>
      <w:sz w:val="21"/>
      <w:szCs w:val="21"/>
      <w:lang w:val="en-AU"/>
    </w:rPr>
  </w:style>
  <w:style w:type="character" w:customStyle="1" w:styleId="Heading9Char">
    <w:name w:val="Heading 9 Char"/>
    <w:basedOn w:val="DefaultParagraphFont"/>
    <w:link w:val="Heading9"/>
    <w:uiPriority w:val="9"/>
    <w:semiHidden/>
    <w:rsid w:val="005C1B62"/>
    <w:rPr>
      <w:rFonts w:asciiTheme="majorHAnsi" w:eastAsiaTheme="majorEastAsia" w:hAnsiTheme="majorHAnsi" w:cstheme="majorBidi"/>
      <w:i/>
      <w:iCs/>
      <w:color w:val="294D5D" w:themeColor="text1" w:themeTint="D8"/>
      <w:sz w:val="21"/>
      <w:szCs w:val="21"/>
      <w:lang w:val="en-AU"/>
    </w:rPr>
  </w:style>
  <w:style w:type="paragraph" w:styleId="FootnoteText">
    <w:name w:val="footnote text"/>
    <w:basedOn w:val="Normal"/>
    <w:link w:val="FootnoteTextChar"/>
    <w:autoRedefine/>
    <w:uiPriority w:val="99"/>
    <w:rsid w:val="00C76E24"/>
    <w:pPr>
      <w:spacing w:after="0" w:line="240" w:lineRule="auto"/>
      <w:ind w:left="142" w:hanging="142"/>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C76E24"/>
    <w:rPr>
      <w:rFonts w:ascii="Arial" w:eastAsia="Times New Roman" w:hAnsi="Arial" w:cs="Times New Roman"/>
      <w:color w:val="15272F" w:themeColor="text1"/>
      <w:sz w:val="20"/>
      <w:szCs w:val="20"/>
      <w:lang w:val="en-AU" w:eastAsia="en-AU"/>
    </w:rPr>
  </w:style>
  <w:style w:type="character" w:styleId="FootnoteReference">
    <w:name w:val="footnote reference"/>
    <w:basedOn w:val="DefaultParagraphFont"/>
    <w:uiPriority w:val="99"/>
    <w:rsid w:val="00F057B2"/>
    <w:rPr>
      <w:vertAlign w:val="superscript"/>
    </w:rPr>
  </w:style>
  <w:style w:type="table" w:customStyle="1" w:styleId="ListTable3-Accent11">
    <w:name w:val="List Table 3 - Accent 11"/>
    <w:basedOn w:val="TableNormal"/>
    <w:uiPriority w:val="48"/>
    <w:rsid w:val="00F057B2"/>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15272F" w:themeColor="accent1"/>
        <w:left w:val="single" w:sz="4" w:space="0" w:color="15272F" w:themeColor="accent1"/>
        <w:bottom w:val="single" w:sz="4" w:space="0" w:color="15272F" w:themeColor="accent1"/>
        <w:right w:val="single" w:sz="4" w:space="0" w:color="15272F" w:themeColor="accent1"/>
      </w:tblBorders>
    </w:tblPr>
    <w:tblStylePr w:type="firstRow">
      <w:rPr>
        <w:b/>
        <w:bCs/>
        <w:color w:val="54C1AF" w:themeColor="background1"/>
      </w:rPr>
      <w:tblPr/>
      <w:tcPr>
        <w:shd w:val="clear" w:color="auto" w:fill="15272F" w:themeFill="accent1"/>
      </w:tcPr>
    </w:tblStylePr>
    <w:tblStylePr w:type="lastRow">
      <w:rPr>
        <w:b/>
        <w:bCs/>
      </w:rPr>
      <w:tblPr/>
      <w:tcPr>
        <w:tcBorders>
          <w:top w:val="double" w:sz="4" w:space="0" w:color="15272F" w:themeColor="accent1"/>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5272F" w:themeColor="accent1"/>
          <w:right w:val="single" w:sz="4" w:space="0" w:color="15272F" w:themeColor="accent1"/>
        </w:tcBorders>
      </w:tcPr>
    </w:tblStylePr>
    <w:tblStylePr w:type="band1Horz">
      <w:tblPr/>
      <w:tcPr>
        <w:tcBorders>
          <w:top w:val="single" w:sz="4" w:space="0" w:color="15272F" w:themeColor="accent1"/>
          <w:bottom w:val="single" w:sz="4" w:space="0" w:color="15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72F" w:themeColor="accent1"/>
          <w:left w:val="nil"/>
        </w:tcBorders>
      </w:tcPr>
    </w:tblStylePr>
    <w:tblStylePr w:type="swCell">
      <w:tblPr/>
      <w:tcPr>
        <w:tcBorders>
          <w:top w:val="double" w:sz="4" w:space="0" w:color="15272F" w:themeColor="accent1"/>
          <w:right w:val="nil"/>
        </w:tcBorders>
      </w:tcPr>
    </w:tblStylePr>
  </w:style>
  <w:style w:type="character" w:styleId="CommentReference">
    <w:name w:val="annotation reference"/>
    <w:basedOn w:val="DefaultParagraphFont"/>
    <w:uiPriority w:val="99"/>
    <w:semiHidden/>
    <w:unhideWhenUsed/>
    <w:rsid w:val="002F3832"/>
    <w:rPr>
      <w:sz w:val="16"/>
      <w:szCs w:val="16"/>
    </w:rPr>
  </w:style>
  <w:style w:type="paragraph" w:styleId="CommentText">
    <w:name w:val="annotation text"/>
    <w:basedOn w:val="Normal"/>
    <w:link w:val="CommentTextChar"/>
    <w:uiPriority w:val="99"/>
    <w:unhideWhenUsed/>
    <w:rsid w:val="002F3832"/>
    <w:pPr>
      <w:spacing w:line="240" w:lineRule="auto"/>
    </w:pPr>
    <w:rPr>
      <w:sz w:val="20"/>
      <w:szCs w:val="20"/>
    </w:rPr>
  </w:style>
  <w:style w:type="character" w:customStyle="1" w:styleId="CommentTextChar">
    <w:name w:val="Comment Text Char"/>
    <w:basedOn w:val="DefaultParagraphFont"/>
    <w:link w:val="CommentText"/>
    <w:uiPriority w:val="99"/>
    <w:rsid w:val="002F3832"/>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2F3832"/>
    <w:rPr>
      <w:b/>
      <w:bCs/>
    </w:rPr>
  </w:style>
  <w:style w:type="character" w:customStyle="1" w:styleId="CommentSubjectChar">
    <w:name w:val="Comment Subject Char"/>
    <w:basedOn w:val="CommentTextChar"/>
    <w:link w:val="CommentSubject"/>
    <w:uiPriority w:val="99"/>
    <w:semiHidden/>
    <w:rsid w:val="002F3832"/>
    <w:rPr>
      <w:rFonts w:ascii="Arial" w:hAnsi="Arial"/>
      <w:b/>
      <w:bCs/>
      <w:color w:val="15272F" w:themeColor="text1"/>
      <w:sz w:val="20"/>
      <w:szCs w:val="20"/>
    </w:rPr>
  </w:style>
  <w:style w:type="character" w:styleId="FollowedHyperlink">
    <w:name w:val="FollowedHyperlink"/>
    <w:basedOn w:val="DefaultParagraphFont"/>
    <w:uiPriority w:val="99"/>
    <w:semiHidden/>
    <w:unhideWhenUsed/>
    <w:rsid w:val="00AB2EE4"/>
    <w:rPr>
      <w:color w:val="104F99" w:themeColor="followedHyperlink"/>
      <w:u w:val="single"/>
    </w:rPr>
  </w:style>
  <w:style w:type="paragraph" w:styleId="Revision">
    <w:name w:val="Revision"/>
    <w:hidden/>
    <w:uiPriority w:val="99"/>
    <w:semiHidden/>
    <w:rsid w:val="00AB2EE4"/>
    <w:pPr>
      <w:spacing w:after="0" w:line="240" w:lineRule="auto"/>
    </w:pPr>
    <w:rPr>
      <w:rFonts w:ascii="Arial" w:hAnsi="Arial"/>
      <w:color w:val="15272F" w:themeColor="text1"/>
    </w:rPr>
  </w:style>
  <w:style w:type="paragraph" w:styleId="BodyText">
    <w:name w:val="Body Text"/>
    <w:basedOn w:val="Normal"/>
    <w:link w:val="BodyTextChar"/>
    <w:uiPriority w:val="1"/>
    <w:qFormat/>
    <w:rsid w:val="00E827D4"/>
    <w:pPr>
      <w:widowControl w:val="0"/>
      <w:autoSpaceDE w:val="0"/>
      <w:autoSpaceDN w:val="0"/>
      <w:spacing w:after="0" w:line="240" w:lineRule="auto"/>
    </w:pPr>
    <w:rPr>
      <w:rFonts w:eastAsia="Arial" w:cs="Arial"/>
      <w:color w:val="auto"/>
      <w:lang w:val="en-US"/>
    </w:rPr>
  </w:style>
  <w:style w:type="character" w:customStyle="1" w:styleId="BodyTextChar">
    <w:name w:val="Body Text Char"/>
    <w:basedOn w:val="DefaultParagraphFont"/>
    <w:link w:val="BodyText"/>
    <w:uiPriority w:val="1"/>
    <w:rsid w:val="00E827D4"/>
    <w:rPr>
      <w:rFonts w:ascii="Arial" w:eastAsia="Arial" w:hAnsi="Arial" w:cs="Arial"/>
      <w:lang w:val="en-US"/>
    </w:rPr>
  </w:style>
  <w:style w:type="character" w:styleId="PlaceholderText">
    <w:name w:val="Placeholder Text"/>
    <w:basedOn w:val="DefaultParagraphFont"/>
    <w:uiPriority w:val="99"/>
    <w:semiHidden/>
    <w:rsid w:val="00D300A1"/>
    <w:rPr>
      <w:color w:val="666666"/>
    </w:rPr>
  </w:style>
  <w:style w:type="table" w:styleId="GridTable4-Accent2">
    <w:name w:val="Grid Table 4 Accent 2"/>
    <w:basedOn w:val="TableNormal"/>
    <w:uiPriority w:val="49"/>
    <w:rsid w:val="00441CFF"/>
    <w:pPr>
      <w:spacing w:after="0" w:line="240" w:lineRule="auto"/>
    </w:pPr>
    <w:tblPr>
      <w:tblStyleRowBandSize w:val="1"/>
      <w:tblStyleColBandSize w:val="1"/>
      <w:tblBorders>
        <w:top w:val="single" w:sz="4" w:space="0" w:color="4591EB" w:themeColor="accent2" w:themeTint="99"/>
        <w:left w:val="single" w:sz="4" w:space="0" w:color="4591EB" w:themeColor="accent2" w:themeTint="99"/>
        <w:bottom w:val="single" w:sz="4" w:space="0" w:color="4591EB" w:themeColor="accent2" w:themeTint="99"/>
        <w:right w:val="single" w:sz="4" w:space="0" w:color="4591EB" w:themeColor="accent2" w:themeTint="99"/>
        <w:insideH w:val="single" w:sz="4" w:space="0" w:color="4591EB" w:themeColor="accent2" w:themeTint="99"/>
        <w:insideV w:val="single" w:sz="4" w:space="0" w:color="4591EB" w:themeColor="accent2" w:themeTint="99"/>
      </w:tblBorders>
    </w:tblPr>
    <w:tblStylePr w:type="firstRow">
      <w:rPr>
        <w:b/>
        <w:bCs/>
        <w:color w:val="54C1AF" w:themeColor="background1"/>
      </w:rPr>
      <w:tblPr/>
      <w:tcPr>
        <w:tcBorders>
          <w:top w:val="single" w:sz="4" w:space="0" w:color="104F99" w:themeColor="accent2"/>
          <w:left w:val="single" w:sz="4" w:space="0" w:color="104F99" w:themeColor="accent2"/>
          <w:bottom w:val="single" w:sz="4" w:space="0" w:color="104F99" w:themeColor="accent2"/>
          <w:right w:val="single" w:sz="4" w:space="0" w:color="104F99" w:themeColor="accent2"/>
          <w:insideH w:val="nil"/>
          <w:insideV w:val="nil"/>
        </w:tcBorders>
        <w:shd w:val="clear" w:color="auto" w:fill="104F99" w:themeFill="accent2"/>
      </w:tcPr>
    </w:tblStylePr>
    <w:tblStylePr w:type="lastRow">
      <w:rPr>
        <w:b/>
        <w:bCs/>
      </w:rPr>
      <w:tblPr/>
      <w:tcPr>
        <w:tcBorders>
          <w:top w:val="double" w:sz="4" w:space="0" w:color="104F99" w:themeColor="accent2"/>
        </w:tcBorders>
      </w:tcPr>
    </w:tblStylePr>
    <w:tblStylePr w:type="firstCol">
      <w:rPr>
        <w:b/>
        <w:bCs/>
      </w:rPr>
    </w:tblStylePr>
    <w:tblStylePr w:type="lastCol">
      <w:rPr>
        <w:b/>
        <w:bCs/>
      </w:rPr>
    </w:tblStylePr>
    <w:tblStylePr w:type="band1Vert">
      <w:tblPr/>
      <w:tcPr>
        <w:shd w:val="clear" w:color="auto" w:fill="C1DAF8" w:themeFill="accent2" w:themeFillTint="33"/>
      </w:tcPr>
    </w:tblStylePr>
    <w:tblStylePr w:type="band1Horz">
      <w:tblPr/>
      <w:tcPr>
        <w:shd w:val="clear" w:color="auto" w:fill="C1DAF8" w:themeFill="accent2" w:themeFillTint="33"/>
      </w:tcPr>
    </w:tblStylePr>
  </w:style>
  <w:style w:type="paragraph" w:customStyle="1" w:styleId="Attachment">
    <w:name w:val="Attachment"/>
    <w:basedOn w:val="Normal"/>
    <w:uiPriority w:val="2"/>
    <w:qFormat/>
    <w:rsid w:val="00531AE3"/>
    <w:pPr>
      <w:numPr>
        <w:numId w:val="28"/>
      </w:numPr>
      <w:spacing w:after="12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78343">
      <w:bodyDiv w:val="1"/>
      <w:marLeft w:val="0"/>
      <w:marRight w:val="0"/>
      <w:marTop w:val="0"/>
      <w:marBottom w:val="0"/>
      <w:divBdr>
        <w:top w:val="none" w:sz="0" w:space="0" w:color="auto"/>
        <w:left w:val="none" w:sz="0" w:space="0" w:color="auto"/>
        <w:bottom w:val="none" w:sz="0" w:space="0" w:color="auto"/>
        <w:right w:val="none" w:sz="0" w:space="0" w:color="auto"/>
      </w:divBdr>
    </w:div>
    <w:div w:id="939336925">
      <w:bodyDiv w:val="1"/>
      <w:marLeft w:val="0"/>
      <w:marRight w:val="0"/>
      <w:marTop w:val="0"/>
      <w:marBottom w:val="0"/>
      <w:divBdr>
        <w:top w:val="none" w:sz="0" w:space="0" w:color="auto"/>
        <w:left w:val="none" w:sz="0" w:space="0" w:color="auto"/>
        <w:bottom w:val="none" w:sz="0" w:space="0" w:color="auto"/>
        <w:right w:val="none" w:sz="0" w:space="0" w:color="auto"/>
      </w:divBdr>
    </w:div>
    <w:div w:id="1176769676">
      <w:bodyDiv w:val="1"/>
      <w:marLeft w:val="0"/>
      <w:marRight w:val="0"/>
      <w:marTop w:val="0"/>
      <w:marBottom w:val="0"/>
      <w:divBdr>
        <w:top w:val="none" w:sz="0" w:space="0" w:color="auto"/>
        <w:left w:val="none" w:sz="0" w:space="0" w:color="auto"/>
        <w:bottom w:val="none" w:sz="0" w:space="0" w:color="auto"/>
        <w:right w:val="none" w:sz="0" w:space="0" w:color="auto"/>
      </w:divBdr>
    </w:div>
    <w:div w:id="1781949371">
      <w:bodyDiv w:val="1"/>
      <w:marLeft w:val="0"/>
      <w:marRight w:val="0"/>
      <w:marTop w:val="0"/>
      <w:marBottom w:val="0"/>
      <w:divBdr>
        <w:top w:val="none" w:sz="0" w:space="0" w:color="auto"/>
        <w:left w:val="none" w:sz="0" w:space="0" w:color="auto"/>
        <w:bottom w:val="none" w:sz="0" w:space="0" w:color="auto"/>
        <w:right w:val="none" w:sz="0" w:space="0" w:color="auto"/>
      </w:divBdr>
    </w:div>
    <w:div w:id="1882938103">
      <w:bodyDiv w:val="1"/>
      <w:marLeft w:val="0"/>
      <w:marRight w:val="0"/>
      <w:marTop w:val="0"/>
      <w:marBottom w:val="0"/>
      <w:divBdr>
        <w:top w:val="none" w:sz="0" w:space="0" w:color="auto"/>
        <w:left w:val="none" w:sz="0" w:space="0" w:color="auto"/>
        <w:bottom w:val="none" w:sz="0" w:space="0" w:color="auto"/>
        <w:right w:val="none" w:sz="0" w:space="0" w:color="auto"/>
      </w:divBdr>
    </w:div>
    <w:div w:id="1918126817">
      <w:bodyDiv w:val="1"/>
      <w:marLeft w:val="0"/>
      <w:marRight w:val="0"/>
      <w:marTop w:val="0"/>
      <w:marBottom w:val="0"/>
      <w:divBdr>
        <w:top w:val="none" w:sz="0" w:space="0" w:color="auto"/>
        <w:left w:val="none" w:sz="0" w:space="0" w:color="auto"/>
        <w:bottom w:val="none" w:sz="0" w:space="0" w:color="auto"/>
        <w:right w:val="none" w:sz="0" w:space="0" w:color="auto"/>
      </w:divBdr>
    </w:div>
    <w:div w:id="21450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ihacpa.gov.au/resources/development-icd-10-amachiacs-thirteenth-edition-and-ar-drg-version-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hacpa.gov.au/" TargetMode="External"/><Relationship Id="rId5" Type="http://schemas.openxmlformats.org/officeDocument/2006/relationships/numbering" Target="numbering.xml"/><Relationship Id="rId15" Type="http://schemas.openxmlformats.org/officeDocument/2006/relationships/hyperlink" Target="https://creativecommons.org/licenses/by-nc-nd/4.0/" TargetMode="External"/><Relationship Id="rId23" Type="http://schemas.openxmlformats.org/officeDocument/2006/relationships/hyperlink" Target="mailto:enquiries.ihacpa@ihacp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sv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Props1.xml><?xml version="1.0" encoding="utf-8"?>
<ds:datastoreItem xmlns:ds="http://schemas.openxmlformats.org/officeDocument/2006/customXml" ds:itemID="{97B770D2-F328-40D2-8ACB-FFE1069D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0B3D3-796A-42F8-A098-234497BAD135}">
  <ds:schemaRefs>
    <ds:schemaRef ds:uri="http://schemas.microsoft.com/sharepoint/v3/contenttype/forms"/>
  </ds:schemaRefs>
</ds:datastoreItem>
</file>

<file path=customXml/itemProps3.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4.xml><?xml version="1.0" encoding="utf-8"?>
<ds:datastoreItem xmlns:ds="http://schemas.openxmlformats.org/officeDocument/2006/customXml" ds:itemID="{4BEDFDCB-1335-4834-AC94-8499D401E3D9}">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8622</Words>
  <Characters>52812</Characters>
  <Application>Microsoft Office Word</Application>
  <DocSecurity>0</DocSecurity>
  <Lines>440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61312</CharactersWithSpaces>
  <SharedDoc>false</SharedDoc>
  <HLinks>
    <vt:vector size="258" baseType="variant">
      <vt:variant>
        <vt:i4>4784202</vt:i4>
      </vt:variant>
      <vt:variant>
        <vt:i4>309</vt:i4>
      </vt:variant>
      <vt:variant>
        <vt:i4>0</vt:i4>
      </vt:variant>
      <vt:variant>
        <vt:i4>5</vt:i4>
      </vt:variant>
      <vt:variant>
        <vt:lpwstr>http://www.ihacpa.gov.au/</vt:lpwstr>
      </vt:variant>
      <vt:variant>
        <vt:lpwstr/>
      </vt:variant>
      <vt:variant>
        <vt:i4>2555925</vt:i4>
      </vt:variant>
      <vt:variant>
        <vt:i4>306</vt:i4>
      </vt:variant>
      <vt:variant>
        <vt:i4>0</vt:i4>
      </vt:variant>
      <vt:variant>
        <vt:i4>5</vt:i4>
      </vt:variant>
      <vt:variant>
        <vt:lpwstr>mailto:enquiries.ihacpa@ihacpa.gov.au</vt:lpwstr>
      </vt:variant>
      <vt:variant>
        <vt:lpwstr/>
      </vt:variant>
      <vt:variant>
        <vt:i4>3997795</vt:i4>
      </vt:variant>
      <vt:variant>
        <vt:i4>243</vt:i4>
      </vt:variant>
      <vt:variant>
        <vt:i4>0</vt:i4>
      </vt:variant>
      <vt:variant>
        <vt:i4>5</vt:i4>
      </vt:variant>
      <vt:variant>
        <vt:lpwstr>https://www.ihacpa.gov.au/resources/development-icd-10-amachiacs-thirteenth-edition-and-ar-drg-version-120</vt:lpwstr>
      </vt:variant>
      <vt:variant>
        <vt:lpwstr/>
      </vt:variant>
      <vt:variant>
        <vt:i4>7405604</vt:i4>
      </vt:variant>
      <vt:variant>
        <vt:i4>240</vt:i4>
      </vt:variant>
      <vt:variant>
        <vt:i4>0</vt:i4>
      </vt:variant>
      <vt:variant>
        <vt:i4>5</vt:i4>
      </vt:variant>
      <vt:variant>
        <vt:lpwstr>https://www.ihacpa.gov.au/resources/governance-framework-development-admitted-care-classifications</vt:lpwstr>
      </vt:variant>
      <vt:variant>
        <vt:lpwstr/>
      </vt:variant>
      <vt:variant>
        <vt:i4>1441855</vt:i4>
      </vt:variant>
      <vt:variant>
        <vt:i4>227</vt:i4>
      </vt:variant>
      <vt:variant>
        <vt:i4>0</vt:i4>
      </vt:variant>
      <vt:variant>
        <vt:i4>5</vt:i4>
      </vt:variant>
      <vt:variant>
        <vt:lpwstr/>
      </vt:variant>
      <vt:variant>
        <vt:lpwstr>_Toc189833429</vt:lpwstr>
      </vt:variant>
      <vt:variant>
        <vt:i4>1441855</vt:i4>
      </vt:variant>
      <vt:variant>
        <vt:i4>221</vt:i4>
      </vt:variant>
      <vt:variant>
        <vt:i4>0</vt:i4>
      </vt:variant>
      <vt:variant>
        <vt:i4>5</vt:i4>
      </vt:variant>
      <vt:variant>
        <vt:lpwstr/>
      </vt:variant>
      <vt:variant>
        <vt:lpwstr>_Toc189833428</vt:lpwstr>
      </vt:variant>
      <vt:variant>
        <vt:i4>1441855</vt:i4>
      </vt:variant>
      <vt:variant>
        <vt:i4>215</vt:i4>
      </vt:variant>
      <vt:variant>
        <vt:i4>0</vt:i4>
      </vt:variant>
      <vt:variant>
        <vt:i4>5</vt:i4>
      </vt:variant>
      <vt:variant>
        <vt:lpwstr/>
      </vt:variant>
      <vt:variant>
        <vt:lpwstr>_Toc189833427</vt:lpwstr>
      </vt:variant>
      <vt:variant>
        <vt:i4>1441855</vt:i4>
      </vt:variant>
      <vt:variant>
        <vt:i4>209</vt:i4>
      </vt:variant>
      <vt:variant>
        <vt:i4>0</vt:i4>
      </vt:variant>
      <vt:variant>
        <vt:i4>5</vt:i4>
      </vt:variant>
      <vt:variant>
        <vt:lpwstr/>
      </vt:variant>
      <vt:variant>
        <vt:lpwstr>_Toc189833426</vt:lpwstr>
      </vt:variant>
      <vt:variant>
        <vt:i4>1441855</vt:i4>
      </vt:variant>
      <vt:variant>
        <vt:i4>203</vt:i4>
      </vt:variant>
      <vt:variant>
        <vt:i4>0</vt:i4>
      </vt:variant>
      <vt:variant>
        <vt:i4>5</vt:i4>
      </vt:variant>
      <vt:variant>
        <vt:lpwstr/>
      </vt:variant>
      <vt:variant>
        <vt:lpwstr>_Toc189833425</vt:lpwstr>
      </vt:variant>
      <vt:variant>
        <vt:i4>1441855</vt:i4>
      </vt:variant>
      <vt:variant>
        <vt:i4>197</vt:i4>
      </vt:variant>
      <vt:variant>
        <vt:i4>0</vt:i4>
      </vt:variant>
      <vt:variant>
        <vt:i4>5</vt:i4>
      </vt:variant>
      <vt:variant>
        <vt:lpwstr/>
      </vt:variant>
      <vt:variant>
        <vt:lpwstr>_Toc189833424</vt:lpwstr>
      </vt:variant>
      <vt:variant>
        <vt:i4>1441855</vt:i4>
      </vt:variant>
      <vt:variant>
        <vt:i4>191</vt:i4>
      </vt:variant>
      <vt:variant>
        <vt:i4>0</vt:i4>
      </vt:variant>
      <vt:variant>
        <vt:i4>5</vt:i4>
      </vt:variant>
      <vt:variant>
        <vt:lpwstr/>
      </vt:variant>
      <vt:variant>
        <vt:lpwstr>_Toc189833423</vt:lpwstr>
      </vt:variant>
      <vt:variant>
        <vt:i4>1441855</vt:i4>
      </vt:variant>
      <vt:variant>
        <vt:i4>185</vt:i4>
      </vt:variant>
      <vt:variant>
        <vt:i4>0</vt:i4>
      </vt:variant>
      <vt:variant>
        <vt:i4>5</vt:i4>
      </vt:variant>
      <vt:variant>
        <vt:lpwstr/>
      </vt:variant>
      <vt:variant>
        <vt:lpwstr>_Toc189833422</vt:lpwstr>
      </vt:variant>
      <vt:variant>
        <vt:i4>1441855</vt:i4>
      </vt:variant>
      <vt:variant>
        <vt:i4>179</vt:i4>
      </vt:variant>
      <vt:variant>
        <vt:i4>0</vt:i4>
      </vt:variant>
      <vt:variant>
        <vt:i4>5</vt:i4>
      </vt:variant>
      <vt:variant>
        <vt:lpwstr/>
      </vt:variant>
      <vt:variant>
        <vt:lpwstr>_Toc189833421</vt:lpwstr>
      </vt:variant>
      <vt:variant>
        <vt:i4>1441855</vt:i4>
      </vt:variant>
      <vt:variant>
        <vt:i4>173</vt:i4>
      </vt:variant>
      <vt:variant>
        <vt:i4>0</vt:i4>
      </vt:variant>
      <vt:variant>
        <vt:i4>5</vt:i4>
      </vt:variant>
      <vt:variant>
        <vt:lpwstr/>
      </vt:variant>
      <vt:variant>
        <vt:lpwstr>_Toc189833420</vt:lpwstr>
      </vt:variant>
      <vt:variant>
        <vt:i4>1376319</vt:i4>
      </vt:variant>
      <vt:variant>
        <vt:i4>167</vt:i4>
      </vt:variant>
      <vt:variant>
        <vt:i4>0</vt:i4>
      </vt:variant>
      <vt:variant>
        <vt:i4>5</vt:i4>
      </vt:variant>
      <vt:variant>
        <vt:lpwstr/>
      </vt:variant>
      <vt:variant>
        <vt:lpwstr>_Toc189833419</vt:lpwstr>
      </vt:variant>
      <vt:variant>
        <vt:i4>1376319</vt:i4>
      </vt:variant>
      <vt:variant>
        <vt:i4>161</vt:i4>
      </vt:variant>
      <vt:variant>
        <vt:i4>0</vt:i4>
      </vt:variant>
      <vt:variant>
        <vt:i4>5</vt:i4>
      </vt:variant>
      <vt:variant>
        <vt:lpwstr/>
      </vt:variant>
      <vt:variant>
        <vt:lpwstr>_Toc189833418</vt:lpwstr>
      </vt:variant>
      <vt:variant>
        <vt:i4>1376319</vt:i4>
      </vt:variant>
      <vt:variant>
        <vt:i4>155</vt:i4>
      </vt:variant>
      <vt:variant>
        <vt:i4>0</vt:i4>
      </vt:variant>
      <vt:variant>
        <vt:i4>5</vt:i4>
      </vt:variant>
      <vt:variant>
        <vt:lpwstr/>
      </vt:variant>
      <vt:variant>
        <vt:lpwstr>_Toc189833417</vt:lpwstr>
      </vt:variant>
      <vt:variant>
        <vt:i4>1376319</vt:i4>
      </vt:variant>
      <vt:variant>
        <vt:i4>149</vt:i4>
      </vt:variant>
      <vt:variant>
        <vt:i4>0</vt:i4>
      </vt:variant>
      <vt:variant>
        <vt:i4>5</vt:i4>
      </vt:variant>
      <vt:variant>
        <vt:lpwstr/>
      </vt:variant>
      <vt:variant>
        <vt:lpwstr>_Toc189833416</vt:lpwstr>
      </vt:variant>
      <vt:variant>
        <vt:i4>1376319</vt:i4>
      </vt:variant>
      <vt:variant>
        <vt:i4>143</vt:i4>
      </vt:variant>
      <vt:variant>
        <vt:i4>0</vt:i4>
      </vt:variant>
      <vt:variant>
        <vt:i4>5</vt:i4>
      </vt:variant>
      <vt:variant>
        <vt:lpwstr/>
      </vt:variant>
      <vt:variant>
        <vt:lpwstr>_Toc189833415</vt:lpwstr>
      </vt:variant>
      <vt:variant>
        <vt:i4>1376319</vt:i4>
      </vt:variant>
      <vt:variant>
        <vt:i4>137</vt:i4>
      </vt:variant>
      <vt:variant>
        <vt:i4>0</vt:i4>
      </vt:variant>
      <vt:variant>
        <vt:i4>5</vt:i4>
      </vt:variant>
      <vt:variant>
        <vt:lpwstr/>
      </vt:variant>
      <vt:variant>
        <vt:lpwstr>_Toc189833414</vt:lpwstr>
      </vt:variant>
      <vt:variant>
        <vt:i4>1376319</vt:i4>
      </vt:variant>
      <vt:variant>
        <vt:i4>131</vt:i4>
      </vt:variant>
      <vt:variant>
        <vt:i4>0</vt:i4>
      </vt:variant>
      <vt:variant>
        <vt:i4>5</vt:i4>
      </vt:variant>
      <vt:variant>
        <vt:lpwstr/>
      </vt:variant>
      <vt:variant>
        <vt:lpwstr>_Toc189833413</vt:lpwstr>
      </vt:variant>
      <vt:variant>
        <vt:i4>1376319</vt:i4>
      </vt:variant>
      <vt:variant>
        <vt:i4>125</vt:i4>
      </vt:variant>
      <vt:variant>
        <vt:i4>0</vt:i4>
      </vt:variant>
      <vt:variant>
        <vt:i4>5</vt:i4>
      </vt:variant>
      <vt:variant>
        <vt:lpwstr/>
      </vt:variant>
      <vt:variant>
        <vt:lpwstr>_Toc189833412</vt:lpwstr>
      </vt:variant>
      <vt:variant>
        <vt:i4>1376319</vt:i4>
      </vt:variant>
      <vt:variant>
        <vt:i4>119</vt:i4>
      </vt:variant>
      <vt:variant>
        <vt:i4>0</vt:i4>
      </vt:variant>
      <vt:variant>
        <vt:i4>5</vt:i4>
      </vt:variant>
      <vt:variant>
        <vt:lpwstr/>
      </vt:variant>
      <vt:variant>
        <vt:lpwstr>_Toc189833411</vt:lpwstr>
      </vt:variant>
      <vt:variant>
        <vt:i4>1376319</vt:i4>
      </vt:variant>
      <vt:variant>
        <vt:i4>113</vt:i4>
      </vt:variant>
      <vt:variant>
        <vt:i4>0</vt:i4>
      </vt:variant>
      <vt:variant>
        <vt:i4>5</vt:i4>
      </vt:variant>
      <vt:variant>
        <vt:lpwstr/>
      </vt:variant>
      <vt:variant>
        <vt:lpwstr>_Toc189833410</vt:lpwstr>
      </vt:variant>
      <vt:variant>
        <vt:i4>1310783</vt:i4>
      </vt:variant>
      <vt:variant>
        <vt:i4>107</vt:i4>
      </vt:variant>
      <vt:variant>
        <vt:i4>0</vt:i4>
      </vt:variant>
      <vt:variant>
        <vt:i4>5</vt:i4>
      </vt:variant>
      <vt:variant>
        <vt:lpwstr/>
      </vt:variant>
      <vt:variant>
        <vt:lpwstr>_Toc189833409</vt:lpwstr>
      </vt:variant>
      <vt:variant>
        <vt:i4>1310783</vt:i4>
      </vt:variant>
      <vt:variant>
        <vt:i4>101</vt:i4>
      </vt:variant>
      <vt:variant>
        <vt:i4>0</vt:i4>
      </vt:variant>
      <vt:variant>
        <vt:i4>5</vt:i4>
      </vt:variant>
      <vt:variant>
        <vt:lpwstr/>
      </vt:variant>
      <vt:variant>
        <vt:lpwstr>_Toc189833408</vt:lpwstr>
      </vt:variant>
      <vt:variant>
        <vt:i4>1310783</vt:i4>
      </vt:variant>
      <vt:variant>
        <vt:i4>95</vt:i4>
      </vt:variant>
      <vt:variant>
        <vt:i4>0</vt:i4>
      </vt:variant>
      <vt:variant>
        <vt:i4>5</vt:i4>
      </vt:variant>
      <vt:variant>
        <vt:lpwstr/>
      </vt:variant>
      <vt:variant>
        <vt:lpwstr>_Toc189833407</vt:lpwstr>
      </vt:variant>
      <vt:variant>
        <vt:i4>1310783</vt:i4>
      </vt:variant>
      <vt:variant>
        <vt:i4>89</vt:i4>
      </vt:variant>
      <vt:variant>
        <vt:i4>0</vt:i4>
      </vt:variant>
      <vt:variant>
        <vt:i4>5</vt:i4>
      </vt:variant>
      <vt:variant>
        <vt:lpwstr/>
      </vt:variant>
      <vt:variant>
        <vt:lpwstr>_Toc189833406</vt:lpwstr>
      </vt:variant>
      <vt:variant>
        <vt:i4>1310783</vt:i4>
      </vt:variant>
      <vt:variant>
        <vt:i4>83</vt:i4>
      </vt:variant>
      <vt:variant>
        <vt:i4>0</vt:i4>
      </vt:variant>
      <vt:variant>
        <vt:i4>5</vt:i4>
      </vt:variant>
      <vt:variant>
        <vt:lpwstr/>
      </vt:variant>
      <vt:variant>
        <vt:lpwstr>_Toc189833405</vt:lpwstr>
      </vt:variant>
      <vt:variant>
        <vt:i4>1310783</vt:i4>
      </vt:variant>
      <vt:variant>
        <vt:i4>77</vt:i4>
      </vt:variant>
      <vt:variant>
        <vt:i4>0</vt:i4>
      </vt:variant>
      <vt:variant>
        <vt:i4>5</vt:i4>
      </vt:variant>
      <vt:variant>
        <vt:lpwstr/>
      </vt:variant>
      <vt:variant>
        <vt:lpwstr>_Toc189833404</vt:lpwstr>
      </vt:variant>
      <vt:variant>
        <vt:i4>1310783</vt:i4>
      </vt:variant>
      <vt:variant>
        <vt:i4>71</vt:i4>
      </vt:variant>
      <vt:variant>
        <vt:i4>0</vt:i4>
      </vt:variant>
      <vt:variant>
        <vt:i4>5</vt:i4>
      </vt:variant>
      <vt:variant>
        <vt:lpwstr/>
      </vt:variant>
      <vt:variant>
        <vt:lpwstr>_Toc189833403</vt:lpwstr>
      </vt:variant>
      <vt:variant>
        <vt:i4>1310783</vt:i4>
      </vt:variant>
      <vt:variant>
        <vt:i4>65</vt:i4>
      </vt:variant>
      <vt:variant>
        <vt:i4>0</vt:i4>
      </vt:variant>
      <vt:variant>
        <vt:i4>5</vt:i4>
      </vt:variant>
      <vt:variant>
        <vt:lpwstr/>
      </vt:variant>
      <vt:variant>
        <vt:lpwstr>_Toc189833402</vt:lpwstr>
      </vt:variant>
      <vt:variant>
        <vt:i4>1310783</vt:i4>
      </vt:variant>
      <vt:variant>
        <vt:i4>59</vt:i4>
      </vt:variant>
      <vt:variant>
        <vt:i4>0</vt:i4>
      </vt:variant>
      <vt:variant>
        <vt:i4>5</vt:i4>
      </vt:variant>
      <vt:variant>
        <vt:lpwstr/>
      </vt:variant>
      <vt:variant>
        <vt:lpwstr>_Toc189833401</vt:lpwstr>
      </vt:variant>
      <vt:variant>
        <vt:i4>1310783</vt:i4>
      </vt:variant>
      <vt:variant>
        <vt:i4>53</vt:i4>
      </vt:variant>
      <vt:variant>
        <vt:i4>0</vt:i4>
      </vt:variant>
      <vt:variant>
        <vt:i4>5</vt:i4>
      </vt:variant>
      <vt:variant>
        <vt:lpwstr/>
      </vt:variant>
      <vt:variant>
        <vt:lpwstr>_Toc189833400</vt:lpwstr>
      </vt:variant>
      <vt:variant>
        <vt:i4>1900600</vt:i4>
      </vt:variant>
      <vt:variant>
        <vt:i4>47</vt:i4>
      </vt:variant>
      <vt:variant>
        <vt:i4>0</vt:i4>
      </vt:variant>
      <vt:variant>
        <vt:i4>5</vt:i4>
      </vt:variant>
      <vt:variant>
        <vt:lpwstr/>
      </vt:variant>
      <vt:variant>
        <vt:lpwstr>_Toc189833399</vt:lpwstr>
      </vt:variant>
      <vt:variant>
        <vt:i4>1900600</vt:i4>
      </vt:variant>
      <vt:variant>
        <vt:i4>41</vt:i4>
      </vt:variant>
      <vt:variant>
        <vt:i4>0</vt:i4>
      </vt:variant>
      <vt:variant>
        <vt:i4>5</vt:i4>
      </vt:variant>
      <vt:variant>
        <vt:lpwstr/>
      </vt:variant>
      <vt:variant>
        <vt:lpwstr>_Toc189833398</vt:lpwstr>
      </vt:variant>
      <vt:variant>
        <vt:i4>1900600</vt:i4>
      </vt:variant>
      <vt:variant>
        <vt:i4>35</vt:i4>
      </vt:variant>
      <vt:variant>
        <vt:i4>0</vt:i4>
      </vt:variant>
      <vt:variant>
        <vt:i4>5</vt:i4>
      </vt:variant>
      <vt:variant>
        <vt:lpwstr/>
      </vt:variant>
      <vt:variant>
        <vt:lpwstr>_Toc189833397</vt:lpwstr>
      </vt:variant>
      <vt:variant>
        <vt:i4>1900600</vt:i4>
      </vt:variant>
      <vt:variant>
        <vt:i4>29</vt:i4>
      </vt:variant>
      <vt:variant>
        <vt:i4>0</vt:i4>
      </vt:variant>
      <vt:variant>
        <vt:i4>5</vt:i4>
      </vt:variant>
      <vt:variant>
        <vt:lpwstr/>
      </vt:variant>
      <vt:variant>
        <vt:lpwstr>_Toc189833396</vt:lpwstr>
      </vt:variant>
      <vt:variant>
        <vt:i4>1900600</vt:i4>
      </vt:variant>
      <vt:variant>
        <vt:i4>23</vt:i4>
      </vt:variant>
      <vt:variant>
        <vt:i4>0</vt:i4>
      </vt:variant>
      <vt:variant>
        <vt:i4>5</vt:i4>
      </vt:variant>
      <vt:variant>
        <vt:lpwstr/>
      </vt:variant>
      <vt:variant>
        <vt:lpwstr>_Toc189833395</vt:lpwstr>
      </vt:variant>
      <vt:variant>
        <vt:i4>1900600</vt:i4>
      </vt:variant>
      <vt:variant>
        <vt:i4>17</vt:i4>
      </vt:variant>
      <vt:variant>
        <vt:i4>0</vt:i4>
      </vt:variant>
      <vt:variant>
        <vt:i4>5</vt:i4>
      </vt:variant>
      <vt:variant>
        <vt:lpwstr/>
      </vt:variant>
      <vt:variant>
        <vt:lpwstr>_Toc189833394</vt:lpwstr>
      </vt:variant>
      <vt:variant>
        <vt:i4>1900600</vt:i4>
      </vt:variant>
      <vt:variant>
        <vt:i4>11</vt:i4>
      </vt:variant>
      <vt:variant>
        <vt:i4>0</vt:i4>
      </vt:variant>
      <vt:variant>
        <vt:i4>5</vt:i4>
      </vt:variant>
      <vt:variant>
        <vt:lpwstr/>
      </vt:variant>
      <vt:variant>
        <vt:lpwstr>_Toc189833393</vt:lpwstr>
      </vt:variant>
      <vt:variant>
        <vt:i4>1900600</vt:i4>
      </vt:variant>
      <vt:variant>
        <vt:i4>5</vt:i4>
      </vt:variant>
      <vt:variant>
        <vt:i4>0</vt:i4>
      </vt:variant>
      <vt:variant>
        <vt:i4>5</vt:i4>
      </vt:variant>
      <vt:variant>
        <vt:lpwstr/>
      </vt:variant>
      <vt:variant>
        <vt:lpwstr>_Toc189833392</vt:lpwstr>
      </vt:variant>
      <vt:variant>
        <vt:i4>7405615</vt:i4>
      </vt:variant>
      <vt:variant>
        <vt:i4>0</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TATE, Dominic</cp:lastModifiedBy>
  <cp:revision>3</cp:revision>
  <cp:lastPrinted>2025-03-21T01:56:00Z</cp:lastPrinted>
  <dcterms:created xsi:type="dcterms:W3CDTF">2025-05-02T04:44:00Z</dcterms:created>
  <dcterms:modified xsi:type="dcterms:W3CDTF">2025-05-02T04:44:00Z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y fmtid="{D5CDD505-2E9C-101B-9397-08002B2CF9AE}" pid="4" name="GrammarlyDocumentId">
    <vt:lpwstr>43948a8354b0434ca8bbd9ce75b1d1069624267de823912c56fe3f269a3192e0</vt:lpwstr>
  </property>
</Properties>
</file>